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89602" w14:textId="77777777" w:rsidR="00F012EA" w:rsidRPr="000733CF" w:rsidRDefault="002D272B" w:rsidP="000733CF">
      <w:pPr>
        <w:pStyle w:val="Title"/>
      </w:pPr>
      <w:bookmarkStart w:id="0" w:name="_GoBack"/>
      <w:bookmarkEnd w:id="0"/>
      <w:r w:rsidRPr="000733CF">
        <w:t>Analysis of the long term effects of a company tax cut</w:t>
      </w:r>
    </w:p>
    <w:p w14:paraId="605FB6D9" w14:textId="77777777" w:rsidR="00F012EA" w:rsidRDefault="00236C99" w:rsidP="00F012EA">
      <w:pPr>
        <w:pStyle w:val="AuthorName"/>
        <w:rPr>
          <w:szCs w:val="24"/>
        </w:rPr>
      </w:pPr>
      <w:r>
        <w:rPr>
          <w:szCs w:val="24"/>
        </w:rPr>
        <w:t>Michael Kouparitsas, Dinar Prihardini and Alexander Beames</w:t>
      </w:r>
      <w:r w:rsidR="00F012EA" w:rsidRPr="00F21A41">
        <w:rPr>
          <w:rStyle w:val="FootnoteReference"/>
          <w:szCs w:val="24"/>
        </w:rPr>
        <w:footnoteReference w:id="1"/>
      </w:r>
    </w:p>
    <w:p w14:paraId="52F680CB" w14:textId="77777777" w:rsidR="00F012EA" w:rsidRPr="00F8009C" w:rsidRDefault="00F012EA" w:rsidP="00F012EA">
      <w:pPr>
        <w:pStyle w:val="Subtitle"/>
        <w:tabs>
          <w:tab w:val="left" w:pos="1985"/>
        </w:tabs>
        <w:rPr>
          <w:szCs w:val="40"/>
        </w:rPr>
      </w:pPr>
      <w:r>
        <w:rPr>
          <w:szCs w:val="40"/>
        </w:rPr>
        <w:t>Treasury Working Paper</w:t>
      </w:r>
      <w:r>
        <w:rPr>
          <w:rStyle w:val="FootnoteReference"/>
          <w:szCs w:val="40"/>
        </w:rPr>
        <w:footnoteReference w:id="2"/>
      </w:r>
    </w:p>
    <w:p w14:paraId="55B7BD0B" w14:textId="77777777" w:rsidR="00F012EA" w:rsidRPr="00F8009C" w:rsidRDefault="00F012EA" w:rsidP="00F012EA">
      <w:pPr>
        <w:pStyle w:val="Subtitle"/>
        <w:rPr>
          <w:szCs w:val="36"/>
        </w:rPr>
      </w:pPr>
      <w:r>
        <w:rPr>
          <w:szCs w:val="36"/>
        </w:rPr>
        <w:t>20</w:t>
      </w:r>
      <w:r w:rsidR="002D272B">
        <w:rPr>
          <w:szCs w:val="36"/>
        </w:rPr>
        <w:t>16</w:t>
      </w:r>
      <w:r>
        <w:rPr>
          <w:szCs w:val="36"/>
        </w:rPr>
        <w:noBreakHyphen/>
      </w:r>
      <w:r w:rsidR="00E55218">
        <w:rPr>
          <w:szCs w:val="36"/>
        </w:rPr>
        <w:t>02</w:t>
      </w:r>
    </w:p>
    <w:p w14:paraId="04DC2BE9" w14:textId="77777777" w:rsidR="00F012EA" w:rsidRPr="0018497C" w:rsidRDefault="00F012EA" w:rsidP="00F012EA">
      <w:pPr>
        <w:pStyle w:val="SeriesNumber"/>
        <w:spacing w:before="120" w:after="120"/>
        <w:rPr>
          <w:sz w:val="24"/>
          <w:szCs w:val="24"/>
        </w:rPr>
      </w:pPr>
      <w:r w:rsidRPr="0018497C">
        <w:rPr>
          <w:sz w:val="24"/>
          <w:szCs w:val="24"/>
        </w:rPr>
        <w:t xml:space="preserve">Date created: </w:t>
      </w:r>
      <w:r w:rsidR="00110D40">
        <w:rPr>
          <w:sz w:val="24"/>
          <w:szCs w:val="24"/>
        </w:rPr>
        <w:t>May 2016</w:t>
      </w:r>
    </w:p>
    <w:p w14:paraId="0D8D461D" w14:textId="77777777" w:rsidR="00F012EA" w:rsidRDefault="00F012EA" w:rsidP="00F012EA">
      <w:pPr>
        <w:pStyle w:val="SeriesNumber"/>
        <w:spacing w:before="120" w:after="120"/>
        <w:rPr>
          <w:sz w:val="24"/>
          <w:szCs w:val="24"/>
        </w:rPr>
      </w:pPr>
      <w:r w:rsidRPr="0018497C">
        <w:rPr>
          <w:sz w:val="24"/>
          <w:szCs w:val="24"/>
        </w:rPr>
        <w:t xml:space="preserve">Date </w:t>
      </w:r>
      <w:r>
        <w:rPr>
          <w:sz w:val="24"/>
          <w:szCs w:val="24"/>
        </w:rPr>
        <w:t>modified</w:t>
      </w:r>
      <w:r w:rsidRPr="0018497C">
        <w:rPr>
          <w:sz w:val="24"/>
          <w:szCs w:val="24"/>
        </w:rPr>
        <w:t xml:space="preserve">: </w:t>
      </w:r>
      <w:r w:rsidR="00110D40">
        <w:rPr>
          <w:sz w:val="24"/>
          <w:szCs w:val="24"/>
        </w:rPr>
        <w:t>May 2016</w:t>
      </w:r>
    </w:p>
    <w:p w14:paraId="7FC79069" w14:textId="77777777" w:rsidR="00110D40" w:rsidRDefault="00110D40" w:rsidP="00110D40">
      <w:pPr>
        <w:pStyle w:val="SeriesNumber"/>
        <w:spacing w:before="120" w:after="120"/>
        <w:jc w:val="left"/>
        <w:rPr>
          <w:sz w:val="24"/>
          <w:szCs w:val="24"/>
        </w:rPr>
      </w:pPr>
    </w:p>
    <w:p w14:paraId="25FC1018" w14:textId="77777777" w:rsidR="000464B6" w:rsidRDefault="000464B6" w:rsidP="00F012EA">
      <w:pPr>
        <w:pStyle w:val="AuthorName"/>
        <w:rPr>
          <w:szCs w:val="24"/>
        </w:rPr>
        <w:sectPr w:rsidR="000464B6" w:rsidSect="008C0793">
          <w:headerReference w:type="even" r:id="rId9"/>
          <w:headerReference w:type="default" r:id="rId10"/>
          <w:footerReference w:type="even" r:id="rId11"/>
          <w:footerReference w:type="default" r:id="rId12"/>
          <w:headerReference w:type="first" r:id="rId13"/>
          <w:footerReference w:type="first" r:id="rId14"/>
          <w:pgSz w:w="11906" w:h="16838" w:code="9"/>
          <w:pgMar w:top="1418" w:right="1304" w:bottom="1418" w:left="1304" w:header="567" w:footer="567" w:gutter="0"/>
          <w:cols w:space="708"/>
          <w:titlePg/>
          <w:docGrid w:linePitch="360"/>
        </w:sectPr>
      </w:pPr>
    </w:p>
    <w:p w14:paraId="52023D9D" w14:textId="77777777" w:rsidR="000464B6" w:rsidRDefault="000464B6" w:rsidP="000464B6">
      <w:r w:rsidRPr="00661BF0">
        <w:lastRenderedPageBreak/>
        <w:t xml:space="preserve">© Commonwealth of Australia </w:t>
      </w:r>
      <w:r w:rsidRPr="00446698">
        <w:t>20</w:t>
      </w:r>
      <w:r w:rsidR="002D272B" w:rsidRPr="00446698">
        <w:t>16</w:t>
      </w:r>
    </w:p>
    <w:p w14:paraId="3B028228" w14:textId="4AF5605A" w:rsidR="000464B6" w:rsidRPr="00464A16" w:rsidRDefault="000464B6" w:rsidP="000464B6">
      <w:r w:rsidRPr="00464A16">
        <w:t xml:space="preserve">ISBN </w:t>
      </w:r>
      <w:r w:rsidR="00446698" w:rsidRPr="00446698">
        <w:t>978-1-925220-99-5</w:t>
      </w:r>
    </w:p>
    <w:p w14:paraId="6A48155D" w14:textId="77777777" w:rsidR="000464B6" w:rsidRPr="00086F82" w:rsidRDefault="000464B6" w:rsidP="000464B6">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5" w:history="1">
        <w:r w:rsidRPr="006627B4">
          <w:rPr>
            <w:rStyle w:val="Hyperlink"/>
          </w:rPr>
          <w:t xml:space="preserve">Creative Commons </w:t>
        </w:r>
        <w:r>
          <w:rPr>
            <w:rStyle w:val="Hyperlink"/>
          </w:rPr>
          <w:t xml:space="preserve">BY </w:t>
        </w:r>
        <w:r w:rsidRPr="006627B4">
          <w:rPr>
            <w:rStyle w:val="Hyperlink"/>
          </w:rPr>
          <w:t>Attribution 3.0 Australia</w:t>
        </w:r>
      </w:hyperlink>
      <w:r w:rsidRPr="00476F09">
        <w:rPr>
          <w:rStyle w:val="A5"/>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6" w:history="1">
        <w:r w:rsidRPr="006627B4">
          <w:rPr>
            <w:rStyle w:val="Hyperlink"/>
          </w:rPr>
          <w:t>http://creativecommons.org/licenses/by/3.0/au/legalcode</w:t>
        </w:r>
      </w:hyperlink>
      <w:r w:rsidRPr="006627B4">
        <w:rPr>
          <w:rStyle w:val="Hyperlink"/>
        </w:rPr>
        <w:t>.</w:t>
      </w:r>
      <w:r w:rsidRPr="00D06A21">
        <w:rPr>
          <w:sz w:val="24"/>
          <w:szCs w:val="24"/>
        </w:rPr>
        <w:t xml:space="preserve"> </w:t>
      </w:r>
    </w:p>
    <w:p w14:paraId="6A689302" w14:textId="77777777" w:rsidR="000464B6" w:rsidRDefault="000464B6" w:rsidP="000464B6">
      <w:pPr>
        <w:tabs>
          <w:tab w:val="left" w:pos="1650"/>
        </w:tabs>
        <w:spacing w:before="100" w:beforeAutospacing="1" w:after="100" w:afterAutospacing="1"/>
        <w:rPr>
          <w:rFonts w:cstheme="minorHAnsi"/>
          <w:sz w:val="24"/>
          <w:szCs w:val="24"/>
        </w:rPr>
      </w:pPr>
      <w:r w:rsidRPr="00E56DFB">
        <w:rPr>
          <w:rFonts w:cstheme="minorHAnsi"/>
          <w:noProof/>
          <w:sz w:val="24"/>
          <w:szCs w:val="24"/>
          <w:lang w:eastAsia="en-AU"/>
        </w:rPr>
        <w:drawing>
          <wp:inline distT="0" distB="0" distL="0" distR="0" wp14:anchorId="33EECC8E" wp14:editId="6B2A3F12">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8DCA817" w14:textId="77777777" w:rsidR="000464B6" w:rsidRPr="006627B4" w:rsidRDefault="000464B6" w:rsidP="000464B6">
      <w:pPr>
        <w:tabs>
          <w:tab w:val="left" w:pos="1650"/>
        </w:tabs>
      </w:pPr>
      <w:r w:rsidRPr="006627B4">
        <w:t>Use of Treasury material under a</w:t>
      </w:r>
      <w:r w:rsidRPr="00476F09">
        <w:rPr>
          <w:rFonts w:cstheme="minorHAnsi"/>
          <w:sz w:val="24"/>
          <w:szCs w:val="24"/>
        </w:rPr>
        <w:t xml:space="preserve"> </w:t>
      </w:r>
      <w:hyperlink r:id="rId18" w:history="1">
        <w:r w:rsidRPr="002F1BC2">
          <w:rPr>
            <w:rStyle w:val="Hyperlink"/>
          </w:rPr>
          <w:t xml:space="preserve">Creative Commons </w:t>
        </w:r>
        <w:r>
          <w:rPr>
            <w:rStyle w:val="Hyperlink"/>
          </w:rPr>
          <w:t xml:space="preserve">BY </w:t>
        </w:r>
        <w:r w:rsidRPr="002F1BC2">
          <w:rPr>
            <w:rStyle w:val="Hyperlink"/>
          </w:rPr>
          <w:t>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54295791" w14:textId="77777777" w:rsidR="000464B6" w:rsidRPr="002F1BC2" w:rsidRDefault="000464B6" w:rsidP="00446698">
      <w:pPr>
        <w:ind w:left="567"/>
        <w:rPr>
          <w:i/>
        </w:rPr>
      </w:pPr>
      <w:r w:rsidRPr="002F1BC2">
        <w:rPr>
          <w:i/>
        </w:rPr>
        <w:t>Treasury material used 'as supplied'</w:t>
      </w:r>
    </w:p>
    <w:p w14:paraId="51112E04" w14:textId="77777777" w:rsidR="000464B6" w:rsidRPr="00476F09" w:rsidRDefault="000464B6" w:rsidP="000464B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B1F2F37" w14:textId="77777777" w:rsidR="000464B6" w:rsidRPr="00A13A11" w:rsidRDefault="000464B6" w:rsidP="00446698">
      <w:pPr>
        <w:ind w:left="567"/>
      </w:pPr>
      <w:r w:rsidRPr="002F1BC2">
        <w:rPr>
          <w:i/>
        </w:rPr>
        <w:t xml:space="preserve">Source: The </w:t>
      </w:r>
      <w:r w:rsidRPr="002F1BC2">
        <w:rPr>
          <w:i/>
          <w:iCs/>
        </w:rPr>
        <w:t>Australian Government the Treasury</w:t>
      </w:r>
    </w:p>
    <w:p w14:paraId="166309B4" w14:textId="77777777" w:rsidR="000464B6" w:rsidRPr="00446698" w:rsidRDefault="000464B6" w:rsidP="000464B6">
      <w:pPr>
        <w:rPr>
          <w:b/>
        </w:rPr>
      </w:pPr>
      <w:r w:rsidRPr="00446698">
        <w:rPr>
          <w:b/>
        </w:rPr>
        <w:t>Derivative material</w:t>
      </w:r>
    </w:p>
    <w:p w14:paraId="7078051F" w14:textId="77777777" w:rsidR="000464B6" w:rsidRPr="006627B4" w:rsidRDefault="000464B6" w:rsidP="000464B6">
      <w:r w:rsidRPr="006627B4">
        <w:t xml:space="preserve">If you have modified or transformed Treasury material, or derived new material from those of the Treasury in any way, then Treasury prefers the following attribution: </w:t>
      </w:r>
    </w:p>
    <w:p w14:paraId="47696215" w14:textId="77777777" w:rsidR="000464B6" w:rsidRPr="006627B4" w:rsidRDefault="000464B6" w:rsidP="00446698">
      <w:pPr>
        <w:ind w:left="567"/>
      </w:pPr>
      <w:r w:rsidRPr="002F1BC2">
        <w:rPr>
          <w:i/>
        </w:rPr>
        <w:t>Based on The Australian Government the Treasury data</w:t>
      </w:r>
    </w:p>
    <w:p w14:paraId="30E4A828" w14:textId="77777777" w:rsidR="000464B6" w:rsidRPr="006627B4" w:rsidRDefault="000464B6" w:rsidP="000464B6">
      <w:pPr>
        <w:spacing w:after="40"/>
        <w:rPr>
          <w:b/>
        </w:rPr>
      </w:pPr>
      <w:r w:rsidRPr="006627B4">
        <w:rPr>
          <w:b/>
        </w:rPr>
        <w:t>Use of the Coat of Arms</w:t>
      </w:r>
    </w:p>
    <w:p w14:paraId="4F13C8EB" w14:textId="1FA9D577" w:rsidR="000464B6" w:rsidRPr="006627B4" w:rsidRDefault="000464B6" w:rsidP="000464B6">
      <w:r w:rsidRPr="006627B4">
        <w:t>The terms under which the Coat of Arms can be used are set out on the It’s an Honour website (see</w:t>
      </w:r>
      <w:r w:rsidR="00446698">
        <w:t> </w:t>
      </w:r>
      <w:hyperlink r:id="rId19" w:history="1">
        <w:r w:rsidRPr="006627B4">
          <w:t>www.itsanhonour.gov.au</w:t>
        </w:r>
      </w:hyperlink>
      <w:r w:rsidRPr="006627B4">
        <w:t>)</w:t>
      </w:r>
    </w:p>
    <w:p w14:paraId="450FB6AA" w14:textId="77777777" w:rsidR="000464B6" w:rsidRPr="006627B4" w:rsidRDefault="00A57848" w:rsidP="000464B6">
      <w:pPr>
        <w:spacing w:after="40"/>
        <w:rPr>
          <w:b/>
        </w:rPr>
      </w:pPr>
      <w:r>
        <w:rPr>
          <w:b/>
        </w:rPr>
        <w:t>Other u</w:t>
      </w:r>
      <w:r w:rsidR="000464B6" w:rsidRPr="006627B4">
        <w:rPr>
          <w:b/>
        </w:rPr>
        <w:t>ses</w:t>
      </w:r>
    </w:p>
    <w:p w14:paraId="06DF62B1" w14:textId="77777777" w:rsidR="000464B6" w:rsidRPr="006627B4" w:rsidRDefault="00A57848" w:rsidP="00A57848">
      <w:pPr>
        <w:spacing w:after="120"/>
      </w:pPr>
      <w:r>
        <w:t>E</w:t>
      </w:r>
      <w:r w:rsidR="000464B6" w:rsidRPr="006627B4">
        <w:t>nquiries regarding this licence and any other use of this document are welcome at:</w:t>
      </w:r>
    </w:p>
    <w:p w14:paraId="42D9C5FD" w14:textId="77777777" w:rsidR="000464B6" w:rsidRPr="006627B4" w:rsidRDefault="000464B6" w:rsidP="000464B6">
      <w:pPr>
        <w:spacing w:after="0"/>
        <w:ind w:left="720"/>
      </w:pPr>
      <w:r w:rsidRPr="006627B4">
        <w:t>Manager</w:t>
      </w:r>
    </w:p>
    <w:p w14:paraId="378D62C3" w14:textId="77777777" w:rsidR="000464B6" w:rsidRPr="006627B4" w:rsidRDefault="00A57848" w:rsidP="000464B6">
      <w:pPr>
        <w:spacing w:after="0"/>
        <w:ind w:left="720"/>
      </w:pPr>
      <w:r>
        <w:t>Media Unit</w:t>
      </w:r>
    </w:p>
    <w:p w14:paraId="4612A33D" w14:textId="77777777" w:rsidR="000464B6" w:rsidRPr="006627B4" w:rsidRDefault="000464B6" w:rsidP="000464B6">
      <w:pPr>
        <w:spacing w:after="0"/>
        <w:ind w:left="720"/>
      </w:pPr>
      <w:r w:rsidRPr="006627B4">
        <w:t>The Treasury</w:t>
      </w:r>
    </w:p>
    <w:p w14:paraId="540D312D" w14:textId="17D894A7" w:rsidR="000464B6" w:rsidRPr="006627B4" w:rsidRDefault="000464B6" w:rsidP="000464B6">
      <w:pPr>
        <w:spacing w:after="0"/>
        <w:ind w:left="720"/>
      </w:pPr>
      <w:r w:rsidRPr="006627B4">
        <w:t xml:space="preserve">Langton Crescent </w:t>
      </w:r>
      <w:r w:rsidR="00A57848">
        <w:br/>
      </w:r>
      <w:r w:rsidRPr="006627B4">
        <w:t>Parkes</w:t>
      </w:r>
      <w:r w:rsidR="00446698">
        <w:t>  </w:t>
      </w:r>
      <w:r w:rsidRPr="006627B4">
        <w:t>ACT</w:t>
      </w:r>
      <w:r w:rsidR="00446698">
        <w:t>  </w:t>
      </w:r>
      <w:r w:rsidRPr="006627B4">
        <w:t>2600</w:t>
      </w:r>
    </w:p>
    <w:p w14:paraId="19247945" w14:textId="77777777" w:rsidR="000464B6" w:rsidRDefault="000464B6" w:rsidP="000464B6">
      <w:pPr>
        <w:spacing w:after="0"/>
        <w:ind w:left="720"/>
        <w:rPr>
          <w:rStyle w:val="Hyperlink"/>
        </w:rPr>
      </w:pPr>
      <w:r w:rsidRPr="006627B4">
        <w:t xml:space="preserve">Email: </w:t>
      </w:r>
      <w:hyperlink r:id="rId20" w:history="1">
        <w:r w:rsidRPr="00573329">
          <w:rPr>
            <w:rStyle w:val="Hyperlink"/>
          </w:rPr>
          <w:t>medialiaison@treasury.gov.au</w:t>
        </w:r>
      </w:hyperlink>
      <w:r w:rsidRPr="002F1BC2">
        <w:rPr>
          <w:rStyle w:val="Hyperlink"/>
        </w:rPr>
        <w:t xml:space="preserve"> </w:t>
      </w:r>
    </w:p>
    <w:p w14:paraId="274D1174" w14:textId="77777777" w:rsidR="000464B6" w:rsidRPr="000464B6" w:rsidRDefault="000464B6" w:rsidP="000464B6"/>
    <w:p w14:paraId="52A34A42" w14:textId="77777777" w:rsidR="000464B6" w:rsidRDefault="000464B6" w:rsidP="000464B6">
      <w:pPr>
        <w:spacing w:after="0"/>
        <w:ind w:left="720"/>
        <w:rPr>
          <w:rStyle w:val="Hyperlink"/>
        </w:rPr>
        <w:sectPr w:rsidR="000464B6" w:rsidSect="008C0793">
          <w:headerReference w:type="first" r:id="rId21"/>
          <w:pgSz w:w="11906" w:h="16838" w:code="9"/>
          <w:pgMar w:top="1418" w:right="1304" w:bottom="1418" w:left="1304" w:header="567" w:footer="567" w:gutter="0"/>
          <w:cols w:space="708"/>
          <w:titlePg/>
          <w:docGrid w:linePitch="360"/>
        </w:sectPr>
      </w:pPr>
    </w:p>
    <w:p w14:paraId="5D64ABE1" w14:textId="77777777" w:rsidR="00F012EA" w:rsidRDefault="002D272B" w:rsidP="00F012EA">
      <w:pPr>
        <w:pStyle w:val="SingleParagraph"/>
      </w:pPr>
      <w:r>
        <w:lastRenderedPageBreak/>
        <w:t>Analysis of the long term effects of a company tax cut</w:t>
      </w:r>
    </w:p>
    <w:p w14:paraId="7A22B1C6" w14:textId="77777777" w:rsidR="00F012EA" w:rsidRDefault="00E55218" w:rsidP="00F012EA">
      <w:pPr>
        <w:pStyle w:val="SingleParagraph"/>
      </w:pPr>
      <w:r w:rsidRPr="00E55218">
        <w:t>Michael Kouparitsas, Dinar Prihardini and Alexander Beames</w:t>
      </w:r>
    </w:p>
    <w:p w14:paraId="200AED5F" w14:textId="77777777" w:rsidR="00F012EA" w:rsidRPr="00446698" w:rsidRDefault="00F012EA" w:rsidP="00F012EA">
      <w:pPr>
        <w:pStyle w:val="SingleParagraph"/>
      </w:pPr>
      <w:r w:rsidRPr="00446698">
        <w:t>20</w:t>
      </w:r>
      <w:r w:rsidR="002D272B" w:rsidRPr="00446698">
        <w:t>16</w:t>
      </w:r>
      <w:r w:rsidRPr="00446698">
        <w:noBreakHyphen/>
      </w:r>
      <w:r w:rsidR="00E55218" w:rsidRPr="00446698">
        <w:t>02</w:t>
      </w:r>
    </w:p>
    <w:p w14:paraId="5E411353" w14:textId="77777777" w:rsidR="00F012EA" w:rsidRDefault="00110D40" w:rsidP="00F012EA">
      <w:pPr>
        <w:pStyle w:val="SingleParagraph"/>
      </w:pPr>
      <w:r w:rsidRPr="00446698">
        <w:t>May 2016</w:t>
      </w:r>
    </w:p>
    <w:p w14:paraId="018F51BD" w14:textId="77777777" w:rsidR="00F012EA" w:rsidRPr="00AE0023" w:rsidRDefault="00F012EA" w:rsidP="00AE0023">
      <w:pPr>
        <w:pStyle w:val="Heading1"/>
      </w:pPr>
      <w:r w:rsidRPr="00AE0023">
        <w:t>Abstract</w:t>
      </w:r>
    </w:p>
    <w:p w14:paraId="723F796D" w14:textId="77777777" w:rsidR="00F012EA" w:rsidRPr="00E65E4B" w:rsidRDefault="003E1D2E" w:rsidP="00F012EA">
      <w:pPr>
        <w:pStyle w:val="Abstract"/>
      </w:pPr>
      <w:r w:rsidRPr="00113332">
        <w:t>For a small open economy, such as Australia, its living standards (per capita income) are determined by the level of its term</w:t>
      </w:r>
      <w:r w:rsidR="008C1E87" w:rsidRPr="00113332">
        <w:t xml:space="preserve">s of trade, labour productivity, </w:t>
      </w:r>
      <w:r w:rsidRPr="00113332">
        <w:t>labour force participation</w:t>
      </w:r>
      <w:r w:rsidR="008C1E87" w:rsidRPr="00113332">
        <w:t xml:space="preserve"> and population. Australia’s terms of trade, </w:t>
      </w:r>
      <w:r w:rsidRPr="00113332">
        <w:t xml:space="preserve">labour force participation </w:t>
      </w:r>
      <w:r w:rsidR="008C1E87" w:rsidRPr="00113332">
        <w:t xml:space="preserve">and population growth </w:t>
      </w:r>
      <w:r w:rsidRPr="00113332">
        <w:t>are expected to be flat or declining in the foreseeable future which implies any improvement in Australia’s living standards must be driven by a higher level of labour productivity.</w:t>
      </w:r>
      <w:r>
        <w:t xml:space="preserve"> This paper shows that a company income tax cut can do that, even after allowing for increases in other taxes or cutting government spending to recover lost revenue, by lowering the before tax cost of capital</w:t>
      </w:r>
      <w:r w:rsidR="0091152A">
        <w:t>. This</w:t>
      </w:r>
      <w:r>
        <w:t xml:space="preserve"> encourages investment, which in turn increases the capital stock and labour productivity.</w:t>
      </w:r>
      <w:r w:rsidR="00DF0F48">
        <w:t xml:space="preserve"> Analysis presented here </w:t>
      </w:r>
      <w:r>
        <w:t xml:space="preserve">also </w:t>
      </w:r>
      <w:r w:rsidR="00DF0F48">
        <w:t>suggests the long</w:t>
      </w:r>
      <w:r w:rsidR="0091152A">
        <w:t>-</w:t>
      </w:r>
      <w:r w:rsidR="00DF0F48">
        <w:t>term benefits accrue to workers and households via permanently higher after</w:t>
      </w:r>
      <w:r w:rsidR="007F20B9">
        <w:t>-</w:t>
      </w:r>
      <w:r w:rsidR="00DF0F48">
        <w:t xml:space="preserve">tax </w:t>
      </w:r>
      <w:r w:rsidR="007F20B9">
        <w:t xml:space="preserve">real </w:t>
      </w:r>
      <w:r w:rsidR="00DF0F48">
        <w:t>wages and consumption.</w:t>
      </w:r>
      <w:r w:rsidR="00717274">
        <w:t xml:space="preserve"> </w:t>
      </w:r>
      <w:r w:rsidR="008C1E87" w:rsidRPr="004B791A">
        <w:rPr>
          <w:color w:val="auto"/>
        </w:rPr>
        <w:t>T</w:t>
      </w:r>
      <w:r w:rsidR="00717274" w:rsidRPr="004B791A">
        <w:rPr>
          <w:color w:val="auto"/>
        </w:rPr>
        <w:t xml:space="preserve">he </w:t>
      </w:r>
      <w:r w:rsidR="008A45B6" w:rsidRPr="004B791A">
        <w:rPr>
          <w:color w:val="auto"/>
        </w:rPr>
        <w:t xml:space="preserve">goal of this paper is to provide a </w:t>
      </w:r>
      <w:r w:rsidR="008C1E87" w:rsidRPr="004B791A">
        <w:rPr>
          <w:color w:val="auto"/>
        </w:rPr>
        <w:t xml:space="preserve">clear exposition of the likely activity and welfare effects of </w:t>
      </w:r>
      <w:r w:rsidR="008A45B6" w:rsidRPr="004B791A">
        <w:rPr>
          <w:color w:val="auto"/>
        </w:rPr>
        <w:t>simple</w:t>
      </w:r>
      <w:r w:rsidR="008C1E87" w:rsidRPr="004B791A">
        <w:rPr>
          <w:color w:val="auto"/>
        </w:rPr>
        <w:t xml:space="preserve"> company tax </w:t>
      </w:r>
      <w:r w:rsidR="008A45B6" w:rsidRPr="004B791A">
        <w:rPr>
          <w:color w:val="auto"/>
        </w:rPr>
        <w:t>cut scenarios</w:t>
      </w:r>
      <w:r w:rsidR="008C1E87" w:rsidRPr="004B791A">
        <w:rPr>
          <w:color w:val="auto"/>
        </w:rPr>
        <w:t xml:space="preserve">. </w:t>
      </w:r>
      <w:r w:rsidR="008A45B6" w:rsidRPr="004B791A">
        <w:rPr>
          <w:color w:val="auto"/>
        </w:rPr>
        <w:t>T</w:t>
      </w:r>
      <w:r w:rsidR="00717274" w:rsidRPr="004B791A">
        <w:rPr>
          <w:color w:val="auto"/>
        </w:rPr>
        <w:t xml:space="preserve">he </w:t>
      </w:r>
      <w:r w:rsidR="008A45B6" w:rsidRPr="004B791A">
        <w:rPr>
          <w:color w:val="auto"/>
        </w:rPr>
        <w:t xml:space="preserve">tax package announced in the </w:t>
      </w:r>
      <w:r w:rsidR="00717274" w:rsidRPr="004B791A">
        <w:rPr>
          <w:color w:val="auto"/>
        </w:rPr>
        <w:t>201</w:t>
      </w:r>
      <w:r w:rsidR="008C1E87" w:rsidRPr="004B791A">
        <w:rPr>
          <w:color w:val="auto"/>
        </w:rPr>
        <w:t>6</w:t>
      </w:r>
      <w:r w:rsidR="00E83800" w:rsidRPr="004B791A">
        <w:rPr>
          <w:color w:val="auto"/>
        </w:rPr>
        <w:noBreakHyphen/>
      </w:r>
      <w:r w:rsidR="00717274" w:rsidRPr="004B791A">
        <w:rPr>
          <w:color w:val="auto"/>
        </w:rPr>
        <w:t>1</w:t>
      </w:r>
      <w:r w:rsidR="008C1E87" w:rsidRPr="004B791A">
        <w:rPr>
          <w:color w:val="auto"/>
        </w:rPr>
        <w:t>7</w:t>
      </w:r>
      <w:r w:rsidR="008A45B6" w:rsidRPr="004B791A">
        <w:rPr>
          <w:color w:val="auto"/>
        </w:rPr>
        <w:t> </w:t>
      </w:r>
      <w:r w:rsidR="00717274" w:rsidRPr="004B791A">
        <w:rPr>
          <w:color w:val="auto"/>
        </w:rPr>
        <w:t xml:space="preserve">Budget </w:t>
      </w:r>
      <w:r w:rsidR="008A45B6" w:rsidRPr="004B791A">
        <w:rPr>
          <w:color w:val="auto"/>
        </w:rPr>
        <w:t xml:space="preserve">has more </w:t>
      </w:r>
      <w:r w:rsidR="00E83800" w:rsidRPr="004B791A">
        <w:rPr>
          <w:color w:val="auto"/>
        </w:rPr>
        <w:t xml:space="preserve">detailed </w:t>
      </w:r>
      <w:r w:rsidR="008A45B6" w:rsidRPr="004B791A">
        <w:rPr>
          <w:color w:val="auto"/>
        </w:rPr>
        <w:t xml:space="preserve">funding </w:t>
      </w:r>
      <w:r w:rsidR="00E83800" w:rsidRPr="004B791A">
        <w:rPr>
          <w:color w:val="auto"/>
        </w:rPr>
        <w:t>components</w:t>
      </w:r>
      <w:r w:rsidR="008A45B6" w:rsidRPr="004B791A">
        <w:rPr>
          <w:color w:val="auto"/>
        </w:rPr>
        <w:t xml:space="preserve"> than analysed here so this paper does not provide</w:t>
      </w:r>
      <w:r w:rsidR="00717274" w:rsidRPr="004B791A">
        <w:rPr>
          <w:color w:val="auto"/>
        </w:rPr>
        <w:t xml:space="preserve"> specific estimates of the economic gains of </w:t>
      </w:r>
      <w:r w:rsidR="008A45B6" w:rsidRPr="004B791A">
        <w:rPr>
          <w:color w:val="auto"/>
        </w:rPr>
        <w:t>that proposal</w:t>
      </w:r>
      <w:r w:rsidR="00717274" w:rsidRPr="004B791A">
        <w:rPr>
          <w:color w:val="auto"/>
        </w:rPr>
        <w:t>.</w:t>
      </w:r>
    </w:p>
    <w:p w14:paraId="08224C87" w14:textId="77777777" w:rsidR="00F012EA" w:rsidRDefault="00F012EA" w:rsidP="00F012EA">
      <w:pPr>
        <w:pStyle w:val="SingleParagraph"/>
      </w:pPr>
      <w:r>
        <w:t xml:space="preserve">JEL Classification Numbers: </w:t>
      </w:r>
      <w:r w:rsidR="00E55218">
        <w:t>H21, H25, H30, E27</w:t>
      </w:r>
    </w:p>
    <w:p w14:paraId="26DE94B6" w14:textId="77777777" w:rsidR="00F012EA" w:rsidRDefault="00F012EA" w:rsidP="00F012EA">
      <w:pPr>
        <w:pStyle w:val="SingleParagraph"/>
      </w:pPr>
      <w:r>
        <w:t xml:space="preserve">Keywords: </w:t>
      </w:r>
      <w:r w:rsidR="009F7514">
        <w:t>optimal taxation</w:t>
      </w:r>
      <w:r w:rsidR="003B4A09">
        <w:t>;</w:t>
      </w:r>
      <w:r w:rsidR="009F7514">
        <w:t xml:space="preserve"> c</w:t>
      </w:r>
      <w:r w:rsidR="00E55218">
        <w:t>ompany tax</w:t>
      </w:r>
      <w:r w:rsidR="003B4A09">
        <w:t>;</w:t>
      </w:r>
      <w:r w:rsidR="00E55218">
        <w:t xml:space="preserve"> </w:t>
      </w:r>
      <w:r w:rsidR="009F7514">
        <w:t>t</w:t>
      </w:r>
      <w:r w:rsidR="00E55218">
        <w:t xml:space="preserve">ax </w:t>
      </w:r>
      <w:r w:rsidR="009F7514">
        <w:t>reform</w:t>
      </w:r>
      <w:r w:rsidR="003B4A09">
        <w:t>;</w:t>
      </w:r>
      <w:r w:rsidR="005E7F09">
        <w:t xml:space="preserve"> policy simulation</w:t>
      </w:r>
    </w:p>
    <w:p w14:paraId="43FBD066" w14:textId="77777777" w:rsidR="00F012EA" w:rsidRDefault="00F012EA" w:rsidP="00F012EA">
      <w:pPr>
        <w:pStyle w:val="SingleParagraph"/>
      </w:pPr>
    </w:p>
    <w:p w14:paraId="2E76C16E" w14:textId="77777777" w:rsidR="00F012EA" w:rsidRDefault="00E55218" w:rsidP="00F012EA">
      <w:pPr>
        <w:pStyle w:val="SingleParagraph"/>
      </w:pPr>
      <w:r w:rsidRPr="00E55218">
        <w:t>Michael Kouparitsas, Dinar Prihardini and Alexander Beames</w:t>
      </w:r>
    </w:p>
    <w:p w14:paraId="1CE773C7" w14:textId="77777777" w:rsidR="00F012EA" w:rsidRDefault="00E55218" w:rsidP="00F012EA">
      <w:pPr>
        <w:pStyle w:val="SingleParagraph"/>
      </w:pPr>
      <w:r>
        <w:t>Macroeconomic Modelling and Policy Division</w:t>
      </w:r>
    </w:p>
    <w:p w14:paraId="76515276" w14:textId="77777777" w:rsidR="00F012EA" w:rsidRDefault="00E55218" w:rsidP="00F012EA">
      <w:pPr>
        <w:pStyle w:val="SingleParagraph"/>
      </w:pPr>
      <w:r>
        <w:t>Macroeconomic Group</w:t>
      </w:r>
    </w:p>
    <w:p w14:paraId="28D56969" w14:textId="77777777" w:rsidR="00F012EA" w:rsidRDefault="00F012EA" w:rsidP="00F012EA">
      <w:pPr>
        <w:pStyle w:val="SingleParagraph"/>
      </w:pPr>
      <w:r>
        <w:t>The Treasury</w:t>
      </w:r>
    </w:p>
    <w:p w14:paraId="1E39B43E" w14:textId="77777777" w:rsidR="00F012EA" w:rsidRDefault="00F012EA" w:rsidP="00F012EA">
      <w:pPr>
        <w:pStyle w:val="SingleParagraph"/>
      </w:pPr>
      <w:r>
        <w:t>Langton Crescent</w:t>
      </w:r>
    </w:p>
    <w:p w14:paraId="26C472DC" w14:textId="7679AB2B" w:rsidR="00F012EA" w:rsidRDefault="00F012EA" w:rsidP="00F012EA">
      <w:pPr>
        <w:pStyle w:val="SingleParagraph"/>
      </w:pPr>
      <w:r>
        <w:t>Parkes</w:t>
      </w:r>
      <w:r w:rsidR="00446698">
        <w:t>  </w:t>
      </w:r>
      <w:r>
        <w:t>ACT</w:t>
      </w:r>
      <w:r w:rsidR="00446698">
        <w:t>  </w:t>
      </w:r>
      <w:r>
        <w:t>2600</w:t>
      </w:r>
    </w:p>
    <w:p w14:paraId="59772E93" w14:textId="77777777" w:rsidR="00F012EA" w:rsidRDefault="00F012EA" w:rsidP="008627B1"/>
    <w:p w14:paraId="4C429046" w14:textId="77777777" w:rsidR="00F012EA" w:rsidRDefault="00F012EA" w:rsidP="008627B1">
      <w:pPr>
        <w:sectPr w:rsidR="00F012EA" w:rsidSect="008C0793">
          <w:pgSz w:w="11906" w:h="16838" w:code="9"/>
          <w:pgMar w:top="1418" w:right="1304" w:bottom="1418" w:left="1304" w:header="567" w:footer="567" w:gutter="0"/>
          <w:cols w:space="708"/>
          <w:titlePg/>
          <w:docGrid w:linePitch="360"/>
        </w:sectPr>
      </w:pPr>
    </w:p>
    <w:p w14:paraId="30A5A339" w14:textId="77777777" w:rsidR="00F012EA" w:rsidRPr="00A57848" w:rsidRDefault="00F012EA" w:rsidP="00CB1B22">
      <w:pPr>
        <w:pStyle w:val="Heading2"/>
        <w:spacing w:before="0"/>
      </w:pPr>
      <w:bookmarkStart w:id="1" w:name="_Toc271526783"/>
      <w:bookmarkStart w:id="2" w:name="_Toc320810314"/>
      <w:r w:rsidRPr="00A57848">
        <w:lastRenderedPageBreak/>
        <w:t>Introduction</w:t>
      </w:r>
      <w:bookmarkEnd w:id="1"/>
      <w:bookmarkEnd w:id="2"/>
    </w:p>
    <w:p w14:paraId="5D739AB8" w14:textId="77777777" w:rsidR="001A7BF9" w:rsidRDefault="00454D64" w:rsidP="005A2B26">
      <w:r>
        <w:t>For a small open economy, such as Australia, its living standards (per capita income) are determined by the level of its terms of trade</w:t>
      </w:r>
      <w:r w:rsidR="004B425F">
        <w:t xml:space="preserve">, </w:t>
      </w:r>
      <w:r>
        <w:t>labour productivity</w:t>
      </w:r>
      <w:r w:rsidR="0091152A">
        <w:t xml:space="preserve">, </w:t>
      </w:r>
      <w:r w:rsidR="004B425F">
        <w:t>labour force participation</w:t>
      </w:r>
      <w:r w:rsidR="0091152A">
        <w:t xml:space="preserve"> and population</w:t>
      </w:r>
      <w:r>
        <w:t xml:space="preserve">. </w:t>
      </w:r>
      <w:r w:rsidR="002D272B">
        <w:t>Australia’s te</w:t>
      </w:r>
      <w:r w:rsidR="0091152A">
        <w:t xml:space="preserve">rms of trade, </w:t>
      </w:r>
      <w:r w:rsidR="004B425F">
        <w:t xml:space="preserve">labour force participation </w:t>
      </w:r>
      <w:r w:rsidR="0091152A">
        <w:t xml:space="preserve">and population growth </w:t>
      </w:r>
      <w:r w:rsidR="002D272B">
        <w:t>are expected to be flat or decli</w:t>
      </w:r>
      <w:r>
        <w:t>ning in the foreseeable future</w:t>
      </w:r>
      <w:r w:rsidR="00C05D28">
        <w:t xml:space="preserve"> </w:t>
      </w:r>
      <w:r>
        <w:t>which implies any</w:t>
      </w:r>
      <w:r w:rsidR="002D272B">
        <w:t xml:space="preserve"> improve</w:t>
      </w:r>
      <w:r>
        <w:t>ment in</w:t>
      </w:r>
      <w:r w:rsidR="002D272B">
        <w:t xml:space="preserve"> Australia’s living standards </w:t>
      </w:r>
      <w:r w:rsidR="00C05D28">
        <w:t>must be driven by a higher level of labour</w:t>
      </w:r>
      <w:r w:rsidR="002D272B">
        <w:t xml:space="preserve"> productivity. </w:t>
      </w:r>
    </w:p>
    <w:p w14:paraId="37037CF4" w14:textId="77777777" w:rsidR="001A7BF9" w:rsidRDefault="00C05D28" w:rsidP="005A2B26">
      <w:r>
        <w:t xml:space="preserve">Historical data reveal </w:t>
      </w:r>
      <w:r w:rsidR="002D272B">
        <w:t xml:space="preserve">Australia’s </w:t>
      </w:r>
      <w:r>
        <w:t xml:space="preserve">labour </w:t>
      </w:r>
      <w:r w:rsidR="002D272B">
        <w:t xml:space="preserve">productivity growth has largely been driven by capital deepening. </w:t>
      </w:r>
      <w:r w:rsidR="0056486C">
        <w:t>While a company tax will encourage domestic and foreign investment, t</w:t>
      </w:r>
      <w:r>
        <w:t xml:space="preserve">he most efficient way of deepening the capital stock for a small open economy is </w:t>
      </w:r>
      <w:r w:rsidR="00E514CA">
        <w:t>to</w:t>
      </w:r>
      <w:r>
        <w:t xml:space="preserve"> e</w:t>
      </w:r>
      <w:r w:rsidR="002D272B">
        <w:t>ncourag</w:t>
      </w:r>
      <w:r>
        <w:t>e</w:t>
      </w:r>
      <w:r w:rsidR="002D272B">
        <w:t xml:space="preserve"> </w:t>
      </w:r>
      <w:r w:rsidR="00E514CA">
        <w:t xml:space="preserve">increased </w:t>
      </w:r>
      <w:r w:rsidR="002D272B">
        <w:t xml:space="preserve">foreign investment. </w:t>
      </w:r>
      <w:r w:rsidR="0056486C">
        <w:t xml:space="preserve">Foreign investment is more efficient because domestic households do </w:t>
      </w:r>
      <w:r w:rsidR="00107294">
        <w:t xml:space="preserve">not </w:t>
      </w:r>
      <w:r w:rsidR="0056486C">
        <w:t xml:space="preserve">have to sacrifice current consumption to fund the investment. </w:t>
      </w:r>
      <w:r w:rsidR="002D272B">
        <w:t xml:space="preserve">A company </w:t>
      </w:r>
      <w:r>
        <w:t xml:space="preserve">income </w:t>
      </w:r>
      <w:r w:rsidR="002D272B">
        <w:t>tax cut can do that</w:t>
      </w:r>
      <w:r w:rsidR="004B425F">
        <w:t>, even after allowing for increases in other taxes or cutting government spending</w:t>
      </w:r>
      <w:r w:rsidR="002D272B">
        <w:t xml:space="preserve"> </w:t>
      </w:r>
      <w:r w:rsidR="004B425F">
        <w:t>to recover lost revenue</w:t>
      </w:r>
      <w:r w:rsidR="002D272B">
        <w:t>, by lowering the before tax cost of capital</w:t>
      </w:r>
      <w:r w:rsidR="0091152A">
        <w:t xml:space="preserve">. This </w:t>
      </w:r>
      <w:r w:rsidR="002D272B">
        <w:t xml:space="preserve">encourages investment, which in turn increases the capital stock and labour productivity. </w:t>
      </w:r>
    </w:p>
    <w:p w14:paraId="1BDD7D00" w14:textId="77777777" w:rsidR="00F012EA" w:rsidRDefault="00C05D28" w:rsidP="005A2B26">
      <w:r>
        <w:t xml:space="preserve">Under the dividend imputation system employed in Australia </w:t>
      </w:r>
      <w:r w:rsidR="00A731F8">
        <w:t xml:space="preserve">some of </w:t>
      </w:r>
      <w:r>
        <w:t xml:space="preserve">the benefits of a company income tax will </w:t>
      </w:r>
      <w:r w:rsidR="002D272B">
        <w:t>temporarily accrue to foreigners via higher after</w:t>
      </w:r>
      <w:r w:rsidR="007F20B9">
        <w:t>-</w:t>
      </w:r>
      <w:r w:rsidR="002D272B">
        <w:t>tax returns</w:t>
      </w:r>
      <w:r w:rsidR="007F20B9">
        <w:t>.</w:t>
      </w:r>
      <w:r w:rsidR="002D272B">
        <w:t xml:space="preserve"> </w:t>
      </w:r>
      <w:r w:rsidR="007F20B9">
        <w:t>T</w:t>
      </w:r>
      <w:r>
        <w:t xml:space="preserve">his windfall is </w:t>
      </w:r>
      <w:r w:rsidR="002D272B">
        <w:t>dissipated in the long term</w:t>
      </w:r>
      <w:r w:rsidR="0091152A">
        <w:t>,</w:t>
      </w:r>
      <w:r w:rsidR="002D272B">
        <w:t xml:space="preserve"> as </w:t>
      </w:r>
      <w:r>
        <w:t xml:space="preserve">increased </w:t>
      </w:r>
      <w:r w:rsidR="002D272B">
        <w:t xml:space="preserve">capital flows </w:t>
      </w:r>
      <w:r>
        <w:t>drive down the before tax rate of return</w:t>
      </w:r>
      <w:r w:rsidR="002D272B">
        <w:t xml:space="preserve">. </w:t>
      </w:r>
      <w:r w:rsidR="001A7BF9">
        <w:t>In other words, foreign investors do not gain in the long run because their after</w:t>
      </w:r>
      <w:r w:rsidR="00372A95">
        <w:t>-</w:t>
      </w:r>
      <w:r w:rsidR="001A7BF9">
        <w:t xml:space="preserve">tax rate of return </w:t>
      </w:r>
      <w:r w:rsidR="00372A95">
        <w:t>returns to the level before the company tax cut</w:t>
      </w:r>
      <w:r w:rsidR="001A7BF9">
        <w:t xml:space="preserve">. </w:t>
      </w:r>
      <w:r w:rsidR="00372A95">
        <w:t>Analysis presented here suggests t</w:t>
      </w:r>
      <w:r w:rsidR="002D272B">
        <w:t>he long</w:t>
      </w:r>
      <w:r w:rsidR="0091152A">
        <w:t>-</w:t>
      </w:r>
      <w:r w:rsidR="002D272B">
        <w:t xml:space="preserve">term benefits accrue to workers </w:t>
      </w:r>
      <w:r w:rsidR="00372A95">
        <w:t xml:space="preserve">and households </w:t>
      </w:r>
      <w:r w:rsidR="002D272B">
        <w:t>via permanently higher after tax wages and consumption.</w:t>
      </w:r>
    </w:p>
    <w:p w14:paraId="1B11331B" w14:textId="77777777" w:rsidR="002B39E9" w:rsidRDefault="008C4EC6" w:rsidP="005A2B26">
      <w:r>
        <w:t>T</w:t>
      </w:r>
      <w:r w:rsidR="00571980">
        <w:t xml:space="preserve">rade liberalisation </w:t>
      </w:r>
      <w:r w:rsidR="00690F77">
        <w:t xml:space="preserve">analysis </w:t>
      </w:r>
      <w:r w:rsidR="00571980">
        <w:t xml:space="preserve">provides a useful </w:t>
      </w:r>
      <w:r w:rsidR="00690F77">
        <w:t>insight into the</w:t>
      </w:r>
      <w:r w:rsidR="00571980">
        <w:t xml:space="preserve"> </w:t>
      </w:r>
      <w:r w:rsidR="00690F77">
        <w:t xml:space="preserve">analysis of the effects of </w:t>
      </w:r>
      <w:r w:rsidR="00571980">
        <w:t xml:space="preserve">a company tax cut </w:t>
      </w:r>
      <w:r>
        <w:t>for</w:t>
      </w:r>
      <w:r w:rsidR="00571980">
        <w:t xml:space="preserve"> </w:t>
      </w:r>
      <w:r w:rsidR="00DA557B">
        <w:t>small open economies</w:t>
      </w:r>
      <w:r w:rsidR="00571980">
        <w:t xml:space="preserve"> that have dividend imputation systems for residents. </w:t>
      </w:r>
      <w:r w:rsidR="004429D8">
        <w:t>Under imputation</w:t>
      </w:r>
      <w:r w:rsidR="00F905EF">
        <w:t>,</w:t>
      </w:r>
      <w:r w:rsidR="004429D8">
        <w:t xml:space="preserve"> domestic capital owners earn franking credits</w:t>
      </w:r>
      <w:r w:rsidR="00F905EF">
        <w:t>.</w:t>
      </w:r>
      <w:r w:rsidR="004B425F">
        <w:t xml:space="preserve"> </w:t>
      </w:r>
      <w:r w:rsidR="00F905EF">
        <w:t xml:space="preserve">This </w:t>
      </w:r>
      <w:r w:rsidR="004429D8">
        <w:t xml:space="preserve">means their capital income is taxed under the personal income tax system. </w:t>
      </w:r>
      <w:r w:rsidR="0091152A">
        <w:t xml:space="preserve">Foreign investors are taxed under the company tax. </w:t>
      </w:r>
      <w:r w:rsidR="004429D8">
        <w:t xml:space="preserve">The company tax </w:t>
      </w:r>
      <w:r>
        <w:t xml:space="preserve">can </w:t>
      </w:r>
      <w:r w:rsidR="004429D8">
        <w:t xml:space="preserve">then </w:t>
      </w:r>
      <w:r>
        <w:t xml:space="preserve">be </w:t>
      </w:r>
      <w:r w:rsidR="004429D8">
        <w:t xml:space="preserve">thought of as a tariff on foreign capital. </w:t>
      </w:r>
    </w:p>
    <w:p w14:paraId="7DE25EEF" w14:textId="77777777" w:rsidR="00E514CA" w:rsidRDefault="004429D8" w:rsidP="005A2B26">
      <w:r>
        <w:t>It is well known in the goods and services trade liberalisation literature (</w:t>
      </w:r>
      <w:r w:rsidR="008C4EC6">
        <w:t>specifically</w:t>
      </w:r>
      <w:r>
        <w:t>, the optimal tariff literature) that a small open economy fac</w:t>
      </w:r>
      <w:r w:rsidR="008C4EC6">
        <w:t>ing a</w:t>
      </w:r>
      <w:r w:rsidR="00DA557B">
        <w:t xml:space="preserve"> fixed terms of trade (that is,</w:t>
      </w:r>
      <w:r>
        <w:t xml:space="preserve"> </w:t>
      </w:r>
      <w:r w:rsidR="004B425F">
        <w:t>an economy that cannot influence the price of its exports or imports</w:t>
      </w:r>
      <w:r w:rsidR="00DA557B">
        <w:t>)</w:t>
      </w:r>
      <w:r>
        <w:t xml:space="preserve"> is better off under unilateral </w:t>
      </w:r>
      <w:r w:rsidR="008C4EC6">
        <w:t xml:space="preserve">trade </w:t>
      </w:r>
      <w:r>
        <w:t xml:space="preserve">liberalisation. </w:t>
      </w:r>
      <w:r w:rsidR="006E5C98">
        <w:t>Th</w:t>
      </w:r>
      <w:r w:rsidR="009269CB">
        <w:t>e results presented here suggest this result extends to a tariff on foreign capital</w:t>
      </w:r>
      <w:r w:rsidR="00DA557B">
        <w:t xml:space="preserve"> for small open economies facing fixed terms of trade in the capital market</w:t>
      </w:r>
      <w:r w:rsidR="009269CB">
        <w:t>. In a similar way to tariff</w:t>
      </w:r>
      <w:r w:rsidR="00F905EF">
        <w:t>s</w:t>
      </w:r>
      <w:r w:rsidR="009269CB">
        <w:t xml:space="preserve"> on goods</w:t>
      </w:r>
      <w:r w:rsidR="00F905EF">
        <w:t>,</w:t>
      </w:r>
      <w:r w:rsidR="009269CB">
        <w:t xml:space="preserve"> which raise the </w:t>
      </w:r>
      <w:r w:rsidR="00892988">
        <w:t>price</w:t>
      </w:r>
      <w:r w:rsidR="009269CB">
        <w:t xml:space="preserve"> of imported </w:t>
      </w:r>
      <w:r w:rsidR="00892988">
        <w:t>and</w:t>
      </w:r>
      <w:r w:rsidR="009269CB">
        <w:t xml:space="preserve"> domestically produced goods</w:t>
      </w:r>
      <w:r w:rsidR="006E5C98">
        <w:t xml:space="preserve"> </w:t>
      </w:r>
      <w:r w:rsidR="00F905EF">
        <w:t xml:space="preserve">and </w:t>
      </w:r>
      <w:r w:rsidR="006E5C98">
        <w:t>reduce consumption</w:t>
      </w:r>
      <w:r w:rsidR="009269CB">
        <w:t xml:space="preserve">, a higher company tax raises the </w:t>
      </w:r>
      <w:r w:rsidR="00892988">
        <w:t xml:space="preserve">before-tax </w:t>
      </w:r>
      <w:r w:rsidR="009269CB">
        <w:t>rate of return required by foreign investors</w:t>
      </w:r>
      <w:r w:rsidR="0059091F">
        <w:t>,</w:t>
      </w:r>
      <w:r w:rsidR="009269CB">
        <w:t xml:space="preserve"> </w:t>
      </w:r>
      <w:r w:rsidR="00892988">
        <w:t xml:space="preserve">which reduces investment. </w:t>
      </w:r>
      <w:r w:rsidR="00ED7616">
        <w:t>Lower</w:t>
      </w:r>
      <w:r w:rsidR="00372A95">
        <w:t xml:space="preserve"> investment means a smaller capital stock</w:t>
      </w:r>
      <w:r w:rsidR="00DA557B">
        <w:t xml:space="preserve"> </w:t>
      </w:r>
      <w:r w:rsidR="00372A95">
        <w:t>which in turn drives</w:t>
      </w:r>
      <w:r w:rsidR="0059091F">
        <w:t xml:space="preserve"> </w:t>
      </w:r>
      <w:r w:rsidR="00372A95">
        <w:t>lower labour productivity</w:t>
      </w:r>
      <w:r w:rsidR="0059091F">
        <w:t>,</w:t>
      </w:r>
      <w:r w:rsidR="00372A95">
        <w:t xml:space="preserve"> lower real wage</w:t>
      </w:r>
      <w:r w:rsidR="0059091F">
        <w:t>s</w:t>
      </w:r>
      <w:r w:rsidR="00372A95">
        <w:t xml:space="preserve"> for workers and lower consumption. The agents that benefit from the tariff</w:t>
      </w:r>
      <w:r w:rsidR="001A7BF9">
        <w:t xml:space="preserve"> </w:t>
      </w:r>
      <w:r w:rsidR="00372A95">
        <w:t xml:space="preserve">are typically those in the import competing industry. In a similar vein, under </w:t>
      </w:r>
      <w:r w:rsidR="00ED7616">
        <w:t xml:space="preserve">dividend </w:t>
      </w:r>
      <w:r w:rsidR="00372A95">
        <w:t>imputation a</w:t>
      </w:r>
      <w:r w:rsidR="00892988">
        <w:t xml:space="preserve"> higher required before</w:t>
      </w:r>
      <w:r w:rsidR="00A700EC">
        <w:noBreakHyphen/>
      </w:r>
      <w:r w:rsidR="00892988">
        <w:t xml:space="preserve">tax rate of return </w:t>
      </w:r>
      <w:r w:rsidR="00372A95">
        <w:t xml:space="preserve">for foreigners </w:t>
      </w:r>
      <w:r w:rsidR="00892988">
        <w:t xml:space="preserve">means </w:t>
      </w:r>
      <w:r w:rsidR="009269CB">
        <w:t xml:space="preserve">domestic </w:t>
      </w:r>
      <w:r w:rsidR="00583C60">
        <w:t xml:space="preserve">variable </w:t>
      </w:r>
      <w:r w:rsidR="009269CB">
        <w:t xml:space="preserve">capital </w:t>
      </w:r>
      <w:r w:rsidR="00583C60">
        <w:t xml:space="preserve">(that is, equipment and structures) </w:t>
      </w:r>
      <w:r w:rsidR="009269CB">
        <w:t xml:space="preserve">owners </w:t>
      </w:r>
      <w:r w:rsidR="006E5C98">
        <w:t xml:space="preserve">enjoy a higher </w:t>
      </w:r>
      <w:r w:rsidR="00892988">
        <w:t xml:space="preserve">after-tax </w:t>
      </w:r>
      <w:r w:rsidR="006E5C98">
        <w:t>rate of return</w:t>
      </w:r>
      <w:r w:rsidR="001A7BF9">
        <w:t>.</w:t>
      </w:r>
      <w:r w:rsidR="00892988">
        <w:t xml:space="preserve"> </w:t>
      </w:r>
    </w:p>
    <w:p w14:paraId="3E422902" w14:textId="77777777" w:rsidR="00446698" w:rsidRDefault="00446698">
      <w:r>
        <w:br w:type="page"/>
      </w:r>
    </w:p>
    <w:p w14:paraId="7060E5A4" w14:textId="34A8794C" w:rsidR="00110D40" w:rsidRPr="002E6C9E" w:rsidRDefault="00110D40" w:rsidP="00110D40">
      <w:pPr>
        <w:rPr>
          <w:highlight w:val="yellow"/>
        </w:rPr>
      </w:pPr>
      <w:r w:rsidRPr="003274DD">
        <w:lastRenderedPageBreak/>
        <w:t xml:space="preserve">There are many approaches used in the published tax literature to estimate the </w:t>
      </w:r>
      <w:r w:rsidR="003274DD" w:rsidRPr="003274DD">
        <w:t>activity and welfare effects of tax changes</w:t>
      </w:r>
      <w:r w:rsidRPr="003274DD">
        <w:t>. Three broad approaches include: partial equilibrium analysis of one factor or goods market; micro simulation analysis; and general equilibrium analysis. The general equilibrium analysis approach can be further categorised into static or dynamic analysis, with either a representative household or heterogeneous households. Each of these modelling approaches has strengths and weaknesses. For example, micro simulation analysis is typically well</w:t>
      </w:r>
      <w:r w:rsidR="00717274">
        <w:t>-</w:t>
      </w:r>
      <w:r w:rsidRPr="003274DD">
        <w:t>suited to studying the distributional effects of taxation on heterogeneous households, but provides limited information on the effects of taxation on aggregate levels of economic activity because the models typically do not account for second round effects on other markets.</w:t>
      </w:r>
    </w:p>
    <w:p w14:paraId="5056B74B" w14:textId="77777777" w:rsidR="008A45B6" w:rsidRDefault="00110D40" w:rsidP="00110D40">
      <w:pPr>
        <w:rPr>
          <w:color w:val="auto"/>
        </w:rPr>
      </w:pPr>
      <w:r w:rsidRPr="007A1FBB">
        <w:t xml:space="preserve">This paper </w:t>
      </w:r>
      <w:r w:rsidR="003274DD" w:rsidRPr="007A1FBB">
        <w:t>analys</w:t>
      </w:r>
      <w:r w:rsidR="00C37BE4" w:rsidRPr="007A1FBB">
        <w:t>es</w:t>
      </w:r>
      <w:r w:rsidR="003274DD" w:rsidRPr="007A1FBB">
        <w:t xml:space="preserve"> the long term effects of a company income tax cut</w:t>
      </w:r>
      <w:r w:rsidRPr="007A1FBB">
        <w:t xml:space="preserve"> using a static representative household general equilibrium model</w:t>
      </w:r>
      <w:r w:rsidR="003274DD" w:rsidRPr="007A1FBB">
        <w:t xml:space="preserve"> under </w:t>
      </w:r>
      <w:r w:rsidR="00C37BE4" w:rsidRPr="007A1FBB">
        <w:rPr>
          <w:color w:val="auto"/>
        </w:rPr>
        <w:t xml:space="preserve">three funding assumptions: </w:t>
      </w:r>
      <w:r w:rsidR="007A1FBB" w:rsidRPr="007A1FBB">
        <w:rPr>
          <w:color w:val="auto"/>
        </w:rPr>
        <w:t>an increase in</w:t>
      </w:r>
      <w:r w:rsidR="00C37BE4" w:rsidRPr="007A1FBB">
        <w:rPr>
          <w:color w:val="auto"/>
        </w:rPr>
        <w:t xml:space="preserve"> lump-sum tax</w:t>
      </w:r>
      <w:r w:rsidR="007A1FBB" w:rsidRPr="007A1FBB">
        <w:rPr>
          <w:color w:val="auto"/>
        </w:rPr>
        <w:t>es;</w:t>
      </w:r>
      <w:r w:rsidR="00C37BE4" w:rsidRPr="007A1FBB">
        <w:rPr>
          <w:color w:val="auto"/>
        </w:rPr>
        <w:t xml:space="preserve"> an increase in the average personal income tax rate</w:t>
      </w:r>
      <w:r w:rsidR="007A1FBB" w:rsidRPr="007A1FBB">
        <w:rPr>
          <w:color w:val="auto"/>
        </w:rPr>
        <w:t>;</w:t>
      </w:r>
      <w:r w:rsidR="00C37BE4" w:rsidRPr="007A1FBB">
        <w:rPr>
          <w:color w:val="auto"/>
        </w:rPr>
        <w:t xml:space="preserve"> and a cut in real government </w:t>
      </w:r>
      <w:r w:rsidR="00113332">
        <w:rPr>
          <w:color w:val="auto"/>
        </w:rPr>
        <w:t>spending on goods and services</w:t>
      </w:r>
      <w:r w:rsidR="008A45B6" w:rsidRPr="00113332">
        <w:rPr>
          <w:color w:val="auto"/>
        </w:rPr>
        <w:t>. There are no scenarios involving cash transfers because a representative agent model cannot capture the detailed interactions of the tax and transfer that are important for welfare analysis. For the first two scenarios real government spending is held constant, while cash transfers are held constant in all three scenarios.</w:t>
      </w:r>
    </w:p>
    <w:p w14:paraId="29C295AF" w14:textId="77777777" w:rsidR="00A731F8" w:rsidRDefault="008A45B6" w:rsidP="00110D40">
      <w:pPr>
        <w:rPr>
          <w:color w:val="auto"/>
        </w:rPr>
      </w:pPr>
      <w:r w:rsidRPr="004B791A">
        <w:rPr>
          <w:color w:val="auto"/>
        </w:rPr>
        <w:t xml:space="preserve">The goal of this paper is to provide a clear exposition of the likely activity and welfare effects of simple company tax cut scenarios. The tax package announced in the 2016-17 Budget has more </w:t>
      </w:r>
      <w:r w:rsidR="00E83800" w:rsidRPr="004B791A">
        <w:rPr>
          <w:color w:val="auto"/>
        </w:rPr>
        <w:t xml:space="preserve">detailed </w:t>
      </w:r>
      <w:r w:rsidRPr="004B791A">
        <w:rPr>
          <w:color w:val="auto"/>
        </w:rPr>
        <w:t xml:space="preserve">funding </w:t>
      </w:r>
      <w:r w:rsidR="00E83800" w:rsidRPr="004B791A">
        <w:rPr>
          <w:color w:val="auto"/>
        </w:rPr>
        <w:t>components</w:t>
      </w:r>
      <w:r w:rsidRPr="004B791A">
        <w:rPr>
          <w:color w:val="auto"/>
        </w:rPr>
        <w:t xml:space="preserve"> than analysed here so this paper does not provide specific estimates of the economic gains of that proposal.</w:t>
      </w:r>
    </w:p>
    <w:p w14:paraId="28F52175" w14:textId="77777777" w:rsidR="00110D40" w:rsidRPr="002E6C9E" w:rsidRDefault="00110D40" w:rsidP="00110D40">
      <w:pPr>
        <w:rPr>
          <w:highlight w:val="yellow"/>
        </w:rPr>
      </w:pPr>
      <w:r w:rsidRPr="00C37BE4">
        <w:t>The model used in this paper reflects Treasury’s current general equilibrium modell</w:t>
      </w:r>
      <w:r w:rsidR="00C37BE4" w:rsidRPr="00C37BE4">
        <w:t xml:space="preserve">ing capacity for tax analysis. </w:t>
      </w:r>
      <w:r w:rsidR="0091152A">
        <w:t xml:space="preserve">Unlike partial equilibrium analysis, this widely used approach </w:t>
      </w:r>
      <w:r w:rsidRPr="00C37BE4">
        <w:t xml:space="preserve">examines interactions between different taxes and captures the second round effects of taxes throughout the economy. Moreover, this approach analyses the economic effects of different </w:t>
      </w:r>
      <w:r w:rsidR="00C37BE4" w:rsidRPr="00C37BE4">
        <w:t xml:space="preserve">funding sources </w:t>
      </w:r>
      <w:r w:rsidRPr="00C37BE4">
        <w:t xml:space="preserve">within a consistent framework which, at the very least, enables a comparison of the relative efficiency of different </w:t>
      </w:r>
      <w:r w:rsidR="00C37BE4" w:rsidRPr="00C37BE4">
        <w:t>funding mechanisms</w:t>
      </w:r>
      <w:r w:rsidRPr="00C37BE4">
        <w:t xml:space="preserve"> in broad terms.</w:t>
      </w:r>
    </w:p>
    <w:p w14:paraId="5F1158E6" w14:textId="2361C318" w:rsidR="00110D40" w:rsidRPr="002E6C9E" w:rsidRDefault="00110D40" w:rsidP="00110D40">
      <w:pPr>
        <w:rPr>
          <w:highlight w:val="yellow"/>
        </w:rPr>
      </w:pPr>
      <w:r w:rsidRPr="00C37BE4">
        <w:t>Nevertheless, representative household general equilibrium models are necessarily a simplification of the economy that cannot account for all of the diverse effects of taxation on the Australian economy and society more generally. For example, a significant limitation with the model used in this paper (as</w:t>
      </w:r>
      <w:r w:rsidR="00446698">
        <w:t> </w:t>
      </w:r>
      <w:r w:rsidRPr="00C37BE4">
        <w:t>well as previous Australian studies that compared the efficiency of different taxes) is that it includes a single representative household. This means that the impact of the progressive individuals’ income tax scales (or targeted transfer payments) cannot be examined in this model.</w:t>
      </w:r>
    </w:p>
    <w:p w14:paraId="378C4FC3" w14:textId="77777777" w:rsidR="00110D40" w:rsidRPr="002E6C9E" w:rsidRDefault="00110D40" w:rsidP="00110D40">
      <w:pPr>
        <w:rPr>
          <w:highlight w:val="yellow"/>
        </w:rPr>
      </w:pPr>
      <w:r w:rsidRPr="00C37BE4">
        <w:t xml:space="preserve">Another limitation of the model is that it ignores dynamics, that is, the transition paths from the immediate point of change to the tax system to the </w:t>
      </w:r>
      <w:r w:rsidR="00757982">
        <w:t xml:space="preserve">new </w:t>
      </w:r>
      <w:r w:rsidRPr="00C37BE4">
        <w:t>long</w:t>
      </w:r>
      <w:r w:rsidR="00757982">
        <w:t>-</w:t>
      </w:r>
      <w:r w:rsidRPr="00C37BE4">
        <w:t>run equilibrium.</w:t>
      </w:r>
      <w:r w:rsidR="00C37BE4">
        <w:t xml:space="preserve"> </w:t>
      </w:r>
      <w:r w:rsidR="00757982" w:rsidRPr="0067640D">
        <w:t>T</w:t>
      </w:r>
      <w:r w:rsidR="00C37BE4" w:rsidRPr="0067640D">
        <w:t>he extent to which</w:t>
      </w:r>
      <w:r w:rsidR="00C37BE4">
        <w:t xml:space="preserve"> </w:t>
      </w:r>
      <w:r w:rsidR="00757982">
        <w:t>r</w:t>
      </w:r>
      <w:r w:rsidRPr="00C37BE4">
        <w:t xml:space="preserve">esults </w:t>
      </w:r>
      <w:r w:rsidR="00757982">
        <w:t>presented here</w:t>
      </w:r>
      <w:r w:rsidRPr="00C37BE4">
        <w:t xml:space="preserve"> overstate</w:t>
      </w:r>
      <w:r w:rsidR="00757982">
        <w:t xml:space="preserve"> or understate</w:t>
      </w:r>
      <w:r w:rsidRPr="00C37BE4">
        <w:t xml:space="preserve"> the welfare </w:t>
      </w:r>
      <w:r w:rsidR="00C37BE4">
        <w:t>gain</w:t>
      </w:r>
      <w:r w:rsidRPr="00C37BE4">
        <w:t xml:space="preserve"> of tax </w:t>
      </w:r>
      <w:r w:rsidR="00C37BE4">
        <w:t>cuts</w:t>
      </w:r>
      <w:r w:rsidRPr="00C37BE4">
        <w:t xml:space="preserve"> </w:t>
      </w:r>
      <w:r w:rsidR="00757982">
        <w:t>will depend on</w:t>
      </w:r>
      <w:r w:rsidR="00A1293F">
        <w:t>:</w:t>
      </w:r>
      <w:r w:rsidR="00757982">
        <w:t xml:space="preserve"> the </w:t>
      </w:r>
      <w:r w:rsidR="0067640D">
        <w:t>phasing</w:t>
      </w:r>
      <w:r w:rsidR="00757982">
        <w:t xml:space="preserve"> of the tax cuts</w:t>
      </w:r>
      <w:r w:rsidR="00A1293F">
        <w:t>;</w:t>
      </w:r>
      <w:r w:rsidR="00757982">
        <w:t xml:space="preserve"> the extent to which there is an increase in activity in the short run</w:t>
      </w:r>
      <w:r w:rsidR="00A1293F">
        <w:t xml:space="preserve">; and the size of </w:t>
      </w:r>
      <w:r w:rsidRPr="00C37BE4">
        <w:t>resource and adjustment costs incur</w:t>
      </w:r>
      <w:r w:rsidR="00C37BE4">
        <w:t xml:space="preserve">red along the transition path. This concern is mitigated to a large degree by adopting conservative assumptions which </w:t>
      </w:r>
      <w:r w:rsidR="00A1293F">
        <w:t>likely</w:t>
      </w:r>
      <w:r w:rsidR="00C37BE4">
        <w:t xml:space="preserve"> overstate the required return to foreign investors.</w:t>
      </w:r>
    </w:p>
    <w:p w14:paraId="69824C17" w14:textId="77777777" w:rsidR="00446698" w:rsidRDefault="00446698">
      <w:r>
        <w:br w:type="page"/>
      </w:r>
    </w:p>
    <w:p w14:paraId="1CDCCE5F" w14:textId="15B8B19B" w:rsidR="00110D40" w:rsidRDefault="00110D40" w:rsidP="00110D40">
      <w:r w:rsidRPr="001A7BF9">
        <w:lastRenderedPageBreak/>
        <w:t>The remainder of the paper is organised as follows. Section 2 describes the methodology used to analyse the company tax cut, which includes: a summary of the economy wide model; a summary of the model calibration; and a brief discussion of how taxes have been captured in the model. Sections 3</w:t>
      </w:r>
      <w:r w:rsidR="00605AC9" w:rsidRPr="001A7BF9">
        <w:t>, 4</w:t>
      </w:r>
      <w:r w:rsidRPr="001A7BF9">
        <w:t xml:space="preserve"> and </w:t>
      </w:r>
      <w:r w:rsidR="00605AC9" w:rsidRPr="001A7BF9">
        <w:t>5</w:t>
      </w:r>
      <w:r w:rsidRPr="001A7BF9">
        <w:t xml:space="preserve"> </w:t>
      </w:r>
      <w:r w:rsidR="00241702" w:rsidRPr="001A7BF9">
        <w:t>respectively</w:t>
      </w:r>
      <w:r w:rsidRPr="001A7BF9">
        <w:t xml:space="preserve"> analyse the </w:t>
      </w:r>
      <w:r w:rsidR="00241702" w:rsidRPr="001A7BF9">
        <w:t xml:space="preserve">effects of a </w:t>
      </w:r>
      <w:r w:rsidRPr="001A7BF9">
        <w:t>company tax cut financed by a hypothe</w:t>
      </w:r>
      <w:r w:rsidR="00605AC9" w:rsidRPr="001A7BF9">
        <w:t xml:space="preserve">tical lump-sum tax, </w:t>
      </w:r>
      <w:r w:rsidRPr="001A7BF9">
        <w:t xml:space="preserve">a </w:t>
      </w:r>
      <w:r w:rsidR="00605AC9" w:rsidRPr="001A7BF9">
        <w:t xml:space="preserve">higher average </w:t>
      </w:r>
      <w:r w:rsidRPr="001A7BF9">
        <w:t>personal income tax</w:t>
      </w:r>
      <w:r w:rsidR="00605AC9" w:rsidRPr="001A7BF9">
        <w:t xml:space="preserve"> rate and a cut in government spending</w:t>
      </w:r>
      <w:r w:rsidRPr="001A7BF9">
        <w:t xml:space="preserve">. Section </w:t>
      </w:r>
      <w:r w:rsidR="00605AC9" w:rsidRPr="001A7BF9">
        <w:t>6</w:t>
      </w:r>
      <w:r w:rsidRPr="001A7BF9">
        <w:t xml:space="preserve"> summarises the key results and limitations of the analysis</w:t>
      </w:r>
      <w:r w:rsidR="00C37BE4" w:rsidRPr="001A7BF9">
        <w:t>.</w:t>
      </w:r>
    </w:p>
    <w:p w14:paraId="5DE5E6E1" w14:textId="77777777" w:rsidR="00F012EA" w:rsidRDefault="00FD1094" w:rsidP="00A57848">
      <w:pPr>
        <w:pStyle w:val="Heading2"/>
      </w:pPr>
      <w:r>
        <w:t>Methodology</w:t>
      </w:r>
    </w:p>
    <w:p w14:paraId="57D733CF" w14:textId="77777777" w:rsidR="005A2B26" w:rsidRPr="005A2B26" w:rsidRDefault="005A2B26" w:rsidP="005A2B26">
      <w:pPr>
        <w:rPr>
          <w:color w:val="auto"/>
        </w:rPr>
      </w:pPr>
      <w:r w:rsidRPr="005A2B26">
        <w:rPr>
          <w:color w:val="auto"/>
          <w:lang w:eastAsia="en-AU"/>
        </w:rPr>
        <w:t xml:space="preserve">There are many approaches used in the published tax literature to estimate the </w:t>
      </w:r>
      <w:r w:rsidR="00110D40">
        <w:rPr>
          <w:color w:val="auto"/>
          <w:lang w:eastAsia="en-AU"/>
        </w:rPr>
        <w:t>effect</w:t>
      </w:r>
      <w:r w:rsidR="0033084D">
        <w:rPr>
          <w:color w:val="auto"/>
          <w:lang w:eastAsia="en-AU"/>
        </w:rPr>
        <w:t>s</w:t>
      </w:r>
      <w:r w:rsidR="00110D40">
        <w:rPr>
          <w:color w:val="auto"/>
          <w:lang w:eastAsia="en-AU"/>
        </w:rPr>
        <w:t xml:space="preserve"> of a tax change on economic activity</w:t>
      </w:r>
      <w:r w:rsidRPr="005A2B26">
        <w:rPr>
          <w:color w:val="auto"/>
        </w:rPr>
        <w:t xml:space="preserve">. This paper examines the </w:t>
      </w:r>
      <w:r w:rsidR="00110D40">
        <w:rPr>
          <w:color w:val="auto"/>
        </w:rPr>
        <w:t>effect of a company tax cut</w:t>
      </w:r>
      <w:r w:rsidRPr="005A2B26">
        <w:rPr>
          <w:color w:val="auto"/>
        </w:rPr>
        <w:t xml:space="preserve"> using a static representative household computable general equilibrium (CGE) model. The main advantage of a CGE model over a partial equilibrium model is its ability to capture some of the main second round effects of taxes on households, firms and investors.</w:t>
      </w:r>
      <w:r w:rsidR="00770380">
        <w:rPr>
          <w:color w:val="auto"/>
        </w:rPr>
        <w:t xml:space="preserve"> </w:t>
      </w:r>
      <w:r w:rsidRPr="005A2B26">
        <w:rPr>
          <w:color w:val="auto"/>
        </w:rPr>
        <w:t xml:space="preserve">Another advantage of a CGE model is that it can capture interactions between different taxes. </w:t>
      </w:r>
      <w:r w:rsidR="00835098">
        <w:rPr>
          <w:color w:val="auto"/>
        </w:rPr>
        <w:t>This paper analyse</w:t>
      </w:r>
      <w:r w:rsidR="0059091F">
        <w:rPr>
          <w:color w:val="auto"/>
        </w:rPr>
        <w:t>s</w:t>
      </w:r>
      <w:r w:rsidR="00835098">
        <w:rPr>
          <w:color w:val="auto"/>
        </w:rPr>
        <w:t xml:space="preserve"> </w:t>
      </w:r>
      <w:r w:rsidRPr="005A2B26">
        <w:rPr>
          <w:color w:val="auto"/>
        </w:rPr>
        <w:t>the economy</w:t>
      </w:r>
      <w:r w:rsidRPr="005A2B26">
        <w:rPr>
          <w:color w:val="auto"/>
        </w:rPr>
        <w:noBreakHyphen/>
        <w:t xml:space="preserve">wide effects of a </w:t>
      </w:r>
      <w:r w:rsidR="00110D40">
        <w:rPr>
          <w:color w:val="auto"/>
        </w:rPr>
        <w:t>company tax cut</w:t>
      </w:r>
      <w:r w:rsidRPr="005A2B26">
        <w:rPr>
          <w:color w:val="auto"/>
        </w:rPr>
        <w:t xml:space="preserve"> on expenditure</w:t>
      </w:r>
      <w:r w:rsidR="00770380">
        <w:rPr>
          <w:color w:val="auto"/>
        </w:rPr>
        <w:t>, income</w:t>
      </w:r>
      <w:r w:rsidRPr="005A2B26">
        <w:rPr>
          <w:color w:val="auto"/>
        </w:rPr>
        <w:t xml:space="preserve"> and welfare. The results from this CGE modelling</w:t>
      </w:r>
      <w:r w:rsidR="0059091F">
        <w:rPr>
          <w:color w:val="auto"/>
        </w:rPr>
        <w:t xml:space="preserve"> exercise</w:t>
      </w:r>
      <w:r w:rsidRPr="005A2B26">
        <w:rPr>
          <w:color w:val="auto"/>
        </w:rPr>
        <w:t xml:space="preserve"> are used to illustrate how different agents in the economy are affected by a </w:t>
      </w:r>
      <w:r w:rsidR="00110D40">
        <w:rPr>
          <w:color w:val="auto"/>
        </w:rPr>
        <w:t>company tax cut</w:t>
      </w:r>
      <w:r w:rsidRPr="005A2B26">
        <w:rPr>
          <w:color w:val="auto"/>
        </w:rPr>
        <w:t xml:space="preserve"> in the long</w:t>
      </w:r>
      <w:r w:rsidR="00110D40">
        <w:rPr>
          <w:color w:val="auto"/>
        </w:rPr>
        <w:t xml:space="preserve"> </w:t>
      </w:r>
      <w:r w:rsidRPr="005A2B26">
        <w:rPr>
          <w:color w:val="auto"/>
        </w:rPr>
        <w:t xml:space="preserve">run and the ultimate </w:t>
      </w:r>
      <w:r w:rsidR="00110D40">
        <w:rPr>
          <w:color w:val="auto"/>
        </w:rPr>
        <w:t>gain</w:t>
      </w:r>
      <w:r w:rsidRPr="005A2B26">
        <w:rPr>
          <w:color w:val="auto"/>
        </w:rPr>
        <w:t xml:space="preserve"> to Australian households, summarised </w:t>
      </w:r>
      <w:r w:rsidR="0059091F">
        <w:rPr>
          <w:color w:val="auto"/>
        </w:rPr>
        <w:t>by</w:t>
      </w:r>
      <w:r w:rsidRPr="005A2B26">
        <w:rPr>
          <w:color w:val="auto"/>
        </w:rPr>
        <w:t xml:space="preserve"> estimates of </w:t>
      </w:r>
      <w:r w:rsidR="00110D40">
        <w:rPr>
          <w:color w:val="auto"/>
        </w:rPr>
        <w:t xml:space="preserve">the </w:t>
      </w:r>
      <w:r w:rsidR="0088632B">
        <w:rPr>
          <w:color w:val="auto"/>
        </w:rPr>
        <w:t>welfare gain</w:t>
      </w:r>
      <w:r w:rsidRPr="005A2B26">
        <w:rPr>
          <w:color w:val="auto"/>
        </w:rPr>
        <w:t>.</w:t>
      </w:r>
    </w:p>
    <w:p w14:paraId="75EB5F84" w14:textId="77777777" w:rsidR="005A2B26" w:rsidRPr="005A2B26" w:rsidRDefault="005A2B26" w:rsidP="005D4BBD">
      <w:pPr>
        <w:pStyle w:val="Heading3"/>
      </w:pPr>
      <w:r w:rsidRPr="005A2B26">
        <w:t>Structure of the economy</w:t>
      </w:r>
      <w:r w:rsidRPr="005A2B26">
        <w:noBreakHyphen/>
        <w:t>wide model and key assumptions</w:t>
      </w:r>
      <w:r w:rsidR="00575C39" w:rsidRPr="00575C39">
        <w:rPr>
          <w:vertAlign w:val="superscript"/>
        </w:rPr>
        <w:footnoteReference w:id="3"/>
      </w:r>
    </w:p>
    <w:p w14:paraId="61BC4A8E" w14:textId="77777777" w:rsidR="005A2B26" w:rsidRPr="005A2B26" w:rsidRDefault="005A2B26" w:rsidP="005A2B26">
      <w:pPr>
        <w:rPr>
          <w:color w:val="auto"/>
        </w:rPr>
      </w:pPr>
      <w:r w:rsidRPr="005A2B26">
        <w:rPr>
          <w:color w:val="auto"/>
        </w:rPr>
        <w:t>The analysis reported here uses a revised version of the Independent Economics Computable General Equilibrium (IECGE) model, which is a static model of the Australian economy originally developed by Independent Economics. The version of the model used in this paper incorporates revisions to the original model by Treasury and Independent Economics in 2012 to capture more aspects of company income taxation.</w:t>
      </w:r>
      <w:r w:rsidRPr="005A2B26">
        <w:rPr>
          <w:color w:val="auto"/>
          <w:vertAlign w:val="superscript"/>
        </w:rPr>
        <w:footnoteReference w:id="4"/>
      </w:r>
      <w:r w:rsidRPr="005A2B26">
        <w:rPr>
          <w:color w:val="auto"/>
        </w:rPr>
        <w:t xml:space="preserve"> Details of that model and analysis are reported in Rimmer</w:t>
      </w:r>
      <w:r w:rsidR="004600B3">
        <w:rPr>
          <w:color w:val="auto"/>
        </w:rPr>
        <w:t> </w:t>
      </w:r>
      <w:r w:rsidRPr="005A2B26">
        <w:rPr>
          <w:color w:val="auto"/>
        </w:rPr>
        <w:t>et</w:t>
      </w:r>
      <w:r w:rsidR="004600B3">
        <w:rPr>
          <w:color w:val="auto"/>
        </w:rPr>
        <w:t> </w:t>
      </w:r>
      <w:r w:rsidRPr="005A2B26">
        <w:rPr>
          <w:color w:val="auto"/>
        </w:rPr>
        <w:t>al</w:t>
      </w:r>
      <w:r w:rsidR="004600B3">
        <w:rPr>
          <w:color w:val="auto"/>
        </w:rPr>
        <w:t>. </w:t>
      </w:r>
      <w:r w:rsidRPr="005A2B26">
        <w:rPr>
          <w:color w:val="auto"/>
        </w:rPr>
        <w:t>(2014). More recently, Treasury has made further revisions to this model. These revisions are described in the sections below on the economic agents, tax coverage and calibration of the model.</w:t>
      </w:r>
      <w:r w:rsidRPr="005A2B26">
        <w:rPr>
          <w:color w:val="auto"/>
          <w:vertAlign w:val="superscript"/>
        </w:rPr>
        <w:footnoteReference w:id="5"/>
      </w:r>
    </w:p>
    <w:p w14:paraId="0F851051" w14:textId="77777777" w:rsidR="005A2B26" w:rsidRPr="005A2B26" w:rsidRDefault="005A2B26" w:rsidP="005A2B26">
      <w:pPr>
        <w:rPr>
          <w:color w:val="auto"/>
        </w:rPr>
      </w:pPr>
      <w:r w:rsidRPr="005A2B26">
        <w:rPr>
          <w:color w:val="auto"/>
        </w:rPr>
        <w:t>There are four economic agents or decision makers represented in the model: a representative household; firms; government; and the foreign sector.</w:t>
      </w:r>
    </w:p>
    <w:p w14:paraId="7ECFA806" w14:textId="77777777" w:rsidR="005A2B26" w:rsidRPr="005A2B26" w:rsidRDefault="005A2B26" w:rsidP="005A2B26">
      <w:pPr>
        <w:pStyle w:val="Heading4"/>
      </w:pPr>
      <w:r w:rsidRPr="005A2B26">
        <w:lastRenderedPageBreak/>
        <w:t>Household</w:t>
      </w:r>
    </w:p>
    <w:p w14:paraId="7F6DDBA5" w14:textId="77777777" w:rsidR="005A2B26" w:rsidRPr="005A2B26" w:rsidRDefault="005A2B26" w:rsidP="005A2B26">
      <w:pPr>
        <w:rPr>
          <w:color w:val="auto"/>
        </w:rPr>
      </w:pPr>
      <w:r w:rsidRPr="005A2B26">
        <w:rPr>
          <w:color w:val="auto"/>
        </w:rPr>
        <w:t>For analytical tractability, Australian households are modelled via a single representative household which is calibrated to match the expenditure</w:t>
      </w:r>
      <w:r w:rsidR="0059091F">
        <w:rPr>
          <w:color w:val="auto"/>
        </w:rPr>
        <w:t>,</w:t>
      </w:r>
      <w:r w:rsidR="004B425F">
        <w:rPr>
          <w:color w:val="auto"/>
        </w:rPr>
        <w:t xml:space="preserve"> </w:t>
      </w:r>
      <w:r w:rsidRPr="005A2B26">
        <w:rPr>
          <w:color w:val="auto"/>
        </w:rPr>
        <w:t xml:space="preserve">income patterns, and taxes faced by aggregate Australian households. This approach does not capture heterogeneous household types. Importantly, this assumption limits the modelling of the personal (or individual) income tax to a stylised flat rate equal to the effective average tax rate and the average labour supply elasticity. Therefore, the model does not capture heterogeneous labour supply responses across different groups of taxpayers and the progressive tax rates scale on individuals’ income. This </w:t>
      </w:r>
      <w:r w:rsidR="0088632B">
        <w:rPr>
          <w:color w:val="auto"/>
        </w:rPr>
        <w:t>may</w:t>
      </w:r>
      <w:r w:rsidRPr="005A2B26">
        <w:rPr>
          <w:color w:val="auto"/>
        </w:rPr>
        <w:t xml:space="preserve"> underestimate the </w:t>
      </w:r>
      <w:r w:rsidR="0088632B">
        <w:rPr>
          <w:color w:val="auto"/>
        </w:rPr>
        <w:t>welfare cost</w:t>
      </w:r>
      <w:r w:rsidRPr="005A2B26">
        <w:rPr>
          <w:color w:val="auto"/>
        </w:rPr>
        <w:t xml:space="preserve"> of </w:t>
      </w:r>
      <w:r w:rsidR="0033084D">
        <w:rPr>
          <w:color w:val="auto"/>
        </w:rPr>
        <w:t xml:space="preserve">the </w:t>
      </w:r>
      <w:r w:rsidRPr="005A2B26">
        <w:rPr>
          <w:color w:val="auto"/>
        </w:rPr>
        <w:t>personal income tax.</w:t>
      </w:r>
    </w:p>
    <w:p w14:paraId="349057AE" w14:textId="3A0F8209" w:rsidR="005A2B26" w:rsidRPr="005A2B26" w:rsidRDefault="00DB62A0" w:rsidP="005A2B26">
      <w:pPr>
        <w:rPr>
          <w:color w:val="auto"/>
        </w:rPr>
      </w:pPr>
      <w:r w:rsidRPr="005A2B26">
        <w:rPr>
          <w:color w:val="auto"/>
        </w:rPr>
        <w:t xml:space="preserve">The representative household derives welfare (or utility) from leisure and consumption. </w:t>
      </w:r>
      <w:r>
        <w:rPr>
          <w:color w:val="auto"/>
        </w:rPr>
        <w:t xml:space="preserve">Household utility is </w:t>
      </w:r>
      <w:r w:rsidRPr="005A2B26">
        <w:rPr>
          <w:color w:val="auto"/>
        </w:rPr>
        <w:t>maximise</w:t>
      </w:r>
      <w:r>
        <w:rPr>
          <w:color w:val="auto"/>
        </w:rPr>
        <w:t>d</w:t>
      </w:r>
      <w:r w:rsidRPr="005A2B26">
        <w:rPr>
          <w:color w:val="auto"/>
        </w:rPr>
        <w:t xml:space="preserve"> subject to a budget constraint, which is a function of after</w:t>
      </w:r>
      <w:r w:rsidRPr="005A2B26">
        <w:rPr>
          <w:color w:val="auto"/>
        </w:rPr>
        <w:noBreakHyphen/>
        <w:t>tax labour and capital income; franking credits; and lump</w:t>
      </w:r>
      <w:r w:rsidRPr="005A2B26">
        <w:rPr>
          <w:color w:val="auto"/>
        </w:rPr>
        <w:noBreakHyphen/>
        <w:t>sum government transfers.</w:t>
      </w:r>
      <w:r>
        <w:rPr>
          <w:color w:val="auto"/>
        </w:rPr>
        <w:t xml:space="preserve"> </w:t>
      </w:r>
      <w:r w:rsidR="005A2B26" w:rsidRPr="005A2B26">
        <w:rPr>
          <w:color w:val="auto"/>
        </w:rPr>
        <w:t xml:space="preserve">They are assumed to </w:t>
      </w:r>
      <w:r w:rsidR="000D4771">
        <w:rPr>
          <w:color w:val="auto"/>
        </w:rPr>
        <w:t>face</w:t>
      </w:r>
      <w:r w:rsidR="000D4771" w:rsidRPr="005A2B26">
        <w:rPr>
          <w:color w:val="auto"/>
        </w:rPr>
        <w:t xml:space="preserve"> </w:t>
      </w:r>
      <w:r w:rsidR="005A2B26" w:rsidRPr="005A2B26">
        <w:rPr>
          <w:color w:val="auto"/>
        </w:rPr>
        <w:t>a constant elasticity of substitution (CES) utility function between leisure and a consumption bundle, with the consumption bundle comprising an aggregation of a variety of goods and services which is also based on a CES function, where each good and service consumed is a CES bundle of locally produced and imported products. The household sells its labour services to firms (labour supply) and owns all domestically</w:t>
      </w:r>
      <w:r w:rsidR="005A2B26" w:rsidRPr="005A2B26">
        <w:rPr>
          <w:color w:val="auto"/>
        </w:rPr>
        <w:noBreakHyphen/>
        <w:t xml:space="preserve">owned capital </w:t>
      </w:r>
      <w:r w:rsidR="00185DC3">
        <w:rPr>
          <w:color w:val="auto"/>
        </w:rPr>
        <w:t>including</w:t>
      </w:r>
      <w:r w:rsidR="00185DC3" w:rsidRPr="005A2B26">
        <w:rPr>
          <w:color w:val="auto"/>
        </w:rPr>
        <w:t xml:space="preserve"> </w:t>
      </w:r>
      <w:r w:rsidR="005A2B26" w:rsidRPr="005A2B26">
        <w:rPr>
          <w:color w:val="auto"/>
        </w:rPr>
        <w:t xml:space="preserve">fixed factors </w:t>
      </w:r>
      <w:r w:rsidR="00185DC3">
        <w:rPr>
          <w:color w:val="auto"/>
        </w:rPr>
        <w:t xml:space="preserve">(for example, </w:t>
      </w:r>
      <w:r w:rsidR="005A2B26" w:rsidRPr="005A2B26">
        <w:rPr>
          <w:color w:val="auto"/>
        </w:rPr>
        <w:t>land</w:t>
      </w:r>
      <w:r w:rsidR="00185DC3">
        <w:rPr>
          <w:color w:val="auto"/>
        </w:rPr>
        <w:t>),</w:t>
      </w:r>
      <w:r w:rsidR="005A2B26" w:rsidRPr="005A2B26">
        <w:rPr>
          <w:color w:val="auto"/>
        </w:rPr>
        <w:t xml:space="preserve"> location</w:t>
      </w:r>
      <w:r w:rsidR="005A2B26" w:rsidRPr="005A2B26">
        <w:rPr>
          <w:color w:val="auto"/>
        </w:rPr>
        <w:noBreakHyphen/>
        <w:t>specific factors (</w:t>
      </w:r>
      <w:r w:rsidR="004600B3">
        <w:rPr>
          <w:color w:val="auto"/>
        </w:rPr>
        <w:t>for</w:t>
      </w:r>
      <w:r w:rsidR="00446698">
        <w:rPr>
          <w:color w:val="auto"/>
        </w:rPr>
        <w:t> </w:t>
      </w:r>
      <w:r w:rsidR="004600B3">
        <w:rPr>
          <w:color w:val="auto"/>
        </w:rPr>
        <w:t>example</w:t>
      </w:r>
      <w:r w:rsidR="005A2B26" w:rsidRPr="005A2B26">
        <w:rPr>
          <w:color w:val="auto"/>
        </w:rPr>
        <w:t>, natural resources) and firm</w:t>
      </w:r>
      <w:r w:rsidR="005A2B26" w:rsidRPr="005A2B26">
        <w:rPr>
          <w:color w:val="auto"/>
        </w:rPr>
        <w:noBreakHyphen/>
        <w:t>specific factors (</w:t>
      </w:r>
      <w:r w:rsidR="004600B3">
        <w:rPr>
          <w:color w:val="auto"/>
        </w:rPr>
        <w:t>for example</w:t>
      </w:r>
      <w:r w:rsidR="005A2B26" w:rsidRPr="005A2B26">
        <w:rPr>
          <w:color w:val="auto"/>
        </w:rPr>
        <w:t xml:space="preserve">, intellectual property) and variable capital </w:t>
      </w:r>
      <w:r w:rsidR="00185DC3">
        <w:rPr>
          <w:color w:val="auto"/>
        </w:rPr>
        <w:t xml:space="preserve">(for example, </w:t>
      </w:r>
      <w:r w:rsidR="005A2B26" w:rsidRPr="005A2B26">
        <w:rPr>
          <w:color w:val="auto"/>
        </w:rPr>
        <w:t>structures and equipment</w:t>
      </w:r>
      <w:r w:rsidR="00814851">
        <w:rPr>
          <w:color w:val="auto"/>
        </w:rPr>
        <w:t>)</w:t>
      </w:r>
      <w:r w:rsidR="005A2B26" w:rsidRPr="005A2B26">
        <w:rPr>
          <w:color w:val="auto"/>
        </w:rPr>
        <w:t xml:space="preserve">. </w:t>
      </w:r>
      <w:r w:rsidR="00814851">
        <w:rPr>
          <w:color w:val="auto"/>
        </w:rPr>
        <w:t>H</w:t>
      </w:r>
      <w:r w:rsidR="005A2B26" w:rsidRPr="005A2B26">
        <w:rPr>
          <w:color w:val="auto"/>
        </w:rPr>
        <w:t>ousehold</w:t>
      </w:r>
      <w:r w:rsidR="00814851">
        <w:rPr>
          <w:color w:val="auto"/>
        </w:rPr>
        <w:t>s</w:t>
      </w:r>
      <w:r w:rsidR="005A2B26" w:rsidRPr="005A2B26">
        <w:rPr>
          <w:color w:val="auto"/>
        </w:rPr>
        <w:t xml:space="preserve"> </w:t>
      </w:r>
      <w:r w:rsidR="00814851">
        <w:rPr>
          <w:color w:val="auto"/>
        </w:rPr>
        <w:t>are</w:t>
      </w:r>
      <w:r w:rsidR="005A2B26" w:rsidRPr="005A2B26">
        <w:rPr>
          <w:color w:val="auto"/>
        </w:rPr>
        <w:t xml:space="preserve"> subject to taxation on labour and capital income, </w:t>
      </w:r>
      <w:r w:rsidR="00185DC3">
        <w:rPr>
          <w:color w:val="auto"/>
        </w:rPr>
        <w:t xml:space="preserve">as well as consumption of </w:t>
      </w:r>
      <w:r w:rsidR="005A2B26" w:rsidRPr="005A2B26">
        <w:rPr>
          <w:color w:val="auto"/>
        </w:rPr>
        <w:t xml:space="preserve">goods and services. </w:t>
      </w:r>
      <w:r w:rsidR="00CA717A" w:rsidRPr="009C7330">
        <w:rPr>
          <w:color w:val="auto"/>
        </w:rPr>
        <w:t>For analytical tractability households are assumed to have a fixed saving rate.</w:t>
      </w:r>
    </w:p>
    <w:p w14:paraId="2080891A" w14:textId="77777777" w:rsidR="005A2B26" w:rsidRPr="005A2B26" w:rsidRDefault="005A2B26" w:rsidP="005A2B26">
      <w:pPr>
        <w:pStyle w:val="Heading4"/>
      </w:pPr>
      <w:r w:rsidRPr="005A2B26">
        <w:t>Firms</w:t>
      </w:r>
    </w:p>
    <w:p w14:paraId="7E186A95" w14:textId="77777777" w:rsidR="005A2B26" w:rsidRPr="005A2B26" w:rsidRDefault="005A2B26" w:rsidP="005A2B26">
      <w:pPr>
        <w:rPr>
          <w:color w:val="auto"/>
        </w:rPr>
      </w:pPr>
      <w:r w:rsidRPr="005A2B26">
        <w:rPr>
          <w:color w:val="auto"/>
        </w:rPr>
        <w:t xml:space="preserve">The model identifies 111 different sectors, each of which produce a different good or service. The objective of each firm is to maximise profits, given the price of its output and all of its inputs. Production technology varies across sectors based on </w:t>
      </w:r>
      <w:r w:rsidR="00185DC3">
        <w:rPr>
          <w:color w:val="auto"/>
        </w:rPr>
        <w:t xml:space="preserve">an </w:t>
      </w:r>
      <w:r w:rsidRPr="005A2B26">
        <w:rPr>
          <w:color w:val="auto"/>
        </w:rPr>
        <w:t>assumed multi</w:t>
      </w:r>
      <w:r w:rsidRPr="005A2B26">
        <w:rPr>
          <w:color w:val="auto"/>
        </w:rPr>
        <w:noBreakHyphen/>
        <w:t>layered nested production structure</w:t>
      </w:r>
      <w:r w:rsidR="00185DC3">
        <w:rPr>
          <w:color w:val="auto"/>
        </w:rPr>
        <w:t>,</w:t>
      </w:r>
      <w:r w:rsidRPr="005A2B26">
        <w:rPr>
          <w:color w:val="auto"/>
        </w:rPr>
        <w:t xml:space="preserve"> and an appropriately specified elasticity of substitution at each level of the nest. Firms can employ up to 12 different primary factors: labour, eight types of produced capital and three fixed factors which are owned by domestic or foreign households.</w:t>
      </w:r>
    </w:p>
    <w:p w14:paraId="09BDC28E" w14:textId="6D3FB021" w:rsidR="005A2B26" w:rsidRPr="005A2B26" w:rsidRDefault="005A2B26" w:rsidP="005A2B26">
      <w:pPr>
        <w:rPr>
          <w:color w:val="auto"/>
        </w:rPr>
      </w:pPr>
      <w:r w:rsidRPr="005A2B26">
        <w:rPr>
          <w:color w:val="auto"/>
        </w:rPr>
        <w:t>Similar to Australian households, firms are modelled via a single representative firm for each of the 111</w:t>
      </w:r>
      <w:r w:rsidR="00446698">
        <w:rPr>
          <w:color w:val="auto"/>
        </w:rPr>
        <w:t> </w:t>
      </w:r>
      <w:r w:rsidRPr="005A2B26">
        <w:rPr>
          <w:color w:val="auto"/>
        </w:rPr>
        <w:t>different sectors. For industries where firms are largely homogeneous (</w:t>
      </w:r>
      <w:r w:rsidR="002B39E9">
        <w:rPr>
          <w:color w:val="auto"/>
        </w:rPr>
        <w:t>that is</w:t>
      </w:r>
      <w:r w:rsidRPr="005A2B26">
        <w:rPr>
          <w:color w:val="auto"/>
        </w:rPr>
        <w:t xml:space="preserve">, firms with similar production functions) this simplification has little effect. However, for industries where firms are of different sizes and have different production functions, this simplification will potentially </w:t>
      </w:r>
      <w:r w:rsidR="00D9097B">
        <w:rPr>
          <w:color w:val="auto"/>
        </w:rPr>
        <w:t>have a bearing on the results of the modelling</w:t>
      </w:r>
      <w:r w:rsidRPr="005A2B26">
        <w:rPr>
          <w:color w:val="auto"/>
        </w:rPr>
        <w:t>.</w:t>
      </w:r>
    </w:p>
    <w:p w14:paraId="4FDD6EC4" w14:textId="77777777" w:rsidR="005A2B26" w:rsidRPr="005A2B26" w:rsidRDefault="005A2B26" w:rsidP="005A2B26">
      <w:pPr>
        <w:pStyle w:val="Heading4"/>
      </w:pPr>
      <w:r w:rsidRPr="005A2B26">
        <w:t>Government</w:t>
      </w:r>
    </w:p>
    <w:p w14:paraId="7CEF4358" w14:textId="7029CC34" w:rsidR="00AD45E1" w:rsidRDefault="000C721D" w:rsidP="005A2B26">
      <w:pPr>
        <w:rPr>
          <w:color w:val="auto"/>
        </w:rPr>
      </w:pPr>
      <w:r>
        <w:rPr>
          <w:color w:val="auto"/>
        </w:rPr>
        <w:t xml:space="preserve">All layers of government (that is, </w:t>
      </w:r>
      <w:r w:rsidR="005D3062">
        <w:rPr>
          <w:color w:val="auto"/>
        </w:rPr>
        <w:t>federal</w:t>
      </w:r>
      <w:r>
        <w:rPr>
          <w:color w:val="auto"/>
        </w:rPr>
        <w:t>, state and local) are combined into a single</w:t>
      </w:r>
      <w:r w:rsidRPr="005154BF">
        <w:rPr>
          <w:color w:val="auto"/>
        </w:rPr>
        <w:t xml:space="preserve"> </w:t>
      </w:r>
      <w:r w:rsidR="00C75EA2">
        <w:rPr>
          <w:color w:val="auto"/>
        </w:rPr>
        <w:t xml:space="preserve">general </w:t>
      </w:r>
      <w:r w:rsidR="005A2B26" w:rsidRPr="005154BF">
        <w:rPr>
          <w:color w:val="auto"/>
        </w:rPr>
        <w:t xml:space="preserve">government </w:t>
      </w:r>
      <w:r w:rsidR="00C75EA2">
        <w:rPr>
          <w:color w:val="auto"/>
        </w:rPr>
        <w:t xml:space="preserve">sector </w:t>
      </w:r>
      <w:r>
        <w:rPr>
          <w:color w:val="auto"/>
        </w:rPr>
        <w:t>which</w:t>
      </w:r>
      <w:r w:rsidR="005A2B26" w:rsidRPr="005154BF">
        <w:rPr>
          <w:color w:val="auto"/>
        </w:rPr>
        <w:t xml:space="preserve"> collect</w:t>
      </w:r>
      <w:r w:rsidR="00DC25A9">
        <w:rPr>
          <w:color w:val="auto"/>
        </w:rPr>
        <w:t>s</w:t>
      </w:r>
      <w:r w:rsidR="005A2B26" w:rsidRPr="005154BF">
        <w:rPr>
          <w:color w:val="auto"/>
        </w:rPr>
        <w:t xml:space="preserve"> all taxes and use</w:t>
      </w:r>
      <w:r w:rsidR="00DC25A9">
        <w:rPr>
          <w:color w:val="auto"/>
        </w:rPr>
        <w:t>s</w:t>
      </w:r>
      <w:r w:rsidR="005A2B26" w:rsidRPr="005154BF">
        <w:rPr>
          <w:color w:val="auto"/>
        </w:rPr>
        <w:t xml:space="preserve"> the revenue for its consumption of goods and services</w:t>
      </w:r>
      <w:r w:rsidR="00717274">
        <w:rPr>
          <w:color w:val="auto"/>
        </w:rPr>
        <w:t xml:space="preserve"> </w:t>
      </w:r>
      <w:r w:rsidR="00717274" w:rsidRPr="0001285B">
        <w:rPr>
          <w:color w:val="auto"/>
        </w:rPr>
        <w:t>and cash transfers to households</w:t>
      </w:r>
      <w:r w:rsidR="00AD45E1">
        <w:rPr>
          <w:color w:val="auto"/>
        </w:rPr>
        <w:t xml:space="preserve">. </w:t>
      </w:r>
      <w:r w:rsidR="00CD2944" w:rsidRPr="005154BF">
        <w:rPr>
          <w:color w:val="auto"/>
        </w:rPr>
        <w:t>Without a transition path it is difficult to account for the accumulation of debt, so for simplicity the government is assumed to have no debt and maintain a zero</w:t>
      </w:r>
      <w:r w:rsidR="00446698">
        <w:rPr>
          <w:color w:val="auto"/>
        </w:rPr>
        <w:t> </w:t>
      </w:r>
      <w:r w:rsidR="00CD2944" w:rsidRPr="005154BF">
        <w:rPr>
          <w:color w:val="auto"/>
        </w:rPr>
        <w:t>primary budget balance</w:t>
      </w:r>
      <w:r w:rsidR="00CD2944">
        <w:rPr>
          <w:color w:val="auto"/>
        </w:rPr>
        <w:t xml:space="preserve">. </w:t>
      </w:r>
    </w:p>
    <w:p w14:paraId="0B745763" w14:textId="77777777" w:rsidR="00446698" w:rsidRDefault="00446698">
      <w:pPr>
        <w:rPr>
          <w:color w:val="auto"/>
        </w:rPr>
      </w:pPr>
      <w:r>
        <w:rPr>
          <w:color w:val="auto"/>
        </w:rPr>
        <w:br w:type="page"/>
      </w:r>
    </w:p>
    <w:p w14:paraId="01F787A0" w14:textId="1778AC3D" w:rsidR="003E0A84" w:rsidRPr="005154BF" w:rsidRDefault="003E0A84" w:rsidP="005A2B26">
      <w:pPr>
        <w:rPr>
          <w:color w:val="auto"/>
        </w:rPr>
      </w:pPr>
      <w:r>
        <w:rPr>
          <w:color w:val="auto"/>
        </w:rPr>
        <w:lastRenderedPageBreak/>
        <w:t>Government deficits over the transition</w:t>
      </w:r>
      <w:r w:rsidR="00C75EA2">
        <w:rPr>
          <w:color w:val="auto"/>
        </w:rPr>
        <w:t xml:space="preserve"> period</w:t>
      </w:r>
      <w:r>
        <w:rPr>
          <w:color w:val="auto"/>
        </w:rPr>
        <w:t xml:space="preserve"> can to a large extent be mitigated by announcing company tax cuts well in advance of implementing them. </w:t>
      </w:r>
      <w:r w:rsidR="00974345">
        <w:rPr>
          <w:color w:val="auto"/>
        </w:rPr>
        <w:t>Because firms base investment decisions on the present value of the firm</w:t>
      </w:r>
      <w:r w:rsidR="00C75EA2">
        <w:rPr>
          <w:color w:val="auto"/>
        </w:rPr>
        <w:t>,</w:t>
      </w:r>
      <w:r w:rsidR="00974345">
        <w:rPr>
          <w:color w:val="auto"/>
        </w:rPr>
        <w:t xml:space="preserve"> an anticipated </w:t>
      </w:r>
      <w:r w:rsidR="003808D5">
        <w:rPr>
          <w:color w:val="auto"/>
        </w:rPr>
        <w:t xml:space="preserve">company </w:t>
      </w:r>
      <w:r w:rsidR="00974345">
        <w:rPr>
          <w:color w:val="auto"/>
        </w:rPr>
        <w:t xml:space="preserve">tax cut will raise the return to investment, which </w:t>
      </w:r>
      <w:r>
        <w:rPr>
          <w:color w:val="auto"/>
        </w:rPr>
        <w:t xml:space="preserve">can bring forward </w:t>
      </w:r>
      <w:r w:rsidR="00AF7A94">
        <w:rPr>
          <w:color w:val="auto"/>
        </w:rPr>
        <w:t xml:space="preserve">investment </w:t>
      </w:r>
      <w:r>
        <w:rPr>
          <w:color w:val="auto"/>
        </w:rPr>
        <w:t xml:space="preserve">activity </w:t>
      </w:r>
      <w:r w:rsidR="00AF7A94">
        <w:rPr>
          <w:color w:val="auto"/>
        </w:rPr>
        <w:t>and</w:t>
      </w:r>
      <w:r>
        <w:rPr>
          <w:color w:val="auto"/>
        </w:rPr>
        <w:t xml:space="preserve"> tax revenue ahead of the company tax cut.</w:t>
      </w:r>
    </w:p>
    <w:p w14:paraId="101AB3F5" w14:textId="77777777" w:rsidR="00EA2248" w:rsidRPr="005154BF" w:rsidRDefault="00EA2248" w:rsidP="005A2B26">
      <w:pPr>
        <w:rPr>
          <w:color w:val="auto"/>
        </w:rPr>
      </w:pPr>
      <w:r w:rsidRPr="00113332">
        <w:rPr>
          <w:color w:val="auto"/>
        </w:rPr>
        <w:t>Th</w:t>
      </w:r>
      <w:r w:rsidR="00C240DC" w:rsidRPr="00113332">
        <w:rPr>
          <w:color w:val="auto"/>
        </w:rPr>
        <w:t xml:space="preserve">is paper considers three company tax scenarios, with the company tax financed by a lump-sum tax, an increase in the average personal income tax rate and a cut in </w:t>
      </w:r>
      <w:r w:rsidR="00DA0D5C" w:rsidRPr="00113332">
        <w:rPr>
          <w:color w:val="auto"/>
        </w:rPr>
        <w:t xml:space="preserve">real </w:t>
      </w:r>
      <w:r w:rsidR="00C240DC" w:rsidRPr="00113332">
        <w:rPr>
          <w:color w:val="auto"/>
        </w:rPr>
        <w:t xml:space="preserve">government spending on goods and services. </w:t>
      </w:r>
      <w:r w:rsidR="00AD45E1" w:rsidRPr="00113332">
        <w:rPr>
          <w:color w:val="auto"/>
        </w:rPr>
        <w:t xml:space="preserve">There are no scenarios involving cash transfers because a representative agent model cannot capture the detailed interactions of the tax and transfer that are important for welfare analysis. </w:t>
      </w:r>
      <w:r w:rsidR="00C240DC" w:rsidRPr="00113332">
        <w:rPr>
          <w:color w:val="auto"/>
        </w:rPr>
        <w:t>For the first two scenarios real government spending is held constant</w:t>
      </w:r>
      <w:r w:rsidR="0001285B" w:rsidRPr="00113332">
        <w:rPr>
          <w:color w:val="auto"/>
        </w:rPr>
        <w:t>, while cash transfers are held constant in all three scenarios</w:t>
      </w:r>
      <w:r w:rsidR="00C240DC" w:rsidRPr="00113332">
        <w:rPr>
          <w:color w:val="auto"/>
        </w:rPr>
        <w:t>.</w:t>
      </w:r>
    </w:p>
    <w:p w14:paraId="6B7685A3" w14:textId="77777777" w:rsidR="005A2B26" w:rsidRPr="003C4C35" w:rsidRDefault="00C75EA2" w:rsidP="005A2B26">
      <w:pPr>
        <w:rPr>
          <w:color w:val="auto"/>
          <w:highlight w:val="yellow"/>
        </w:rPr>
      </w:pPr>
      <w:r>
        <w:rPr>
          <w:color w:val="auto"/>
        </w:rPr>
        <w:t>In this modelling exercise, g</w:t>
      </w:r>
      <w:r w:rsidR="005A2B26" w:rsidRPr="005154BF">
        <w:rPr>
          <w:color w:val="auto"/>
        </w:rPr>
        <w:t xml:space="preserve">overnment spending </w:t>
      </w:r>
      <w:r w:rsidR="00113332">
        <w:rPr>
          <w:color w:val="auto"/>
        </w:rPr>
        <w:t xml:space="preserve">is assumed </w:t>
      </w:r>
      <w:r w:rsidR="005A2B26" w:rsidRPr="005154BF">
        <w:rPr>
          <w:color w:val="auto"/>
        </w:rPr>
        <w:t xml:space="preserve">not </w:t>
      </w:r>
      <w:r w:rsidR="00113332">
        <w:rPr>
          <w:color w:val="auto"/>
        </w:rPr>
        <w:t xml:space="preserve">to </w:t>
      </w:r>
      <w:r w:rsidR="005A2B26" w:rsidRPr="005154BF">
        <w:rPr>
          <w:color w:val="auto"/>
        </w:rPr>
        <w:t xml:space="preserve">affect </w:t>
      </w:r>
      <w:r w:rsidR="00113332">
        <w:rPr>
          <w:color w:val="auto"/>
        </w:rPr>
        <w:t xml:space="preserve">directly </w:t>
      </w:r>
      <w:r w:rsidR="005A2B26" w:rsidRPr="005154BF">
        <w:rPr>
          <w:color w:val="auto"/>
        </w:rPr>
        <w:t>the welfare of households</w:t>
      </w:r>
      <w:r>
        <w:rPr>
          <w:color w:val="auto"/>
        </w:rPr>
        <w:t xml:space="preserve"> or the private marginal productivity of capital</w:t>
      </w:r>
      <w:r w:rsidR="005A2B26" w:rsidRPr="005154BF">
        <w:rPr>
          <w:color w:val="auto"/>
        </w:rPr>
        <w:t>.</w:t>
      </w:r>
      <w:r w:rsidR="00237A10" w:rsidRPr="005154BF">
        <w:rPr>
          <w:color w:val="auto"/>
        </w:rPr>
        <w:t xml:space="preserve"> For scenarios in which </w:t>
      </w:r>
      <w:r w:rsidR="00237A10" w:rsidRPr="005154BF">
        <w:t xml:space="preserve">real government spending is </w:t>
      </w:r>
      <w:r w:rsidR="00C240DC" w:rsidRPr="005154BF">
        <w:t>held constant</w:t>
      </w:r>
      <w:r>
        <w:t>,</w:t>
      </w:r>
      <w:r w:rsidR="00DA0D5C" w:rsidRPr="005154BF">
        <w:t xml:space="preserve"> </w:t>
      </w:r>
      <w:r w:rsidR="00237A10" w:rsidRPr="005154BF">
        <w:t xml:space="preserve">adding it to the household utility </w:t>
      </w:r>
      <w:r w:rsidR="000C721D">
        <w:t xml:space="preserve">or sectoral production </w:t>
      </w:r>
      <w:r w:rsidR="00237A10" w:rsidRPr="005154BF">
        <w:t>function</w:t>
      </w:r>
      <w:r w:rsidR="000C721D">
        <w:t>s</w:t>
      </w:r>
      <w:r w:rsidR="00237A10" w:rsidRPr="005154BF">
        <w:t xml:space="preserve"> would not make any difference to the welfare calculations reported here.</w:t>
      </w:r>
      <w:r w:rsidR="00021136" w:rsidRPr="005154BF">
        <w:t xml:space="preserve"> In the case where government spending is cut</w:t>
      </w:r>
      <w:r>
        <w:t>,</w:t>
      </w:r>
      <w:r w:rsidR="00021136" w:rsidRPr="005154BF">
        <w:t xml:space="preserve"> the implicit assumption is that the spending is wasteful.</w:t>
      </w:r>
      <w:r w:rsidR="00A95EAA">
        <w:t xml:space="preserve"> </w:t>
      </w:r>
      <w:r w:rsidR="00873FF6">
        <w:t>While this is a common modelling assumption</w:t>
      </w:r>
      <w:r w:rsidR="00DC25A9">
        <w:t>,</w:t>
      </w:r>
      <w:r w:rsidR="00873FF6">
        <w:t xml:space="preserve"> i</w:t>
      </w:r>
      <w:r w:rsidR="002E4B7A">
        <w:t>t</w:t>
      </w:r>
      <w:r w:rsidR="00873FF6">
        <w:t xml:space="preserve"> ignores the fact that: government spending provides goods and services that would otherwise not be provided by the market sector; households derive direct utility from government spending; and infrastructure spending can improve market sector productivity. </w:t>
      </w:r>
      <w:r w:rsidR="00A95EAA">
        <w:t>This suggests the modelling may overstate the economic gains from this scenario.</w:t>
      </w:r>
    </w:p>
    <w:p w14:paraId="3CF1A192" w14:textId="77777777" w:rsidR="005A2B26" w:rsidRPr="005A2B26" w:rsidRDefault="005A2B26" w:rsidP="005A2B26">
      <w:pPr>
        <w:pStyle w:val="Heading4"/>
      </w:pPr>
      <w:r w:rsidRPr="005A2B26">
        <w:t>Foreign sector</w:t>
      </w:r>
    </w:p>
    <w:p w14:paraId="1CD03256" w14:textId="77777777" w:rsidR="005A2B26" w:rsidRPr="005A2B26" w:rsidRDefault="005A2B26" w:rsidP="005A2B26">
      <w:pPr>
        <w:rPr>
          <w:color w:val="auto"/>
        </w:rPr>
      </w:pPr>
      <w:r w:rsidRPr="005A2B26">
        <w:rPr>
          <w:color w:val="auto"/>
        </w:rPr>
        <w:t>Australia is assumed to be a small open economy in capital markets. Australia can access the global market for funds, so long as the after</w:t>
      </w:r>
      <w:r w:rsidRPr="005A2B26">
        <w:rPr>
          <w:color w:val="auto"/>
        </w:rPr>
        <w:noBreakHyphen/>
        <w:t xml:space="preserve">tax rate of return on capital equals the global rate of return. </w:t>
      </w:r>
      <w:r w:rsidR="00835098">
        <w:rPr>
          <w:color w:val="auto"/>
        </w:rPr>
        <w:t xml:space="preserve">This is </w:t>
      </w:r>
      <w:r w:rsidRPr="005A2B26">
        <w:rPr>
          <w:color w:val="auto"/>
        </w:rPr>
        <w:t>consider</w:t>
      </w:r>
      <w:r w:rsidR="00835098">
        <w:rPr>
          <w:color w:val="auto"/>
        </w:rPr>
        <w:t>ed to be</w:t>
      </w:r>
      <w:r w:rsidRPr="005A2B26">
        <w:rPr>
          <w:color w:val="auto"/>
        </w:rPr>
        <w:t xml:space="preserve"> a reasonable assumption for a static analysis of the long</w:t>
      </w:r>
      <w:r w:rsidR="00C75EA2">
        <w:rPr>
          <w:color w:val="auto"/>
        </w:rPr>
        <w:t>-</w:t>
      </w:r>
      <w:r w:rsidRPr="005A2B26">
        <w:rPr>
          <w:color w:val="auto"/>
        </w:rPr>
        <w:t>run impacts of taxes on welfare. Foreign households own part of Australia’s variable capital and fixed factors.</w:t>
      </w:r>
    </w:p>
    <w:p w14:paraId="7A27CDFA" w14:textId="77777777" w:rsidR="005A2B26" w:rsidRPr="005A2B26" w:rsidRDefault="005A2B26" w:rsidP="005A2B26">
      <w:pPr>
        <w:rPr>
          <w:color w:val="auto"/>
        </w:rPr>
      </w:pPr>
      <w:r w:rsidRPr="005A2B26">
        <w:rPr>
          <w:color w:val="auto"/>
        </w:rPr>
        <w:t xml:space="preserve">Similarly, the model assumes Australia is to a large extent a small open economy in the goods markets. Specifically, Australia is assumed to be a price taker for imports, meaning that changes in the Australian economy do not influence the price of imports. Australia is effectively a price taker for exports, with a standard value for the export price elasticity of demand of </w:t>
      </w:r>
      <w:r w:rsidRPr="005A2B26">
        <w:rPr>
          <w:color w:val="auto"/>
        </w:rPr>
        <w:noBreakHyphen/>
        <w:t xml:space="preserve">12. For some industries such as coal and iron ore, where Australia has some market power, a lower value of elasticity of </w:t>
      </w:r>
      <w:r w:rsidRPr="005A2B26">
        <w:rPr>
          <w:color w:val="auto"/>
        </w:rPr>
        <w:noBreakHyphen/>
        <w:t xml:space="preserve">6 is used. </w:t>
      </w:r>
    </w:p>
    <w:p w14:paraId="6415ED9F" w14:textId="77777777" w:rsidR="005A2B26" w:rsidRPr="005A2B26" w:rsidRDefault="005A2B26" w:rsidP="005A2B26">
      <w:pPr>
        <w:pStyle w:val="Heading4"/>
      </w:pPr>
      <w:r w:rsidRPr="005A2B26">
        <w:t>Financial markets</w:t>
      </w:r>
    </w:p>
    <w:p w14:paraId="3849EC11" w14:textId="77777777" w:rsidR="005A2B26" w:rsidRPr="005A2B26" w:rsidRDefault="005A2B26" w:rsidP="005A2B26">
      <w:pPr>
        <w:rPr>
          <w:color w:val="auto"/>
        </w:rPr>
      </w:pPr>
      <w:r w:rsidRPr="005A2B26">
        <w:rPr>
          <w:color w:val="auto"/>
        </w:rPr>
        <w:t>Capital is financed by a mixture of equity and debt in fixed proportions. The after</w:t>
      </w:r>
      <w:r w:rsidRPr="005A2B26">
        <w:rPr>
          <w:color w:val="auto"/>
        </w:rPr>
        <w:noBreakHyphen/>
        <w:t>tax return required on both debt and equity is equal to the global rate of return. The cost of capital for firms takes into account deductions for the cost of debt financing. It is therefore important that the mix of debt and equity is appropriately estimated for each industry. As such</w:t>
      </w:r>
      <w:r w:rsidR="00DC25A9">
        <w:rPr>
          <w:color w:val="auto"/>
        </w:rPr>
        <w:t>,</w:t>
      </w:r>
      <w:r w:rsidRPr="005A2B26">
        <w:rPr>
          <w:color w:val="auto"/>
        </w:rPr>
        <w:t xml:space="preserve"> a debt</w:t>
      </w:r>
      <w:r w:rsidRPr="005A2B26">
        <w:rPr>
          <w:color w:val="auto"/>
        </w:rPr>
        <w:noBreakHyphen/>
        <w:t>to</w:t>
      </w:r>
      <w:r w:rsidRPr="005A2B26">
        <w:rPr>
          <w:color w:val="auto"/>
        </w:rPr>
        <w:noBreakHyphen/>
        <w:t xml:space="preserve">equity ratio has been estimated using ATO Taxation Statistics data (Australian Taxation Office, 2014). </w:t>
      </w:r>
      <w:r w:rsidRPr="009C7330">
        <w:rPr>
          <w:color w:val="auto"/>
        </w:rPr>
        <w:t>This ratio is assumed to be fixed (</w:t>
      </w:r>
      <w:r w:rsidR="009C7330" w:rsidRPr="009C7330">
        <w:rPr>
          <w:color w:val="auto"/>
        </w:rPr>
        <w:t>see</w:t>
      </w:r>
      <w:r w:rsidRPr="009C7330">
        <w:rPr>
          <w:color w:val="auto"/>
        </w:rPr>
        <w:t xml:space="preserve"> </w:t>
      </w:r>
      <w:r w:rsidR="000F433F" w:rsidRPr="009C7330">
        <w:rPr>
          <w:color w:val="auto"/>
        </w:rPr>
        <w:t>Appendix A</w:t>
      </w:r>
      <w:r w:rsidR="009C7330" w:rsidRPr="009C7330">
        <w:rPr>
          <w:color w:val="auto"/>
        </w:rPr>
        <w:t xml:space="preserve"> for further detail</w:t>
      </w:r>
      <w:r w:rsidRPr="009C7330">
        <w:rPr>
          <w:color w:val="auto"/>
        </w:rPr>
        <w:t>).</w:t>
      </w:r>
    </w:p>
    <w:p w14:paraId="213D3C39" w14:textId="77777777" w:rsidR="00446698" w:rsidRDefault="00446698">
      <w:pPr>
        <w:rPr>
          <w:rFonts w:ascii="Arial" w:hAnsi="Arial"/>
          <w:b/>
          <w:color w:val="003157"/>
        </w:rPr>
      </w:pPr>
      <w:r>
        <w:br w:type="page"/>
      </w:r>
    </w:p>
    <w:p w14:paraId="06F212F5" w14:textId="290ADFEC" w:rsidR="005A2B26" w:rsidRPr="005A2B26" w:rsidRDefault="005A2B26" w:rsidP="005A2B26">
      <w:pPr>
        <w:pStyle w:val="Heading4"/>
      </w:pPr>
      <w:r w:rsidRPr="005A2B26">
        <w:lastRenderedPageBreak/>
        <w:t>Equilibrium</w:t>
      </w:r>
    </w:p>
    <w:p w14:paraId="0FCDFF1F" w14:textId="77777777" w:rsidR="005A2B26" w:rsidRPr="005A2B26" w:rsidRDefault="005A2B26" w:rsidP="005A2B26">
      <w:pPr>
        <w:rPr>
          <w:color w:val="auto"/>
        </w:rPr>
      </w:pPr>
      <w:r w:rsidRPr="005A2B26">
        <w:rPr>
          <w:color w:val="auto"/>
        </w:rPr>
        <w:t>All markets are assumed to clear: wages adjust to clear the labour market; capital supply, via inflows or outflows of foreign capital, adjusts to ensure the after</w:t>
      </w:r>
      <w:r w:rsidRPr="005A2B26">
        <w:rPr>
          <w:color w:val="auto"/>
        </w:rPr>
        <w:noBreakHyphen/>
        <w:t>tax rate of return on capital employed for domestic production is equal to the global required rate of return; and expenditure prices adjust to clear goods and services markets.</w:t>
      </w:r>
    </w:p>
    <w:p w14:paraId="6CC111FD" w14:textId="77777777" w:rsidR="005A2B26" w:rsidRDefault="005A2B26" w:rsidP="005A2B26">
      <w:pPr>
        <w:rPr>
          <w:color w:val="auto"/>
        </w:rPr>
      </w:pPr>
      <w:r w:rsidRPr="005A2B26">
        <w:rPr>
          <w:color w:val="auto"/>
        </w:rPr>
        <w:t>The CGE model used here is a comparative static framework. This means it provides analysis of the change in the economy from its current long</w:t>
      </w:r>
      <w:r w:rsidRPr="005A2B26">
        <w:rPr>
          <w:color w:val="auto"/>
        </w:rPr>
        <w:noBreakHyphen/>
        <w:t>run equilibrium</w:t>
      </w:r>
      <w:r w:rsidR="00237A10">
        <w:rPr>
          <w:color w:val="auto"/>
        </w:rPr>
        <w:t xml:space="preserve"> or steady state</w:t>
      </w:r>
      <w:r w:rsidRPr="005A2B26">
        <w:rPr>
          <w:color w:val="auto"/>
        </w:rPr>
        <w:t xml:space="preserve"> (calibrated to actual data) to a new long</w:t>
      </w:r>
      <w:r w:rsidRPr="005A2B26">
        <w:rPr>
          <w:color w:val="auto"/>
        </w:rPr>
        <w:noBreakHyphen/>
        <w:t xml:space="preserve">run equilibrium under the new tax regime (that is, when capital, labour and goods markets have fully adjusted to the policy change). As such, it does not provide an indication of the time it takes to achieve the new equilibrium or the </w:t>
      </w:r>
      <w:r w:rsidR="00115070">
        <w:rPr>
          <w:color w:val="auto"/>
        </w:rPr>
        <w:t>short run activity response</w:t>
      </w:r>
      <w:r w:rsidRPr="005A2B26">
        <w:rPr>
          <w:color w:val="auto"/>
        </w:rPr>
        <w:t xml:space="preserve"> or adjustment costs incur</w:t>
      </w:r>
      <w:r w:rsidR="00115070">
        <w:rPr>
          <w:color w:val="auto"/>
        </w:rPr>
        <w:t>red along this transition path.</w:t>
      </w:r>
      <w:r w:rsidR="00237A10">
        <w:rPr>
          <w:color w:val="auto"/>
        </w:rPr>
        <w:t xml:space="preserve"> </w:t>
      </w:r>
    </w:p>
    <w:p w14:paraId="45DC0CEC" w14:textId="77777777" w:rsidR="00115070" w:rsidRPr="003A2259" w:rsidRDefault="00115070" w:rsidP="005A2B26">
      <w:pPr>
        <w:rPr>
          <w:color w:val="auto"/>
        </w:rPr>
      </w:pPr>
      <w:r w:rsidRPr="003A2259">
        <w:rPr>
          <w:color w:val="auto"/>
        </w:rPr>
        <w:t>Company tax analysis undertaken by Kudrna and Woodland (2010) using a dynamic model suggests that roughly half of the adjustment (reflected by the rate of capital accumulation) to a capital tax change is completed in 10 years, with the full adjustment largely completed in 20 years. It is reasonable to expect faster adjustment to tax changes that imply relatively small changes to investment (or the capital stock) and relatively large changes to consumption.</w:t>
      </w:r>
    </w:p>
    <w:p w14:paraId="25E896DF" w14:textId="77777777" w:rsidR="00CA717A" w:rsidRPr="003A2259" w:rsidRDefault="00115070" w:rsidP="00CA717A">
      <w:pPr>
        <w:rPr>
          <w:color w:val="auto"/>
        </w:rPr>
      </w:pPr>
      <w:r w:rsidRPr="003A2259">
        <w:rPr>
          <w:color w:val="auto"/>
        </w:rPr>
        <w:t xml:space="preserve">All consumption and investment </w:t>
      </w:r>
      <w:r w:rsidR="00237A10" w:rsidRPr="003A2259">
        <w:rPr>
          <w:color w:val="auto"/>
        </w:rPr>
        <w:t xml:space="preserve">outcomes </w:t>
      </w:r>
      <w:r w:rsidRPr="003A2259">
        <w:rPr>
          <w:color w:val="auto"/>
        </w:rPr>
        <w:t>must be sustainable in the long run. In particular, the level of net exports must be sufficient to fund the foreign income account</w:t>
      </w:r>
      <w:r w:rsidR="004E793D" w:rsidRPr="003A2259">
        <w:rPr>
          <w:color w:val="auto"/>
        </w:rPr>
        <w:t xml:space="preserve">. </w:t>
      </w:r>
      <w:r w:rsidR="00CA717A" w:rsidRPr="003A2259">
        <w:rPr>
          <w:color w:val="auto"/>
        </w:rPr>
        <w:t>Households are</w:t>
      </w:r>
      <w:r w:rsidR="00390C5E">
        <w:rPr>
          <w:color w:val="auto"/>
        </w:rPr>
        <w:t xml:space="preserve"> assumed to have a fixed saving</w:t>
      </w:r>
      <w:r w:rsidR="00CA717A" w:rsidRPr="003A2259">
        <w:rPr>
          <w:color w:val="auto"/>
        </w:rPr>
        <w:t xml:space="preserve"> rate. Combined with the model’s perfect international capital mobility assumption, the model implies domestic capital income is somewhat invariant to changes to the income tax system. Crucially, this assumption allows a static model to estimate the change in net foreign liabilities implied by the foreign capital inflow necessary to achieve the expansion of the domestic capital stock. Similar approaches have been adopted in previous Australian studies (KPMG, 2010 and 2011; and Independent Economics, 2014) that have examined the long</w:t>
      </w:r>
      <w:r w:rsidR="00CA717A" w:rsidRPr="003A2259">
        <w:rPr>
          <w:color w:val="auto"/>
        </w:rPr>
        <w:noBreakHyphen/>
        <w:t>run economic costs of small changes in taxes using a static, economy</w:t>
      </w:r>
      <w:r w:rsidR="00CA717A" w:rsidRPr="003A2259">
        <w:rPr>
          <w:color w:val="auto"/>
        </w:rPr>
        <w:noBreakHyphen/>
        <w:t>wide model.</w:t>
      </w:r>
    </w:p>
    <w:p w14:paraId="66F0BA62" w14:textId="77777777" w:rsidR="00115070" w:rsidRPr="005A2B26" w:rsidRDefault="007A1FBB" w:rsidP="005A2B26">
      <w:pPr>
        <w:rPr>
          <w:color w:val="auto"/>
        </w:rPr>
      </w:pPr>
      <w:r w:rsidRPr="003A2259">
        <w:t xml:space="preserve">A possible concern with static analysis is that it may overstate the welfare gain of company tax cuts because it does not account for any resource and adjustment costs incurred along the transition path. </w:t>
      </w:r>
      <w:r w:rsidR="006B02E6">
        <w:t>I</w:t>
      </w:r>
      <w:r w:rsidR="004E793D" w:rsidRPr="003A2259">
        <w:rPr>
          <w:color w:val="auto"/>
        </w:rPr>
        <w:t>n a growing economy</w:t>
      </w:r>
      <w:r w:rsidR="00C75EA2">
        <w:rPr>
          <w:color w:val="auto"/>
        </w:rPr>
        <w:t xml:space="preserve"> </w:t>
      </w:r>
      <w:r w:rsidR="004E793D" w:rsidRPr="003A2259">
        <w:rPr>
          <w:color w:val="auto"/>
        </w:rPr>
        <w:t xml:space="preserve">the </w:t>
      </w:r>
      <w:r w:rsidR="00FA058A" w:rsidRPr="003A2259">
        <w:rPr>
          <w:color w:val="auto"/>
        </w:rPr>
        <w:t xml:space="preserve">steady state </w:t>
      </w:r>
      <w:r w:rsidR="004E793D" w:rsidRPr="003A2259">
        <w:rPr>
          <w:color w:val="auto"/>
        </w:rPr>
        <w:t xml:space="preserve">net exports </w:t>
      </w:r>
      <w:r w:rsidR="00FA058A" w:rsidRPr="003A2259">
        <w:rPr>
          <w:color w:val="auto"/>
        </w:rPr>
        <w:t xml:space="preserve">(trade balance) </w:t>
      </w:r>
      <w:r w:rsidR="004E793D" w:rsidRPr="003A2259">
        <w:rPr>
          <w:color w:val="auto"/>
        </w:rPr>
        <w:t xml:space="preserve">to GDP ratio is equal to the </w:t>
      </w:r>
      <w:r w:rsidRPr="003A2259">
        <w:rPr>
          <w:color w:val="auto"/>
        </w:rPr>
        <w:t xml:space="preserve">gap between </w:t>
      </w:r>
      <w:r w:rsidR="00DC25A9">
        <w:rPr>
          <w:color w:val="auto"/>
        </w:rPr>
        <w:t xml:space="preserve">the </w:t>
      </w:r>
      <w:r w:rsidR="004E793D" w:rsidRPr="003A2259">
        <w:rPr>
          <w:color w:val="auto"/>
        </w:rPr>
        <w:t xml:space="preserve">required rate of return on foreign liabilities </w:t>
      </w:r>
      <w:r w:rsidRPr="003A2259">
        <w:rPr>
          <w:color w:val="auto"/>
        </w:rPr>
        <w:t xml:space="preserve">and </w:t>
      </w:r>
      <w:r w:rsidR="004E793D" w:rsidRPr="003A2259">
        <w:rPr>
          <w:color w:val="auto"/>
        </w:rPr>
        <w:t>the nominal growth rate of the economy multiplied by the net foreign liability to GDP ratio.</w:t>
      </w:r>
      <w:r w:rsidR="00FA058A" w:rsidRPr="003A2259">
        <w:rPr>
          <w:color w:val="auto"/>
        </w:rPr>
        <w:t xml:space="preserve"> </w:t>
      </w:r>
      <w:r w:rsidR="004E793D" w:rsidRPr="003A2259">
        <w:rPr>
          <w:color w:val="auto"/>
        </w:rPr>
        <w:t>This ratio is significantly smaller than the net foreign income to GDP ratio</w:t>
      </w:r>
      <w:r w:rsidR="00FA058A" w:rsidRPr="003A2259">
        <w:rPr>
          <w:color w:val="auto"/>
        </w:rPr>
        <w:t xml:space="preserve"> because a growing economy can run a current account deficit and maintain a stable net foreign liability to GDP ratio.</w:t>
      </w:r>
      <w:r w:rsidR="004E793D" w:rsidRPr="003A2259">
        <w:rPr>
          <w:color w:val="auto"/>
        </w:rPr>
        <w:t xml:space="preserve"> </w:t>
      </w:r>
      <w:r w:rsidR="004653EC" w:rsidRPr="003A2259">
        <w:rPr>
          <w:color w:val="auto"/>
        </w:rPr>
        <w:t>Importantly, t</w:t>
      </w:r>
      <w:r w:rsidR="004E793D" w:rsidRPr="003A2259">
        <w:rPr>
          <w:color w:val="auto"/>
        </w:rPr>
        <w:t>h</w:t>
      </w:r>
      <w:r w:rsidRPr="003A2259">
        <w:rPr>
          <w:color w:val="auto"/>
        </w:rPr>
        <w:t xml:space="preserve">e smaller the return/growth </w:t>
      </w:r>
      <w:r w:rsidR="00C75EA2">
        <w:rPr>
          <w:color w:val="auto"/>
        </w:rPr>
        <w:t>differential,</w:t>
      </w:r>
      <w:r w:rsidR="00C75EA2" w:rsidRPr="003A2259">
        <w:rPr>
          <w:color w:val="auto"/>
        </w:rPr>
        <w:t xml:space="preserve"> </w:t>
      </w:r>
      <w:r w:rsidR="00FA058A" w:rsidRPr="003A2259">
        <w:rPr>
          <w:color w:val="auto"/>
        </w:rPr>
        <w:t xml:space="preserve">the smaller the steady state trade surplus required to fund the net foreign liabilities incurred </w:t>
      </w:r>
      <w:r w:rsidR="004E793D" w:rsidRPr="003A2259">
        <w:rPr>
          <w:color w:val="auto"/>
        </w:rPr>
        <w:t xml:space="preserve">over the transition </w:t>
      </w:r>
      <w:r w:rsidR="00103FC6">
        <w:rPr>
          <w:color w:val="auto"/>
        </w:rPr>
        <w:t>period</w:t>
      </w:r>
      <w:r w:rsidR="00FA058A" w:rsidRPr="003A2259">
        <w:rPr>
          <w:color w:val="auto"/>
        </w:rPr>
        <w:t>.</w:t>
      </w:r>
      <w:r w:rsidR="00103FC6">
        <w:rPr>
          <w:color w:val="auto"/>
        </w:rPr>
        <w:t xml:space="preserve"> That is, the smaller amount of consumption given up by the household.  </w:t>
      </w:r>
      <w:r w:rsidR="00FA058A">
        <w:t>C</w:t>
      </w:r>
      <w:r>
        <w:t>oncern</w:t>
      </w:r>
      <w:r w:rsidR="00FA058A">
        <w:t>s regarding an overstatement of the activity or welfare effects of a company income tax</w:t>
      </w:r>
      <w:r>
        <w:t xml:space="preserve"> </w:t>
      </w:r>
      <w:r w:rsidR="00FA058A">
        <w:t>are</w:t>
      </w:r>
      <w:r>
        <w:t xml:space="preserve"> mitigated </w:t>
      </w:r>
      <w:r w:rsidR="00FA058A">
        <w:t xml:space="preserve">in this paper </w:t>
      </w:r>
      <w:r>
        <w:t xml:space="preserve">by adopting conservative </w:t>
      </w:r>
      <w:r w:rsidR="005012DE">
        <w:t xml:space="preserve">long-run economic </w:t>
      </w:r>
      <w:r>
        <w:t xml:space="preserve">assumptions </w:t>
      </w:r>
      <w:r w:rsidR="00103FC6">
        <w:t xml:space="preserve">that </w:t>
      </w:r>
      <w:r w:rsidR="005012DE">
        <w:t>likely</w:t>
      </w:r>
      <w:r>
        <w:t xml:space="preserve"> overstate the </w:t>
      </w:r>
      <w:r w:rsidR="000F433F">
        <w:t xml:space="preserve">expected </w:t>
      </w:r>
      <w:r>
        <w:t>gap between the required return to foreign investors and the growth rate of the economy.</w:t>
      </w:r>
    </w:p>
    <w:p w14:paraId="3C2B257B" w14:textId="77777777" w:rsidR="005A2B26" w:rsidRPr="005A2B26" w:rsidRDefault="005A2B26" w:rsidP="005D4BBD">
      <w:pPr>
        <w:pStyle w:val="Heading3"/>
      </w:pPr>
      <w:r w:rsidRPr="005A2B26">
        <w:lastRenderedPageBreak/>
        <w:t>Tax coverage and calibration</w:t>
      </w:r>
      <w:r w:rsidR="00575C39" w:rsidRPr="00575C39">
        <w:rPr>
          <w:vertAlign w:val="superscript"/>
        </w:rPr>
        <w:footnoteReference w:id="6"/>
      </w:r>
    </w:p>
    <w:p w14:paraId="5E49BE64" w14:textId="77777777" w:rsidR="005A2B26" w:rsidRPr="005A2B26" w:rsidRDefault="005A2B26" w:rsidP="005A2B26">
      <w:pPr>
        <w:spacing w:after="120"/>
        <w:rPr>
          <w:color w:val="auto"/>
        </w:rPr>
      </w:pPr>
      <w:r w:rsidRPr="005A2B26">
        <w:rPr>
          <w:color w:val="auto"/>
        </w:rPr>
        <w:t>The economy</w:t>
      </w:r>
      <w:r w:rsidRPr="005A2B26">
        <w:rPr>
          <w:color w:val="auto"/>
        </w:rPr>
        <w:noBreakHyphen/>
        <w:t xml:space="preserve">wide model incorporates </w:t>
      </w:r>
      <w:r w:rsidR="006B02E6">
        <w:rPr>
          <w:color w:val="auto"/>
        </w:rPr>
        <w:t>six</w:t>
      </w:r>
      <w:r w:rsidRPr="005A2B26">
        <w:rPr>
          <w:color w:val="auto"/>
        </w:rPr>
        <w:t xml:space="preserve"> of Australia’s major taxes. It captures the complexity of these taxes to varying degrees. The taxes examine</w:t>
      </w:r>
      <w:r w:rsidR="00835098">
        <w:rPr>
          <w:color w:val="auto"/>
        </w:rPr>
        <w:t>d</w:t>
      </w:r>
      <w:r w:rsidRPr="005A2B26">
        <w:rPr>
          <w:color w:val="auto"/>
        </w:rPr>
        <w:t xml:space="preserve"> comprise:</w:t>
      </w:r>
    </w:p>
    <w:p w14:paraId="4E19F2F2" w14:textId="77777777" w:rsidR="005A2B26" w:rsidRPr="005A2B26" w:rsidRDefault="005A2B26" w:rsidP="002D7D7A">
      <w:pPr>
        <w:numPr>
          <w:ilvl w:val="0"/>
          <w:numId w:val="20"/>
        </w:numPr>
        <w:tabs>
          <w:tab w:val="clear" w:pos="614"/>
          <w:tab w:val="num" w:pos="426"/>
        </w:tabs>
        <w:spacing w:after="120"/>
        <w:ind w:left="426" w:hanging="426"/>
        <w:rPr>
          <w:color w:val="auto"/>
        </w:rPr>
      </w:pPr>
      <w:r w:rsidRPr="005A2B26">
        <w:rPr>
          <w:color w:val="auto"/>
        </w:rPr>
        <w:t>company income tax, incorporating some complexities in the company income tax system;</w:t>
      </w:r>
    </w:p>
    <w:p w14:paraId="548A07FA" w14:textId="77777777" w:rsidR="00717274" w:rsidRPr="00717274" w:rsidRDefault="005A2B26" w:rsidP="00717274">
      <w:pPr>
        <w:numPr>
          <w:ilvl w:val="0"/>
          <w:numId w:val="20"/>
        </w:numPr>
        <w:tabs>
          <w:tab w:val="clear" w:pos="614"/>
          <w:tab w:val="num" w:pos="426"/>
        </w:tabs>
        <w:spacing w:after="120"/>
        <w:ind w:left="426" w:hanging="426"/>
        <w:rPr>
          <w:color w:val="auto"/>
        </w:rPr>
      </w:pPr>
      <w:r w:rsidRPr="005A2B26">
        <w:rPr>
          <w:color w:val="auto"/>
        </w:rPr>
        <w:t>a stylised flat income tax on individuals’ labour and capital (termed ‘personal income tax’ throughout this paper) which ignores heterogeneity in labour supply across different groups of taxpayers and the progressive individuals’ income tax scale;</w:t>
      </w:r>
    </w:p>
    <w:p w14:paraId="4E60E866" w14:textId="77777777" w:rsidR="005A2B26" w:rsidRDefault="005A2B26" w:rsidP="002D7D7A">
      <w:pPr>
        <w:numPr>
          <w:ilvl w:val="0"/>
          <w:numId w:val="20"/>
        </w:numPr>
        <w:tabs>
          <w:tab w:val="clear" w:pos="614"/>
          <w:tab w:val="num" w:pos="426"/>
        </w:tabs>
        <w:spacing w:after="120"/>
        <w:ind w:left="426" w:hanging="426"/>
        <w:rPr>
          <w:color w:val="auto"/>
        </w:rPr>
      </w:pPr>
      <w:r w:rsidRPr="005A2B26">
        <w:rPr>
          <w:color w:val="auto"/>
        </w:rPr>
        <w:t>the goods and services tax (GST) on the current base, with fresh food, health services, education, childcare, as well as water, sewerage and drainage services, GST</w:t>
      </w:r>
      <w:r w:rsidRPr="005A2B26">
        <w:rPr>
          <w:color w:val="auto"/>
        </w:rPr>
        <w:noBreakHyphen/>
        <w:t>free;</w:t>
      </w:r>
    </w:p>
    <w:p w14:paraId="76C05E14" w14:textId="5B94C7D3" w:rsidR="00717274" w:rsidRPr="005A2B26" w:rsidRDefault="00717274" w:rsidP="002D7D7A">
      <w:pPr>
        <w:numPr>
          <w:ilvl w:val="0"/>
          <w:numId w:val="20"/>
        </w:numPr>
        <w:tabs>
          <w:tab w:val="clear" w:pos="614"/>
          <w:tab w:val="num" w:pos="426"/>
        </w:tabs>
        <w:spacing w:after="120"/>
        <w:ind w:left="426" w:hanging="426"/>
        <w:rPr>
          <w:color w:val="auto"/>
        </w:rPr>
      </w:pPr>
      <w:r w:rsidRPr="00113332">
        <w:rPr>
          <w:color w:val="auto"/>
        </w:rPr>
        <w:t>other indirect taxes are also captured in the model</w:t>
      </w:r>
      <w:r w:rsidR="001B112F" w:rsidRPr="00113332">
        <w:rPr>
          <w:color w:val="auto"/>
        </w:rPr>
        <w:t xml:space="preserve">: indirect taxes on production </w:t>
      </w:r>
      <w:r w:rsidR="00712AD3" w:rsidRPr="00113332">
        <w:rPr>
          <w:color w:val="auto"/>
        </w:rPr>
        <w:t xml:space="preserve">are </w:t>
      </w:r>
      <w:r w:rsidR="001B112F" w:rsidRPr="00113332">
        <w:rPr>
          <w:color w:val="auto"/>
        </w:rPr>
        <w:t>levied on the value of production in each industry; indirect taxes on final demand are modelled as a single</w:t>
      </w:r>
      <w:r w:rsidR="00446698">
        <w:rPr>
          <w:color w:val="auto"/>
        </w:rPr>
        <w:t> </w:t>
      </w:r>
      <w:r w:rsidR="001B112F" w:rsidRPr="00113332">
        <w:rPr>
          <w:color w:val="auto"/>
        </w:rPr>
        <w:t xml:space="preserve">indirect tax for each </w:t>
      </w:r>
      <w:r w:rsidR="00712AD3" w:rsidRPr="00113332">
        <w:rPr>
          <w:color w:val="auto"/>
        </w:rPr>
        <w:t>economic agent</w:t>
      </w:r>
      <w:r w:rsidR="001B112F" w:rsidRPr="00113332">
        <w:rPr>
          <w:color w:val="auto"/>
        </w:rPr>
        <w:t xml:space="preserve"> (that is, hou</w:t>
      </w:r>
      <w:r w:rsidR="00575C39">
        <w:rPr>
          <w:color w:val="auto"/>
        </w:rPr>
        <w:t xml:space="preserve">seholds, firms and foreigners); and </w:t>
      </w:r>
      <w:r w:rsidR="001B112F" w:rsidRPr="00113332">
        <w:rPr>
          <w:color w:val="auto"/>
        </w:rPr>
        <w:t>include tobacco, alcohol and fuel excise</w:t>
      </w:r>
      <w:r w:rsidR="00575C39">
        <w:rPr>
          <w:color w:val="auto"/>
        </w:rPr>
        <w:t>;</w:t>
      </w:r>
    </w:p>
    <w:p w14:paraId="4CE61AFA" w14:textId="4112424C" w:rsidR="005A2B26" w:rsidRPr="005A2B26" w:rsidRDefault="005A2B26" w:rsidP="002D7D7A">
      <w:pPr>
        <w:numPr>
          <w:ilvl w:val="0"/>
          <w:numId w:val="20"/>
        </w:numPr>
        <w:tabs>
          <w:tab w:val="clear" w:pos="614"/>
          <w:tab w:val="num" w:pos="426"/>
        </w:tabs>
        <w:spacing w:after="120"/>
        <w:ind w:left="426" w:hanging="426"/>
        <w:rPr>
          <w:color w:val="auto"/>
        </w:rPr>
      </w:pPr>
      <w:r w:rsidRPr="005A2B26">
        <w:rPr>
          <w:color w:val="auto"/>
        </w:rPr>
        <w:t>a hypothetical broad</w:t>
      </w:r>
      <w:r w:rsidRPr="005A2B26">
        <w:rPr>
          <w:color w:val="auto"/>
        </w:rPr>
        <w:noBreakHyphen/>
        <w:t>based land tax, similar to municipal rates levied by local governments (and</w:t>
      </w:r>
      <w:r w:rsidR="00446698">
        <w:rPr>
          <w:color w:val="auto"/>
        </w:rPr>
        <w:t> </w:t>
      </w:r>
      <w:r w:rsidRPr="005A2B26">
        <w:rPr>
          <w:color w:val="auto"/>
        </w:rPr>
        <w:t>the Australian Capital Territory), but not reflective of the current state land tax regimes; and</w:t>
      </w:r>
    </w:p>
    <w:p w14:paraId="32A5D073" w14:textId="77777777" w:rsidR="005A2B26" w:rsidRPr="005A2B26" w:rsidRDefault="005A2B26" w:rsidP="002D7D7A">
      <w:pPr>
        <w:numPr>
          <w:ilvl w:val="0"/>
          <w:numId w:val="20"/>
        </w:numPr>
        <w:tabs>
          <w:tab w:val="clear" w:pos="614"/>
          <w:tab w:val="num" w:pos="426"/>
        </w:tabs>
        <w:ind w:left="426" w:hanging="426"/>
        <w:rPr>
          <w:color w:val="auto"/>
        </w:rPr>
      </w:pPr>
      <w:r w:rsidRPr="005A2B26">
        <w:rPr>
          <w:color w:val="auto"/>
        </w:rPr>
        <w:t>stamp duty on conveyances.</w:t>
      </w:r>
    </w:p>
    <w:p w14:paraId="1E3A8746" w14:textId="77777777" w:rsidR="005A2B26" w:rsidRPr="005A2B26" w:rsidRDefault="005A2B26" w:rsidP="005A2B26">
      <w:pPr>
        <w:pStyle w:val="Heading4"/>
      </w:pPr>
      <w:r w:rsidRPr="005A2B26">
        <w:t>Company income taxation</w:t>
      </w:r>
    </w:p>
    <w:p w14:paraId="46644472" w14:textId="77777777" w:rsidR="005A2B26" w:rsidRPr="005A2B26" w:rsidRDefault="005A2B26" w:rsidP="005A2B26">
      <w:pPr>
        <w:rPr>
          <w:color w:val="auto"/>
        </w:rPr>
      </w:pPr>
      <w:r w:rsidRPr="005A2B26">
        <w:rPr>
          <w:color w:val="auto"/>
        </w:rPr>
        <w:t>The model reflects many features of the company tax system, including: deductibility of interest payments; revenue clawback through dividend imputation; depreciation allowances that reflect an historical cost basis and other aspects of tax laws; expensing of certain investments; and foreign tax credit arrangements. As such it captures the effects of the company tax system on: the size of the capital stock in each industry; the mix of capital types; labour supply (for a single representative household); the location of multinational profits; and the location of multinational firm</w:t>
      </w:r>
      <w:r w:rsidRPr="005A2B26">
        <w:rPr>
          <w:color w:val="auto"/>
        </w:rPr>
        <w:noBreakHyphen/>
        <w:t>specific assets, such as intellectual property.</w:t>
      </w:r>
    </w:p>
    <w:p w14:paraId="0FA2B637" w14:textId="77777777" w:rsidR="005A2B26" w:rsidRPr="005A2B26" w:rsidRDefault="005A2B26" w:rsidP="005A2B26">
      <w:pPr>
        <w:rPr>
          <w:color w:val="auto"/>
        </w:rPr>
      </w:pPr>
      <w:r w:rsidRPr="005A2B26">
        <w:rPr>
          <w:color w:val="auto"/>
        </w:rPr>
        <w:t>Profit</w:t>
      </w:r>
      <w:r w:rsidRPr="005A2B26">
        <w:rPr>
          <w:color w:val="auto"/>
        </w:rPr>
        <w:noBreakHyphen/>
        <w:t xml:space="preserve">shifting is also incorporated in the model. This is done by allowing companies to reduce their business tax liability by shifting profits from Australia to countries with lower rates of business tax. Following De Mooij and Devereux (2011) </w:t>
      </w:r>
      <w:r w:rsidR="00835098">
        <w:rPr>
          <w:color w:val="auto"/>
        </w:rPr>
        <w:t xml:space="preserve">the modelling of </w:t>
      </w:r>
      <w:r w:rsidRPr="005A2B26">
        <w:rPr>
          <w:color w:val="auto"/>
        </w:rPr>
        <w:t xml:space="preserve">profit shifting captures both transfer pricing and tax havens. All else equal, the existence of profit shifting implies a smaller company income tax base. </w:t>
      </w:r>
      <w:r w:rsidRPr="00113332">
        <w:rPr>
          <w:color w:val="auto"/>
        </w:rPr>
        <w:t>Achieving a given amount of revenue, therefore, requires a higher company income tax rate under profit</w:t>
      </w:r>
      <w:r w:rsidRPr="00113332">
        <w:rPr>
          <w:color w:val="auto"/>
        </w:rPr>
        <w:noBreakHyphen/>
        <w:t>shifting</w:t>
      </w:r>
      <w:r w:rsidR="00712AD3" w:rsidRPr="00113332">
        <w:rPr>
          <w:color w:val="auto"/>
        </w:rPr>
        <w:t xml:space="preserve"> because of the stronger incentives for multinationals to shift profits offshore with a higher company tax rate.</w:t>
      </w:r>
      <w:r w:rsidRPr="005A2B26">
        <w:rPr>
          <w:color w:val="auto"/>
        </w:rPr>
        <w:t xml:space="preserve"> This implies a higher marginal excess burden for the company income tax.</w:t>
      </w:r>
    </w:p>
    <w:p w14:paraId="436BBC46" w14:textId="77777777" w:rsidR="00446698" w:rsidRDefault="00446698">
      <w:pPr>
        <w:rPr>
          <w:rFonts w:ascii="Arial" w:hAnsi="Arial"/>
          <w:b/>
          <w:color w:val="003157"/>
        </w:rPr>
      </w:pPr>
      <w:r>
        <w:br w:type="page"/>
      </w:r>
    </w:p>
    <w:p w14:paraId="70350590" w14:textId="52E557F2" w:rsidR="005A2B26" w:rsidRPr="005A2B26" w:rsidRDefault="005A2B26" w:rsidP="005A2B26">
      <w:pPr>
        <w:pStyle w:val="Heading4"/>
      </w:pPr>
      <w:r w:rsidRPr="005A2B26">
        <w:lastRenderedPageBreak/>
        <w:t>Personal income taxation on labour and capital</w:t>
      </w:r>
    </w:p>
    <w:p w14:paraId="3D235E3F" w14:textId="77777777" w:rsidR="005A2B26" w:rsidRPr="005A2B26" w:rsidRDefault="005A2B26" w:rsidP="005A2B26">
      <w:pPr>
        <w:rPr>
          <w:color w:val="auto"/>
        </w:rPr>
      </w:pPr>
      <w:r w:rsidRPr="005A2B26">
        <w:rPr>
          <w:color w:val="auto"/>
        </w:rPr>
        <w:t>Personal income tax is modelled as a flat rate equal to the effective average tax rate on household income. This simplification is a by</w:t>
      </w:r>
      <w:r w:rsidRPr="005A2B26">
        <w:rPr>
          <w:color w:val="auto"/>
        </w:rPr>
        <w:noBreakHyphen/>
        <w:t>product of the design of the CGE model, which includes a single representative household. A limitation with the modelling is that it does not capture the progressive income tax scales in Australia</w:t>
      </w:r>
      <w:r w:rsidR="00251818">
        <w:rPr>
          <w:color w:val="auto"/>
        </w:rPr>
        <w:t>.</w:t>
      </w:r>
      <w:r w:rsidR="000F433F">
        <w:rPr>
          <w:color w:val="auto"/>
        </w:rPr>
        <w:t xml:space="preserve"> </w:t>
      </w:r>
      <w:r w:rsidR="00251818">
        <w:rPr>
          <w:color w:val="auto"/>
        </w:rPr>
        <w:t xml:space="preserve">Progressivity would be </w:t>
      </w:r>
      <w:r w:rsidRPr="005A2B26">
        <w:rPr>
          <w:color w:val="auto"/>
        </w:rPr>
        <w:t xml:space="preserve">expected to </w:t>
      </w:r>
      <w:r w:rsidR="00251818">
        <w:rPr>
          <w:color w:val="auto"/>
        </w:rPr>
        <w:t>reduce</w:t>
      </w:r>
      <w:r w:rsidRPr="005A2B26">
        <w:rPr>
          <w:color w:val="auto"/>
        </w:rPr>
        <w:t xml:space="preserve"> the efficiency of personal income taxation. The transfer system and the impact of the withdrawal of payments on effective marginal tax rates is also beyond the scope of this paper, but is nevertheless important in broader discussions about the economic effect of different taxes.</w:t>
      </w:r>
    </w:p>
    <w:p w14:paraId="10E3772C" w14:textId="77777777" w:rsidR="005A2B26" w:rsidRPr="005A2B26" w:rsidRDefault="00835098" w:rsidP="005A2B26">
      <w:pPr>
        <w:rPr>
          <w:color w:val="auto"/>
        </w:rPr>
      </w:pPr>
      <w:r>
        <w:rPr>
          <w:color w:val="auto"/>
        </w:rPr>
        <w:t>B</w:t>
      </w:r>
      <w:r w:rsidR="005A2B26" w:rsidRPr="005A2B26">
        <w:rPr>
          <w:color w:val="auto"/>
        </w:rPr>
        <w:t>oth the labour income and capital income component of the personal income tax system</w:t>
      </w:r>
      <w:r>
        <w:rPr>
          <w:color w:val="auto"/>
        </w:rPr>
        <w:t xml:space="preserve"> is modelled</w:t>
      </w:r>
      <w:r w:rsidR="005A2B26" w:rsidRPr="005A2B26">
        <w:rPr>
          <w:color w:val="auto"/>
        </w:rPr>
        <w:t xml:space="preserve">, with a common flat tax rate applied to labour and capital income. </w:t>
      </w:r>
      <w:r w:rsidR="00275516" w:rsidRPr="009C7330">
        <w:rPr>
          <w:color w:val="auto"/>
        </w:rPr>
        <w:t xml:space="preserve">Because the model is static there are effectively </w:t>
      </w:r>
      <w:r w:rsidR="00275516" w:rsidRPr="009C7330">
        <w:t xml:space="preserve">no ‘retained capital earnings’ with capital gains essentially returned every period to </w:t>
      </w:r>
      <w:r w:rsidR="00275516" w:rsidRPr="009C7330">
        <w:rPr>
          <w:color w:val="auto"/>
        </w:rPr>
        <w:t>capital owners (domestic and foreign households) in the form of dividends</w:t>
      </w:r>
      <w:r w:rsidR="009002FD" w:rsidRPr="009C7330">
        <w:rPr>
          <w:color w:val="auto"/>
        </w:rPr>
        <w:t xml:space="preserve"> or a share buy-back</w:t>
      </w:r>
      <w:r w:rsidR="00275516" w:rsidRPr="009C7330">
        <w:t xml:space="preserve"> and immediately reinvested</w:t>
      </w:r>
      <w:r w:rsidR="00275516">
        <w:t>.</w:t>
      </w:r>
      <w:r w:rsidR="005A2B26" w:rsidRPr="005A2B26">
        <w:rPr>
          <w:color w:val="auto"/>
        </w:rPr>
        <w:t xml:space="preserve"> The household utilises franking credits against tax paid under the company income tax, with the balance taxed at the flat personal income tax rate.</w:t>
      </w:r>
      <w:r w:rsidR="005A2B26" w:rsidRPr="005A2B26">
        <w:rPr>
          <w:color w:val="auto"/>
          <w:vertAlign w:val="superscript"/>
        </w:rPr>
        <w:t xml:space="preserve"> </w:t>
      </w:r>
      <w:r w:rsidR="005A2B26" w:rsidRPr="005A2B26">
        <w:rPr>
          <w:color w:val="auto"/>
        </w:rPr>
        <w:t xml:space="preserve">The model does not capture deductions claimed against assessable income or the concessional tax treatment of some forms of income. This means that the average flat tax on labour and capital income calculated within our model is lower than the observed average tax rate on taxation income in administrative data. </w:t>
      </w:r>
      <w:r w:rsidR="009777BF">
        <w:rPr>
          <w:color w:val="auto"/>
        </w:rPr>
        <w:t>T</w:t>
      </w:r>
      <w:r w:rsidR="005A2B26" w:rsidRPr="005A2B26">
        <w:rPr>
          <w:color w:val="auto"/>
        </w:rPr>
        <w:t>he model incorporate</w:t>
      </w:r>
      <w:r w:rsidR="009777BF">
        <w:rPr>
          <w:color w:val="auto"/>
        </w:rPr>
        <w:t>s</w:t>
      </w:r>
      <w:r w:rsidR="005A2B26" w:rsidRPr="005A2B26">
        <w:rPr>
          <w:color w:val="auto"/>
        </w:rPr>
        <w:t xml:space="preserve"> income received in the form of transfer payments from Government and assumes that these payments are not subject to personal income tax.</w:t>
      </w:r>
    </w:p>
    <w:p w14:paraId="015F9620" w14:textId="77777777" w:rsidR="005A2B26" w:rsidRPr="005A2B26" w:rsidRDefault="005A2B26" w:rsidP="005A2B26">
      <w:pPr>
        <w:rPr>
          <w:color w:val="auto"/>
        </w:rPr>
      </w:pPr>
      <w:r w:rsidRPr="005A2B26">
        <w:rPr>
          <w:color w:val="auto"/>
        </w:rPr>
        <w:t>The distortions and efficiency costs arising from tax planning and minimisation are also outside the scope of this analysis.</w:t>
      </w:r>
    </w:p>
    <w:p w14:paraId="4B0EF382" w14:textId="77777777" w:rsidR="005A2B26" w:rsidRPr="005A2B26" w:rsidRDefault="000F433F" w:rsidP="005A2B26">
      <w:pPr>
        <w:rPr>
          <w:color w:val="auto"/>
        </w:rPr>
      </w:pPr>
      <w:r>
        <w:rPr>
          <w:color w:val="auto"/>
        </w:rPr>
        <w:t xml:space="preserve">The general government’s primary budget balance is achieved in the baseline calibration by using </w:t>
      </w:r>
      <w:r w:rsidR="005A2B26" w:rsidRPr="005A2B26">
        <w:rPr>
          <w:color w:val="auto"/>
        </w:rPr>
        <w:t xml:space="preserve">personal income tax </w:t>
      </w:r>
      <w:r>
        <w:rPr>
          <w:color w:val="auto"/>
        </w:rPr>
        <w:t>as</w:t>
      </w:r>
      <w:r w:rsidR="005A2B26" w:rsidRPr="005A2B26">
        <w:rPr>
          <w:color w:val="auto"/>
        </w:rPr>
        <w:t xml:space="preserve"> </w:t>
      </w:r>
      <w:r w:rsidR="009777BF">
        <w:rPr>
          <w:color w:val="auto"/>
        </w:rPr>
        <w:t xml:space="preserve">the </w:t>
      </w:r>
      <w:r w:rsidR="005A2B26" w:rsidRPr="005A2B26">
        <w:rPr>
          <w:color w:val="auto"/>
        </w:rPr>
        <w:t>balancing item.</w:t>
      </w:r>
      <w:r w:rsidR="005A2B26" w:rsidRPr="005A2B26">
        <w:rPr>
          <w:color w:val="auto"/>
          <w:vertAlign w:val="superscript"/>
        </w:rPr>
        <w:footnoteReference w:id="7"/>
      </w:r>
      <w:r w:rsidR="005A2B26" w:rsidRPr="005A2B26">
        <w:rPr>
          <w:color w:val="auto"/>
        </w:rPr>
        <w:t xml:space="preserve"> </w:t>
      </w:r>
      <w:r>
        <w:rPr>
          <w:color w:val="auto"/>
        </w:rPr>
        <w:t>This approach slightly overstates the p</w:t>
      </w:r>
      <w:r w:rsidR="005A2B26" w:rsidRPr="005A2B26">
        <w:rPr>
          <w:color w:val="auto"/>
        </w:rPr>
        <w:t xml:space="preserve">ersonal income tax receipts in the </w:t>
      </w:r>
      <w:r>
        <w:rPr>
          <w:color w:val="auto"/>
        </w:rPr>
        <w:t>base year by around</w:t>
      </w:r>
      <w:r w:rsidR="005A2B26" w:rsidRPr="005A2B26">
        <w:rPr>
          <w:color w:val="auto"/>
        </w:rPr>
        <w:t xml:space="preserve"> $5 billion</w:t>
      </w:r>
      <w:r>
        <w:rPr>
          <w:color w:val="auto"/>
        </w:rPr>
        <w:t xml:space="preserve">, which compares with </w:t>
      </w:r>
      <w:r w:rsidR="005A2B26" w:rsidRPr="005A2B26">
        <w:rPr>
          <w:color w:val="auto"/>
        </w:rPr>
        <w:t>reported total personal income tax revenue of around $160 billion in the ABS Taxation Revenue, Australia 2012</w:t>
      </w:r>
      <w:r w:rsidR="005A2B26" w:rsidRPr="005A2B26">
        <w:rPr>
          <w:color w:val="auto"/>
        </w:rPr>
        <w:noBreakHyphen/>
        <w:t>13 (ABS Cat. No. 5506.0). The model</w:t>
      </w:r>
      <w:r w:rsidR="00EA3E64">
        <w:rPr>
          <w:color w:val="auto"/>
        </w:rPr>
        <w:t>-</w:t>
      </w:r>
      <w:r w:rsidR="005A2B26" w:rsidRPr="005A2B26">
        <w:rPr>
          <w:color w:val="auto"/>
        </w:rPr>
        <w:t>derived average tax rate on personal income is estimated to be 16.7 per cent</w:t>
      </w:r>
      <w:r w:rsidR="00EA3E64">
        <w:rPr>
          <w:color w:val="auto"/>
        </w:rPr>
        <w:t xml:space="preserve"> in the baseline</w:t>
      </w:r>
      <w:r w:rsidR="005A2B26" w:rsidRPr="005A2B26">
        <w:rPr>
          <w:color w:val="auto"/>
        </w:rPr>
        <w:t>.</w:t>
      </w:r>
    </w:p>
    <w:p w14:paraId="17A0B0AD" w14:textId="77777777" w:rsidR="005A2B26" w:rsidRPr="005A2B26" w:rsidRDefault="005A2B26" w:rsidP="005A2B26">
      <w:pPr>
        <w:pStyle w:val="Heading4"/>
      </w:pPr>
      <w:r w:rsidRPr="005A2B26">
        <w:t>Goods and services taxation</w:t>
      </w:r>
    </w:p>
    <w:p w14:paraId="0AA691C0" w14:textId="77777777" w:rsidR="005A2B26" w:rsidRPr="005A2B26" w:rsidRDefault="005A2B26" w:rsidP="005A2B26">
      <w:pPr>
        <w:rPr>
          <w:color w:val="auto"/>
          <w:lang w:val="en-US" w:eastAsia="en-AU"/>
        </w:rPr>
      </w:pPr>
      <w:r w:rsidRPr="005A2B26">
        <w:rPr>
          <w:color w:val="auto"/>
        </w:rPr>
        <w:t>The model separately identifies the goods and services tax (GST) from general indirect taxation.</w:t>
      </w:r>
      <w:r w:rsidRPr="005A2B26">
        <w:rPr>
          <w:color w:val="auto"/>
          <w:vertAlign w:val="superscript"/>
        </w:rPr>
        <w:footnoteReference w:id="8"/>
      </w:r>
      <w:r w:rsidRPr="005A2B26">
        <w:rPr>
          <w:color w:val="auto"/>
        </w:rPr>
        <w:t xml:space="preserve"> The effective GST rates are based on product</w:t>
      </w:r>
      <w:r w:rsidRPr="005A2B26">
        <w:rPr>
          <w:color w:val="auto"/>
        </w:rPr>
        <w:noBreakHyphen/>
        <w:t>based tax receipts from the ABS Input</w:t>
      </w:r>
      <w:r w:rsidRPr="005A2B26">
        <w:rPr>
          <w:color w:val="auto"/>
        </w:rPr>
        <w:noBreakHyphen/>
        <w:t>Output tables</w:t>
      </w:r>
      <w:r w:rsidRPr="005A2B26">
        <w:rPr>
          <w:color w:val="auto"/>
        </w:rPr>
        <w:br/>
        <w:t>(ABS Cat. No. 5209.0.55.001). These tables cover taxed intermediate inputs, household final consumption expenditure and private gross fixed capital formation. This treatment allows analys</w:t>
      </w:r>
      <w:r w:rsidR="00042726">
        <w:rPr>
          <w:color w:val="auto"/>
        </w:rPr>
        <w:t>is</w:t>
      </w:r>
      <w:r w:rsidRPr="005A2B26">
        <w:rPr>
          <w:color w:val="auto"/>
        </w:rPr>
        <w:t xml:space="preserve"> </w:t>
      </w:r>
      <w:r w:rsidR="00042726">
        <w:rPr>
          <w:color w:val="auto"/>
        </w:rPr>
        <w:t xml:space="preserve">of </w:t>
      </w:r>
      <w:r w:rsidRPr="005A2B26">
        <w:rPr>
          <w:color w:val="auto"/>
        </w:rPr>
        <w:t>the effect of both rate changes and base</w:t>
      </w:r>
      <w:r w:rsidRPr="005A2B26">
        <w:rPr>
          <w:color w:val="auto"/>
        </w:rPr>
        <w:noBreakHyphen/>
        <w:t>broadening.</w:t>
      </w:r>
    </w:p>
    <w:p w14:paraId="4AC3559B" w14:textId="77777777" w:rsidR="00446698" w:rsidRDefault="00446698">
      <w:pPr>
        <w:rPr>
          <w:rFonts w:ascii="Arial" w:hAnsi="Arial"/>
          <w:b/>
          <w:color w:val="003157"/>
          <w:lang w:val="en-US" w:eastAsia="en-AU"/>
        </w:rPr>
      </w:pPr>
      <w:r>
        <w:rPr>
          <w:lang w:val="en-US" w:eastAsia="en-AU"/>
        </w:rPr>
        <w:br w:type="page"/>
      </w:r>
    </w:p>
    <w:p w14:paraId="33322F5E" w14:textId="3DB458E6" w:rsidR="005A2B26" w:rsidRPr="005A2B26" w:rsidRDefault="005A2B26" w:rsidP="005A2B26">
      <w:pPr>
        <w:pStyle w:val="Heading4"/>
        <w:rPr>
          <w:lang w:val="en-US" w:eastAsia="en-AU"/>
        </w:rPr>
      </w:pPr>
      <w:r w:rsidRPr="005A2B26">
        <w:rPr>
          <w:lang w:val="en-US" w:eastAsia="en-AU"/>
        </w:rPr>
        <w:lastRenderedPageBreak/>
        <w:t>Hypothetical broad</w:t>
      </w:r>
      <w:r w:rsidRPr="005A2B26">
        <w:rPr>
          <w:lang w:val="en-US" w:eastAsia="en-AU"/>
        </w:rPr>
        <w:noBreakHyphen/>
        <w:t>based land tax</w:t>
      </w:r>
    </w:p>
    <w:p w14:paraId="275000F7" w14:textId="77777777" w:rsidR="005A2B26" w:rsidRPr="005A2B26" w:rsidRDefault="005A2B26" w:rsidP="005A2B26">
      <w:pPr>
        <w:rPr>
          <w:color w:val="auto"/>
        </w:rPr>
      </w:pPr>
      <w:r w:rsidRPr="005A2B26">
        <w:rPr>
          <w:color w:val="auto"/>
          <w:lang w:val="en-US" w:eastAsia="en-AU"/>
        </w:rPr>
        <w:t>Land taxes are modelled as a stylised b</w:t>
      </w:r>
      <w:r w:rsidRPr="005A2B26">
        <w:rPr>
          <w:color w:val="auto"/>
        </w:rPr>
        <w:t>road</w:t>
      </w:r>
      <w:r w:rsidRPr="005A2B26">
        <w:rPr>
          <w:color w:val="auto"/>
        </w:rPr>
        <w:noBreakHyphen/>
        <w:t>based land tax which is calibrated to include municipal rates on all properties and a broad</w:t>
      </w:r>
      <w:r w:rsidRPr="005A2B26">
        <w:rPr>
          <w:color w:val="auto"/>
        </w:rPr>
        <w:noBreakHyphen/>
        <w:t>based land tax on all investment properties levied on the unimproved value of land. The model recognises that the value of land is determined by the flow of services from its use, which means the broad</w:t>
      </w:r>
      <w:r w:rsidRPr="005A2B26">
        <w:rPr>
          <w:color w:val="auto"/>
        </w:rPr>
        <w:noBreakHyphen/>
        <w:t>based land tax can be modelled in the long</w:t>
      </w:r>
      <w:r w:rsidR="009777BF">
        <w:rPr>
          <w:color w:val="auto"/>
        </w:rPr>
        <w:t xml:space="preserve"> </w:t>
      </w:r>
      <w:r w:rsidRPr="005A2B26">
        <w:rPr>
          <w:color w:val="auto"/>
        </w:rPr>
        <w:t>run as a tax on the rental income from land. Working towards that end, the current version of the model has been extended to include a broad</w:t>
      </w:r>
      <w:r w:rsidRPr="005A2B26">
        <w:rPr>
          <w:color w:val="auto"/>
        </w:rPr>
        <w:noBreakHyphen/>
        <w:t>based land tax in the form of a rental income tax on land which is collected before company income tax.</w:t>
      </w:r>
    </w:p>
    <w:p w14:paraId="4341D913" w14:textId="77777777" w:rsidR="005A2B26" w:rsidRPr="005A2B26" w:rsidRDefault="005A2B26" w:rsidP="005A2B26">
      <w:pPr>
        <w:rPr>
          <w:color w:val="auto"/>
        </w:rPr>
      </w:pPr>
      <w:r w:rsidRPr="005A2B26">
        <w:rPr>
          <w:color w:val="auto"/>
        </w:rPr>
        <w:t>The model has two types of land: residential and non</w:t>
      </w:r>
      <w:r w:rsidRPr="005A2B26">
        <w:rPr>
          <w:color w:val="auto"/>
        </w:rPr>
        <w:noBreakHyphen/>
        <w:t>residential land.</w:t>
      </w:r>
      <w:r w:rsidRPr="005A2B26">
        <w:rPr>
          <w:color w:val="auto"/>
          <w:vertAlign w:val="superscript"/>
        </w:rPr>
        <w:footnoteReference w:id="9"/>
      </w:r>
      <w:r w:rsidRPr="005A2B26">
        <w:rPr>
          <w:color w:val="auto"/>
        </w:rPr>
        <w:t xml:space="preserve"> Residential land is only used by the Ownership of Dwellings sector, while non</w:t>
      </w:r>
      <w:r w:rsidRPr="005A2B26">
        <w:rPr>
          <w:color w:val="auto"/>
        </w:rPr>
        <w:noBreakHyphen/>
        <w:t>residential land is used by all other industries. While the total supply of each type of land is fixed, the utilisation of land can be increased through greater investment in structures. Finally, the supply of non</w:t>
      </w:r>
      <w:r w:rsidRPr="005A2B26">
        <w:rPr>
          <w:color w:val="auto"/>
        </w:rPr>
        <w:noBreakHyphen/>
        <w:t>residential land at the sectoral level can vary, with land allocated via the rental market to its most productive use.</w:t>
      </w:r>
    </w:p>
    <w:p w14:paraId="50318378" w14:textId="77777777" w:rsidR="005A2B26" w:rsidRPr="005A2B26" w:rsidRDefault="005A2B26" w:rsidP="005A2B26">
      <w:pPr>
        <w:rPr>
          <w:color w:val="auto"/>
        </w:rPr>
      </w:pPr>
      <w:r w:rsidRPr="005A2B26">
        <w:rPr>
          <w:color w:val="auto"/>
        </w:rPr>
        <w:t>The effective rate of the broad</w:t>
      </w:r>
      <w:r w:rsidRPr="005A2B26">
        <w:rPr>
          <w:color w:val="auto"/>
        </w:rPr>
        <w:noBreakHyphen/>
        <w:t>based land tax is calculated based on land and municipal tax revenue, with different effective tax rates for residential and non</w:t>
      </w:r>
      <w:r w:rsidRPr="005A2B26">
        <w:rPr>
          <w:color w:val="auto"/>
        </w:rPr>
        <w:noBreakHyphen/>
        <w:t xml:space="preserve">residential land. </w:t>
      </w:r>
      <w:r w:rsidR="009777BF">
        <w:rPr>
          <w:color w:val="auto"/>
        </w:rPr>
        <w:t>T</w:t>
      </w:r>
      <w:r w:rsidRPr="005A2B26">
        <w:rPr>
          <w:color w:val="auto"/>
        </w:rPr>
        <w:t>he rate of the non</w:t>
      </w:r>
      <w:r w:rsidRPr="005A2B26">
        <w:rPr>
          <w:color w:val="auto"/>
        </w:rPr>
        <w:noBreakHyphen/>
        <w:t>residential broad</w:t>
      </w:r>
      <w:r w:rsidRPr="005A2B26">
        <w:rPr>
          <w:color w:val="auto"/>
        </w:rPr>
        <w:noBreakHyphen/>
        <w:t xml:space="preserve">based land tax is uniform across all industries </w:t>
      </w:r>
      <w:r w:rsidR="009777BF">
        <w:rPr>
          <w:color w:val="auto"/>
        </w:rPr>
        <w:t xml:space="preserve">because </w:t>
      </w:r>
      <w:r w:rsidRPr="005A2B26">
        <w:rPr>
          <w:color w:val="auto"/>
        </w:rPr>
        <w:t>more detailed data do not exist. The model incorporates foreign ownership of non</w:t>
      </w:r>
      <w:r w:rsidRPr="005A2B26">
        <w:rPr>
          <w:color w:val="auto"/>
        </w:rPr>
        <w:noBreakHyphen/>
        <w:t>residential land, but there is currently no allowance for foreign ownership of residential land. The foreign ownership share of total factor income from land is estimated to be around 10 per cent</w:t>
      </w:r>
      <w:r w:rsidRPr="005C15AE">
        <w:rPr>
          <w:color w:val="auto"/>
        </w:rPr>
        <w:t>.</w:t>
      </w:r>
      <w:r w:rsidR="009D3CCB" w:rsidRPr="005C15AE">
        <w:rPr>
          <w:color w:val="auto"/>
        </w:rPr>
        <w:t xml:space="preserve"> </w:t>
      </w:r>
      <w:r w:rsidR="009D3CCB" w:rsidRPr="005C15AE">
        <w:t>The after</w:t>
      </w:r>
      <w:r w:rsidR="009D3CCB" w:rsidRPr="005C15AE">
        <w:noBreakHyphen/>
        <w:t>tax rate of return on land is invariant to the tax change. Hence, it is assumed that foreign and domestic land owners do not alter their holdings in response to a tax change.</w:t>
      </w:r>
    </w:p>
    <w:p w14:paraId="168D7D12" w14:textId="77777777" w:rsidR="005A2B26" w:rsidRPr="005A2B26" w:rsidRDefault="005A2B26" w:rsidP="005A2B26">
      <w:pPr>
        <w:pStyle w:val="Heading4"/>
      </w:pPr>
      <w:r w:rsidRPr="005A2B26">
        <w:t>Stamp duties on conveyances</w:t>
      </w:r>
    </w:p>
    <w:p w14:paraId="4D03D349" w14:textId="77777777" w:rsidR="005A2B26" w:rsidRPr="005A2B26" w:rsidRDefault="005A2B26" w:rsidP="005A2B26">
      <w:pPr>
        <w:rPr>
          <w:color w:val="auto"/>
        </w:rPr>
      </w:pPr>
      <w:r w:rsidRPr="005A2B26">
        <w:rPr>
          <w:color w:val="auto"/>
        </w:rPr>
        <w:t xml:space="preserve">Stamp duties are a tax paid on the value of an asset when ownership is transferred, often inclusive of the value of any capital improvements. Stamp duty on conveyances is currently levied on the transfer of motor vehicles, insurance, and land and structures. The analysis reported here only focuses on stamp duty on conveyances levied on the transfer of land and structures. </w:t>
      </w:r>
    </w:p>
    <w:p w14:paraId="26CD76C1" w14:textId="77777777" w:rsidR="005A2B26" w:rsidRPr="005A2B26" w:rsidRDefault="005A2B26" w:rsidP="005A2B26">
      <w:pPr>
        <w:rPr>
          <w:color w:val="auto"/>
        </w:rPr>
      </w:pPr>
      <w:r w:rsidRPr="005A2B26">
        <w:rPr>
          <w:color w:val="auto"/>
        </w:rPr>
        <w:t xml:space="preserve">It is inherently difficult to capture this type of capital transaction tax in a model with a single representative agent. The approach adopted here treats real estate services as an investment good which improves the productivity of the firms, including the housing sector. One way of thinking about this is that real estate agents play a valuable role in finding producers that value the capital the most. Therefore a potential owner will be willing to pay a real estate fee equal to the profit they will enjoy over the previous owner. Within this setting the conveyance duty is treated as a tax on the value of investment and subsequent productivity gains facilitated by the transfer of land and structures. </w:t>
      </w:r>
      <w:r w:rsidR="00835098">
        <w:rPr>
          <w:color w:val="auto"/>
        </w:rPr>
        <w:t>Cao et al</w:t>
      </w:r>
      <w:r w:rsidR="004600B3">
        <w:rPr>
          <w:color w:val="auto"/>
        </w:rPr>
        <w:t>. </w:t>
      </w:r>
      <w:r w:rsidR="00835098">
        <w:rPr>
          <w:color w:val="auto"/>
        </w:rPr>
        <w:t xml:space="preserve">(2015) </w:t>
      </w:r>
      <w:r w:rsidRPr="005A2B26">
        <w:rPr>
          <w:color w:val="auto"/>
        </w:rPr>
        <w:t>demonstrate that the return on investment is the same for a tax on investment or a tax on capital income (</w:t>
      </w:r>
      <w:r w:rsidR="004600B3">
        <w:rPr>
          <w:color w:val="auto"/>
        </w:rPr>
        <w:t>for example</w:t>
      </w:r>
      <w:r w:rsidRPr="005A2B26">
        <w:rPr>
          <w:color w:val="auto"/>
        </w:rPr>
        <w:t xml:space="preserve">, company income tax) with the same rate. </w:t>
      </w:r>
      <w:r w:rsidR="009777BF">
        <w:rPr>
          <w:color w:val="auto"/>
        </w:rPr>
        <w:t>T</w:t>
      </w:r>
      <w:r w:rsidRPr="005A2B26">
        <w:rPr>
          <w:color w:val="auto"/>
        </w:rPr>
        <w:t>he investment tax will collect less revenue than the capital income tax and is therefore less efficient (</w:t>
      </w:r>
      <w:r w:rsidR="004600B3">
        <w:rPr>
          <w:color w:val="auto"/>
        </w:rPr>
        <w:t>that is</w:t>
      </w:r>
      <w:r w:rsidRPr="005A2B26">
        <w:rPr>
          <w:color w:val="auto"/>
        </w:rPr>
        <w:t xml:space="preserve">, implies a larger marginal excess burden). </w:t>
      </w:r>
    </w:p>
    <w:p w14:paraId="33519EC9" w14:textId="77777777" w:rsidR="005A2B26" w:rsidRPr="005A2B26" w:rsidRDefault="005A2B26" w:rsidP="005A2B26">
      <w:pPr>
        <w:rPr>
          <w:color w:val="auto"/>
        </w:rPr>
      </w:pPr>
      <w:r w:rsidRPr="005A2B26">
        <w:rPr>
          <w:color w:val="auto"/>
        </w:rPr>
        <w:lastRenderedPageBreak/>
        <w:t>It is important to keep in mind that the approach taken here captures some of the efficiency costs of stamp duties associated with the distortion to value creating transactions. As such, the analysis aims to illustrate the potential efficiency impacts of stamp duties.</w:t>
      </w:r>
    </w:p>
    <w:p w14:paraId="5D45423C" w14:textId="77777777" w:rsidR="005A2B26" w:rsidRPr="005A2B26" w:rsidRDefault="005A2B26" w:rsidP="005D4BBD">
      <w:pPr>
        <w:pStyle w:val="Heading3"/>
      </w:pPr>
      <w:r w:rsidRPr="005A2B26">
        <w:t xml:space="preserve">Measuring the </w:t>
      </w:r>
      <w:r w:rsidR="006E5332">
        <w:t>welfare effects of tax changes</w:t>
      </w:r>
    </w:p>
    <w:p w14:paraId="450AE0FF" w14:textId="77777777" w:rsidR="005A2B26" w:rsidRPr="00C50229" w:rsidRDefault="005A2B26" w:rsidP="005A2B26">
      <w:pPr>
        <w:rPr>
          <w:color w:val="auto"/>
        </w:rPr>
      </w:pPr>
      <w:r w:rsidRPr="00C50229">
        <w:rPr>
          <w:color w:val="auto"/>
        </w:rPr>
        <w:t xml:space="preserve">The representative household captured in the model maximises its utility by consuming a variety of goods and services (hereafter their consumption bundle) and leisure time subject to a budget constraint. Figure </w:t>
      </w:r>
      <w:r w:rsidRPr="00C50229">
        <w:rPr>
          <w:noProof/>
          <w:color w:val="auto"/>
        </w:rPr>
        <w:t>1</w:t>
      </w:r>
      <w:r w:rsidRPr="00C50229">
        <w:rPr>
          <w:color w:val="auto"/>
        </w:rPr>
        <w:t xml:space="preserve"> demonstrates the typical utility maximising solution for the representative household. The household effectively faces the budget constraint represented by: the vertical segment XY equal to the sum of the household’s net transfer receipts and after</w:t>
      </w:r>
      <w:r w:rsidR="00390C5E">
        <w:rPr>
          <w:color w:val="auto"/>
        </w:rPr>
        <w:noBreakHyphen/>
        <w:t>tax capital income less saving</w:t>
      </w:r>
      <w:r w:rsidRPr="00C50229">
        <w:rPr>
          <w:color w:val="auto"/>
        </w:rPr>
        <w:t>, with the total expressed in terms of after</w:t>
      </w:r>
      <w:r w:rsidRPr="00C50229">
        <w:rPr>
          <w:color w:val="auto"/>
        </w:rPr>
        <w:noBreakHyphen/>
        <w:t xml:space="preserve">tax consumption prices; and the </w:t>
      </w:r>
      <w:r w:rsidR="000B6885" w:rsidRPr="00C50229">
        <w:rPr>
          <w:color w:val="auto"/>
        </w:rPr>
        <w:t>inclined</w:t>
      </w:r>
      <w:r w:rsidRPr="00C50229">
        <w:rPr>
          <w:color w:val="auto"/>
        </w:rPr>
        <w:t xml:space="preserve"> segment YZ, which reflects after</w:t>
      </w:r>
      <w:r w:rsidRPr="00C50229">
        <w:rPr>
          <w:color w:val="auto"/>
        </w:rPr>
        <w:noBreakHyphen/>
        <w:t>tax labour income, with the slope equal to the after</w:t>
      </w:r>
      <w:r w:rsidRPr="00C50229">
        <w:rPr>
          <w:color w:val="auto"/>
        </w:rPr>
        <w:noBreakHyphen/>
        <w:t>tax real wage:</w:t>
      </w:r>
    </w:p>
    <w:p w14:paraId="4D667160" w14:textId="77777777" w:rsidR="005A2B26" w:rsidRPr="00C50229" w:rsidRDefault="005A2B26" w:rsidP="005A2B26">
      <w:pPr>
        <w:tabs>
          <w:tab w:val="center" w:pos="4640"/>
          <w:tab w:val="right" w:pos="9300"/>
        </w:tabs>
        <w:rPr>
          <w:color w:val="auto"/>
        </w:rPr>
      </w:pPr>
      <w:r w:rsidRPr="00C50229">
        <w:rPr>
          <w:color w:val="auto"/>
        </w:rPr>
        <w:tab/>
      </w:r>
      <w:r w:rsidRPr="00C50229">
        <w:rPr>
          <w:color w:val="auto"/>
          <w:position w:val="-30"/>
        </w:rPr>
        <w:object w:dxaOrig="1080" w:dyaOrig="720" w14:anchorId="4EC28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equation presents the after tax real wage as the ratio of the after tax wage to the after tax price of aggregate consumption goods and services." style="width:54.35pt;height:37.3pt" o:ole="">
            <v:imagedata r:id="rId22" o:title=""/>
          </v:shape>
          <o:OLEObject Type="Embed" ProgID="Equation.DSMT4" ShapeID="_x0000_i1025" DrawAspect="Content" ObjectID="_1523801333" r:id="rId23"/>
        </w:object>
      </w:r>
      <w:r w:rsidRPr="00C50229">
        <w:rPr>
          <w:color w:val="auto"/>
        </w:rPr>
        <w:tab/>
      </w:r>
      <w:r w:rsidRPr="00C50229">
        <w:rPr>
          <w:color w:val="auto"/>
        </w:rPr>
        <w:fldChar w:fldCharType="begin"/>
      </w:r>
      <w:r w:rsidRPr="00C50229">
        <w:rPr>
          <w:color w:val="auto"/>
        </w:rPr>
        <w:instrText xml:space="preserve"> MACROBUTTON MTPlaceRef \* MERGEFORMAT </w:instrText>
      </w:r>
      <w:r w:rsidRPr="00C50229">
        <w:rPr>
          <w:color w:val="auto"/>
        </w:rPr>
        <w:fldChar w:fldCharType="begin"/>
      </w:r>
      <w:r w:rsidRPr="00C50229">
        <w:rPr>
          <w:color w:val="auto"/>
        </w:rPr>
        <w:instrText xml:space="preserve"> SEQ MTEqn \h \* MERGEFORMAT </w:instrText>
      </w:r>
      <w:r w:rsidRPr="00C50229">
        <w:rPr>
          <w:color w:val="auto"/>
        </w:rPr>
        <w:fldChar w:fldCharType="end"/>
      </w:r>
      <w:r w:rsidRPr="00C50229">
        <w:rPr>
          <w:color w:val="auto"/>
        </w:rPr>
        <w:instrText>(</w:instrText>
      </w:r>
      <w:r w:rsidRPr="00C50229">
        <w:rPr>
          <w:color w:val="auto"/>
        </w:rPr>
        <w:fldChar w:fldCharType="begin"/>
      </w:r>
      <w:r w:rsidRPr="00C50229">
        <w:rPr>
          <w:color w:val="auto"/>
        </w:rPr>
        <w:instrText xml:space="preserve"> SEQ MTEqn \c \* Arabic \* MERGEFORMAT </w:instrText>
      </w:r>
      <w:r w:rsidRPr="00C50229">
        <w:rPr>
          <w:color w:val="auto"/>
        </w:rPr>
        <w:fldChar w:fldCharType="separate"/>
      </w:r>
      <w:r w:rsidR="00C97912">
        <w:rPr>
          <w:noProof/>
          <w:color w:val="auto"/>
        </w:rPr>
        <w:instrText>1</w:instrText>
      </w:r>
      <w:r w:rsidRPr="00C50229">
        <w:rPr>
          <w:noProof/>
          <w:color w:val="auto"/>
        </w:rPr>
        <w:fldChar w:fldCharType="end"/>
      </w:r>
      <w:r w:rsidRPr="00C50229">
        <w:rPr>
          <w:color w:val="auto"/>
        </w:rPr>
        <w:instrText>)</w:instrText>
      </w:r>
      <w:r w:rsidRPr="00C50229">
        <w:rPr>
          <w:color w:val="auto"/>
        </w:rPr>
        <w:fldChar w:fldCharType="end"/>
      </w:r>
    </w:p>
    <w:p w14:paraId="6E184870" w14:textId="77777777" w:rsidR="005A2B26" w:rsidRDefault="005A2B26" w:rsidP="005A2B26">
      <w:pPr>
        <w:rPr>
          <w:color w:val="auto"/>
        </w:rPr>
      </w:pPr>
      <w:r w:rsidRPr="00C50229">
        <w:rPr>
          <w:color w:val="auto"/>
        </w:rPr>
        <w:t>where: w is the wage; p</w:t>
      </w:r>
      <w:r w:rsidRPr="00C50229">
        <w:rPr>
          <w:color w:val="auto"/>
          <w:vertAlign w:val="subscript"/>
        </w:rPr>
        <w:t>c</w:t>
      </w:r>
      <w:r w:rsidRPr="00C50229">
        <w:rPr>
          <w:color w:val="auto"/>
        </w:rPr>
        <w:t xml:space="preserve"> is the price of consumption goods and services; </w:t>
      </w:r>
      <w:r w:rsidRPr="00C50229">
        <w:rPr>
          <w:rFonts w:ascii="Symbol" w:hAnsi="Symbol"/>
          <w:color w:val="auto"/>
        </w:rPr>
        <w:t></w:t>
      </w:r>
      <w:r w:rsidRPr="00C50229">
        <w:rPr>
          <w:color w:val="auto"/>
          <w:vertAlign w:val="subscript"/>
        </w:rPr>
        <w:t>N</w:t>
      </w:r>
      <w:r w:rsidRPr="00C50229">
        <w:rPr>
          <w:color w:val="auto"/>
        </w:rPr>
        <w:t xml:space="preserve"> is the flat labour income tax rate payable by the household; and </w:t>
      </w:r>
      <w:r w:rsidRPr="00C50229">
        <w:rPr>
          <w:rFonts w:ascii="Symbol" w:hAnsi="Symbol"/>
          <w:color w:val="auto"/>
        </w:rPr>
        <w:t></w:t>
      </w:r>
      <w:r w:rsidRPr="00C50229">
        <w:rPr>
          <w:color w:val="auto"/>
          <w:vertAlign w:val="subscript"/>
        </w:rPr>
        <w:t>c</w:t>
      </w:r>
      <w:r w:rsidRPr="00C50229">
        <w:rPr>
          <w:color w:val="auto"/>
        </w:rPr>
        <w:t xml:space="preserve"> is the consumption tax rate payable by the household.</w:t>
      </w:r>
    </w:p>
    <w:p w14:paraId="349FE55A" w14:textId="77777777" w:rsidR="005154BF" w:rsidRPr="00C50229" w:rsidRDefault="005154BF" w:rsidP="005154BF">
      <w:pPr>
        <w:rPr>
          <w:color w:val="auto"/>
        </w:rPr>
      </w:pPr>
      <w:r w:rsidRPr="00C50229">
        <w:rPr>
          <w:color w:val="auto"/>
        </w:rPr>
        <w:t>The optimal consumption</w:t>
      </w:r>
      <w:r w:rsidRPr="00C50229">
        <w:rPr>
          <w:color w:val="auto"/>
        </w:rPr>
        <w:noBreakHyphen/>
        <w:t>leisure bundle is given by the tangency of the highest feasible indifference curve U</w:t>
      </w:r>
      <w:r w:rsidRPr="00C50229">
        <w:rPr>
          <w:color w:val="auto"/>
          <w:vertAlign w:val="subscript"/>
        </w:rPr>
        <w:t>0</w:t>
      </w:r>
      <w:r w:rsidRPr="00C50229">
        <w:rPr>
          <w:color w:val="auto"/>
        </w:rPr>
        <w:t xml:space="preserve"> and the household’s budget constraint, with the utility maximizing outcome given by A. At this point the household’s consumption is equal to C</w:t>
      </w:r>
      <w:r w:rsidRPr="00C50229">
        <w:rPr>
          <w:color w:val="auto"/>
          <w:vertAlign w:val="subscript"/>
        </w:rPr>
        <w:t>0</w:t>
      </w:r>
      <w:r w:rsidRPr="00C50229">
        <w:rPr>
          <w:color w:val="auto"/>
        </w:rPr>
        <w:t xml:space="preserve"> and leisure is equal to L</w:t>
      </w:r>
      <w:r w:rsidRPr="00C50229">
        <w:rPr>
          <w:color w:val="auto"/>
          <w:vertAlign w:val="subscript"/>
        </w:rPr>
        <w:t>0</w:t>
      </w:r>
      <w:r w:rsidRPr="00C50229">
        <w:rPr>
          <w:color w:val="auto"/>
        </w:rPr>
        <w:t xml:space="preserve">. </w:t>
      </w:r>
    </w:p>
    <w:p w14:paraId="752E807D" w14:textId="77777777" w:rsidR="005154BF" w:rsidRPr="00C50229" w:rsidRDefault="005154BF" w:rsidP="005A2B26">
      <w:pPr>
        <w:rPr>
          <w:color w:val="auto"/>
        </w:rPr>
      </w:pPr>
      <w:r w:rsidRPr="00C50229">
        <w:rPr>
          <w:color w:val="auto"/>
        </w:rPr>
        <w:t>The value of the household’s consumption</w:t>
      </w:r>
      <w:r w:rsidRPr="00C50229">
        <w:rPr>
          <w:color w:val="auto"/>
        </w:rPr>
        <w:noBreakHyphen/>
        <w:t>leisure bundle in terms of consumption units can also be measured via the household’s expenditure function. The expenditure function, denoted by E(P</w:t>
      </w:r>
      <w:r w:rsidRPr="00C50229">
        <w:rPr>
          <w:color w:val="auto"/>
          <w:vertAlign w:val="subscript"/>
        </w:rPr>
        <w:t>0</w:t>
      </w:r>
      <w:r w:rsidRPr="00C50229">
        <w:rPr>
          <w:color w:val="auto"/>
        </w:rPr>
        <w:t>,U</w:t>
      </w:r>
      <w:r w:rsidRPr="00C50229">
        <w:rPr>
          <w:color w:val="auto"/>
          <w:vertAlign w:val="subscript"/>
        </w:rPr>
        <w:t>0</w:t>
      </w:r>
      <w:r w:rsidRPr="00C50229">
        <w:rPr>
          <w:color w:val="auto"/>
        </w:rPr>
        <w:t>), gives the minimum value of the optimal consumption</w:t>
      </w:r>
      <w:r w:rsidRPr="00C50229">
        <w:rPr>
          <w:color w:val="auto"/>
        </w:rPr>
        <w:noBreakHyphen/>
        <w:t>leisure bundle (</w:t>
      </w:r>
      <w:r w:rsidR="00ED7616">
        <w:rPr>
          <w:color w:val="auto"/>
        </w:rPr>
        <w:t>that is</w:t>
      </w:r>
      <w:r w:rsidRPr="00C50229">
        <w:rPr>
          <w:color w:val="auto"/>
        </w:rPr>
        <w:t>, A) associated with price vector P</w:t>
      </w:r>
      <w:r w:rsidRPr="00C50229">
        <w:rPr>
          <w:color w:val="auto"/>
          <w:vertAlign w:val="subscript"/>
        </w:rPr>
        <w:t>0</w:t>
      </w:r>
      <w:r w:rsidRPr="00C50229">
        <w:rPr>
          <w:color w:val="auto"/>
        </w:rPr>
        <w:t xml:space="preserve"> and utility level U</w:t>
      </w:r>
      <w:r w:rsidRPr="00C50229">
        <w:rPr>
          <w:color w:val="auto"/>
          <w:vertAlign w:val="subscript"/>
        </w:rPr>
        <w:t>0</w:t>
      </w:r>
      <w:r w:rsidRPr="00C50229">
        <w:rPr>
          <w:color w:val="auto"/>
        </w:rPr>
        <w:t>.</w:t>
      </w:r>
      <w:r w:rsidRPr="00C50229">
        <w:rPr>
          <w:color w:val="auto"/>
          <w:vertAlign w:val="superscript"/>
        </w:rPr>
        <w:footnoteReference w:id="10"/>
      </w:r>
      <w:r w:rsidRPr="00C50229">
        <w:rPr>
          <w:color w:val="auto"/>
        </w:rPr>
        <w:t xml:space="preserve"> The value is expressed in terms of the model’s numeraire which is the after</w:t>
      </w:r>
      <w:r w:rsidRPr="00C50229">
        <w:rPr>
          <w:color w:val="auto"/>
        </w:rPr>
        <w:noBreakHyphen/>
        <w:t>tax consumption price.</w:t>
      </w:r>
    </w:p>
    <w:p w14:paraId="1404309A" w14:textId="77777777" w:rsidR="005154BF" w:rsidRDefault="005154BF" w:rsidP="00C44681">
      <w:pPr>
        <w:pStyle w:val="FigureHeading"/>
      </w:pPr>
      <w:r>
        <w:lastRenderedPageBreak/>
        <w:t xml:space="preserve">Figure </w:t>
      </w:r>
      <w:r w:rsidR="005A7277">
        <w:fldChar w:fldCharType="begin"/>
      </w:r>
      <w:r w:rsidR="005A7277">
        <w:instrText xml:space="preserve"> SEQ Figure \* ARABIC </w:instrText>
      </w:r>
      <w:r w:rsidR="005A7277">
        <w:fldChar w:fldCharType="separate"/>
      </w:r>
      <w:r w:rsidR="00C97912">
        <w:rPr>
          <w:noProof/>
        </w:rPr>
        <w:t>1</w:t>
      </w:r>
      <w:r w:rsidR="005A7277">
        <w:rPr>
          <w:noProof/>
        </w:rPr>
        <w:fldChar w:fldCharType="end"/>
      </w:r>
      <w:r>
        <w:t xml:space="preserve">: </w:t>
      </w:r>
      <w:r w:rsidRPr="005154BF">
        <w:t>Measuring the welfare effects of tax changes</w:t>
      </w:r>
    </w:p>
    <w:p w14:paraId="7FC93AB7" w14:textId="77777777" w:rsidR="00613DD4" w:rsidRPr="00274B45" w:rsidRDefault="00274B45" w:rsidP="00446698">
      <w:pPr>
        <w:pStyle w:val="Figuregraphic"/>
      </w:pPr>
      <w:r w:rsidRPr="00274B45">
        <w:rPr>
          <w:noProof/>
          <w:lang w:eastAsia="en-AU"/>
        </w:rPr>
        <w:drawing>
          <wp:inline distT="0" distB="0" distL="0" distR="0" wp14:anchorId="18B85A0E" wp14:editId="7847C910">
            <wp:extent cx="5569527" cy="4264429"/>
            <wp:effectExtent l="0" t="0" r="0" b="0"/>
            <wp:docPr id="12" name="Picture 12" descr="This figure describes the household’s consumption leisure choice. The figure represents a graphical solution to a pre  and post tax change to the household’s optimisation problem."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45" r="5634" b="2598"/>
                    <a:stretch/>
                  </pic:blipFill>
                  <pic:spPr bwMode="auto">
                    <a:xfrm>
                      <a:off x="0" y="0"/>
                      <a:ext cx="5571597" cy="4266014"/>
                    </a:xfrm>
                    <a:prstGeom prst="rect">
                      <a:avLst/>
                    </a:prstGeom>
                    <a:noFill/>
                    <a:ln>
                      <a:noFill/>
                    </a:ln>
                    <a:extLst>
                      <a:ext uri="{53640926-AAD7-44D8-BBD7-CCE9431645EC}">
                        <a14:shadowObscured xmlns:a14="http://schemas.microsoft.com/office/drawing/2010/main"/>
                      </a:ext>
                    </a:extLst>
                  </pic:spPr>
                </pic:pic>
              </a:graphicData>
            </a:graphic>
          </wp:inline>
        </w:drawing>
      </w:r>
    </w:p>
    <w:p w14:paraId="7EE10488" w14:textId="77777777" w:rsidR="00446698" w:rsidRDefault="00446698" w:rsidP="00446698">
      <w:pPr>
        <w:pStyle w:val="SingleParagraph"/>
      </w:pPr>
    </w:p>
    <w:p w14:paraId="65DE7637" w14:textId="77777777" w:rsidR="00207AC4" w:rsidRPr="00C50229" w:rsidRDefault="00207AC4" w:rsidP="005A2B26">
      <w:pPr>
        <w:rPr>
          <w:color w:val="auto"/>
        </w:rPr>
      </w:pPr>
      <w:r w:rsidRPr="00C50229">
        <w:rPr>
          <w:color w:val="auto"/>
        </w:rPr>
        <w:t xml:space="preserve">Figure 1 </w:t>
      </w:r>
      <w:r w:rsidR="00052696" w:rsidRPr="00C50229">
        <w:rPr>
          <w:color w:val="auto"/>
        </w:rPr>
        <w:t xml:space="preserve">can be used </w:t>
      </w:r>
      <w:r w:rsidRPr="00C50229">
        <w:rPr>
          <w:color w:val="auto"/>
        </w:rPr>
        <w:t>to analyse the effects of a tax change on household welfare. The typical tax change</w:t>
      </w:r>
      <w:r w:rsidR="000B6885" w:rsidRPr="00C50229">
        <w:rPr>
          <w:color w:val="auto"/>
        </w:rPr>
        <w:t xml:space="preserve"> scenario in this paper</w:t>
      </w:r>
      <w:r w:rsidRPr="00C50229">
        <w:rPr>
          <w:color w:val="auto"/>
        </w:rPr>
        <w:t xml:space="preserve"> implies a </w:t>
      </w:r>
      <w:r w:rsidR="00052696" w:rsidRPr="00C50229">
        <w:rPr>
          <w:color w:val="auto"/>
        </w:rPr>
        <w:t xml:space="preserve">fall in </w:t>
      </w:r>
      <w:r w:rsidRPr="00C50229">
        <w:rPr>
          <w:color w:val="auto"/>
        </w:rPr>
        <w:t>after</w:t>
      </w:r>
      <w:r w:rsidR="00052696" w:rsidRPr="00C50229">
        <w:rPr>
          <w:color w:val="auto"/>
        </w:rPr>
        <w:t>-</w:t>
      </w:r>
      <w:r w:rsidR="00390C5E">
        <w:rPr>
          <w:color w:val="auto"/>
        </w:rPr>
        <w:t>tax capital income less saving</w:t>
      </w:r>
      <w:r w:rsidRPr="00C50229">
        <w:rPr>
          <w:color w:val="auto"/>
        </w:rPr>
        <w:t xml:space="preserve">, which </w:t>
      </w:r>
      <w:r w:rsidR="00052696" w:rsidRPr="00C50229">
        <w:rPr>
          <w:color w:val="auto"/>
        </w:rPr>
        <w:t>de</w:t>
      </w:r>
      <w:r w:rsidRPr="00C50229">
        <w:rPr>
          <w:color w:val="auto"/>
        </w:rPr>
        <w:t>creases the vertical segment of the household’s budget constraint</w:t>
      </w:r>
      <w:r w:rsidR="000B6885" w:rsidRPr="00C50229">
        <w:rPr>
          <w:color w:val="auto"/>
        </w:rPr>
        <w:t>, while t</w:t>
      </w:r>
      <w:r w:rsidRPr="00C50229">
        <w:rPr>
          <w:color w:val="auto"/>
        </w:rPr>
        <w:t>he typical tax change causes the household’s after</w:t>
      </w:r>
      <w:r w:rsidR="00052696" w:rsidRPr="00C50229">
        <w:rPr>
          <w:color w:val="auto"/>
        </w:rPr>
        <w:t>-</w:t>
      </w:r>
      <w:r w:rsidRPr="00C50229">
        <w:rPr>
          <w:color w:val="auto"/>
        </w:rPr>
        <w:t xml:space="preserve">tax real wage to </w:t>
      </w:r>
      <w:r w:rsidR="00052696" w:rsidRPr="00C50229">
        <w:rPr>
          <w:color w:val="auto"/>
        </w:rPr>
        <w:t>rise</w:t>
      </w:r>
      <w:r w:rsidRPr="00C50229">
        <w:rPr>
          <w:color w:val="auto"/>
        </w:rPr>
        <w:t>. These effects are captured in the budget constraint given by XY’ and Y’Z’, with the consumption axis intercept at E(P1,U1). The optimal consumption leisure bundle under the tax change is given by the tangency of the highest feasible indifference curve U1 and the household’s budget constraint (</w:t>
      </w:r>
      <w:r w:rsidR="004600B3">
        <w:rPr>
          <w:color w:val="auto"/>
        </w:rPr>
        <w:t>that is</w:t>
      </w:r>
      <w:r w:rsidRPr="00C50229">
        <w:rPr>
          <w:color w:val="auto"/>
        </w:rPr>
        <w:t xml:space="preserve">, XY’ and Y’Z’), with the utility maximizing outcome given by B. Under the tax change the relative price of </w:t>
      </w:r>
      <w:r w:rsidR="000B6885" w:rsidRPr="00C50229">
        <w:rPr>
          <w:color w:val="auto"/>
        </w:rPr>
        <w:t>leisure (</w:t>
      </w:r>
      <w:r w:rsidR="004600B3">
        <w:rPr>
          <w:color w:val="auto"/>
        </w:rPr>
        <w:t>that is</w:t>
      </w:r>
      <w:r w:rsidR="000B6885" w:rsidRPr="00C50229">
        <w:rPr>
          <w:color w:val="auto"/>
        </w:rPr>
        <w:t>, the after-tax real wage) rises</w:t>
      </w:r>
      <w:r w:rsidRPr="00C50229">
        <w:rPr>
          <w:color w:val="auto"/>
        </w:rPr>
        <w:t xml:space="preserve">, so the household substitutes away from </w:t>
      </w:r>
      <w:r w:rsidR="00052696" w:rsidRPr="00C50229">
        <w:rPr>
          <w:color w:val="auto"/>
        </w:rPr>
        <w:t>leisure (</w:t>
      </w:r>
      <w:r w:rsidR="004600B3">
        <w:rPr>
          <w:color w:val="auto"/>
        </w:rPr>
        <w:t>that is</w:t>
      </w:r>
      <w:r w:rsidR="00052696" w:rsidRPr="00C50229">
        <w:rPr>
          <w:color w:val="auto"/>
        </w:rPr>
        <w:t xml:space="preserve">, leisure </w:t>
      </w:r>
      <w:r w:rsidR="000B6885" w:rsidRPr="00C50229">
        <w:rPr>
          <w:color w:val="auto"/>
        </w:rPr>
        <w:t>falls</w:t>
      </w:r>
      <w:r w:rsidR="00052696" w:rsidRPr="00C50229">
        <w:rPr>
          <w:color w:val="auto"/>
        </w:rPr>
        <w:t xml:space="preserve"> from L0 to L1)</w:t>
      </w:r>
      <w:r w:rsidRPr="00C50229">
        <w:rPr>
          <w:color w:val="auto"/>
        </w:rPr>
        <w:t xml:space="preserve"> towards</w:t>
      </w:r>
      <w:r w:rsidR="00052696" w:rsidRPr="00C50229">
        <w:rPr>
          <w:color w:val="auto"/>
        </w:rPr>
        <w:t xml:space="preserve"> consumption (</w:t>
      </w:r>
      <w:r w:rsidR="004600B3">
        <w:rPr>
          <w:color w:val="auto"/>
        </w:rPr>
        <w:t>that is</w:t>
      </w:r>
      <w:r w:rsidR="00052696" w:rsidRPr="00C50229">
        <w:rPr>
          <w:color w:val="auto"/>
        </w:rPr>
        <w:t xml:space="preserve">, consumption </w:t>
      </w:r>
      <w:r w:rsidR="000B6885" w:rsidRPr="00C50229">
        <w:rPr>
          <w:color w:val="auto"/>
        </w:rPr>
        <w:t>rises</w:t>
      </w:r>
      <w:r w:rsidR="00052696" w:rsidRPr="00C50229">
        <w:rPr>
          <w:color w:val="auto"/>
        </w:rPr>
        <w:t xml:space="preserve"> from C0 to C1)</w:t>
      </w:r>
      <w:r w:rsidRPr="00C50229">
        <w:rPr>
          <w:color w:val="auto"/>
        </w:rPr>
        <w:t>. The value of this consumption leisure bundle in terms of consumption units is E(P1,U1), with P1 denoting the price vector after the marginal tax change.</w:t>
      </w:r>
    </w:p>
    <w:p w14:paraId="2269FFDD" w14:textId="77777777" w:rsidR="005A2B26" w:rsidRPr="00C50229" w:rsidRDefault="00DA557B" w:rsidP="005A2B26">
      <w:pPr>
        <w:rPr>
          <w:color w:val="auto"/>
        </w:rPr>
      </w:pPr>
      <w:r>
        <w:rPr>
          <w:color w:val="auto"/>
        </w:rPr>
        <w:t xml:space="preserve">The gain in utility is typically referred to as the welfare gain. This is a fundamentally different concept to government transfers to households. </w:t>
      </w:r>
      <w:r w:rsidR="00E75CB5">
        <w:rPr>
          <w:color w:val="auto"/>
        </w:rPr>
        <w:t>F</w:t>
      </w:r>
      <w:r w:rsidR="005A2B26" w:rsidRPr="00C50229">
        <w:rPr>
          <w:color w:val="auto"/>
        </w:rPr>
        <w:t>ollow</w:t>
      </w:r>
      <w:r w:rsidR="00E75CB5">
        <w:rPr>
          <w:color w:val="auto"/>
        </w:rPr>
        <w:t>ing</w:t>
      </w:r>
      <w:r w:rsidR="005A2B26" w:rsidRPr="00C50229">
        <w:rPr>
          <w:color w:val="auto"/>
        </w:rPr>
        <w:t xml:space="preserve"> the CGE tax analysis literature </w:t>
      </w:r>
      <w:r>
        <w:rPr>
          <w:color w:val="auto"/>
        </w:rPr>
        <w:t xml:space="preserve">the </w:t>
      </w:r>
      <w:r w:rsidR="00904023" w:rsidRPr="00C50229">
        <w:rPr>
          <w:color w:val="auto"/>
        </w:rPr>
        <w:t>welfare gain</w:t>
      </w:r>
      <w:r w:rsidR="005A2B26" w:rsidRPr="00C50229">
        <w:rPr>
          <w:color w:val="auto"/>
        </w:rPr>
        <w:t xml:space="preserve"> is measured by the equivalent variation (EV) which is defined as follows:</w:t>
      </w:r>
    </w:p>
    <w:p w14:paraId="578979A1" w14:textId="77777777" w:rsidR="005A2B26" w:rsidRPr="00C50229" w:rsidRDefault="005A2B26" w:rsidP="005A2B26">
      <w:pPr>
        <w:tabs>
          <w:tab w:val="center" w:pos="4640"/>
          <w:tab w:val="right" w:pos="9300"/>
        </w:tabs>
        <w:rPr>
          <w:color w:val="auto"/>
        </w:rPr>
      </w:pPr>
      <w:r w:rsidRPr="00C50229">
        <w:rPr>
          <w:color w:val="auto"/>
        </w:rPr>
        <w:tab/>
      </w:r>
      <w:r w:rsidRPr="00C50229">
        <w:rPr>
          <w:color w:val="auto"/>
          <w:position w:val="-12"/>
        </w:rPr>
        <w:object w:dxaOrig="2640" w:dyaOrig="360" w14:anchorId="4A79D1CE">
          <v:shape id="_x0000_i1026" type="#_x0000_t75" alt="This equation presents the equivalent variation of the marginal tax rate change as the difference between the minimum expenditure required to obtain the pre-tax-change level of utility at the pre-tax-change prices, and the minimum expenditure required to obtain the post-tax-change level of utility at the pre-tax-change prices." style="width:132.2pt;height:19pt" o:ole="">
            <v:imagedata r:id="rId25" o:title=""/>
          </v:shape>
          <o:OLEObject Type="Embed" ProgID="Equation.DSMT4" ShapeID="_x0000_i1026" DrawAspect="Content" ObjectID="_1523801334" r:id="rId26"/>
        </w:object>
      </w:r>
      <w:r w:rsidRPr="00C50229">
        <w:rPr>
          <w:color w:val="auto"/>
        </w:rPr>
        <w:tab/>
      </w:r>
      <w:r w:rsidRPr="00C50229">
        <w:rPr>
          <w:color w:val="auto"/>
        </w:rPr>
        <w:fldChar w:fldCharType="begin"/>
      </w:r>
      <w:r w:rsidRPr="00C50229">
        <w:rPr>
          <w:color w:val="auto"/>
        </w:rPr>
        <w:instrText xml:space="preserve"> MACROBUTTON MTPlaceRef \* MERGEFORMAT </w:instrText>
      </w:r>
      <w:r w:rsidRPr="00C50229">
        <w:rPr>
          <w:color w:val="auto"/>
        </w:rPr>
        <w:fldChar w:fldCharType="begin"/>
      </w:r>
      <w:r w:rsidRPr="00C50229">
        <w:rPr>
          <w:color w:val="auto"/>
        </w:rPr>
        <w:instrText xml:space="preserve"> SEQ MTEqn \h \* MERGEFORMAT </w:instrText>
      </w:r>
      <w:r w:rsidRPr="00C50229">
        <w:rPr>
          <w:color w:val="auto"/>
        </w:rPr>
        <w:fldChar w:fldCharType="end"/>
      </w:r>
      <w:r w:rsidRPr="00C50229">
        <w:rPr>
          <w:color w:val="auto"/>
        </w:rPr>
        <w:instrText>(</w:instrText>
      </w:r>
      <w:r w:rsidRPr="00C50229">
        <w:rPr>
          <w:color w:val="auto"/>
        </w:rPr>
        <w:fldChar w:fldCharType="begin"/>
      </w:r>
      <w:r w:rsidRPr="00C50229">
        <w:rPr>
          <w:color w:val="auto"/>
        </w:rPr>
        <w:instrText xml:space="preserve"> SEQ MTEqn \c \* Arabic \* MERGEFORMAT </w:instrText>
      </w:r>
      <w:r w:rsidRPr="00C50229">
        <w:rPr>
          <w:color w:val="auto"/>
        </w:rPr>
        <w:fldChar w:fldCharType="separate"/>
      </w:r>
      <w:r w:rsidR="00C97912">
        <w:rPr>
          <w:noProof/>
          <w:color w:val="auto"/>
        </w:rPr>
        <w:instrText>2</w:instrText>
      </w:r>
      <w:r w:rsidRPr="00C50229">
        <w:rPr>
          <w:noProof/>
          <w:color w:val="auto"/>
        </w:rPr>
        <w:fldChar w:fldCharType="end"/>
      </w:r>
      <w:r w:rsidRPr="00C50229">
        <w:rPr>
          <w:color w:val="auto"/>
        </w:rPr>
        <w:instrText>)</w:instrText>
      </w:r>
      <w:r w:rsidRPr="00C50229">
        <w:rPr>
          <w:color w:val="auto"/>
        </w:rPr>
        <w:fldChar w:fldCharType="end"/>
      </w:r>
    </w:p>
    <w:p w14:paraId="500C061B" w14:textId="77777777" w:rsidR="005A2B26" w:rsidRPr="00C50229" w:rsidRDefault="005A2B26" w:rsidP="005A2B26">
      <w:pPr>
        <w:rPr>
          <w:color w:val="auto"/>
        </w:rPr>
      </w:pPr>
      <w:r w:rsidRPr="00C50229">
        <w:rPr>
          <w:color w:val="auto"/>
        </w:rPr>
        <w:t>where: P</w:t>
      </w:r>
      <w:r w:rsidRPr="00C50229">
        <w:rPr>
          <w:color w:val="auto"/>
          <w:vertAlign w:val="subscript"/>
        </w:rPr>
        <w:t>0</w:t>
      </w:r>
      <w:r w:rsidRPr="00C50229">
        <w:rPr>
          <w:color w:val="auto"/>
        </w:rPr>
        <w:t xml:space="preserve"> is the vector of prices, including taxes, before the tax change; U</w:t>
      </w:r>
      <w:r w:rsidRPr="00C50229">
        <w:rPr>
          <w:color w:val="auto"/>
          <w:vertAlign w:val="subscript"/>
        </w:rPr>
        <w:t>0</w:t>
      </w:r>
      <w:r w:rsidRPr="00C50229">
        <w:rPr>
          <w:color w:val="auto"/>
        </w:rPr>
        <w:t xml:space="preserve"> is the maximum level of household utility achieved before the tax change; and U</w:t>
      </w:r>
      <w:r w:rsidRPr="00C50229">
        <w:rPr>
          <w:color w:val="auto"/>
          <w:vertAlign w:val="subscript"/>
        </w:rPr>
        <w:t>1</w:t>
      </w:r>
      <w:r w:rsidRPr="00C50229">
        <w:rPr>
          <w:color w:val="auto"/>
        </w:rPr>
        <w:t xml:space="preserve"> is the maximum level of utility achieved after the marginal tax change.</w:t>
      </w:r>
    </w:p>
    <w:p w14:paraId="785313DF" w14:textId="77777777" w:rsidR="005A2B26" w:rsidRPr="00C50229" w:rsidRDefault="005A2B26" w:rsidP="005A2B26">
      <w:pPr>
        <w:rPr>
          <w:color w:val="auto"/>
        </w:rPr>
      </w:pPr>
      <w:r w:rsidRPr="00C50229">
        <w:rPr>
          <w:color w:val="auto"/>
        </w:rPr>
        <w:lastRenderedPageBreak/>
        <w:t xml:space="preserve">The </w:t>
      </w:r>
      <w:r w:rsidR="00904023" w:rsidRPr="00C50229">
        <w:rPr>
          <w:color w:val="auto"/>
        </w:rPr>
        <w:t>equivalent variation</w:t>
      </w:r>
      <w:r w:rsidRPr="00C50229">
        <w:rPr>
          <w:color w:val="auto"/>
        </w:rPr>
        <w:t xml:space="preserve"> can be thought of as the amount (in consumption units) that the household would be indifferent about </w:t>
      </w:r>
      <w:r w:rsidR="00904023" w:rsidRPr="00C50229">
        <w:rPr>
          <w:color w:val="auto"/>
        </w:rPr>
        <w:t>receiving</w:t>
      </w:r>
      <w:r w:rsidRPr="00C50229">
        <w:rPr>
          <w:color w:val="auto"/>
        </w:rPr>
        <w:t xml:space="preserve"> in lieu of the tax change.</w:t>
      </w:r>
    </w:p>
    <w:p w14:paraId="262E3897" w14:textId="77777777" w:rsidR="005A2B26" w:rsidRDefault="005A2B26" w:rsidP="005A2B26">
      <w:pPr>
        <w:rPr>
          <w:color w:val="auto"/>
        </w:rPr>
      </w:pPr>
      <w:r w:rsidRPr="00C50229">
        <w:rPr>
          <w:color w:val="auto"/>
        </w:rPr>
        <w:t xml:space="preserve">The </w:t>
      </w:r>
      <w:r w:rsidR="00207AC4" w:rsidRPr="00C50229">
        <w:rPr>
          <w:color w:val="auto"/>
        </w:rPr>
        <w:t xml:space="preserve">change in welfare </w:t>
      </w:r>
      <w:r w:rsidRPr="00C50229">
        <w:rPr>
          <w:color w:val="auto"/>
        </w:rPr>
        <w:t>can be represented graphically. The value of the expenditure function E(P</w:t>
      </w:r>
      <w:r w:rsidRPr="00C50229">
        <w:rPr>
          <w:color w:val="auto"/>
          <w:vertAlign w:val="subscript"/>
        </w:rPr>
        <w:t>0</w:t>
      </w:r>
      <w:r w:rsidRPr="00C50229">
        <w:rPr>
          <w:color w:val="auto"/>
        </w:rPr>
        <w:t>,U</w:t>
      </w:r>
      <w:r w:rsidRPr="00C50229">
        <w:rPr>
          <w:color w:val="auto"/>
          <w:vertAlign w:val="subscript"/>
        </w:rPr>
        <w:t>1</w:t>
      </w:r>
      <w:r w:rsidRPr="00C50229">
        <w:rPr>
          <w:color w:val="auto"/>
        </w:rPr>
        <w:t>) is reflected by the consumption axis intercept of the dashed blue line, which is parallel to the pre</w:t>
      </w:r>
      <w:r w:rsidRPr="00C50229">
        <w:rPr>
          <w:color w:val="auto"/>
        </w:rPr>
        <w:noBreakHyphen/>
        <w:t>tax change budget constraint (</w:t>
      </w:r>
      <w:r w:rsidR="004600B3">
        <w:rPr>
          <w:color w:val="auto"/>
        </w:rPr>
        <w:t>that is</w:t>
      </w:r>
      <w:r w:rsidRPr="00C50229">
        <w:rPr>
          <w:color w:val="auto"/>
        </w:rPr>
        <w:t>, the expenditure function is evaluated at the pre</w:t>
      </w:r>
      <w:r w:rsidRPr="00C50229">
        <w:rPr>
          <w:color w:val="auto"/>
        </w:rPr>
        <w:noBreakHyphen/>
        <w:t>tax change prices P</w:t>
      </w:r>
      <w:r w:rsidRPr="00C50229">
        <w:rPr>
          <w:color w:val="auto"/>
          <w:vertAlign w:val="subscript"/>
        </w:rPr>
        <w:t>0</w:t>
      </w:r>
      <w:r w:rsidRPr="00C50229">
        <w:rPr>
          <w:color w:val="auto"/>
        </w:rPr>
        <w:t>) and tangent to the post</w:t>
      </w:r>
      <w:r w:rsidRPr="00C50229">
        <w:rPr>
          <w:color w:val="auto"/>
        </w:rPr>
        <w:noBreakHyphen/>
        <w:t>tax change indifference curve at D (</w:t>
      </w:r>
      <w:r w:rsidR="004600B3">
        <w:rPr>
          <w:color w:val="auto"/>
        </w:rPr>
        <w:t>that is</w:t>
      </w:r>
      <w:r w:rsidRPr="00C50229">
        <w:rPr>
          <w:color w:val="auto"/>
        </w:rPr>
        <w:t>, the expenditure function is evaluated at the post</w:t>
      </w:r>
      <w:r w:rsidRPr="00C50229">
        <w:rPr>
          <w:color w:val="auto"/>
        </w:rPr>
        <w:noBreakHyphen/>
        <w:t>tax change utility U</w:t>
      </w:r>
      <w:r w:rsidRPr="00C50229">
        <w:rPr>
          <w:color w:val="auto"/>
          <w:vertAlign w:val="subscript"/>
        </w:rPr>
        <w:t>1</w:t>
      </w:r>
      <w:r w:rsidRPr="00C50229">
        <w:rPr>
          <w:color w:val="auto"/>
        </w:rPr>
        <w:t xml:space="preserve">). The </w:t>
      </w:r>
      <w:r w:rsidR="000B6885" w:rsidRPr="00C50229">
        <w:rPr>
          <w:color w:val="auto"/>
        </w:rPr>
        <w:t>welfare gain</w:t>
      </w:r>
      <w:r w:rsidRPr="00C50229">
        <w:rPr>
          <w:color w:val="auto"/>
        </w:rPr>
        <w:t xml:space="preserve"> associated with the tax change is then the vertical distance between E(P</w:t>
      </w:r>
      <w:r w:rsidRPr="00C50229">
        <w:rPr>
          <w:color w:val="auto"/>
          <w:vertAlign w:val="subscript"/>
        </w:rPr>
        <w:t>0</w:t>
      </w:r>
      <w:r w:rsidRPr="00C50229">
        <w:rPr>
          <w:color w:val="auto"/>
        </w:rPr>
        <w:t>,U</w:t>
      </w:r>
      <w:r w:rsidRPr="00C50229">
        <w:rPr>
          <w:color w:val="auto"/>
          <w:vertAlign w:val="subscript"/>
        </w:rPr>
        <w:t>1</w:t>
      </w:r>
      <w:r w:rsidR="00052696" w:rsidRPr="00C50229">
        <w:rPr>
          <w:color w:val="auto"/>
        </w:rPr>
        <w:t>)</w:t>
      </w:r>
      <w:r w:rsidR="000B6885" w:rsidRPr="00C50229">
        <w:rPr>
          <w:color w:val="auto"/>
        </w:rPr>
        <w:t xml:space="preserve"> and E(P</w:t>
      </w:r>
      <w:r w:rsidR="000B6885" w:rsidRPr="00C50229">
        <w:rPr>
          <w:color w:val="auto"/>
          <w:vertAlign w:val="subscript"/>
        </w:rPr>
        <w:t>0</w:t>
      </w:r>
      <w:r w:rsidR="000B6885" w:rsidRPr="00C50229">
        <w:rPr>
          <w:color w:val="auto"/>
        </w:rPr>
        <w:t>,U</w:t>
      </w:r>
      <w:r w:rsidR="000B6885" w:rsidRPr="00C50229">
        <w:rPr>
          <w:color w:val="auto"/>
          <w:vertAlign w:val="subscript"/>
        </w:rPr>
        <w:t>0</w:t>
      </w:r>
      <w:r w:rsidR="000B6885" w:rsidRPr="00C50229">
        <w:rPr>
          <w:color w:val="auto"/>
        </w:rPr>
        <w:t>)</w:t>
      </w:r>
      <w:r w:rsidR="00EE5B40" w:rsidRPr="00C50229">
        <w:rPr>
          <w:color w:val="auto"/>
        </w:rPr>
        <w:t xml:space="preserve">. </w:t>
      </w:r>
      <w:r w:rsidR="004A1575" w:rsidRPr="00C50229">
        <w:rPr>
          <w:color w:val="auto"/>
        </w:rPr>
        <w:t>To avoid reporting meaningless values, the w</w:t>
      </w:r>
      <w:r w:rsidR="00874555" w:rsidRPr="00C50229">
        <w:rPr>
          <w:color w:val="auto"/>
        </w:rPr>
        <w:t xml:space="preserve">elfare analysis </w:t>
      </w:r>
      <w:r w:rsidR="00EE5B40" w:rsidRPr="00C50229">
        <w:rPr>
          <w:color w:val="auto"/>
        </w:rPr>
        <w:t>report</w:t>
      </w:r>
      <w:r w:rsidR="00874555" w:rsidRPr="00C50229">
        <w:rPr>
          <w:color w:val="auto"/>
        </w:rPr>
        <w:t>ed in the following sections</w:t>
      </w:r>
      <w:r w:rsidR="00EE5B40" w:rsidRPr="00C50229">
        <w:rPr>
          <w:color w:val="auto"/>
        </w:rPr>
        <w:t xml:space="preserve"> </w:t>
      </w:r>
      <w:r w:rsidR="00874555" w:rsidRPr="00C50229">
        <w:rPr>
          <w:color w:val="auto"/>
        </w:rPr>
        <w:t xml:space="preserve">expresses </w:t>
      </w:r>
      <w:r w:rsidR="00EE5B40" w:rsidRPr="00C50229">
        <w:rPr>
          <w:color w:val="auto"/>
        </w:rPr>
        <w:t>the equivalent variation as a percentage of the initial expenditure E(P</w:t>
      </w:r>
      <w:r w:rsidR="00EE5B40" w:rsidRPr="00C50229">
        <w:rPr>
          <w:color w:val="auto"/>
          <w:vertAlign w:val="subscript"/>
        </w:rPr>
        <w:t>0</w:t>
      </w:r>
      <w:r w:rsidR="00EE5B40" w:rsidRPr="00C50229">
        <w:rPr>
          <w:color w:val="auto"/>
        </w:rPr>
        <w:t>,U</w:t>
      </w:r>
      <w:r w:rsidR="00EE5B40" w:rsidRPr="00C50229">
        <w:rPr>
          <w:color w:val="auto"/>
          <w:vertAlign w:val="subscript"/>
        </w:rPr>
        <w:t>0</w:t>
      </w:r>
      <w:r w:rsidR="00EE5B40" w:rsidRPr="00C50229">
        <w:rPr>
          <w:color w:val="auto"/>
        </w:rPr>
        <w:t>)</w:t>
      </w:r>
      <w:r w:rsidR="00052696" w:rsidRPr="00C50229">
        <w:rPr>
          <w:color w:val="auto"/>
        </w:rPr>
        <w:t>.</w:t>
      </w:r>
    </w:p>
    <w:p w14:paraId="563DC5F5" w14:textId="77777777" w:rsidR="00F012EA" w:rsidRDefault="00FD1094" w:rsidP="00A57848">
      <w:pPr>
        <w:pStyle w:val="Heading2"/>
      </w:pPr>
      <w:r>
        <w:t>Company tax cut financed by a lump-sum tax increase</w:t>
      </w:r>
    </w:p>
    <w:p w14:paraId="1AE01E53" w14:textId="77777777" w:rsidR="00EE23F8" w:rsidRPr="005A2B26" w:rsidRDefault="00D41BD7" w:rsidP="005A2B26">
      <w:pPr>
        <w:rPr>
          <w:color w:val="auto"/>
        </w:rPr>
      </w:pPr>
      <w:r>
        <w:rPr>
          <w:color w:val="auto"/>
        </w:rPr>
        <w:t>In this section</w:t>
      </w:r>
      <w:r w:rsidR="000702B1">
        <w:rPr>
          <w:color w:val="auto"/>
        </w:rPr>
        <w:t xml:space="preserve">, results </w:t>
      </w:r>
      <w:r w:rsidR="007035C9">
        <w:rPr>
          <w:color w:val="auto"/>
        </w:rPr>
        <w:t xml:space="preserve">are presented </w:t>
      </w:r>
      <w:r w:rsidR="000702B1">
        <w:rPr>
          <w:color w:val="auto"/>
        </w:rPr>
        <w:t>from the modelling of</w:t>
      </w:r>
      <w:r>
        <w:rPr>
          <w:color w:val="auto"/>
        </w:rPr>
        <w:t xml:space="preserve"> </w:t>
      </w:r>
      <w:r w:rsidR="00EE23F8">
        <w:rPr>
          <w:color w:val="auto"/>
        </w:rPr>
        <w:t>a reduction in</w:t>
      </w:r>
      <w:r w:rsidR="000702B1">
        <w:rPr>
          <w:color w:val="auto"/>
        </w:rPr>
        <w:t xml:space="preserve"> the </w:t>
      </w:r>
      <w:r>
        <w:rPr>
          <w:color w:val="auto"/>
        </w:rPr>
        <w:t xml:space="preserve">company tax </w:t>
      </w:r>
      <w:r w:rsidR="00EE23F8">
        <w:rPr>
          <w:color w:val="auto"/>
        </w:rPr>
        <w:t xml:space="preserve">rate from </w:t>
      </w:r>
      <w:r w:rsidR="000702B1">
        <w:rPr>
          <w:color w:val="auto"/>
        </w:rPr>
        <w:t>30 to </w:t>
      </w:r>
      <w:r w:rsidR="00EE23F8">
        <w:rPr>
          <w:color w:val="auto"/>
        </w:rPr>
        <w:t>25</w:t>
      </w:r>
      <w:r w:rsidR="000702B1">
        <w:rPr>
          <w:color w:val="auto"/>
        </w:rPr>
        <w:t> per </w:t>
      </w:r>
      <w:r w:rsidR="00EE23F8">
        <w:rPr>
          <w:color w:val="auto"/>
        </w:rPr>
        <w:t>cent</w:t>
      </w:r>
      <w:r w:rsidR="000702B1">
        <w:rPr>
          <w:color w:val="auto"/>
        </w:rPr>
        <w:t xml:space="preserve">, </w:t>
      </w:r>
      <w:r>
        <w:rPr>
          <w:color w:val="auto"/>
        </w:rPr>
        <w:t>financed by an increase in non-distortionary lump-sum tax</w:t>
      </w:r>
      <w:r w:rsidR="000702B1">
        <w:rPr>
          <w:color w:val="auto"/>
        </w:rPr>
        <w:t>es</w:t>
      </w:r>
      <w:r>
        <w:rPr>
          <w:color w:val="auto"/>
        </w:rPr>
        <w:t xml:space="preserve">. </w:t>
      </w:r>
      <w:r w:rsidR="00C839C0">
        <w:rPr>
          <w:color w:val="auto"/>
        </w:rPr>
        <w:t xml:space="preserve">Pure lump-sum taxes are considered to be hypothetical, with the nearest approximation in Australia being a broad-based land-tax. </w:t>
      </w:r>
      <w:r w:rsidR="007035C9">
        <w:rPr>
          <w:color w:val="auto"/>
        </w:rPr>
        <w:t>W</w:t>
      </w:r>
      <w:r w:rsidR="00C839C0">
        <w:rPr>
          <w:color w:val="auto"/>
        </w:rPr>
        <w:t xml:space="preserve">hile this </w:t>
      </w:r>
      <w:r w:rsidR="007035C9">
        <w:rPr>
          <w:color w:val="auto"/>
        </w:rPr>
        <w:t>may not be a</w:t>
      </w:r>
      <w:r w:rsidR="00C839C0">
        <w:rPr>
          <w:color w:val="auto"/>
        </w:rPr>
        <w:t xml:space="preserve"> realistic example</w:t>
      </w:r>
      <w:r w:rsidR="007035C9">
        <w:rPr>
          <w:color w:val="auto"/>
        </w:rPr>
        <w:t>,</w:t>
      </w:r>
      <w:r w:rsidR="00C839C0">
        <w:rPr>
          <w:color w:val="auto"/>
        </w:rPr>
        <w:t xml:space="preserve"> it </w:t>
      </w:r>
      <w:r>
        <w:rPr>
          <w:color w:val="auto"/>
        </w:rPr>
        <w:t xml:space="preserve">provides a useful benchmark for the welfare and activity analysis involving </w:t>
      </w:r>
      <w:r w:rsidR="00D7699C">
        <w:rPr>
          <w:color w:val="auto"/>
        </w:rPr>
        <w:t xml:space="preserve">more realistic </w:t>
      </w:r>
      <w:r w:rsidR="00F940BA">
        <w:rPr>
          <w:color w:val="auto"/>
        </w:rPr>
        <w:t xml:space="preserve">funding </w:t>
      </w:r>
      <w:r w:rsidR="007035C9">
        <w:rPr>
          <w:color w:val="auto"/>
        </w:rPr>
        <w:t xml:space="preserve">mechanisms. This </w:t>
      </w:r>
      <w:r w:rsidR="00A74492">
        <w:rPr>
          <w:color w:val="auto"/>
        </w:rPr>
        <w:t xml:space="preserve">is </w:t>
      </w:r>
      <w:r w:rsidR="007035C9">
        <w:rPr>
          <w:color w:val="auto"/>
        </w:rPr>
        <w:t xml:space="preserve">also </w:t>
      </w:r>
      <w:r w:rsidR="00A74492">
        <w:rPr>
          <w:color w:val="auto"/>
        </w:rPr>
        <w:t xml:space="preserve">a common </w:t>
      </w:r>
      <w:r w:rsidR="007035C9">
        <w:rPr>
          <w:color w:val="auto"/>
        </w:rPr>
        <w:t xml:space="preserve">approach taken in the wider </w:t>
      </w:r>
      <w:r w:rsidR="00A74492">
        <w:rPr>
          <w:color w:val="auto"/>
        </w:rPr>
        <w:t xml:space="preserve">tax </w:t>
      </w:r>
      <w:r w:rsidR="007035C9">
        <w:rPr>
          <w:color w:val="auto"/>
        </w:rPr>
        <w:t xml:space="preserve">literature. </w:t>
      </w:r>
      <w:r w:rsidR="00EE23F8" w:rsidRPr="005A2B26">
        <w:rPr>
          <w:color w:val="auto"/>
        </w:rPr>
        <w:t>The legal incidence of the company income tax is on firms who own both variable capital and fixed factors of production such as land and economic rents.</w:t>
      </w:r>
      <w:r w:rsidR="00EE23F8" w:rsidRPr="005A2B26">
        <w:rPr>
          <w:color w:val="auto"/>
          <w:vertAlign w:val="superscript"/>
        </w:rPr>
        <w:footnoteReference w:id="11"/>
      </w:r>
      <w:r w:rsidR="00EE23F8" w:rsidRPr="005A2B26">
        <w:rPr>
          <w:color w:val="auto"/>
        </w:rPr>
        <w:t xml:space="preserve"> Under a company income tax firms pay a percentage of their profits, allowing for various deductions, to government. Firms themselves are owned by both domestic residents and foreign investors. Domestic residents receive franking credits for company income tax paid on dividends, which means company income tax is essentially a withholding tax</w:t>
      </w:r>
      <w:r w:rsidR="00EE23F8">
        <w:rPr>
          <w:color w:val="auto"/>
        </w:rPr>
        <w:t xml:space="preserve"> for domestic capital owners</w:t>
      </w:r>
      <w:r w:rsidR="00EE23F8" w:rsidRPr="005A2B26">
        <w:rPr>
          <w:color w:val="auto"/>
        </w:rPr>
        <w:t>.</w:t>
      </w:r>
    </w:p>
    <w:p w14:paraId="22F81339" w14:textId="77777777" w:rsidR="005A2B26" w:rsidRPr="005A2B26" w:rsidRDefault="005A2B26" w:rsidP="005D4BBD">
      <w:pPr>
        <w:pStyle w:val="Heading3"/>
      </w:pPr>
      <w:r w:rsidRPr="005A2B26">
        <w:t>Theory and key assumptions</w:t>
      </w:r>
    </w:p>
    <w:p w14:paraId="2206269C" w14:textId="77777777" w:rsidR="005A2B26" w:rsidRPr="005A2B26" w:rsidRDefault="00E75CB5" w:rsidP="005A2B26">
      <w:pPr>
        <w:rPr>
          <w:color w:val="auto"/>
        </w:rPr>
      </w:pPr>
      <w:r>
        <w:rPr>
          <w:color w:val="auto"/>
        </w:rPr>
        <w:t>A</w:t>
      </w:r>
      <w:r w:rsidR="005A2B26" w:rsidRPr="005A2B26">
        <w:rPr>
          <w:color w:val="auto"/>
        </w:rPr>
        <w:t xml:space="preserve">ustralia </w:t>
      </w:r>
      <w:r w:rsidR="009777BF">
        <w:rPr>
          <w:color w:val="auto"/>
        </w:rPr>
        <w:t xml:space="preserve">is </w:t>
      </w:r>
      <w:r>
        <w:rPr>
          <w:color w:val="auto"/>
        </w:rPr>
        <w:t xml:space="preserve">assumed to be </w:t>
      </w:r>
      <w:r w:rsidR="005A2B26" w:rsidRPr="005A2B26">
        <w:rPr>
          <w:color w:val="auto"/>
        </w:rPr>
        <w:t>a small open e</w:t>
      </w:r>
      <w:r w:rsidR="009831E2">
        <w:rPr>
          <w:color w:val="auto"/>
        </w:rPr>
        <w:t xml:space="preserve">conomy with a constant household saving rate. </w:t>
      </w:r>
      <w:r w:rsidR="005A2B26" w:rsidRPr="005A2B26">
        <w:rPr>
          <w:color w:val="auto"/>
        </w:rPr>
        <w:t>Importantly</w:t>
      </w:r>
      <w:r w:rsidR="007035C9">
        <w:rPr>
          <w:color w:val="auto"/>
        </w:rPr>
        <w:t>,</w:t>
      </w:r>
      <w:r w:rsidR="005A2B26" w:rsidRPr="005A2B26">
        <w:rPr>
          <w:color w:val="auto"/>
        </w:rPr>
        <w:t xml:space="preserve"> Australia </w:t>
      </w:r>
      <w:r>
        <w:rPr>
          <w:color w:val="auto"/>
        </w:rPr>
        <w:t xml:space="preserve">is assumed to </w:t>
      </w:r>
      <w:r w:rsidR="005A2B26" w:rsidRPr="005A2B26">
        <w:rPr>
          <w:color w:val="auto"/>
        </w:rPr>
        <w:t>face a perfectly elastic supply of international capital at the global required rate of return (r</w:t>
      </w:r>
      <w:r w:rsidR="005A2B26" w:rsidRPr="005A2B26">
        <w:rPr>
          <w:color w:val="auto"/>
          <w:vertAlign w:val="subscript"/>
        </w:rPr>
        <w:t>w</w:t>
      </w:r>
      <w:r w:rsidR="005A2B26" w:rsidRPr="005A2B26">
        <w:rPr>
          <w:color w:val="auto"/>
        </w:rPr>
        <w:t xml:space="preserve">). </w:t>
      </w:r>
      <w:r>
        <w:rPr>
          <w:color w:val="auto"/>
        </w:rPr>
        <w:t xml:space="preserve">This is </w:t>
      </w:r>
      <w:r w:rsidR="005A2B26" w:rsidRPr="005A2B26">
        <w:rPr>
          <w:color w:val="auto"/>
        </w:rPr>
        <w:t>consider</w:t>
      </w:r>
      <w:r>
        <w:rPr>
          <w:color w:val="auto"/>
        </w:rPr>
        <w:t>ed to be</w:t>
      </w:r>
      <w:r w:rsidR="005A2B26" w:rsidRPr="005A2B26">
        <w:rPr>
          <w:color w:val="auto"/>
        </w:rPr>
        <w:t xml:space="preserve"> a reasonable assumption for a static analysis of the long run impacts of taxes on welfare</w:t>
      </w:r>
      <w:r w:rsidR="005A2B26" w:rsidRPr="00C50229">
        <w:rPr>
          <w:color w:val="auto"/>
        </w:rPr>
        <w:t>.</w:t>
      </w:r>
      <w:r w:rsidR="009831E2" w:rsidRPr="00C50229">
        <w:rPr>
          <w:color w:val="auto"/>
        </w:rPr>
        <w:t xml:space="preserve"> Combined with the model’s perfect international capital mobility assumption, the model implies domestic capital </w:t>
      </w:r>
      <w:r w:rsidR="007826E2">
        <w:rPr>
          <w:color w:val="auto"/>
        </w:rPr>
        <w:t xml:space="preserve">pre-tax </w:t>
      </w:r>
      <w:r w:rsidR="009831E2" w:rsidRPr="00C50229">
        <w:rPr>
          <w:color w:val="auto"/>
        </w:rPr>
        <w:t>income is somewhat invariant to changes to the income tax system.</w:t>
      </w:r>
      <w:r w:rsidR="009831E2" w:rsidRPr="005A2B26">
        <w:rPr>
          <w:color w:val="auto"/>
          <w:vertAlign w:val="superscript"/>
        </w:rPr>
        <w:footnoteReference w:id="12"/>
      </w:r>
      <w:r w:rsidR="009831E2" w:rsidRPr="005A2B26">
        <w:rPr>
          <w:color w:val="auto"/>
          <w:vertAlign w:val="superscript"/>
        </w:rPr>
        <w:t xml:space="preserve"> </w:t>
      </w:r>
      <w:r w:rsidR="009831E2">
        <w:rPr>
          <w:color w:val="auto"/>
        </w:rPr>
        <w:t xml:space="preserve"> </w:t>
      </w:r>
    </w:p>
    <w:p w14:paraId="63670C3A" w14:textId="77777777" w:rsidR="00446698" w:rsidRDefault="00446698">
      <w:pPr>
        <w:rPr>
          <w:color w:val="auto"/>
        </w:rPr>
      </w:pPr>
      <w:r>
        <w:rPr>
          <w:color w:val="auto"/>
        </w:rPr>
        <w:br w:type="page"/>
      </w:r>
    </w:p>
    <w:p w14:paraId="6103EB4A" w14:textId="766A3458" w:rsidR="005A2B26" w:rsidRPr="005A2B26" w:rsidRDefault="005A2B26" w:rsidP="005A2B26">
      <w:pPr>
        <w:rPr>
          <w:color w:val="auto"/>
        </w:rPr>
      </w:pPr>
      <w:r w:rsidRPr="005A2B26">
        <w:rPr>
          <w:color w:val="auto"/>
        </w:rPr>
        <w:lastRenderedPageBreak/>
        <w:t xml:space="preserve">The company income tax </w:t>
      </w:r>
      <w:r w:rsidR="005E0FCD">
        <w:rPr>
          <w:color w:val="auto"/>
        </w:rPr>
        <w:t>(</w:t>
      </w:r>
      <w:r w:rsidR="005E0FCD" w:rsidRPr="005E0FCD">
        <w:rPr>
          <w:rFonts w:ascii="Symbol" w:hAnsi="Symbol"/>
          <w:color w:val="auto"/>
        </w:rPr>
        <w:t></w:t>
      </w:r>
      <w:r w:rsidR="005E0FCD" w:rsidRPr="005E0FCD">
        <w:rPr>
          <w:color w:val="auto"/>
          <w:vertAlign w:val="subscript"/>
        </w:rPr>
        <w:t>k</w:t>
      </w:r>
      <w:r w:rsidR="005E0FCD">
        <w:rPr>
          <w:color w:val="auto"/>
        </w:rPr>
        <w:t xml:space="preserve">) </w:t>
      </w:r>
      <w:r w:rsidRPr="005A2B26">
        <w:rPr>
          <w:color w:val="auto"/>
        </w:rPr>
        <w:t>drives a wedge between the before</w:t>
      </w:r>
      <w:r w:rsidRPr="005A2B26">
        <w:rPr>
          <w:color w:val="auto"/>
        </w:rPr>
        <w:noBreakHyphen/>
        <w:t xml:space="preserve">tax rate of return </w:t>
      </w:r>
      <w:r w:rsidR="005E0FCD">
        <w:rPr>
          <w:color w:val="auto"/>
        </w:rPr>
        <w:t>(r</w:t>
      </w:r>
      <w:r w:rsidR="005E0FCD" w:rsidRPr="005E0FCD">
        <w:rPr>
          <w:color w:val="auto"/>
          <w:vertAlign w:val="subscript"/>
        </w:rPr>
        <w:t>bt</w:t>
      </w:r>
      <w:r w:rsidR="005E0FCD">
        <w:rPr>
          <w:color w:val="auto"/>
        </w:rPr>
        <w:t xml:space="preserve">) </w:t>
      </w:r>
      <w:r w:rsidRPr="005A2B26">
        <w:rPr>
          <w:color w:val="auto"/>
        </w:rPr>
        <w:t xml:space="preserve">and </w:t>
      </w:r>
      <w:r w:rsidR="007035C9">
        <w:rPr>
          <w:color w:val="auto"/>
        </w:rPr>
        <w:t xml:space="preserve">the </w:t>
      </w:r>
      <w:r w:rsidRPr="005A2B26">
        <w:rPr>
          <w:color w:val="auto"/>
        </w:rPr>
        <w:t>after</w:t>
      </w:r>
      <w:r w:rsidRPr="005A2B26">
        <w:rPr>
          <w:color w:val="auto"/>
        </w:rPr>
        <w:noBreakHyphen/>
        <w:t>tax rate of return. In the case of a small open economy subject to perfect capital flows, the before</w:t>
      </w:r>
      <w:r w:rsidRPr="005A2B26">
        <w:rPr>
          <w:color w:val="auto"/>
        </w:rPr>
        <w:noBreakHyphen/>
        <w:t>tax rate of return will be high enough to ensure the after</w:t>
      </w:r>
      <w:r w:rsidRPr="005A2B26">
        <w:rPr>
          <w:color w:val="auto"/>
        </w:rPr>
        <w:noBreakHyphen/>
        <w:t>tax rate of return equals the global required rate of return:</w:t>
      </w:r>
    </w:p>
    <w:p w14:paraId="6E664DB2" w14:textId="77777777" w:rsidR="005A2B26" w:rsidRPr="005A2B26" w:rsidRDefault="005A2B26" w:rsidP="005A2B26">
      <w:pPr>
        <w:tabs>
          <w:tab w:val="center" w:pos="4640"/>
          <w:tab w:val="right" w:pos="9300"/>
        </w:tabs>
        <w:rPr>
          <w:color w:val="auto"/>
        </w:rPr>
      </w:pPr>
      <w:r w:rsidRPr="005A2B26">
        <w:rPr>
          <w:color w:val="auto"/>
        </w:rPr>
        <w:tab/>
      </w:r>
      <w:r w:rsidRPr="005A2B26">
        <w:rPr>
          <w:color w:val="auto"/>
          <w:position w:val="-30"/>
        </w:rPr>
        <w:object w:dxaOrig="1260" w:dyaOrig="680" w14:anchorId="3E729EEF">
          <v:shape id="_x0000_i1027" type="#_x0000_t75" alt="This equation presents the before tax rate of return as the global required rate of return divided by one minus the tax on capital income." style="width:64.15pt;height:37.3pt" o:ole="">
            <v:imagedata r:id="rId27" o:title=""/>
          </v:shape>
          <o:OLEObject Type="Embed" ProgID="Equation.DSMT4" ShapeID="_x0000_i1027" DrawAspect="Content" ObjectID="_1523801335" r:id="rId28"/>
        </w:object>
      </w:r>
      <w:r w:rsidRPr="005A2B26">
        <w:rPr>
          <w:color w:val="auto"/>
        </w:rPr>
        <w:tab/>
      </w:r>
      <w:r w:rsidRPr="005A2B26">
        <w:rPr>
          <w:color w:val="auto"/>
        </w:rPr>
        <w:fldChar w:fldCharType="begin"/>
      </w:r>
      <w:r w:rsidRPr="005A2B26">
        <w:rPr>
          <w:color w:val="auto"/>
        </w:rPr>
        <w:instrText xml:space="preserve"> MACROBUTTON MTPlaceRef \* MERGEFORMAT </w:instrText>
      </w:r>
      <w:r w:rsidRPr="005A2B26">
        <w:rPr>
          <w:color w:val="auto"/>
        </w:rPr>
        <w:fldChar w:fldCharType="begin"/>
      </w:r>
      <w:r w:rsidRPr="005A2B26">
        <w:rPr>
          <w:color w:val="auto"/>
        </w:rPr>
        <w:instrText xml:space="preserve"> SEQ MTEqn \h \* MERGEFORMAT </w:instrText>
      </w:r>
      <w:r w:rsidRPr="005A2B26">
        <w:rPr>
          <w:color w:val="auto"/>
        </w:rPr>
        <w:fldChar w:fldCharType="end"/>
      </w:r>
      <w:r w:rsidRPr="005A2B26">
        <w:rPr>
          <w:color w:val="auto"/>
        </w:rPr>
        <w:instrText>(</w:instrText>
      </w:r>
      <w:r w:rsidRPr="005A2B26">
        <w:rPr>
          <w:color w:val="auto"/>
        </w:rPr>
        <w:fldChar w:fldCharType="begin"/>
      </w:r>
      <w:r w:rsidRPr="005A2B26">
        <w:rPr>
          <w:color w:val="auto"/>
        </w:rPr>
        <w:instrText xml:space="preserve"> SEQ MTEqn \c \* Arabic \* MERGEFORMAT </w:instrText>
      </w:r>
      <w:r w:rsidRPr="005A2B26">
        <w:rPr>
          <w:color w:val="auto"/>
        </w:rPr>
        <w:fldChar w:fldCharType="separate"/>
      </w:r>
      <w:r w:rsidR="00C97912">
        <w:rPr>
          <w:noProof/>
          <w:color w:val="auto"/>
        </w:rPr>
        <w:instrText>3</w:instrText>
      </w:r>
      <w:r w:rsidRPr="005A2B26">
        <w:rPr>
          <w:noProof/>
          <w:color w:val="auto"/>
        </w:rPr>
        <w:fldChar w:fldCharType="end"/>
      </w:r>
      <w:r w:rsidRPr="005A2B26">
        <w:rPr>
          <w:color w:val="auto"/>
        </w:rPr>
        <w:instrText>)</w:instrText>
      </w:r>
      <w:r w:rsidRPr="005A2B26">
        <w:rPr>
          <w:color w:val="auto"/>
        </w:rPr>
        <w:fldChar w:fldCharType="end"/>
      </w:r>
    </w:p>
    <w:p w14:paraId="65BFA15E" w14:textId="77777777" w:rsidR="004D3E18" w:rsidRPr="00DB253A" w:rsidRDefault="005A2B26" w:rsidP="005A2B26">
      <w:pPr>
        <w:rPr>
          <w:color w:val="auto"/>
        </w:rPr>
      </w:pPr>
      <w:r w:rsidRPr="00DB253A">
        <w:rPr>
          <w:color w:val="auto"/>
        </w:rPr>
        <w:t>In other words, the after</w:t>
      </w:r>
      <w:r w:rsidRPr="00DB253A">
        <w:rPr>
          <w:color w:val="auto"/>
        </w:rPr>
        <w:noBreakHyphen/>
        <w:t xml:space="preserve">tax return of foreign investors is always the global rate of return. This effect is captured in Figure </w:t>
      </w:r>
      <w:r w:rsidRPr="00DB253A">
        <w:rPr>
          <w:noProof/>
          <w:color w:val="auto"/>
        </w:rPr>
        <w:t>2</w:t>
      </w:r>
      <w:r w:rsidRPr="00DB253A">
        <w:rPr>
          <w:color w:val="auto"/>
        </w:rPr>
        <w:t>. Starting at the global supply curve</w:t>
      </w:r>
      <w:r w:rsidR="00DB253A" w:rsidRPr="00DB253A">
        <w:rPr>
          <w:color w:val="auto"/>
        </w:rPr>
        <w:t xml:space="preserve"> without a company tax</w:t>
      </w:r>
      <w:r w:rsidRPr="00DB253A">
        <w:rPr>
          <w:color w:val="auto"/>
        </w:rPr>
        <w:t xml:space="preserve"> S</w:t>
      </w:r>
      <w:r w:rsidR="004D3E18" w:rsidRPr="00DB253A">
        <w:rPr>
          <w:color w:val="auto"/>
          <w:vertAlign w:val="subscript"/>
        </w:rPr>
        <w:t>w</w:t>
      </w:r>
      <w:r w:rsidR="007035C9">
        <w:rPr>
          <w:color w:val="auto"/>
        </w:rPr>
        <w:t xml:space="preserve">, </w:t>
      </w:r>
      <w:r w:rsidRPr="00DB253A">
        <w:rPr>
          <w:color w:val="auto"/>
        </w:rPr>
        <w:t>the before</w:t>
      </w:r>
      <w:r w:rsidRPr="00DB253A">
        <w:rPr>
          <w:color w:val="auto"/>
        </w:rPr>
        <w:noBreakHyphen/>
        <w:t>tax rate of return r</w:t>
      </w:r>
      <w:r w:rsidRPr="00DB253A">
        <w:rPr>
          <w:color w:val="auto"/>
          <w:vertAlign w:val="subscript"/>
        </w:rPr>
        <w:t>bt</w:t>
      </w:r>
      <w:r w:rsidRPr="00DB253A">
        <w:rPr>
          <w:color w:val="auto"/>
        </w:rPr>
        <w:t xml:space="preserve"> is equal to r</w:t>
      </w:r>
      <w:r w:rsidRPr="00DB253A">
        <w:rPr>
          <w:color w:val="auto"/>
          <w:vertAlign w:val="subscript"/>
        </w:rPr>
        <w:t>w</w:t>
      </w:r>
      <w:r w:rsidR="005E0FCD" w:rsidRPr="00DB253A">
        <w:rPr>
          <w:color w:val="auto"/>
        </w:rPr>
        <w:t xml:space="preserve"> </w:t>
      </w:r>
      <w:r w:rsidRPr="00DB253A">
        <w:rPr>
          <w:color w:val="auto"/>
        </w:rPr>
        <w:t xml:space="preserve">with total capital equal to K. </w:t>
      </w:r>
      <w:r w:rsidR="005E0FCD" w:rsidRPr="00DB253A">
        <w:rPr>
          <w:color w:val="auto"/>
        </w:rPr>
        <w:t xml:space="preserve">For ease of exposition assume the </w:t>
      </w:r>
      <w:r w:rsidRPr="00DB253A">
        <w:rPr>
          <w:color w:val="auto"/>
        </w:rPr>
        <w:t>capital stock held by Australian residents does not change. The domestic saving</w:t>
      </w:r>
      <w:r w:rsidR="00736793">
        <w:rPr>
          <w:color w:val="auto"/>
        </w:rPr>
        <w:t>s</w:t>
      </w:r>
      <w:r w:rsidRPr="00DB253A">
        <w:rPr>
          <w:color w:val="auto"/>
        </w:rPr>
        <w:t xml:space="preserve"> schedule is captured by S</w:t>
      </w:r>
      <w:r w:rsidRPr="00DB253A">
        <w:rPr>
          <w:color w:val="auto"/>
          <w:vertAlign w:val="subscript"/>
        </w:rPr>
        <w:t>D</w:t>
      </w:r>
      <w:r w:rsidRPr="00DB253A">
        <w:rPr>
          <w:color w:val="auto"/>
        </w:rPr>
        <w:t>, with the domestically owned capital stock equal to K</w:t>
      </w:r>
      <w:r w:rsidRPr="00DB253A">
        <w:rPr>
          <w:color w:val="auto"/>
          <w:vertAlign w:val="subscript"/>
        </w:rPr>
        <w:t>D</w:t>
      </w:r>
      <w:r w:rsidRPr="00DB253A">
        <w:rPr>
          <w:color w:val="auto"/>
        </w:rPr>
        <w:t>. This implies foreign owned capital is equal to K</w:t>
      </w:r>
      <w:r w:rsidRPr="00DB253A">
        <w:rPr>
          <w:color w:val="auto"/>
        </w:rPr>
        <w:noBreakHyphen/>
        <w:t>K</w:t>
      </w:r>
      <w:r w:rsidRPr="00DB253A">
        <w:rPr>
          <w:color w:val="auto"/>
          <w:vertAlign w:val="subscript"/>
        </w:rPr>
        <w:t>D</w:t>
      </w:r>
      <w:r w:rsidR="005E0FCD" w:rsidRPr="00DB253A">
        <w:rPr>
          <w:color w:val="auto"/>
        </w:rPr>
        <w:t>= K</w:t>
      </w:r>
      <w:r w:rsidR="005E0FCD" w:rsidRPr="00DB253A">
        <w:rPr>
          <w:color w:val="auto"/>
          <w:vertAlign w:val="subscript"/>
        </w:rPr>
        <w:t>F</w:t>
      </w:r>
      <w:r w:rsidR="005E0FCD" w:rsidRPr="00DB253A">
        <w:rPr>
          <w:color w:val="auto"/>
        </w:rPr>
        <w:t>.</w:t>
      </w:r>
    </w:p>
    <w:p w14:paraId="039E8F29" w14:textId="77777777" w:rsidR="00B16DFD" w:rsidRPr="00DB253A" w:rsidRDefault="004D3E18" w:rsidP="005A2B26">
      <w:pPr>
        <w:rPr>
          <w:color w:val="auto"/>
        </w:rPr>
      </w:pPr>
      <w:r w:rsidRPr="00DB253A">
        <w:rPr>
          <w:color w:val="auto"/>
        </w:rPr>
        <w:t>Imposing a tax sufficient to cause the required before tax return to be r</w:t>
      </w:r>
      <w:r w:rsidRPr="00DB253A">
        <w:rPr>
          <w:color w:val="auto"/>
          <w:vertAlign w:val="subscript"/>
        </w:rPr>
        <w:t>bt</w:t>
      </w:r>
      <w:r w:rsidRPr="00DB253A">
        <w:rPr>
          <w:color w:val="auto"/>
        </w:rPr>
        <w:t>’ the global supply curve shifts to S</w:t>
      </w:r>
      <w:r w:rsidRPr="00DB253A">
        <w:rPr>
          <w:color w:val="auto"/>
          <w:vertAlign w:val="subscript"/>
        </w:rPr>
        <w:t>w</w:t>
      </w:r>
      <w:r w:rsidRPr="00DB253A">
        <w:rPr>
          <w:color w:val="auto"/>
        </w:rPr>
        <w:t>’. At this required rate of return the total variable capital stock will be K’&lt;K and foreign-owned capital will fall to K</w:t>
      </w:r>
      <w:r w:rsidRPr="00DB253A">
        <w:rPr>
          <w:color w:val="auto"/>
          <w:vertAlign w:val="subscript"/>
        </w:rPr>
        <w:t>F</w:t>
      </w:r>
      <w:r w:rsidRPr="00DB253A">
        <w:rPr>
          <w:color w:val="auto"/>
        </w:rPr>
        <w:t>’ &lt; K</w:t>
      </w:r>
      <w:r w:rsidRPr="00DB253A">
        <w:rPr>
          <w:color w:val="auto"/>
          <w:vertAlign w:val="subscript"/>
        </w:rPr>
        <w:t>F</w:t>
      </w:r>
      <w:r w:rsidRPr="00DB253A">
        <w:rPr>
          <w:color w:val="auto"/>
        </w:rPr>
        <w:t xml:space="preserve">. </w:t>
      </w:r>
    </w:p>
    <w:p w14:paraId="74E6BC9B" w14:textId="77777777" w:rsidR="004D3E18" w:rsidRPr="00DB253A" w:rsidRDefault="007826E2" w:rsidP="005A2B26">
      <w:pPr>
        <w:rPr>
          <w:color w:val="auto"/>
        </w:rPr>
      </w:pPr>
      <w:r>
        <w:rPr>
          <w:color w:val="auto"/>
        </w:rPr>
        <w:t>I</w:t>
      </w:r>
      <w:r w:rsidRPr="00DB253A">
        <w:rPr>
          <w:color w:val="auto"/>
        </w:rPr>
        <w:t xml:space="preserve">n this case </w:t>
      </w:r>
      <w:r>
        <w:rPr>
          <w:color w:val="auto"/>
        </w:rPr>
        <w:t>t</w:t>
      </w:r>
      <w:r w:rsidR="00B16DFD" w:rsidRPr="00DB253A">
        <w:rPr>
          <w:color w:val="auto"/>
        </w:rPr>
        <w:t>he gross c</w:t>
      </w:r>
      <w:r w:rsidR="004D3E18" w:rsidRPr="00DB253A">
        <w:rPr>
          <w:color w:val="auto"/>
        </w:rPr>
        <w:t xml:space="preserve">ompany tax revenue will be equal to the sum of </w:t>
      </w:r>
      <w:r w:rsidR="00B16DFD" w:rsidRPr="00DB253A">
        <w:rPr>
          <w:color w:val="auto"/>
        </w:rPr>
        <w:t xml:space="preserve">A, </w:t>
      </w:r>
      <w:r w:rsidR="004D3E18" w:rsidRPr="00DB253A">
        <w:rPr>
          <w:color w:val="auto"/>
        </w:rPr>
        <w:t>B</w:t>
      </w:r>
      <w:r w:rsidR="00B16DFD" w:rsidRPr="00DB253A">
        <w:rPr>
          <w:color w:val="auto"/>
        </w:rPr>
        <w:t xml:space="preserve">, C </w:t>
      </w:r>
      <w:r w:rsidR="004D3E18" w:rsidRPr="00DB253A">
        <w:rPr>
          <w:color w:val="auto"/>
        </w:rPr>
        <w:t>and D.</w:t>
      </w:r>
      <w:r w:rsidR="00B16DFD" w:rsidRPr="00DB253A">
        <w:rPr>
          <w:color w:val="auto"/>
        </w:rPr>
        <w:t xml:space="preserve"> It is important to keep in mind that the company income tax revenue from domestically owned capital is largely returned in the form of franking credits, with the resulting income taxed at the personal income tax rate. Holding the personal income tax rate constant, this analysis implies a lower company income tax rate lowers the return to domestic owners of variable capital. Assuming company tax accrued on domestic owned capital is fully</w:t>
      </w:r>
      <w:r w:rsidR="002A5BA4">
        <w:rPr>
          <w:color w:val="auto"/>
        </w:rPr>
        <w:t xml:space="preserve"> returned to </w:t>
      </w:r>
      <w:r w:rsidR="00AE18CF">
        <w:rPr>
          <w:color w:val="auto"/>
        </w:rPr>
        <w:t xml:space="preserve">domestic owners </w:t>
      </w:r>
      <w:r w:rsidR="002A5BA4">
        <w:rPr>
          <w:color w:val="auto"/>
        </w:rPr>
        <w:t>through</w:t>
      </w:r>
      <w:r w:rsidR="00B16DFD" w:rsidRPr="00DB253A">
        <w:rPr>
          <w:color w:val="auto"/>
        </w:rPr>
        <w:t xml:space="preserve"> franked </w:t>
      </w:r>
      <w:r w:rsidR="002A5BA4">
        <w:rPr>
          <w:color w:val="auto"/>
        </w:rPr>
        <w:t xml:space="preserve">dividends </w:t>
      </w:r>
      <w:r w:rsidR="00B16DFD" w:rsidRPr="00DB253A">
        <w:rPr>
          <w:color w:val="auto"/>
        </w:rPr>
        <w:t xml:space="preserve">the </w:t>
      </w:r>
      <w:r w:rsidR="00AE18CF">
        <w:rPr>
          <w:color w:val="auto"/>
        </w:rPr>
        <w:t xml:space="preserve">change to </w:t>
      </w:r>
      <w:r w:rsidR="00B16DFD" w:rsidRPr="00DB253A">
        <w:rPr>
          <w:color w:val="auto"/>
        </w:rPr>
        <w:t xml:space="preserve">net company tax </w:t>
      </w:r>
      <w:r w:rsidR="00AE18CF">
        <w:rPr>
          <w:color w:val="auto"/>
        </w:rPr>
        <w:t xml:space="preserve">revenue </w:t>
      </w:r>
      <w:r w:rsidR="00B16DFD" w:rsidRPr="00DB253A">
        <w:rPr>
          <w:color w:val="auto"/>
        </w:rPr>
        <w:t>is equal to B plus D.</w:t>
      </w:r>
    </w:p>
    <w:p w14:paraId="52DE86A9" w14:textId="6AABB620" w:rsidR="005A2B26" w:rsidRPr="00DB253A" w:rsidRDefault="00B16DFD" w:rsidP="005A2B26">
      <w:pPr>
        <w:rPr>
          <w:color w:val="auto"/>
        </w:rPr>
      </w:pPr>
      <w:r w:rsidRPr="00DB253A">
        <w:rPr>
          <w:color w:val="auto"/>
        </w:rPr>
        <w:t xml:space="preserve">Figure </w:t>
      </w:r>
      <w:r w:rsidRPr="00DB253A">
        <w:rPr>
          <w:noProof/>
          <w:color w:val="auto"/>
        </w:rPr>
        <w:t>2</w:t>
      </w:r>
      <w:r w:rsidRPr="00DB253A">
        <w:rPr>
          <w:color w:val="auto"/>
        </w:rPr>
        <w:t xml:space="preserve"> also plots the response of the Australian variable capital market to a lower company tax rate. </w:t>
      </w:r>
      <w:r w:rsidR="005E0FCD" w:rsidRPr="00DB253A">
        <w:rPr>
          <w:color w:val="auto"/>
        </w:rPr>
        <w:t>A</w:t>
      </w:r>
      <w:r w:rsidR="00446698">
        <w:rPr>
          <w:color w:val="auto"/>
        </w:rPr>
        <w:t> </w:t>
      </w:r>
      <w:r w:rsidR="005E0FCD" w:rsidRPr="00DB253A">
        <w:rPr>
          <w:color w:val="auto"/>
        </w:rPr>
        <w:t>company tax cut</w:t>
      </w:r>
      <w:r w:rsidR="005A2B26" w:rsidRPr="00DB253A">
        <w:rPr>
          <w:color w:val="auto"/>
        </w:rPr>
        <w:t xml:space="preserve"> causes the after</w:t>
      </w:r>
      <w:r w:rsidR="005A2B26" w:rsidRPr="00DB253A">
        <w:rPr>
          <w:color w:val="auto"/>
        </w:rPr>
        <w:noBreakHyphen/>
        <w:t xml:space="preserve">tax rate of return of Australian capital to </w:t>
      </w:r>
      <w:r w:rsidR="005E0FCD" w:rsidRPr="00DB253A">
        <w:rPr>
          <w:color w:val="auto"/>
        </w:rPr>
        <w:t>rise above</w:t>
      </w:r>
      <w:r w:rsidR="005A2B26" w:rsidRPr="00DB253A">
        <w:rPr>
          <w:color w:val="auto"/>
        </w:rPr>
        <w:t xml:space="preserve"> the global rate of return. This will cause a capital </w:t>
      </w:r>
      <w:r w:rsidR="005E0FCD" w:rsidRPr="00DB253A">
        <w:rPr>
          <w:color w:val="auto"/>
        </w:rPr>
        <w:t>in</w:t>
      </w:r>
      <w:r w:rsidR="005A2B26" w:rsidRPr="00DB253A">
        <w:rPr>
          <w:color w:val="auto"/>
        </w:rPr>
        <w:t xml:space="preserve">flow. Assuming diminishing returns to variable factors, the </w:t>
      </w:r>
      <w:r w:rsidR="005E0FCD" w:rsidRPr="00DB253A">
        <w:rPr>
          <w:color w:val="auto"/>
        </w:rPr>
        <w:t>increased</w:t>
      </w:r>
      <w:r w:rsidR="005A2B26" w:rsidRPr="00DB253A">
        <w:rPr>
          <w:color w:val="auto"/>
        </w:rPr>
        <w:t xml:space="preserve"> capital stock will result in </w:t>
      </w:r>
      <w:r w:rsidR="005E0FCD" w:rsidRPr="00DB253A">
        <w:rPr>
          <w:color w:val="auto"/>
        </w:rPr>
        <w:t>lower</w:t>
      </w:r>
      <w:r w:rsidR="005A2B26" w:rsidRPr="00DB253A">
        <w:rPr>
          <w:color w:val="auto"/>
        </w:rPr>
        <w:t xml:space="preserve"> productivity of capital and a </w:t>
      </w:r>
      <w:r w:rsidR="005E0FCD" w:rsidRPr="00DB253A">
        <w:rPr>
          <w:color w:val="auto"/>
        </w:rPr>
        <w:t>lower</w:t>
      </w:r>
      <w:r w:rsidR="005A2B26" w:rsidRPr="00DB253A">
        <w:rPr>
          <w:color w:val="auto"/>
        </w:rPr>
        <w:t xml:space="preserve"> after</w:t>
      </w:r>
      <w:r w:rsidR="005A2B26" w:rsidRPr="00DB253A">
        <w:rPr>
          <w:color w:val="auto"/>
        </w:rPr>
        <w:noBreakHyphen/>
        <w:t xml:space="preserve">tax rate of return. The capital </w:t>
      </w:r>
      <w:r w:rsidR="0024171C" w:rsidRPr="00DB253A">
        <w:rPr>
          <w:color w:val="auto"/>
        </w:rPr>
        <w:t>in</w:t>
      </w:r>
      <w:r w:rsidR="005A2B26" w:rsidRPr="00DB253A">
        <w:rPr>
          <w:color w:val="auto"/>
        </w:rPr>
        <w:t>flow will end when the after</w:t>
      </w:r>
      <w:r w:rsidR="005A2B26" w:rsidRPr="00DB253A">
        <w:rPr>
          <w:color w:val="auto"/>
        </w:rPr>
        <w:noBreakHyphen/>
        <w:t xml:space="preserve">tax rate of return is equal to the global rate of return required by </w:t>
      </w:r>
      <w:r w:rsidR="0024171C" w:rsidRPr="00DB253A">
        <w:rPr>
          <w:color w:val="auto"/>
        </w:rPr>
        <w:t xml:space="preserve">foreigners, which implies a lower </w:t>
      </w:r>
      <w:r w:rsidR="005A2B26" w:rsidRPr="00DB253A">
        <w:rPr>
          <w:color w:val="auto"/>
        </w:rPr>
        <w:t>before</w:t>
      </w:r>
      <w:r w:rsidR="005A2B26" w:rsidRPr="00DB253A">
        <w:rPr>
          <w:color w:val="auto"/>
        </w:rPr>
        <w:noBreakHyphen/>
        <w:t>tax rate of return r</w:t>
      </w:r>
      <w:r w:rsidR="005A2B26" w:rsidRPr="00DB253A">
        <w:rPr>
          <w:color w:val="auto"/>
          <w:vertAlign w:val="subscript"/>
        </w:rPr>
        <w:t>bt</w:t>
      </w:r>
      <w:r w:rsidR="005A2B26" w:rsidRPr="00DB253A">
        <w:rPr>
          <w:color w:val="auto"/>
        </w:rPr>
        <w:t>’</w:t>
      </w:r>
      <w:r w:rsidRPr="00DB253A">
        <w:rPr>
          <w:color w:val="auto"/>
        </w:rPr>
        <w:t>’</w:t>
      </w:r>
      <w:r w:rsidR="005A2B26" w:rsidRPr="00DB253A">
        <w:rPr>
          <w:color w:val="auto"/>
        </w:rPr>
        <w:t xml:space="preserve"> at the new equilibrium capital stock of K’</w:t>
      </w:r>
      <w:r w:rsidRPr="00DB253A">
        <w:rPr>
          <w:color w:val="auto"/>
        </w:rPr>
        <w:t>’&gt;</w:t>
      </w:r>
      <w:r w:rsidR="0024171C" w:rsidRPr="00DB253A">
        <w:rPr>
          <w:color w:val="auto"/>
        </w:rPr>
        <w:t xml:space="preserve"> K</w:t>
      </w:r>
      <w:r w:rsidRPr="00DB253A">
        <w:rPr>
          <w:color w:val="auto"/>
        </w:rPr>
        <w:t>’</w:t>
      </w:r>
      <w:r w:rsidR="0024171C" w:rsidRPr="00DB253A">
        <w:rPr>
          <w:color w:val="auto"/>
        </w:rPr>
        <w:t>.</w:t>
      </w:r>
      <w:r w:rsidRPr="00DB253A">
        <w:rPr>
          <w:color w:val="auto"/>
        </w:rPr>
        <w:t xml:space="preserve"> The net company tax revenue under this lower tax rate is equal to the sum of </w:t>
      </w:r>
      <w:r w:rsidR="009777BF">
        <w:rPr>
          <w:color w:val="auto"/>
        </w:rPr>
        <w:t>D</w:t>
      </w:r>
      <w:r w:rsidR="00446698">
        <w:rPr>
          <w:color w:val="auto"/>
        </w:rPr>
        <w:t> </w:t>
      </w:r>
      <w:r w:rsidRPr="00DB253A">
        <w:rPr>
          <w:color w:val="auto"/>
        </w:rPr>
        <w:t xml:space="preserve">and E, with the change in net company tax revenue equal to </w:t>
      </w:r>
      <w:r w:rsidR="002F513B" w:rsidRPr="00DB253A">
        <w:rPr>
          <w:color w:val="auto"/>
        </w:rPr>
        <w:t>E</w:t>
      </w:r>
      <w:r w:rsidRPr="00DB253A">
        <w:rPr>
          <w:color w:val="auto"/>
        </w:rPr>
        <w:t xml:space="preserve"> minus </w:t>
      </w:r>
      <w:r w:rsidR="002F513B" w:rsidRPr="00DB253A">
        <w:rPr>
          <w:color w:val="auto"/>
        </w:rPr>
        <w:t>B</w:t>
      </w:r>
      <w:r w:rsidRPr="00DB253A">
        <w:rPr>
          <w:color w:val="auto"/>
        </w:rPr>
        <w:t>.</w:t>
      </w:r>
      <w:r w:rsidR="002F513B" w:rsidRPr="00DB253A">
        <w:rPr>
          <w:color w:val="auto"/>
        </w:rPr>
        <w:t xml:space="preserve"> </w:t>
      </w:r>
      <w:r w:rsidR="00AE18CF">
        <w:rPr>
          <w:color w:val="auto"/>
        </w:rPr>
        <w:t xml:space="preserve">For later reference, it is important to note that B captures </w:t>
      </w:r>
      <w:r w:rsidR="006B02E6">
        <w:rPr>
          <w:color w:val="auto"/>
        </w:rPr>
        <w:t xml:space="preserve">the </w:t>
      </w:r>
      <w:r w:rsidR="00AE18CF">
        <w:rPr>
          <w:color w:val="auto"/>
        </w:rPr>
        <w:t>direct effect of a lower company tax rate on tax revenue, while E</w:t>
      </w:r>
      <w:r w:rsidR="00446698">
        <w:rPr>
          <w:color w:val="auto"/>
        </w:rPr>
        <w:t> </w:t>
      </w:r>
      <w:r w:rsidR="00AE18CF">
        <w:rPr>
          <w:color w:val="auto"/>
        </w:rPr>
        <w:t>captures the second round effect of the increased capital stock on tax revenue. Finally, holding</w:t>
      </w:r>
      <w:r w:rsidR="002F513B" w:rsidRPr="00DB253A">
        <w:rPr>
          <w:color w:val="auto"/>
        </w:rPr>
        <w:t xml:space="preserve"> personal income tax rates</w:t>
      </w:r>
      <w:r w:rsidR="00AE18CF">
        <w:rPr>
          <w:color w:val="auto"/>
        </w:rPr>
        <w:t xml:space="preserve"> constant,</w:t>
      </w:r>
      <w:r w:rsidR="002F513B" w:rsidRPr="00DB253A">
        <w:rPr>
          <w:color w:val="auto"/>
        </w:rPr>
        <w:t xml:space="preserve"> the after-tax </w:t>
      </w:r>
      <w:r w:rsidR="00AE18CF">
        <w:rPr>
          <w:color w:val="auto"/>
        </w:rPr>
        <w:t xml:space="preserve">income earned by </w:t>
      </w:r>
      <w:r w:rsidR="002F513B" w:rsidRPr="00DB253A">
        <w:rPr>
          <w:color w:val="auto"/>
        </w:rPr>
        <w:t xml:space="preserve">domestic variable capital owners </w:t>
      </w:r>
      <w:r w:rsidR="00AE18CF">
        <w:rPr>
          <w:color w:val="auto"/>
        </w:rPr>
        <w:t>will fall because their before-tax income</w:t>
      </w:r>
      <w:r w:rsidR="00DB253A" w:rsidRPr="00DB253A">
        <w:rPr>
          <w:color w:val="auto"/>
        </w:rPr>
        <w:t xml:space="preserve"> </w:t>
      </w:r>
      <w:r w:rsidR="002F513B" w:rsidRPr="00DB253A">
        <w:rPr>
          <w:color w:val="auto"/>
        </w:rPr>
        <w:t>falls by A.</w:t>
      </w:r>
    </w:p>
    <w:p w14:paraId="3DE0E114" w14:textId="77777777" w:rsidR="00C11090" w:rsidRPr="00DB253A" w:rsidRDefault="00C11090" w:rsidP="00446698">
      <w:pPr>
        <w:pStyle w:val="FigureHeading"/>
      </w:pPr>
      <w:r w:rsidRPr="00DB253A">
        <w:lastRenderedPageBreak/>
        <w:t xml:space="preserve">Figure </w:t>
      </w:r>
      <w:r w:rsidR="005A7277">
        <w:fldChar w:fldCharType="begin"/>
      </w:r>
      <w:r w:rsidR="005A7277">
        <w:instrText xml:space="preserve"> SEQ Figure \* ARABIC </w:instrText>
      </w:r>
      <w:r w:rsidR="005A7277">
        <w:fldChar w:fldCharType="separate"/>
      </w:r>
      <w:r w:rsidR="00C97912">
        <w:rPr>
          <w:noProof/>
        </w:rPr>
        <w:t>2</w:t>
      </w:r>
      <w:r w:rsidR="005A7277">
        <w:rPr>
          <w:noProof/>
        </w:rPr>
        <w:fldChar w:fldCharType="end"/>
      </w:r>
      <w:r w:rsidRPr="00DB253A">
        <w:t>: Company income tax — Variable capital market response</w:t>
      </w:r>
    </w:p>
    <w:p w14:paraId="77279461" w14:textId="77777777" w:rsidR="005A2B26" w:rsidRPr="00DB253A" w:rsidRDefault="00BE62DE" w:rsidP="00446698">
      <w:pPr>
        <w:pStyle w:val="Figuregraphic"/>
        <w:rPr>
          <w:color w:val="auto"/>
          <w:lang w:eastAsia="en-AU"/>
        </w:rPr>
      </w:pPr>
      <w:r w:rsidRPr="00DB253A">
        <w:rPr>
          <w:noProof/>
          <w:lang w:eastAsia="en-AU"/>
        </w:rPr>
        <w:drawing>
          <wp:inline distT="0" distB="0" distL="0" distR="0" wp14:anchorId="4E47FB29" wp14:editId="68AF3E18">
            <wp:extent cx="4436110" cy="4148051"/>
            <wp:effectExtent l="0" t="0" r="2540" b="0"/>
            <wp:docPr id="16" name="Picture 16" descr="This figure describes the response of the domestic variable capital market to a company tax cu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06" t="3101" r="1895" b="1108"/>
                    <a:stretch/>
                  </pic:blipFill>
                  <pic:spPr bwMode="auto">
                    <a:xfrm>
                      <a:off x="0" y="0"/>
                      <a:ext cx="4436110" cy="4148051"/>
                    </a:xfrm>
                    <a:prstGeom prst="rect">
                      <a:avLst/>
                    </a:prstGeom>
                    <a:noFill/>
                    <a:ln>
                      <a:noFill/>
                    </a:ln>
                    <a:extLst>
                      <a:ext uri="{53640926-AAD7-44D8-BBD7-CCE9431645EC}">
                        <a14:shadowObscured xmlns:a14="http://schemas.microsoft.com/office/drawing/2010/main"/>
                      </a:ext>
                    </a:extLst>
                  </pic:spPr>
                </pic:pic>
              </a:graphicData>
            </a:graphic>
          </wp:inline>
        </w:drawing>
      </w:r>
    </w:p>
    <w:p w14:paraId="44743E74" w14:textId="77777777" w:rsidR="005A2B26" w:rsidRPr="005A2B26" w:rsidRDefault="005A2B26" w:rsidP="005A2B26">
      <w:pPr>
        <w:rPr>
          <w:color w:val="auto"/>
        </w:rPr>
      </w:pPr>
      <w:r w:rsidRPr="00DB253A">
        <w:rPr>
          <w:color w:val="auto"/>
        </w:rPr>
        <w:t>Consistent with the variable capital analysis reported here, Johansson</w:t>
      </w:r>
      <w:r w:rsidR="004600B3">
        <w:rPr>
          <w:color w:val="auto"/>
        </w:rPr>
        <w:t> </w:t>
      </w:r>
      <w:r w:rsidRPr="00DB253A">
        <w:rPr>
          <w:color w:val="auto"/>
        </w:rPr>
        <w:t>et</w:t>
      </w:r>
      <w:r w:rsidR="004600B3">
        <w:rPr>
          <w:color w:val="auto"/>
        </w:rPr>
        <w:t> </w:t>
      </w:r>
      <w:r w:rsidRPr="00DB253A">
        <w:rPr>
          <w:color w:val="auto"/>
        </w:rPr>
        <w:t>al.</w:t>
      </w:r>
      <w:r w:rsidR="004600B3">
        <w:rPr>
          <w:color w:val="auto"/>
        </w:rPr>
        <w:t> </w:t>
      </w:r>
      <w:r w:rsidRPr="00DB253A">
        <w:rPr>
          <w:color w:val="auto"/>
        </w:rPr>
        <w:t>(2008), in their survey of taxation and economic growth note that raising sourced</w:t>
      </w:r>
      <w:r w:rsidRPr="00DB253A">
        <w:rPr>
          <w:color w:val="auto"/>
        </w:rPr>
        <w:noBreakHyphen/>
        <w:t>based capital income (such as the company income tax) in an open economy tends to reduce and distort domestic investment. In contrast, they note that resident</w:t>
      </w:r>
      <w:r w:rsidRPr="00DB253A">
        <w:rPr>
          <w:color w:val="auto"/>
        </w:rPr>
        <w:noBreakHyphen/>
        <w:t>based capital income tax (such as the franked company income tax through the personal income tax system) may discourage saving without affecting domestic investment. They go on to state that taxes on personal income may affect investment decisions by small firms that can only access domestic saving. Given that most investment is undertaken by large firms with access to international funds, changes to personal income taxes are likely to have a small effect on investment. At the same time, they note that empirical evidence on the sensitivity of saving to the change of the after</w:t>
      </w:r>
      <w:r w:rsidRPr="00DB253A">
        <w:rPr>
          <w:color w:val="auto"/>
        </w:rPr>
        <w:noBreakHyphen/>
        <w:t xml:space="preserve">tax rate of return on capital is inconclusive. This suggests that the assumption of a fixed domestic </w:t>
      </w:r>
      <w:r w:rsidR="00A74492">
        <w:rPr>
          <w:color w:val="auto"/>
        </w:rPr>
        <w:t>saving rate</w:t>
      </w:r>
      <w:r w:rsidRPr="00DB253A">
        <w:rPr>
          <w:color w:val="auto"/>
        </w:rPr>
        <w:t xml:space="preserve"> is reasonable.</w:t>
      </w:r>
    </w:p>
    <w:p w14:paraId="3A8CD3AA" w14:textId="77777777" w:rsidR="005A2B26" w:rsidRPr="005A2B26" w:rsidRDefault="005A2B26" w:rsidP="005A2B26">
      <w:pPr>
        <w:rPr>
          <w:color w:val="auto"/>
        </w:rPr>
      </w:pPr>
      <w:r w:rsidRPr="005A2B26">
        <w:rPr>
          <w:color w:val="auto"/>
        </w:rPr>
        <w:t>Firms also use fixed factors such as land, firm</w:t>
      </w:r>
      <w:r w:rsidRPr="005A2B26">
        <w:rPr>
          <w:color w:val="auto"/>
        </w:rPr>
        <w:noBreakHyphen/>
        <w:t>specific and location</w:t>
      </w:r>
      <w:r w:rsidRPr="005A2B26">
        <w:rPr>
          <w:color w:val="auto"/>
        </w:rPr>
        <w:noBreakHyphen/>
        <w:t>specific factors.</w:t>
      </w:r>
      <w:r w:rsidRPr="005A2B26">
        <w:rPr>
          <w:color w:val="auto"/>
          <w:vertAlign w:val="superscript"/>
        </w:rPr>
        <w:footnoteReference w:id="13"/>
      </w:r>
      <w:r w:rsidRPr="005A2B26">
        <w:rPr>
          <w:color w:val="auto"/>
        </w:rPr>
        <w:t xml:space="preserve"> The fixed factor markets are affected by a change in the company income tax rate in two ways: directly by driving a wider wedge between the before</w:t>
      </w:r>
      <w:r w:rsidRPr="005A2B26">
        <w:rPr>
          <w:color w:val="auto"/>
        </w:rPr>
        <w:noBreakHyphen/>
      </w:r>
      <w:r w:rsidR="009777BF">
        <w:rPr>
          <w:color w:val="auto"/>
        </w:rPr>
        <w:t>tax</w:t>
      </w:r>
      <w:r w:rsidRPr="005A2B26">
        <w:rPr>
          <w:color w:val="auto"/>
        </w:rPr>
        <w:t xml:space="preserve"> and after</w:t>
      </w:r>
      <w:r w:rsidRPr="005A2B26">
        <w:rPr>
          <w:color w:val="auto"/>
        </w:rPr>
        <w:noBreakHyphen/>
        <w:t>tax rental rates; and indirectly by lowering the demand for fixed factors.</w:t>
      </w:r>
    </w:p>
    <w:p w14:paraId="47A0ED56" w14:textId="77777777" w:rsidR="00C11090" w:rsidRDefault="00C11090" w:rsidP="00C44681">
      <w:pPr>
        <w:pStyle w:val="FigureHeading"/>
      </w:pPr>
      <w:r>
        <w:lastRenderedPageBreak/>
        <w:t xml:space="preserve">Figure </w:t>
      </w:r>
      <w:r w:rsidR="005A7277">
        <w:fldChar w:fldCharType="begin"/>
      </w:r>
      <w:r w:rsidR="005A7277">
        <w:instrText xml:space="preserve"> SEQ Figure \* ARABIC </w:instrText>
      </w:r>
      <w:r w:rsidR="005A7277">
        <w:fldChar w:fldCharType="separate"/>
      </w:r>
      <w:r w:rsidR="00C97912">
        <w:rPr>
          <w:noProof/>
        </w:rPr>
        <w:t>3</w:t>
      </w:r>
      <w:r w:rsidR="005A7277">
        <w:rPr>
          <w:noProof/>
        </w:rPr>
        <w:fldChar w:fldCharType="end"/>
      </w:r>
      <w:r>
        <w:t xml:space="preserve">: </w:t>
      </w:r>
      <w:r w:rsidRPr="005A2B26">
        <w:t>Company income tax — Fixed factor market response</w:t>
      </w:r>
    </w:p>
    <w:p w14:paraId="03BDC826" w14:textId="77777777" w:rsidR="006F0D15" w:rsidRPr="006F0D15" w:rsidRDefault="00BE62DE" w:rsidP="00C44681">
      <w:pPr>
        <w:pStyle w:val="Figuregraphic"/>
        <w:rPr>
          <w:lang w:eastAsia="en-AU"/>
        </w:rPr>
      </w:pPr>
      <w:r w:rsidRPr="00BE62DE">
        <w:rPr>
          <w:noProof/>
          <w:lang w:eastAsia="en-AU"/>
        </w:rPr>
        <w:drawing>
          <wp:inline distT="0" distB="0" distL="0" distR="0" wp14:anchorId="209C6DBB" wp14:editId="3DB5E423">
            <wp:extent cx="3530547" cy="3848793"/>
            <wp:effectExtent l="0" t="0" r="0" b="0"/>
            <wp:docPr id="17" name="Picture 17" descr="This figure describes the fixed factor market response to a company tax cu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35" t="7176" r="5664" b="3241"/>
                    <a:stretch/>
                  </pic:blipFill>
                  <pic:spPr bwMode="auto">
                    <a:xfrm>
                      <a:off x="0" y="0"/>
                      <a:ext cx="3532566" cy="3850994"/>
                    </a:xfrm>
                    <a:prstGeom prst="rect">
                      <a:avLst/>
                    </a:prstGeom>
                    <a:noFill/>
                    <a:ln>
                      <a:noFill/>
                    </a:ln>
                    <a:extLst>
                      <a:ext uri="{53640926-AAD7-44D8-BBD7-CCE9431645EC}">
                        <a14:shadowObscured xmlns:a14="http://schemas.microsoft.com/office/drawing/2010/main"/>
                      </a:ext>
                    </a:extLst>
                  </pic:spPr>
                </pic:pic>
              </a:graphicData>
            </a:graphic>
          </wp:inline>
        </w:drawing>
      </w:r>
    </w:p>
    <w:p w14:paraId="22B40D5C" w14:textId="77777777" w:rsidR="005A2B26" w:rsidRPr="005A2B26" w:rsidRDefault="005A2B26" w:rsidP="005A2B26">
      <w:pPr>
        <w:rPr>
          <w:color w:val="auto"/>
        </w:rPr>
      </w:pPr>
      <w:r w:rsidRPr="005A2B26">
        <w:rPr>
          <w:color w:val="auto"/>
        </w:rPr>
        <w:t xml:space="preserve">The </w:t>
      </w:r>
      <w:r w:rsidR="006F0D15">
        <w:rPr>
          <w:color w:val="auto"/>
        </w:rPr>
        <w:t>increase</w:t>
      </w:r>
      <w:r w:rsidRPr="005A2B26">
        <w:rPr>
          <w:color w:val="auto"/>
        </w:rPr>
        <w:t xml:space="preserve"> in the variable capital stock, caused by a </w:t>
      </w:r>
      <w:r w:rsidR="006F0D15">
        <w:rPr>
          <w:color w:val="auto"/>
        </w:rPr>
        <w:t>lower</w:t>
      </w:r>
      <w:r w:rsidRPr="005A2B26">
        <w:rPr>
          <w:color w:val="auto"/>
        </w:rPr>
        <w:t xml:space="preserve"> rate of company income tax, </w:t>
      </w:r>
      <w:r w:rsidR="006F0D15">
        <w:rPr>
          <w:color w:val="auto"/>
        </w:rPr>
        <w:t>raises</w:t>
      </w:r>
      <w:r w:rsidRPr="005A2B26">
        <w:rPr>
          <w:color w:val="auto"/>
        </w:rPr>
        <w:t xml:space="preserve"> the productivity of fixed factors and thus the demand for fixed factors. The change in demand i</w:t>
      </w:r>
      <w:r w:rsidR="006F0D15">
        <w:rPr>
          <w:color w:val="auto"/>
        </w:rPr>
        <w:t>s captured in</w:t>
      </w:r>
      <w:r w:rsidRPr="005A2B26">
        <w:rPr>
          <w:color w:val="auto"/>
        </w:rPr>
        <w:t xml:space="preserve"> Figure </w:t>
      </w:r>
      <w:r w:rsidRPr="005A2B26">
        <w:rPr>
          <w:noProof/>
          <w:color w:val="auto"/>
        </w:rPr>
        <w:t>3</w:t>
      </w:r>
      <w:r w:rsidRPr="005A2B26">
        <w:rPr>
          <w:color w:val="auto"/>
        </w:rPr>
        <w:t xml:space="preserve"> by the shift in the demand curve</w:t>
      </w:r>
      <w:r w:rsidR="006F0D15">
        <w:rPr>
          <w:color w:val="auto"/>
        </w:rPr>
        <w:t xml:space="preserve"> from D to D’. This leads to an increase </w:t>
      </w:r>
      <w:r w:rsidRPr="005A2B26">
        <w:rPr>
          <w:color w:val="auto"/>
        </w:rPr>
        <w:t>in the before</w:t>
      </w:r>
      <w:r w:rsidRPr="005A2B26">
        <w:rPr>
          <w:color w:val="auto"/>
        </w:rPr>
        <w:noBreakHyphen/>
        <w:t>tax rental rate with equilibrium restored at q</w:t>
      </w:r>
      <w:r w:rsidRPr="005A2B26">
        <w:rPr>
          <w:color w:val="auto"/>
          <w:vertAlign w:val="subscript"/>
        </w:rPr>
        <w:t>bt</w:t>
      </w:r>
      <w:r w:rsidRPr="005A2B26">
        <w:rPr>
          <w:color w:val="auto"/>
        </w:rPr>
        <w:t xml:space="preserve">’ </w:t>
      </w:r>
      <w:r w:rsidR="006F0D15">
        <w:rPr>
          <w:color w:val="auto"/>
        </w:rPr>
        <w:t>&gt;</w:t>
      </w:r>
      <w:r w:rsidRPr="005A2B26">
        <w:rPr>
          <w:color w:val="auto"/>
        </w:rPr>
        <w:t xml:space="preserve"> q</w:t>
      </w:r>
      <w:r w:rsidRPr="005A2B26">
        <w:rPr>
          <w:color w:val="auto"/>
          <w:vertAlign w:val="subscript"/>
        </w:rPr>
        <w:t>bt</w:t>
      </w:r>
      <w:r w:rsidRPr="005A2B26">
        <w:rPr>
          <w:color w:val="auto"/>
        </w:rPr>
        <w:t>. The owners of fixed capital are also subject to the capital income tax. At the initial before</w:t>
      </w:r>
      <w:r w:rsidRPr="005A2B26">
        <w:rPr>
          <w:color w:val="auto"/>
        </w:rPr>
        <w:noBreakHyphen/>
        <w:t>tax rental rate of q</w:t>
      </w:r>
      <w:r w:rsidRPr="005A2B26">
        <w:rPr>
          <w:color w:val="auto"/>
          <w:vertAlign w:val="subscript"/>
        </w:rPr>
        <w:t>bt</w:t>
      </w:r>
      <w:r w:rsidRPr="005A2B26">
        <w:rPr>
          <w:color w:val="auto"/>
        </w:rPr>
        <w:t xml:space="preserve"> the revenue collected by the government is equal to A and B, implying an after</w:t>
      </w:r>
      <w:r w:rsidRPr="005A2B26">
        <w:rPr>
          <w:color w:val="auto"/>
        </w:rPr>
        <w:noBreakHyphen/>
        <w:t>tax rental rate of q</w:t>
      </w:r>
      <w:r w:rsidRPr="005A2B26">
        <w:rPr>
          <w:color w:val="auto"/>
          <w:vertAlign w:val="subscript"/>
        </w:rPr>
        <w:t>at</w:t>
      </w:r>
      <w:r w:rsidRPr="005A2B26">
        <w:rPr>
          <w:color w:val="auto"/>
        </w:rPr>
        <w:t xml:space="preserve">. Capital income will </w:t>
      </w:r>
      <w:r w:rsidR="006F0D15">
        <w:rPr>
          <w:color w:val="auto"/>
        </w:rPr>
        <w:t>rise</w:t>
      </w:r>
      <w:r w:rsidRPr="005A2B26">
        <w:rPr>
          <w:color w:val="auto"/>
        </w:rPr>
        <w:t xml:space="preserve"> with the tax change, with the new after</w:t>
      </w:r>
      <w:r w:rsidRPr="005A2B26">
        <w:rPr>
          <w:color w:val="auto"/>
        </w:rPr>
        <w:noBreakHyphen/>
        <w:t>tax rental rate of q</w:t>
      </w:r>
      <w:r w:rsidRPr="005A2B26">
        <w:rPr>
          <w:color w:val="auto"/>
          <w:vertAlign w:val="subscript"/>
        </w:rPr>
        <w:t>at</w:t>
      </w:r>
      <w:r w:rsidRPr="005A2B26">
        <w:rPr>
          <w:color w:val="auto"/>
        </w:rPr>
        <w:t>’</w:t>
      </w:r>
      <w:r w:rsidR="006F0D15">
        <w:rPr>
          <w:color w:val="auto"/>
        </w:rPr>
        <w:t>&gt;</w:t>
      </w:r>
      <w:r w:rsidRPr="005A2B26">
        <w:rPr>
          <w:color w:val="auto"/>
        </w:rPr>
        <w:t xml:space="preserve"> q</w:t>
      </w:r>
      <w:r w:rsidRPr="005A2B26">
        <w:rPr>
          <w:color w:val="auto"/>
          <w:vertAlign w:val="subscript"/>
        </w:rPr>
        <w:t xml:space="preserve">at. </w:t>
      </w:r>
      <w:r w:rsidRPr="005A2B26">
        <w:rPr>
          <w:color w:val="auto"/>
        </w:rPr>
        <w:t xml:space="preserve">The change in </w:t>
      </w:r>
      <w:r w:rsidR="002F513B">
        <w:rPr>
          <w:color w:val="auto"/>
        </w:rPr>
        <w:t xml:space="preserve">company </w:t>
      </w:r>
      <w:r w:rsidRPr="005A2B26">
        <w:rPr>
          <w:color w:val="auto"/>
        </w:rPr>
        <w:t xml:space="preserve">tax revenue is equal to </w:t>
      </w:r>
      <w:r w:rsidR="00BE62DE">
        <w:rPr>
          <w:color w:val="auto"/>
        </w:rPr>
        <w:t>C</w:t>
      </w:r>
      <w:r w:rsidRPr="005A2B26">
        <w:rPr>
          <w:color w:val="auto"/>
        </w:rPr>
        <w:t xml:space="preserve"> minus </w:t>
      </w:r>
      <w:r w:rsidR="00BE62DE">
        <w:rPr>
          <w:color w:val="auto"/>
        </w:rPr>
        <w:t>A</w:t>
      </w:r>
      <w:r w:rsidRPr="005A2B26">
        <w:rPr>
          <w:color w:val="auto"/>
        </w:rPr>
        <w:t xml:space="preserve">, with total revenue </w:t>
      </w:r>
      <w:r w:rsidR="006F0D15">
        <w:rPr>
          <w:color w:val="auto"/>
        </w:rPr>
        <w:t>equal to</w:t>
      </w:r>
      <w:r w:rsidRPr="005A2B26">
        <w:rPr>
          <w:color w:val="auto"/>
        </w:rPr>
        <w:t xml:space="preserve"> C plus B. Again, it is important to keep in mind that the </w:t>
      </w:r>
      <w:r w:rsidR="002F513B">
        <w:rPr>
          <w:color w:val="auto"/>
        </w:rPr>
        <w:t>company</w:t>
      </w:r>
      <w:r w:rsidRPr="005A2B26">
        <w:rPr>
          <w:color w:val="auto"/>
        </w:rPr>
        <w:t xml:space="preserve"> income tax paid by domestic capital owners is largely re</w:t>
      </w:r>
      <w:r w:rsidR="002F513B">
        <w:rPr>
          <w:color w:val="auto"/>
        </w:rPr>
        <w:t>turned through franking credits</w:t>
      </w:r>
      <w:r w:rsidR="00AE18CF">
        <w:rPr>
          <w:color w:val="auto"/>
        </w:rPr>
        <w:t>. I</w:t>
      </w:r>
      <w:r w:rsidR="00892F02">
        <w:rPr>
          <w:color w:val="auto"/>
        </w:rPr>
        <w:t xml:space="preserve">n the absence of changes to personal income tax </w:t>
      </w:r>
      <w:r w:rsidR="00AE18CF">
        <w:rPr>
          <w:color w:val="auto"/>
        </w:rPr>
        <w:t xml:space="preserve">rates, </w:t>
      </w:r>
      <w:r w:rsidR="00892F02">
        <w:rPr>
          <w:color w:val="auto"/>
        </w:rPr>
        <w:t>d</w:t>
      </w:r>
      <w:r w:rsidR="002F513B">
        <w:rPr>
          <w:color w:val="auto"/>
        </w:rPr>
        <w:t xml:space="preserve">omestic owners </w:t>
      </w:r>
      <w:r w:rsidR="00892F02">
        <w:rPr>
          <w:color w:val="auto"/>
        </w:rPr>
        <w:t xml:space="preserve">will </w:t>
      </w:r>
      <w:r w:rsidR="00AE18CF">
        <w:rPr>
          <w:color w:val="auto"/>
        </w:rPr>
        <w:t>earn</w:t>
      </w:r>
      <w:r w:rsidR="00892F02">
        <w:rPr>
          <w:color w:val="auto"/>
        </w:rPr>
        <w:t xml:space="preserve"> higher after-tax </w:t>
      </w:r>
      <w:r w:rsidR="00AE18CF">
        <w:rPr>
          <w:color w:val="auto"/>
        </w:rPr>
        <w:t xml:space="preserve">income </w:t>
      </w:r>
      <w:r w:rsidR="00892F02">
        <w:rPr>
          <w:color w:val="auto"/>
        </w:rPr>
        <w:t>on fixed factors.</w:t>
      </w:r>
    </w:p>
    <w:p w14:paraId="707134B2" w14:textId="77777777" w:rsidR="005A2B26" w:rsidRPr="005A2B26" w:rsidRDefault="005A2B26" w:rsidP="005A2B26">
      <w:pPr>
        <w:rPr>
          <w:color w:val="auto"/>
        </w:rPr>
      </w:pPr>
      <w:r w:rsidRPr="005A2B26">
        <w:rPr>
          <w:color w:val="auto"/>
        </w:rPr>
        <w:t>While the company income tax is directly levied on firms the second round effects in the labour market are generally important for economic welfare.</w:t>
      </w:r>
      <w:r w:rsidRPr="005A2B26">
        <w:rPr>
          <w:color w:val="auto"/>
          <w:vertAlign w:val="superscript"/>
        </w:rPr>
        <w:footnoteReference w:id="14"/>
      </w:r>
      <w:r w:rsidRPr="005A2B26">
        <w:rPr>
          <w:color w:val="auto"/>
        </w:rPr>
        <w:t xml:space="preserve"> The </w:t>
      </w:r>
      <w:r w:rsidR="006F0D15">
        <w:rPr>
          <w:color w:val="auto"/>
        </w:rPr>
        <w:t>larger</w:t>
      </w:r>
      <w:r w:rsidRPr="005A2B26">
        <w:rPr>
          <w:color w:val="auto"/>
        </w:rPr>
        <w:t xml:space="preserve"> capital stock following the tax change </w:t>
      </w:r>
      <w:r w:rsidR="006F0D15">
        <w:rPr>
          <w:color w:val="auto"/>
        </w:rPr>
        <w:t>raises</w:t>
      </w:r>
      <w:r w:rsidRPr="005A2B26">
        <w:rPr>
          <w:color w:val="auto"/>
        </w:rPr>
        <w:t xml:space="preserve"> the productivity of labour and therefore the demand for labour, which is captured in Figure </w:t>
      </w:r>
      <w:r w:rsidRPr="005A2B26">
        <w:rPr>
          <w:noProof/>
          <w:color w:val="auto"/>
        </w:rPr>
        <w:t>4</w:t>
      </w:r>
      <w:r w:rsidRPr="005A2B26">
        <w:rPr>
          <w:color w:val="auto"/>
        </w:rPr>
        <w:t xml:space="preserve"> by the shift in demand from D to D’. Equilibrium is restored in the labour market at </w:t>
      </w:r>
      <w:r w:rsidR="006F0D15">
        <w:rPr>
          <w:color w:val="auto"/>
        </w:rPr>
        <w:t>a higher</w:t>
      </w:r>
      <w:r w:rsidRPr="005A2B26">
        <w:rPr>
          <w:color w:val="auto"/>
        </w:rPr>
        <w:t xml:space="preserve"> real wage given by w’</w:t>
      </w:r>
      <w:r w:rsidR="006F0D15">
        <w:rPr>
          <w:color w:val="auto"/>
        </w:rPr>
        <w:t>&gt;</w:t>
      </w:r>
      <w:r w:rsidRPr="005A2B26">
        <w:rPr>
          <w:color w:val="auto"/>
        </w:rPr>
        <w:t xml:space="preserve">w, which in turn causes labour supply to </w:t>
      </w:r>
      <w:r w:rsidR="006F0D15">
        <w:rPr>
          <w:color w:val="auto"/>
        </w:rPr>
        <w:t>rise</w:t>
      </w:r>
      <w:r w:rsidRPr="005A2B26">
        <w:rPr>
          <w:color w:val="auto"/>
        </w:rPr>
        <w:t xml:space="preserve"> to H’</w:t>
      </w:r>
      <w:r w:rsidR="006F0D15">
        <w:rPr>
          <w:color w:val="auto"/>
        </w:rPr>
        <w:t>&gt;</w:t>
      </w:r>
      <w:r w:rsidRPr="005A2B26">
        <w:rPr>
          <w:color w:val="auto"/>
        </w:rPr>
        <w:t xml:space="preserve">H. </w:t>
      </w:r>
    </w:p>
    <w:p w14:paraId="41FF8C4C" w14:textId="77777777" w:rsidR="005A2B26" w:rsidRPr="005A2B26" w:rsidRDefault="005A2B26" w:rsidP="005A2B26">
      <w:pPr>
        <w:rPr>
          <w:color w:val="auto"/>
        </w:rPr>
      </w:pPr>
      <w:r w:rsidRPr="005A2B26">
        <w:rPr>
          <w:color w:val="auto"/>
        </w:rPr>
        <w:t xml:space="preserve">Empirical studies find that labour supply is relatively inelastic, which implies the </w:t>
      </w:r>
      <w:r w:rsidR="006F0D15">
        <w:rPr>
          <w:color w:val="auto"/>
        </w:rPr>
        <w:t>rise</w:t>
      </w:r>
      <w:r w:rsidRPr="005A2B26">
        <w:rPr>
          <w:color w:val="auto"/>
        </w:rPr>
        <w:t xml:space="preserve"> in real wages will be proportionately larger than the </w:t>
      </w:r>
      <w:r w:rsidR="006F0D15">
        <w:rPr>
          <w:color w:val="auto"/>
        </w:rPr>
        <w:t>rise</w:t>
      </w:r>
      <w:r w:rsidRPr="005A2B26">
        <w:rPr>
          <w:color w:val="auto"/>
        </w:rPr>
        <w:t xml:space="preserve"> in </w:t>
      </w:r>
      <w:r w:rsidR="006F0D15">
        <w:rPr>
          <w:color w:val="auto"/>
        </w:rPr>
        <w:t xml:space="preserve">total </w:t>
      </w:r>
      <w:r w:rsidRPr="005A2B26">
        <w:rPr>
          <w:color w:val="auto"/>
        </w:rPr>
        <w:t xml:space="preserve">hours. Overall, the </w:t>
      </w:r>
      <w:r w:rsidR="006F0D15">
        <w:rPr>
          <w:color w:val="auto"/>
        </w:rPr>
        <w:t>gain</w:t>
      </w:r>
      <w:r w:rsidRPr="005A2B26">
        <w:rPr>
          <w:color w:val="auto"/>
        </w:rPr>
        <w:t xml:space="preserve"> in labour income is represented by the sum of A and B in Figure </w:t>
      </w:r>
      <w:r w:rsidRPr="005A2B26">
        <w:rPr>
          <w:noProof/>
          <w:color w:val="auto"/>
        </w:rPr>
        <w:t>4</w:t>
      </w:r>
      <w:r w:rsidRPr="005A2B26">
        <w:rPr>
          <w:color w:val="auto"/>
        </w:rPr>
        <w:t xml:space="preserve">. In terms of the welfare effect on the labour market, the </w:t>
      </w:r>
      <w:r w:rsidR="006F0D15">
        <w:rPr>
          <w:color w:val="auto"/>
        </w:rPr>
        <w:t>increase</w:t>
      </w:r>
      <w:r w:rsidRPr="005A2B26">
        <w:rPr>
          <w:color w:val="auto"/>
        </w:rPr>
        <w:t xml:space="preserve"> in hours implies a</w:t>
      </w:r>
      <w:r w:rsidR="006F0D15">
        <w:rPr>
          <w:color w:val="auto"/>
        </w:rPr>
        <w:t xml:space="preserve"> decrease </w:t>
      </w:r>
      <w:r w:rsidRPr="005A2B26">
        <w:rPr>
          <w:color w:val="auto"/>
        </w:rPr>
        <w:t>in leisure.</w:t>
      </w:r>
    </w:p>
    <w:p w14:paraId="03B60E37" w14:textId="77777777" w:rsidR="005A2B26" w:rsidRPr="00DE3345" w:rsidRDefault="00C11090" w:rsidP="00C44681">
      <w:pPr>
        <w:pStyle w:val="FigureHeading"/>
      </w:pPr>
      <w:r>
        <w:lastRenderedPageBreak/>
        <w:t xml:space="preserve">Figure </w:t>
      </w:r>
      <w:r w:rsidR="005A7277">
        <w:fldChar w:fldCharType="begin"/>
      </w:r>
      <w:r w:rsidR="005A7277">
        <w:instrText xml:space="preserve"> SEQ Figure \* ARABIC </w:instrText>
      </w:r>
      <w:r w:rsidR="005A7277">
        <w:fldChar w:fldCharType="separate"/>
      </w:r>
      <w:r w:rsidR="00C97912">
        <w:rPr>
          <w:noProof/>
        </w:rPr>
        <w:t>4</w:t>
      </w:r>
      <w:r w:rsidR="005A7277">
        <w:rPr>
          <w:noProof/>
        </w:rPr>
        <w:fldChar w:fldCharType="end"/>
      </w:r>
      <w:r>
        <w:t xml:space="preserve">: </w:t>
      </w:r>
      <w:r w:rsidRPr="005A2B26">
        <w:t>Company income tax — Labour market response</w:t>
      </w:r>
    </w:p>
    <w:p w14:paraId="7A4BF5D8" w14:textId="77777777" w:rsidR="005A2B26" w:rsidRPr="005A2B26" w:rsidRDefault="00BE62DE" w:rsidP="00C44681">
      <w:pPr>
        <w:pStyle w:val="Figuregraphic"/>
        <w:rPr>
          <w:color w:val="auto"/>
          <w:lang w:eastAsia="en-AU"/>
        </w:rPr>
      </w:pPr>
      <w:r w:rsidRPr="00BE62DE">
        <w:rPr>
          <w:noProof/>
          <w:lang w:eastAsia="en-AU"/>
        </w:rPr>
        <w:drawing>
          <wp:inline distT="0" distB="0" distL="0" distR="0" wp14:anchorId="73CCDC95" wp14:editId="6C82CD29">
            <wp:extent cx="3780000" cy="3253204"/>
            <wp:effectExtent l="0" t="0" r="0" b="0"/>
            <wp:docPr id="19" name="Picture 19" descr="This figure describes the labour market response to a company tax cut."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53" t="4788" r="8816" b="1595"/>
                    <a:stretch/>
                  </pic:blipFill>
                  <pic:spPr bwMode="auto">
                    <a:xfrm>
                      <a:off x="0" y="0"/>
                      <a:ext cx="3780000" cy="3253204"/>
                    </a:xfrm>
                    <a:prstGeom prst="rect">
                      <a:avLst/>
                    </a:prstGeom>
                    <a:noFill/>
                    <a:ln>
                      <a:noFill/>
                    </a:ln>
                    <a:extLst>
                      <a:ext uri="{53640926-AAD7-44D8-BBD7-CCE9431645EC}">
                        <a14:shadowObscured xmlns:a14="http://schemas.microsoft.com/office/drawing/2010/main"/>
                      </a:ext>
                    </a:extLst>
                  </pic:spPr>
                </pic:pic>
              </a:graphicData>
            </a:graphic>
          </wp:inline>
        </w:drawing>
      </w:r>
    </w:p>
    <w:p w14:paraId="4F236391" w14:textId="77777777" w:rsidR="00696C43" w:rsidRDefault="00696C43" w:rsidP="00C44681">
      <w:pPr>
        <w:pStyle w:val="SingleParagraph"/>
      </w:pPr>
    </w:p>
    <w:p w14:paraId="1BAF9482" w14:textId="77777777" w:rsidR="00C11090" w:rsidRDefault="00C11090" w:rsidP="00C44681">
      <w:pPr>
        <w:pStyle w:val="FigureHeading"/>
      </w:pPr>
      <w:r>
        <w:t xml:space="preserve">Figure </w:t>
      </w:r>
      <w:r w:rsidR="005A7277">
        <w:fldChar w:fldCharType="begin"/>
      </w:r>
      <w:r w:rsidR="005A7277">
        <w:instrText xml:space="preserve"> SEQ Figure \* ARABIC </w:instrText>
      </w:r>
      <w:r w:rsidR="005A7277">
        <w:fldChar w:fldCharType="separate"/>
      </w:r>
      <w:r w:rsidR="00C97912">
        <w:rPr>
          <w:noProof/>
        </w:rPr>
        <w:t>5</w:t>
      </w:r>
      <w:r w:rsidR="005A7277">
        <w:rPr>
          <w:noProof/>
        </w:rPr>
        <w:fldChar w:fldCharType="end"/>
      </w:r>
      <w:r>
        <w:t xml:space="preserve">: </w:t>
      </w:r>
      <w:r w:rsidRPr="005A2B26">
        <w:t>Company income tax — Goods market response</w:t>
      </w:r>
    </w:p>
    <w:p w14:paraId="39E1091B" w14:textId="77777777" w:rsidR="00BE62DE" w:rsidRPr="00BE62DE" w:rsidRDefault="00DD7E84" w:rsidP="00C44681">
      <w:pPr>
        <w:pStyle w:val="Figuregraphic"/>
        <w:rPr>
          <w:lang w:eastAsia="en-AU"/>
        </w:rPr>
      </w:pPr>
      <w:r w:rsidRPr="00DD7E84">
        <w:rPr>
          <w:noProof/>
          <w:lang w:eastAsia="en-AU"/>
        </w:rPr>
        <w:drawing>
          <wp:inline distT="0" distB="0" distL="0" distR="0" wp14:anchorId="02755C99" wp14:editId="75D9B380">
            <wp:extent cx="3754429" cy="3240000"/>
            <wp:effectExtent l="0" t="0" r="0" b="0"/>
            <wp:docPr id="4" name="Picture 4" descr="This figure describes the goods market response to a company tax cut."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52" t="8476" r="1811" b="4600"/>
                    <a:stretch/>
                  </pic:blipFill>
                  <pic:spPr bwMode="auto">
                    <a:xfrm>
                      <a:off x="0" y="0"/>
                      <a:ext cx="375442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9272E66" w14:textId="77777777" w:rsidR="00696C43" w:rsidRPr="005A2B26" w:rsidRDefault="00696C43" w:rsidP="00696C43">
      <w:pPr>
        <w:rPr>
          <w:color w:val="auto"/>
        </w:rPr>
      </w:pPr>
      <w:r w:rsidRPr="005A2B26">
        <w:rPr>
          <w:color w:val="auto"/>
        </w:rPr>
        <w:t xml:space="preserve">In aggregate a capital tax change such as a </w:t>
      </w:r>
      <w:r w:rsidR="009777BF">
        <w:rPr>
          <w:color w:val="auto"/>
        </w:rPr>
        <w:t>cut</w:t>
      </w:r>
      <w:r w:rsidRPr="005A2B26">
        <w:rPr>
          <w:color w:val="auto"/>
        </w:rPr>
        <w:t xml:space="preserve"> to the company incom</w:t>
      </w:r>
      <w:r>
        <w:rPr>
          <w:color w:val="auto"/>
        </w:rPr>
        <w:t xml:space="preserve">e tax </w:t>
      </w:r>
      <w:r w:rsidR="002807BB">
        <w:rPr>
          <w:color w:val="auto"/>
        </w:rPr>
        <w:t xml:space="preserve">would be expected </w:t>
      </w:r>
      <w:r>
        <w:rPr>
          <w:color w:val="auto"/>
        </w:rPr>
        <w:t xml:space="preserve">to cause an increase </w:t>
      </w:r>
      <w:r w:rsidRPr="005A2B26">
        <w:rPr>
          <w:color w:val="auto"/>
        </w:rPr>
        <w:t xml:space="preserve">in both the </w:t>
      </w:r>
      <w:r w:rsidR="002807BB">
        <w:rPr>
          <w:color w:val="auto"/>
        </w:rPr>
        <w:t xml:space="preserve">overall </w:t>
      </w:r>
      <w:r w:rsidRPr="005A2B26">
        <w:rPr>
          <w:color w:val="auto"/>
        </w:rPr>
        <w:t>supply of and demand for goods and services as shown in Figure </w:t>
      </w:r>
      <w:r w:rsidRPr="005A2B26">
        <w:rPr>
          <w:noProof/>
          <w:color w:val="auto"/>
        </w:rPr>
        <w:t>5</w:t>
      </w:r>
      <w:r w:rsidRPr="005A2B26">
        <w:rPr>
          <w:color w:val="auto"/>
        </w:rPr>
        <w:t xml:space="preserve">. This implies an aggregate </w:t>
      </w:r>
      <w:r>
        <w:rPr>
          <w:color w:val="auto"/>
        </w:rPr>
        <w:t>expansion of</w:t>
      </w:r>
      <w:r w:rsidRPr="005A2B26">
        <w:rPr>
          <w:color w:val="auto"/>
        </w:rPr>
        <w:t xml:space="preserve"> activity and therefore GDP. As detailed above the </w:t>
      </w:r>
      <w:r>
        <w:rPr>
          <w:color w:val="auto"/>
        </w:rPr>
        <w:t>increased</w:t>
      </w:r>
      <w:r w:rsidRPr="005A2B26">
        <w:rPr>
          <w:color w:val="auto"/>
        </w:rPr>
        <w:t xml:space="preserve"> supply is caused by a </w:t>
      </w:r>
      <w:r>
        <w:rPr>
          <w:color w:val="auto"/>
        </w:rPr>
        <w:t>larger</w:t>
      </w:r>
      <w:r w:rsidRPr="005A2B26">
        <w:rPr>
          <w:color w:val="auto"/>
        </w:rPr>
        <w:t xml:space="preserve"> capital stock and also </w:t>
      </w:r>
      <w:r>
        <w:rPr>
          <w:color w:val="auto"/>
        </w:rPr>
        <w:t>greater</w:t>
      </w:r>
      <w:r w:rsidRPr="005A2B26">
        <w:rPr>
          <w:color w:val="auto"/>
        </w:rPr>
        <w:t xml:space="preserve"> working hours, while the </w:t>
      </w:r>
      <w:r>
        <w:rPr>
          <w:color w:val="auto"/>
        </w:rPr>
        <w:t>increased</w:t>
      </w:r>
      <w:r w:rsidRPr="005A2B26">
        <w:rPr>
          <w:color w:val="auto"/>
        </w:rPr>
        <w:t xml:space="preserve"> demand is caused by a </w:t>
      </w:r>
      <w:r>
        <w:rPr>
          <w:color w:val="auto"/>
        </w:rPr>
        <w:t>higher</w:t>
      </w:r>
      <w:r w:rsidRPr="005A2B26">
        <w:rPr>
          <w:color w:val="auto"/>
        </w:rPr>
        <w:t xml:space="preserve"> labour income. Given that both supply and demand </w:t>
      </w:r>
      <w:r>
        <w:rPr>
          <w:color w:val="auto"/>
        </w:rPr>
        <w:t>increase</w:t>
      </w:r>
      <w:r w:rsidRPr="005A2B26">
        <w:rPr>
          <w:color w:val="auto"/>
        </w:rPr>
        <w:t xml:space="preserve">, the aggregate price effect is uncertain. </w:t>
      </w:r>
      <w:r w:rsidRPr="00DD7E84">
        <w:rPr>
          <w:color w:val="auto"/>
        </w:rPr>
        <w:t xml:space="preserve">Figure </w:t>
      </w:r>
      <w:r w:rsidRPr="00DD7E84">
        <w:rPr>
          <w:noProof/>
          <w:color w:val="auto"/>
        </w:rPr>
        <w:t>5</w:t>
      </w:r>
      <w:r w:rsidRPr="00DD7E84">
        <w:rPr>
          <w:color w:val="auto"/>
        </w:rPr>
        <w:t xml:space="preserve"> assume</w:t>
      </w:r>
      <w:r w:rsidR="002807BB" w:rsidRPr="00DD7E84">
        <w:rPr>
          <w:color w:val="auto"/>
        </w:rPr>
        <w:t>s</w:t>
      </w:r>
      <w:r w:rsidRPr="00DD7E84">
        <w:rPr>
          <w:color w:val="auto"/>
        </w:rPr>
        <w:t xml:space="preserve"> a slight </w:t>
      </w:r>
      <w:r w:rsidR="00DD7E84" w:rsidRPr="00DD7E84">
        <w:rPr>
          <w:color w:val="auto"/>
        </w:rPr>
        <w:t>de</w:t>
      </w:r>
      <w:r w:rsidRPr="00DD7E84">
        <w:rPr>
          <w:color w:val="auto"/>
        </w:rPr>
        <w:t xml:space="preserve">crease in the aggregate </w:t>
      </w:r>
      <w:r w:rsidR="009777BF">
        <w:rPr>
          <w:color w:val="auto"/>
        </w:rPr>
        <w:t xml:space="preserve">output </w:t>
      </w:r>
      <w:r w:rsidRPr="00DD7E84">
        <w:rPr>
          <w:color w:val="auto"/>
        </w:rPr>
        <w:t>price</w:t>
      </w:r>
      <w:r w:rsidR="009777BF">
        <w:rPr>
          <w:color w:val="auto"/>
        </w:rPr>
        <w:t xml:space="preserve"> (relative the aggregate expenditure price)</w:t>
      </w:r>
      <w:r w:rsidRPr="00DD7E84">
        <w:rPr>
          <w:color w:val="auto"/>
        </w:rPr>
        <w:t xml:space="preserve">, which is consistent with the results reported below and suggests the </w:t>
      </w:r>
      <w:r w:rsidR="00DD7E84" w:rsidRPr="00DD7E84">
        <w:rPr>
          <w:color w:val="auto"/>
        </w:rPr>
        <w:t>supply</w:t>
      </w:r>
      <w:r w:rsidRPr="00DD7E84">
        <w:rPr>
          <w:color w:val="auto"/>
        </w:rPr>
        <w:t xml:space="preserve"> effect is larger than the </w:t>
      </w:r>
      <w:r w:rsidR="00DD7E84" w:rsidRPr="00DD7E84">
        <w:rPr>
          <w:color w:val="auto"/>
        </w:rPr>
        <w:t>demand</w:t>
      </w:r>
      <w:r w:rsidRPr="00DD7E84">
        <w:rPr>
          <w:color w:val="auto"/>
        </w:rPr>
        <w:t xml:space="preserve"> effect.</w:t>
      </w:r>
    </w:p>
    <w:p w14:paraId="3F2BAD83" w14:textId="77777777" w:rsidR="005A2B26" w:rsidRPr="005A2B26" w:rsidRDefault="005A2B26" w:rsidP="005A2B26">
      <w:pPr>
        <w:rPr>
          <w:color w:val="auto"/>
        </w:rPr>
      </w:pPr>
      <w:r w:rsidRPr="005A2B26">
        <w:rPr>
          <w:color w:val="auto"/>
        </w:rPr>
        <w:lastRenderedPageBreak/>
        <w:t>This discussion demonstrates the complex nature of identifying incidence in an economy</w:t>
      </w:r>
      <w:r w:rsidRPr="005A2B26">
        <w:rPr>
          <w:color w:val="auto"/>
        </w:rPr>
        <w:noBreakHyphen/>
        <w:t>wide setting, with a direct tax on capital income</w:t>
      </w:r>
      <w:r w:rsidR="002A5BA4">
        <w:rPr>
          <w:color w:val="auto"/>
        </w:rPr>
        <w:t xml:space="preserve"> having different effects on variable and fixed capital as well as</w:t>
      </w:r>
      <w:r w:rsidRPr="005A2B26">
        <w:rPr>
          <w:color w:val="auto"/>
        </w:rPr>
        <w:t xml:space="preserve"> affecting labour income</w:t>
      </w:r>
      <w:r w:rsidR="00FD2CDF">
        <w:rPr>
          <w:color w:val="auto"/>
        </w:rPr>
        <w:t xml:space="preserve"> </w:t>
      </w:r>
      <w:r w:rsidRPr="005A2B26">
        <w:rPr>
          <w:color w:val="auto"/>
        </w:rPr>
        <w:t>and ultimately the supply an</w:t>
      </w:r>
      <w:r w:rsidR="004E4B94">
        <w:rPr>
          <w:color w:val="auto"/>
        </w:rPr>
        <w:t>d demand of goods and services.</w:t>
      </w:r>
    </w:p>
    <w:p w14:paraId="09AC45BF" w14:textId="77777777" w:rsidR="005A2B26" w:rsidRPr="005A2B26" w:rsidRDefault="005A2B26" w:rsidP="005D4BBD">
      <w:pPr>
        <w:pStyle w:val="Heading3"/>
      </w:pPr>
      <w:r w:rsidRPr="005A2B26">
        <w:t>Results</w:t>
      </w:r>
    </w:p>
    <w:p w14:paraId="30FC6AFB" w14:textId="77777777" w:rsidR="005A2B26" w:rsidRPr="005A2B26" w:rsidRDefault="00D40502" w:rsidP="005A2B26">
      <w:pPr>
        <w:rPr>
          <w:color w:val="auto"/>
        </w:rPr>
      </w:pPr>
      <w:r>
        <w:rPr>
          <w:color w:val="auto"/>
        </w:rPr>
        <w:t>This subsection reports the findings of model</w:t>
      </w:r>
      <w:r w:rsidR="00A31FD5">
        <w:rPr>
          <w:color w:val="auto"/>
        </w:rPr>
        <w:t>-based</w:t>
      </w:r>
      <w:r>
        <w:rPr>
          <w:color w:val="auto"/>
        </w:rPr>
        <w:t xml:space="preserve"> simulation </w:t>
      </w:r>
      <w:r w:rsidR="00A31FD5">
        <w:rPr>
          <w:color w:val="auto"/>
        </w:rPr>
        <w:t>of</w:t>
      </w:r>
      <w:r>
        <w:rPr>
          <w:color w:val="auto"/>
        </w:rPr>
        <w:t xml:space="preserve"> </w:t>
      </w:r>
      <w:r w:rsidR="00991290">
        <w:rPr>
          <w:color w:val="auto"/>
        </w:rPr>
        <w:t>a</w:t>
      </w:r>
      <w:r w:rsidR="005A2B26" w:rsidRPr="005A2B26">
        <w:rPr>
          <w:color w:val="auto"/>
        </w:rPr>
        <w:t xml:space="preserve"> company income tax </w:t>
      </w:r>
      <w:r w:rsidR="00991290">
        <w:rPr>
          <w:color w:val="auto"/>
        </w:rPr>
        <w:t>rate cut from 30 to 25 per cent</w:t>
      </w:r>
      <w:r>
        <w:rPr>
          <w:color w:val="auto"/>
        </w:rPr>
        <w:t xml:space="preserve">, </w:t>
      </w:r>
      <w:r w:rsidR="007035C9">
        <w:rPr>
          <w:color w:val="auto"/>
        </w:rPr>
        <w:t xml:space="preserve">leaving </w:t>
      </w:r>
      <w:r w:rsidR="00991290" w:rsidRPr="005A2B26">
        <w:rPr>
          <w:color w:val="auto"/>
        </w:rPr>
        <w:t>all other tax rates unchanged</w:t>
      </w:r>
      <w:r w:rsidR="00991290">
        <w:rPr>
          <w:color w:val="auto"/>
        </w:rPr>
        <w:t xml:space="preserve"> and </w:t>
      </w:r>
      <w:r w:rsidR="007035C9">
        <w:rPr>
          <w:color w:val="auto"/>
        </w:rPr>
        <w:t xml:space="preserve">allowing </w:t>
      </w:r>
      <w:r w:rsidR="00991290">
        <w:rPr>
          <w:color w:val="auto"/>
        </w:rPr>
        <w:t xml:space="preserve">any shortfall in revenue </w:t>
      </w:r>
      <w:r w:rsidR="007035C9">
        <w:rPr>
          <w:color w:val="auto"/>
        </w:rPr>
        <w:t xml:space="preserve">to be </w:t>
      </w:r>
      <w:r w:rsidR="00991290">
        <w:rPr>
          <w:color w:val="auto"/>
        </w:rPr>
        <w:t>financed by a lump-sum tax increase.</w:t>
      </w:r>
    </w:p>
    <w:p w14:paraId="5EA0FAAB" w14:textId="77777777" w:rsidR="005A2B26" w:rsidRPr="005A2B26" w:rsidRDefault="005A2B26" w:rsidP="005A2B26">
      <w:pPr>
        <w:pStyle w:val="Heading4"/>
      </w:pPr>
      <w:r w:rsidRPr="005A2B26">
        <w:t>Activity</w:t>
      </w:r>
    </w:p>
    <w:p w14:paraId="60BD6A01" w14:textId="77777777" w:rsidR="005A2B26" w:rsidRPr="005A2B26" w:rsidRDefault="00AA439D" w:rsidP="005A2B26">
      <w:pPr>
        <w:rPr>
          <w:color w:val="auto"/>
        </w:rPr>
      </w:pPr>
      <w:r>
        <w:rPr>
          <w:color w:val="auto"/>
        </w:rPr>
        <w:t xml:space="preserve">Chart 1 plots the contribution of domestically generated capital and labour income, and foreign income payments to </w:t>
      </w:r>
      <w:r w:rsidR="009777BF">
        <w:rPr>
          <w:color w:val="auto"/>
        </w:rPr>
        <w:t xml:space="preserve">the </w:t>
      </w:r>
      <w:r>
        <w:rPr>
          <w:color w:val="auto"/>
        </w:rPr>
        <w:t xml:space="preserve">change in </w:t>
      </w:r>
      <w:r w:rsidR="00165C6F">
        <w:rPr>
          <w:color w:val="auto"/>
        </w:rPr>
        <w:t xml:space="preserve">real </w:t>
      </w:r>
      <w:r>
        <w:rPr>
          <w:color w:val="auto"/>
        </w:rPr>
        <w:t xml:space="preserve">gross national income </w:t>
      </w:r>
      <w:r w:rsidR="00E35A09">
        <w:rPr>
          <w:color w:val="auto"/>
        </w:rPr>
        <w:t xml:space="preserve">(GNI) </w:t>
      </w:r>
      <w:r>
        <w:rPr>
          <w:color w:val="auto"/>
        </w:rPr>
        <w:t>from the company tax cut.</w:t>
      </w:r>
      <w:r w:rsidR="00BE5740" w:rsidRPr="00BE5740">
        <w:rPr>
          <w:color w:val="auto"/>
          <w:vertAlign w:val="superscript"/>
        </w:rPr>
        <w:t xml:space="preserve"> </w:t>
      </w:r>
      <w:r w:rsidR="00BE5740" w:rsidRPr="00BE5740">
        <w:rPr>
          <w:color w:val="auto"/>
          <w:vertAlign w:val="superscript"/>
        </w:rPr>
        <w:footnoteReference w:id="15"/>
      </w:r>
      <w:r>
        <w:rPr>
          <w:color w:val="auto"/>
        </w:rPr>
        <w:t xml:space="preserve"> </w:t>
      </w:r>
      <w:r w:rsidR="00562B29">
        <w:rPr>
          <w:color w:val="auto"/>
        </w:rPr>
        <w:t>Under this scenario</w:t>
      </w:r>
      <w:r w:rsidR="007035C9">
        <w:rPr>
          <w:color w:val="auto"/>
        </w:rPr>
        <w:t>,</w:t>
      </w:r>
      <w:r w:rsidR="00562B29">
        <w:rPr>
          <w:color w:val="auto"/>
        </w:rPr>
        <w:t xml:space="preserve"> gross national income is expected to rise by 0.8 per cent in the long run. </w:t>
      </w:r>
      <w:r w:rsidR="005A2B26" w:rsidRPr="005A2B26">
        <w:rPr>
          <w:color w:val="auto"/>
        </w:rPr>
        <w:t>The model’s measure of before</w:t>
      </w:r>
      <w:r w:rsidR="005A2B26" w:rsidRPr="005A2B26">
        <w:rPr>
          <w:color w:val="auto"/>
        </w:rPr>
        <w:noBreakHyphen/>
        <w:t xml:space="preserve">tax capital income is gross operating surplus (GOS). In the long run, a </w:t>
      </w:r>
      <w:r>
        <w:rPr>
          <w:color w:val="auto"/>
        </w:rPr>
        <w:t xml:space="preserve">lower </w:t>
      </w:r>
      <w:r w:rsidR="005A2B26" w:rsidRPr="005A2B26">
        <w:rPr>
          <w:color w:val="auto"/>
        </w:rPr>
        <w:t>compa</w:t>
      </w:r>
      <w:r w:rsidR="004600B3">
        <w:rPr>
          <w:color w:val="auto"/>
        </w:rPr>
        <w:t xml:space="preserve">ny income tax rate causes the </w:t>
      </w:r>
      <w:r w:rsidR="005A2B26" w:rsidRPr="005A2B26">
        <w:rPr>
          <w:color w:val="auto"/>
        </w:rPr>
        <w:t xml:space="preserve">capital stock </w:t>
      </w:r>
      <w:r w:rsidR="004600B3">
        <w:rPr>
          <w:color w:val="auto"/>
        </w:rPr>
        <w:t xml:space="preserve">to increase by more than </w:t>
      </w:r>
      <w:r>
        <w:rPr>
          <w:color w:val="auto"/>
        </w:rPr>
        <w:t>the fall in the before</w:t>
      </w:r>
      <w:r w:rsidR="007035C9">
        <w:rPr>
          <w:color w:val="auto"/>
        </w:rPr>
        <w:t>-</w:t>
      </w:r>
      <w:r>
        <w:rPr>
          <w:color w:val="auto"/>
        </w:rPr>
        <w:t>tax rental rate</w:t>
      </w:r>
      <w:r w:rsidR="007035C9">
        <w:rPr>
          <w:color w:val="auto"/>
        </w:rPr>
        <w:t xml:space="preserve">. This </w:t>
      </w:r>
      <w:r w:rsidR="004600B3">
        <w:rPr>
          <w:color w:val="auto"/>
        </w:rPr>
        <w:t>raises GOS</w:t>
      </w:r>
      <w:r w:rsidR="007035C9">
        <w:rPr>
          <w:color w:val="auto"/>
        </w:rPr>
        <w:t xml:space="preserve"> and contributes</w:t>
      </w:r>
      <w:r w:rsidR="00A74492">
        <w:rPr>
          <w:color w:val="auto"/>
        </w:rPr>
        <w:t xml:space="preserve"> </w:t>
      </w:r>
      <w:r w:rsidR="005A2B26" w:rsidRPr="005A2B26">
        <w:rPr>
          <w:color w:val="auto"/>
        </w:rPr>
        <w:t xml:space="preserve">around </w:t>
      </w:r>
      <w:r w:rsidR="00562B29">
        <w:rPr>
          <w:color w:val="auto"/>
        </w:rPr>
        <w:t>0.3 percent</w:t>
      </w:r>
      <w:r w:rsidR="007035C9">
        <w:rPr>
          <w:color w:val="auto"/>
        </w:rPr>
        <w:t>age points</w:t>
      </w:r>
      <w:r w:rsidR="004600B3">
        <w:rPr>
          <w:color w:val="auto"/>
        </w:rPr>
        <w:t xml:space="preserve"> to GDP</w:t>
      </w:r>
      <w:r w:rsidR="00562B29">
        <w:rPr>
          <w:color w:val="auto"/>
        </w:rPr>
        <w:t xml:space="preserve">. </w:t>
      </w:r>
      <w:r w:rsidR="00BD3F23">
        <w:rPr>
          <w:color w:val="auto"/>
        </w:rPr>
        <w:t>The expanded capital stock is to a large extent owned by foreign investors, which results in increased payments to foreigners. This detraction from real gross national income is estimated to be around 0.4 percent</w:t>
      </w:r>
      <w:r w:rsidR="00312CC1">
        <w:rPr>
          <w:color w:val="auto"/>
        </w:rPr>
        <w:t>age points</w:t>
      </w:r>
      <w:r w:rsidR="00BD3F23">
        <w:rPr>
          <w:color w:val="auto"/>
        </w:rPr>
        <w:t>.</w:t>
      </w:r>
    </w:p>
    <w:p w14:paraId="5D989A2E" w14:textId="77777777" w:rsidR="00C11090" w:rsidRDefault="00C11090" w:rsidP="00C44681">
      <w:pPr>
        <w:pStyle w:val="ChartMainHeading"/>
      </w:pPr>
      <w:r w:rsidRPr="00850D22">
        <w:t xml:space="preserve">Chart </w:t>
      </w:r>
      <w:r w:rsidR="005A7277">
        <w:fldChar w:fldCharType="begin"/>
      </w:r>
      <w:r w:rsidR="005A7277">
        <w:instrText xml:space="preserve"> SEQ Chart \* ARABIC </w:instrText>
      </w:r>
      <w:r w:rsidR="005A7277">
        <w:fldChar w:fldCharType="separate"/>
      </w:r>
      <w:r w:rsidR="00C97912">
        <w:rPr>
          <w:noProof/>
        </w:rPr>
        <w:t>1</w:t>
      </w:r>
      <w:r w:rsidR="005A7277">
        <w:rPr>
          <w:noProof/>
        </w:rPr>
        <w:fldChar w:fldCharType="end"/>
      </w:r>
      <w:r w:rsidRPr="00850D22">
        <w:t xml:space="preserve">: </w:t>
      </w:r>
      <w:r w:rsidR="00255E14" w:rsidRPr="00850D22">
        <w:t xml:space="preserve">Contribution to </w:t>
      </w:r>
      <w:r w:rsidR="00165C6F" w:rsidRPr="00850D22">
        <w:t xml:space="preserve">real </w:t>
      </w:r>
      <w:r w:rsidR="00255E14" w:rsidRPr="00850D22">
        <w:t>GNI response</w:t>
      </w:r>
      <w:r w:rsidR="005F423C" w:rsidRPr="00850D22">
        <w:t xml:space="preserve"> —</w:t>
      </w:r>
      <w:r w:rsidR="007239DD" w:rsidRPr="00850D22">
        <w:t xml:space="preserve"> </w:t>
      </w:r>
      <w:r w:rsidR="00255E14" w:rsidRPr="00850D22">
        <w:t xml:space="preserve">CIT financed by </w:t>
      </w:r>
      <w:r w:rsidR="009A2DC9" w:rsidRPr="00850D22">
        <w:t>L</w:t>
      </w:r>
      <w:r w:rsidR="005F423C" w:rsidRPr="00850D22">
        <w:t>ump-sum tax</w:t>
      </w:r>
      <w:r w:rsidR="005F423C" w:rsidRPr="00C11090">
        <w:t xml:space="preserve"> </w:t>
      </w:r>
    </w:p>
    <w:p w14:paraId="425FAD2E" w14:textId="77777777" w:rsidR="005A2B26" w:rsidRPr="00850D22" w:rsidRDefault="00850D22" w:rsidP="00C44681">
      <w:pPr>
        <w:pStyle w:val="ChartGraphic"/>
      </w:pPr>
      <w:r>
        <w:rPr>
          <w:noProof/>
        </w:rPr>
        <w:drawing>
          <wp:inline distT="0" distB="0" distL="0" distR="0" wp14:anchorId="76A77940" wp14:editId="108DCE71">
            <wp:extent cx="5580000" cy="2880000"/>
            <wp:effectExtent l="0" t="0" r="1905" b="0"/>
            <wp:docPr id="22" name="Chart 22" descr="This chart shows the response of the income components of gross national income (GNI): capital income; labour income, indirect taxes and foreign income payments due to a company tax cut financed by a lump-sum tax." titl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8388B6" w14:textId="77777777" w:rsidR="005A2B26" w:rsidRPr="005A2B26" w:rsidRDefault="005A2B26" w:rsidP="000733CF">
      <w:pPr>
        <w:pStyle w:val="Source"/>
        <w:ind w:left="294"/>
      </w:pPr>
      <w:r w:rsidRPr="005A2B26">
        <w:t>Source: Treasury estimates.</w:t>
      </w:r>
    </w:p>
    <w:p w14:paraId="718A3296" w14:textId="77777777" w:rsidR="00C44681" w:rsidRDefault="00C44681">
      <w:pPr>
        <w:rPr>
          <w:color w:val="auto"/>
        </w:rPr>
      </w:pPr>
      <w:r>
        <w:rPr>
          <w:color w:val="auto"/>
        </w:rPr>
        <w:br w:type="page"/>
      </w:r>
    </w:p>
    <w:p w14:paraId="3020A781" w14:textId="10AB35DB" w:rsidR="005A2B26" w:rsidRDefault="005A2B26" w:rsidP="005A2B26">
      <w:pPr>
        <w:rPr>
          <w:color w:val="auto"/>
        </w:rPr>
      </w:pPr>
      <w:r w:rsidRPr="005A2B26">
        <w:rPr>
          <w:color w:val="auto"/>
        </w:rPr>
        <w:lastRenderedPageBreak/>
        <w:t xml:space="preserve">As noted above, the </w:t>
      </w:r>
      <w:r w:rsidR="00562B29">
        <w:rPr>
          <w:color w:val="auto"/>
        </w:rPr>
        <w:t>increased</w:t>
      </w:r>
      <w:r w:rsidRPr="005A2B26">
        <w:rPr>
          <w:color w:val="auto"/>
        </w:rPr>
        <w:t xml:space="preserve"> capital stock drives </w:t>
      </w:r>
      <w:r w:rsidR="00562B29">
        <w:rPr>
          <w:color w:val="auto"/>
        </w:rPr>
        <w:t>up</w:t>
      </w:r>
      <w:r w:rsidRPr="005A2B26">
        <w:rPr>
          <w:color w:val="auto"/>
        </w:rPr>
        <w:t xml:space="preserve"> the productivity of labour</w:t>
      </w:r>
      <w:r w:rsidR="00312CC1">
        <w:rPr>
          <w:color w:val="auto"/>
        </w:rPr>
        <w:t>. This</w:t>
      </w:r>
      <w:r w:rsidR="00A74492">
        <w:rPr>
          <w:color w:val="auto"/>
        </w:rPr>
        <w:t xml:space="preserve"> </w:t>
      </w:r>
      <w:r w:rsidR="00E00EFA">
        <w:rPr>
          <w:color w:val="auto"/>
        </w:rPr>
        <w:t>raises</w:t>
      </w:r>
      <w:r w:rsidRPr="005A2B26">
        <w:rPr>
          <w:color w:val="auto"/>
        </w:rPr>
        <w:t xml:space="preserve"> the demand for labour </w:t>
      </w:r>
      <w:r w:rsidR="00312CC1">
        <w:rPr>
          <w:color w:val="auto"/>
        </w:rPr>
        <w:t xml:space="preserve">and </w:t>
      </w:r>
      <w:r w:rsidR="00E00EFA">
        <w:rPr>
          <w:color w:val="auto"/>
        </w:rPr>
        <w:t>result</w:t>
      </w:r>
      <w:r w:rsidR="00312CC1">
        <w:rPr>
          <w:color w:val="auto"/>
        </w:rPr>
        <w:t>s</w:t>
      </w:r>
      <w:r w:rsidR="00E00EFA">
        <w:rPr>
          <w:color w:val="auto"/>
        </w:rPr>
        <w:t xml:space="preserve"> in higher </w:t>
      </w:r>
      <w:r w:rsidRPr="005A2B26">
        <w:rPr>
          <w:color w:val="auto"/>
        </w:rPr>
        <w:t>before</w:t>
      </w:r>
      <w:r w:rsidRPr="005A2B26">
        <w:rPr>
          <w:color w:val="auto"/>
        </w:rPr>
        <w:noBreakHyphen/>
        <w:t xml:space="preserve">tax real wages </w:t>
      </w:r>
      <w:r w:rsidR="00E00EFA">
        <w:rPr>
          <w:color w:val="auto"/>
        </w:rPr>
        <w:t xml:space="preserve">and higher employment </w:t>
      </w:r>
      <w:r w:rsidRPr="005A2B26">
        <w:rPr>
          <w:color w:val="auto"/>
        </w:rPr>
        <w:t xml:space="preserve">(see Figure </w:t>
      </w:r>
      <w:r w:rsidRPr="005A2B26">
        <w:rPr>
          <w:noProof/>
          <w:color w:val="auto"/>
        </w:rPr>
        <w:t>4)</w:t>
      </w:r>
      <w:r w:rsidRPr="005A2B26">
        <w:rPr>
          <w:color w:val="auto"/>
        </w:rPr>
        <w:t xml:space="preserve">. </w:t>
      </w:r>
      <w:r w:rsidR="008730A7">
        <w:rPr>
          <w:color w:val="auto"/>
        </w:rPr>
        <w:t>Before-tax real wages are estimated to rise by around 1.1 per cent, with employment rising by 0.</w:t>
      </w:r>
      <w:r w:rsidR="00312CC1">
        <w:rPr>
          <w:color w:val="auto"/>
        </w:rPr>
        <w:t>4 </w:t>
      </w:r>
      <w:r w:rsidR="008730A7">
        <w:rPr>
          <w:color w:val="auto"/>
        </w:rPr>
        <w:t>per cent</w:t>
      </w:r>
      <w:r w:rsidRPr="005A2B26">
        <w:rPr>
          <w:color w:val="auto"/>
        </w:rPr>
        <w:t xml:space="preserve">. </w:t>
      </w:r>
      <w:r w:rsidR="006B02E6">
        <w:rPr>
          <w:color w:val="auto"/>
        </w:rPr>
        <w:t>B</w:t>
      </w:r>
      <w:r w:rsidRPr="005A2B26">
        <w:rPr>
          <w:color w:val="auto"/>
        </w:rPr>
        <w:t>efore</w:t>
      </w:r>
      <w:r w:rsidRPr="005A2B26">
        <w:rPr>
          <w:color w:val="auto"/>
        </w:rPr>
        <w:noBreakHyphen/>
        <w:t>tax labour income</w:t>
      </w:r>
      <w:r w:rsidR="006770F4">
        <w:rPr>
          <w:color w:val="auto"/>
        </w:rPr>
        <w:t>,</w:t>
      </w:r>
      <w:r w:rsidRPr="005A2B26">
        <w:rPr>
          <w:color w:val="auto"/>
        </w:rPr>
        <w:t xml:space="preserve"> </w:t>
      </w:r>
      <w:r w:rsidR="000D7F2A">
        <w:rPr>
          <w:color w:val="auto"/>
        </w:rPr>
        <w:t>measured by</w:t>
      </w:r>
      <w:r w:rsidRPr="005A2B26">
        <w:rPr>
          <w:color w:val="auto"/>
        </w:rPr>
        <w:t xml:space="preserve"> </w:t>
      </w:r>
      <w:r w:rsidR="006B02E6">
        <w:rPr>
          <w:color w:val="auto"/>
        </w:rPr>
        <w:t xml:space="preserve">the </w:t>
      </w:r>
      <w:r w:rsidRPr="005A2B26">
        <w:rPr>
          <w:color w:val="auto"/>
        </w:rPr>
        <w:t xml:space="preserve">compensation of employees </w:t>
      </w:r>
      <w:r w:rsidR="000D7F2A">
        <w:rPr>
          <w:color w:val="auto"/>
        </w:rPr>
        <w:t>(</w:t>
      </w:r>
      <w:r w:rsidRPr="005A2B26">
        <w:rPr>
          <w:color w:val="auto"/>
        </w:rPr>
        <w:t>COE)</w:t>
      </w:r>
      <w:r w:rsidR="006770F4">
        <w:rPr>
          <w:color w:val="auto"/>
        </w:rPr>
        <w:t>,</w:t>
      </w:r>
      <w:r w:rsidRPr="005A2B26">
        <w:rPr>
          <w:color w:val="auto"/>
        </w:rPr>
        <w:t xml:space="preserve"> </w:t>
      </w:r>
      <w:r w:rsidR="00562B29">
        <w:rPr>
          <w:color w:val="auto"/>
        </w:rPr>
        <w:t>contributes around 0.8</w:t>
      </w:r>
      <w:r w:rsidR="00C44681">
        <w:rPr>
          <w:color w:val="auto"/>
        </w:rPr>
        <w:t> </w:t>
      </w:r>
      <w:r w:rsidR="00562B29">
        <w:rPr>
          <w:color w:val="auto"/>
        </w:rPr>
        <w:t>percent</w:t>
      </w:r>
      <w:r w:rsidR="00312CC1">
        <w:rPr>
          <w:color w:val="auto"/>
        </w:rPr>
        <w:t>age points</w:t>
      </w:r>
      <w:r w:rsidR="00E00EFA">
        <w:rPr>
          <w:color w:val="auto"/>
        </w:rPr>
        <w:t xml:space="preserve"> to </w:t>
      </w:r>
      <w:r w:rsidR="008730A7">
        <w:rPr>
          <w:color w:val="auto"/>
        </w:rPr>
        <w:t xml:space="preserve">the improvement in </w:t>
      </w:r>
      <w:r w:rsidR="00E00EFA">
        <w:rPr>
          <w:color w:val="auto"/>
        </w:rPr>
        <w:t>GNI</w:t>
      </w:r>
      <w:r w:rsidRPr="005A2B26">
        <w:rPr>
          <w:color w:val="auto"/>
        </w:rPr>
        <w:t>.</w:t>
      </w:r>
      <w:r w:rsidR="00312CC1">
        <w:rPr>
          <w:color w:val="auto"/>
        </w:rPr>
        <w:t xml:space="preserve"> </w:t>
      </w:r>
      <w:r w:rsidR="00BD3F23">
        <w:rPr>
          <w:color w:val="auto"/>
        </w:rPr>
        <w:t>Indirect taxes contribute</w:t>
      </w:r>
      <w:r w:rsidR="000D7F2A">
        <w:rPr>
          <w:color w:val="auto"/>
        </w:rPr>
        <w:t xml:space="preserve"> a further</w:t>
      </w:r>
      <w:r w:rsidR="00BD3F23">
        <w:rPr>
          <w:color w:val="auto"/>
        </w:rPr>
        <w:t xml:space="preserve"> 0.1 percent</w:t>
      </w:r>
      <w:r w:rsidR="00312CC1">
        <w:rPr>
          <w:color w:val="auto"/>
        </w:rPr>
        <w:t>age points</w:t>
      </w:r>
      <w:r w:rsidR="00BD3F23">
        <w:rPr>
          <w:color w:val="auto"/>
        </w:rPr>
        <w:t xml:space="preserve">, which suggests the improvement in </w:t>
      </w:r>
      <w:r w:rsidR="009D34EB">
        <w:rPr>
          <w:color w:val="auto"/>
        </w:rPr>
        <w:t>real GNI</w:t>
      </w:r>
      <w:r w:rsidR="00BD3F23">
        <w:rPr>
          <w:color w:val="auto"/>
        </w:rPr>
        <w:t xml:space="preserve"> </w:t>
      </w:r>
      <w:r w:rsidR="009D34EB">
        <w:rPr>
          <w:color w:val="auto"/>
        </w:rPr>
        <w:t>is entirely due to the gain in labour income.</w:t>
      </w:r>
    </w:p>
    <w:p w14:paraId="6FC6BD3A" w14:textId="77777777" w:rsidR="005A2B26" w:rsidRPr="005A2B26" w:rsidRDefault="005A2B26" w:rsidP="005A2B26">
      <w:pPr>
        <w:rPr>
          <w:color w:val="auto"/>
        </w:rPr>
      </w:pPr>
      <w:r w:rsidRPr="005A2B26">
        <w:rPr>
          <w:color w:val="auto"/>
        </w:rPr>
        <w:t xml:space="preserve">On the expenditure side, </w:t>
      </w:r>
      <w:r w:rsidR="000D7F2A">
        <w:rPr>
          <w:color w:val="auto"/>
        </w:rPr>
        <w:t xml:space="preserve">roughly half </w:t>
      </w:r>
      <w:r w:rsidRPr="005A2B26">
        <w:rPr>
          <w:color w:val="auto"/>
        </w:rPr>
        <w:t xml:space="preserve">of the </w:t>
      </w:r>
      <w:r w:rsidR="00397732">
        <w:rPr>
          <w:color w:val="auto"/>
        </w:rPr>
        <w:t>increase in real gross domestic product</w:t>
      </w:r>
      <w:r w:rsidR="00112AA0">
        <w:rPr>
          <w:color w:val="auto"/>
        </w:rPr>
        <w:t xml:space="preserve"> (GDP)</w:t>
      </w:r>
      <w:r w:rsidR="00397732">
        <w:rPr>
          <w:color w:val="auto"/>
        </w:rPr>
        <w:t xml:space="preserve"> </w:t>
      </w:r>
      <w:r w:rsidRPr="005A2B26">
        <w:rPr>
          <w:color w:val="auto"/>
        </w:rPr>
        <w:t xml:space="preserve">flows from </w:t>
      </w:r>
      <w:r w:rsidR="00397732">
        <w:rPr>
          <w:color w:val="auto"/>
        </w:rPr>
        <w:t>higher</w:t>
      </w:r>
      <w:r w:rsidRPr="005A2B26">
        <w:rPr>
          <w:color w:val="auto"/>
        </w:rPr>
        <w:t xml:space="preserve"> investment</w:t>
      </w:r>
      <w:r w:rsidR="00B77BC9">
        <w:rPr>
          <w:color w:val="auto"/>
        </w:rPr>
        <w:t>.</w:t>
      </w:r>
      <w:r w:rsidR="00397732">
        <w:rPr>
          <w:color w:val="auto"/>
        </w:rPr>
        <w:t xml:space="preserve"> </w:t>
      </w:r>
      <w:r w:rsidR="00B77BC9">
        <w:rPr>
          <w:color w:val="auto"/>
        </w:rPr>
        <w:t>I</w:t>
      </w:r>
      <w:r w:rsidR="00397732">
        <w:rPr>
          <w:color w:val="auto"/>
        </w:rPr>
        <w:t xml:space="preserve">nvestment </w:t>
      </w:r>
      <w:r w:rsidR="00B77BC9">
        <w:rPr>
          <w:color w:val="auto"/>
        </w:rPr>
        <w:t>increases by 2.8 per cent</w:t>
      </w:r>
      <w:r w:rsidR="00312CC1">
        <w:rPr>
          <w:color w:val="auto"/>
        </w:rPr>
        <w:t>,</w:t>
      </w:r>
      <w:r w:rsidR="00B77BC9">
        <w:rPr>
          <w:color w:val="auto"/>
        </w:rPr>
        <w:t xml:space="preserve"> </w:t>
      </w:r>
      <w:r w:rsidR="00312CC1">
        <w:rPr>
          <w:color w:val="auto"/>
        </w:rPr>
        <w:t xml:space="preserve">and </w:t>
      </w:r>
      <w:r w:rsidR="00397732">
        <w:rPr>
          <w:color w:val="auto"/>
        </w:rPr>
        <w:t>contribut</w:t>
      </w:r>
      <w:r w:rsidR="00B77BC9">
        <w:rPr>
          <w:color w:val="auto"/>
        </w:rPr>
        <w:t>es</w:t>
      </w:r>
      <w:r w:rsidR="00397732">
        <w:rPr>
          <w:color w:val="auto"/>
        </w:rPr>
        <w:t xml:space="preserve"> </w:t>
      </w:r>
      <w:r w:rsidR="00B764BA">
        <w:rPr>
          <w:color w:val="auto"/>
        </w:rPr>
        <w:t xml:space="preserve">around </w:t>
      </w:r>
      <w:r w:rsidR="00397732">
        <w:rPr>
          <w:color w:val="auto"/>
        </w:rPr>
        <w:t>0.6 percent</w:t>
      </w:r>
      <w:r w:rsidR="00312CC1">
        <w:rPr>
          <w:color w:val="auto"/>
        </w:rPr>
        <w:t>age points</w:t>
      </w:r>
      <w:r w:rsidR="00397732">
        <w:rPr>
          <w:color w:val="auto"/>
        </w:rPr>
        <w:t xml:space="preserve"> to the overall GDP gain of 1.2 percent</w:t>
      </w:r>
      <w:r w:rsidR="00115DBC">
        <w:rPr>
          <w:color w:val="auto"/>
        </w:rPr>
        <w:t>age points</w:t>
      </w:r>
      <w:r w:rsidRPr="005A2B26">
        <w:rPr>
          <w:color w:val="auto"/>
        </w:rPr>
        <w:t xml:space="preserve"> (</w:t>
      </w:r>
      <w:r w:rsidR="000D7F2A">
        <w:rPr>
          <w:color w:val="auto"/>
        </w:rPr>
        <w:t xml:space="preserve">see </w:t>
      </w:r>
      <w:r w:rsidRPr="005A2B26">
        <w:rPr>
          <w:color w:val="auto"/>
        </w:rPr>
        <w:t xml:space="preserve">Chart </w:t>
      </w:r>
      <w:r w:rsidRPr="005A2B26">
        <w:rPr>
          <w:noProof/>
          <w:color w:val="auto"/>
        </w:rPr>
        <w:t>2</w:t>
      </w:r>
      <w:r w:rsidRPr="005A2B26">
        <w:rPr>
          <w:color w:val="auto"/>
        </w:rPr>
        <w:t xml:space="preserve">). This reflects the fact that a </w:t>
      </w:r>
      <w:r w:rsidR="00397732">
        <w:rPr>
          <w:color w:val="auto"/>
        </w:rPr>
        <w:t>higher</w:t>
      </w:r>
      <w:r w:rsidRPr="005A2B26">
        <w:rPr>
          <w:color w:val="auto"/>
        </w:rPr>
        <w:t xml:space="preserve"> level of investment is required to maintain the </w:t>
      </w:r>
      <w:r w:rsidR="00397732">
        <w:rPr>
          <w:color w:val="auto"/>
        </w:rPr>
        <w:t>expanded</w:t>
      </w:r>
      <w:r w:rsidRPr="005A2B26">
        <w:rPr>
          <w:color w:val="auto"/>
        </w:rPr>
        <w:t xml:space="preserve"> long</w:t>
      </w:r>
      <w:r w:rsidRPr="005A2B26">
        <w:rPr>
          <w:color w:val="auto"/>
        </w:rPr>
        <w:noBreakHyphen/>
        <w:t xml:space="preserve">run capital stock. Consumption </w:t>
      </w:r>
      <w:r w:rsidR="008A744F">
        <w:rPr>
          <w:color w:val="auto"/>
        </w:rPr>
        <w:t>rises by around 0.6 per cent</w:t>
      </w:r>
      <w:r w:rsidR="00312CC1">
        <w:rPr>
          <w:color w:val="auto"/>
        </w:rPr>
        <w:t>,</w:t>
      </w:r>
      <w:r w:rsidRPr="005A2B26">
        <w:rPr>
          <w:color w:val="auto"/>
        </w:rPr>
        <w:t xml:space="preserve"> </w:t>
      </w:r>
      <w:r w:rsidR="00312CC1">
        <w:rPr>
          <w:color w:val="auto"/>
        </w:rPr>
        <w:t xml:space="preserve">and </w:t>
      </w:r>
      <w:r w:rsidR="00397732">
        <w:rPr>
          <w:color w:val="auto"/>
        </w:rPr>
        <w:t>contribut</w:t>
      </w:r>
      <w:r w:rsidR="00312CC1">
        <w:rPr>
          <w:color w:val="auto"/>
        </w:rPr>
        <w:t>es around 0.3 percentage points</w:t>
      </w:r>
      <w:r w:rsidR="00397732">
        <w:rPr>
          <w:color w:val="auto"/>
        </w:rPr>
        <w:t xml:space="preserve"> </w:t>
      </w:r>
      <w:r w:rsidR="008A744F">
        <w:rPr>
          <w:color w:val="auto"/>
        </w:rPr>
        <w:t xml:space="preserve">to GDP </w:t>
      </w:r>
      <w:r w:rsidR="00312CC1">
        <w:rPr>
          <w:color w:val="auto"/>
        </w:rPr>
        <w:t>over the long-run</w:t>
      </w:r>
      <w:r w:rsidRPr="005A2B26">
        <w:rPr>
          <w:color w:val="auto"/>
        </w:rPr>
        <w:t>.</w:t>
      </w:r>
      <w:r w:rsidR="00397732">
        <w:rPr>
          <w:color w:val="auto"/>
        </w:rPr>
        <w:t xml:space="preserve"> As noted above</w:t>
      </w:r>
      <w:r w:rsidR="00312CC1">
        <w:rPr>
          <w:color w:val="auto"/>
        </w:rPr>
        <w:t>,</w:t>
      </w:r>
      <w:r w:rsidR="00397732">
        <w:rPr>
          <w:color w:val="auto"/>
        </w:rPr>
        <w:t xml:space="preserve"> net exports must rise to stabilise the </w:t>
      </w:r>
      <w:r w:rsidR="00312CC1">
        <w:rPr>
          <w:color w:val="auto"/>
        </w:rPr>
        <w:t xml:space="preserve">ratio of </w:t>
      </w:r>
      <w:r w:rsidR="00397732">
        <w:rPr>
          <w:color w:val="auto"/>
        </w:rPr>
        <w:t>net foreign liabilit</w:t>
      </w:r>
      <w:r w:rsidR="00A74492">
        <w:rPr>
          <w:color w:val="auto"/>
        </w:rPr>
        <w:t>i</w:t>
      </w:r>
      <w:r w:rsidR="00312CC1">
        <w:rPr>
          <w:color w:val="auto"/>
        </w:rPr>
        <w:t>es</w:t>
      </w:r>
      <w:r w:rsidR="00397732">
        <w:rPr>
          <w:color w:val="auto"/>
        </w:rPr>
        <w:t xml:space="preserve"> to GDP, with the contribution </w:t>
      </w:r>
      <w:r w:rsidR="008A744F">
        <w:rPr>
          <w:color w:val="auto"/>
        </w:rPr>
        <w:t xml:space="preserve">to GDP </w:t>
      </w:r>
      <w:r w:rsidR="00397732">
        <w:rPr>
          <w:color w:val="auto"/>
        </w:rPr>
        <w:t>from net exports around 0.3 percent</w:t>
      </w:r>
      <w:r w:rsidR="00312CC1">
        <w:rPr>
          <w:color w:val="auto"/>
        </w:rPr>
        <w:t>age points</w:t>
      </w:r>
      <w:r w:rsidR="00397732">
        <w:rPr>
          <w:color w:val="auto"/>
        </w:rPr>
        <w:t>.</w:t>
      </w:r>
    </w:p>
    <w:p w14:paraId="36565135" w14:textId="77777777" w:rsidR="00C11090" w:rsidRDefault="00C11090" w:rsidP="00C44681">
      <w:pPr>
        <w:pStyle w:val="ChartMainHeading"/>
      </w:pPr>
      <w:r w:rsidRPr="00850D22">
        <w:t xml:space="preserve">Chart </w:t>
      </w:r>
      <w:r w:rsidR="005A7277">
        <w:fldChar w:fldCharType="begin"/>
      </w:r>
      <w:r w:rsidR="005A7277">
        <w:instrText xml:space="preserve"> SEQ Chart \* ARABIC </w:instrText>
      </w:r>
      <w:r w:rsidR="005A7277">
        <w:fldChar w:fldCharType="separate"/>
      </w:r>
      <w:r w:rsidR="00C97912">
        <w:rPr>
          <w:noProof/>
        </w:rPr>
        <w:t>2</w:t>
      </w:r>
      <w:r w:rsidR="005A7277">
        <w:rPr>
          <w:noProof/>
        </w:rPr>
        <w:fldChar w:fldCharType="end"/>
      </w:r>
      <w:r w:rsidRPr="00850D22">
        <w:t xml:space="preserve">: </w:t>
      </w:r>
      <w:r w:rsidR="00255E14" w:rsidRPr="00850D22">
        <w:t xml:space="preserve">Contribution to </w:t>
      </w:r>
      <w:r w:rsidR="00165C6F" w:rsidRPr="00850D22">
        <w:t xml:space="preserve">real </w:t>
      </w:r>
      <w:r w:rsidRPr="00850D22">
        <w:t>GDP response</w:t>
      </w:r>
      <w:r w:rsidR="005F423C" w:rsidRPr="00850D22">
        <w:t xml:space="preserve"> — </w:t>
      </w:r>
      <w:r w:rsidR="00255E14" w:rsidRPr="00850D22">
        <w:t>CIT financed by l</w:t>
      </w:r>
      <w:r w:rsidR="005F423C" w:rsidRPr="00850D22">
        <w:t>ump-sum tax</w:t>
      </w:r>
    </w:p>
    <w:p w14:paraId="287630C0" w14:textId="77777777" w:rsidR="005A2B26" w:rsidRPr="00850D22" w:rsidRDefault="007F274E" w:rsidP="00EB5476">
      <w:pPr>
        <w:pStyle w:val="ChartGraphic"/>
      </w:pPr>
      <w:r>
        <w:rPr>
          <w:noProof/>
        </w:rPr>
        <w:drawing>
          <wp:inline distT="0" distB="0" distL="0" distR="0" wp14:anchorId="6276058A" wp14:editId="3BFEF47E">
            <wp:extent cx="5580000" cy="2880000"/>
            <wp:effectExtent l="0" t="0" r="1905" b="0"/>
            <wp:docPr id="9" name="Chart 9" descr="This chart shows the volume response of the expenditure components of GDP: consumption; investment; government expenditure and net exports due to a company tax cut financed by a lump-sum tax." titl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390F10" w14:textId="77777777" w:rsidR="005A2B26" w:rsidRDefault="005A2B26" w:rsidP="000733CF">
      <w:pPr>
        <w:pStyle w:val="Source"/>
        <w:ind w:left="280"/>
      </w:pPr>
      <w:bookmarkStart w:id="3" w:name="_Ref398459601"/>
      <w:r w:rsidRPr="005A2B26">
        <w:rPr>
          <w:lang w:val="en-US"/>
        </w:rPr>
        <w:t xml:space="preserve">Source: </w:t>
      </w:r>
      <w:r w:rsidRPr="005A2B26">
        <w:t>Treasury estimates.</w:t>
      </w:r>
    </w:p>
    <w:p w14:paraId="7D03C66E" w14:textId="77777777" w:rsidR="008730A7" w:rsidRDefault="008730A7" w:rsidP="008730A7">
      <w:pPr>
        <w:pStyle w:val="Heading4"/>
      </w:pPr>
      <w:r>
        <w:t>Government budget</w:t>
      </w:r>
    </w:p>
    <w:p w14:paraId="14E06033" w14:textId="77777777" w:rsidR="008730A7" w:rsidRDefault="008730A7" w:rsidP="00E125A8">
      <w:pPr>
        <w:rPr>
          <w:color w:val="auto"/>
        </w:rPr>
      </w:pPr>
      <w:r w:rsidRPr="005A2B26">
        <w:rPr>
          <w:color w:val="auto"/>
        </w:rPr>
        <w:t xml:space="preserve">Chart </w:t>
      </w:r>
      <w:r w:rsidRPr="005A2B26">
        <w:rPr>
          <w:noProof/>
          <w:color w:val="auto"/>
        </w:rPr>
        <w:t>3</w:t>
      </w:r>
      <w:r>
        <w:rPr>
          <w:color w:val="auto"/>
        </w:rPr>
        <w:t xml:space="preserve"> </w:t>
      </w:r>
      <w:r w:rsidR="00A31FD5">
        <w:rPr>
          <w:color w:val="auto"/>
        </w:rPr>
        <w:t>reports model-based estimates of</w:t>
      </w:r>
      <w:r>
        <w:rPr>
          <w:color w:val="auto"/>
        </w:rPr>
        <w:t xml:space="preserve"> the </w:t>
      </w:r>
      <w:r w:rsidR="00A31FD5">
        <w:rPr>
          <w:color w:val="auto"/>
        </w:rPr>
        <w:t xml:space="preserve">long run </w:t>
      </w:r>
      <w:r w:rsidR="009660A8">
        <w:rPr>
          <w:color w:val="auto"/>
        </w:rPr>
        <w:t>effect on</w:t>
      </w:r>
      <w:r>
        <w:rPr>
          <w:color w:val="auto"/>
        </w:rPr>
        <w:t xml:space="preserve"> tax revenue and government spending per dollar of direct </w:t>
      </w:r>
      <w:r w:rsidR="00E125A8">
        <w:rPr>
          <w:color w:val="auto"/>
        </w:rPr>
        <w:t xml:space="preserve">cut in </w:t>
      </w:r>
      <w:r>
        <w:rPr>
          <w:color w:val="auto"/>
        </w:rPr>
        <w:t>net company tax</w:t>
      </w:r>
      <w:r w:rsidR="00E125A8">
        <w:rPr>
          <w:color w:val="auto"/>
        </w:rPr>
        <w:t xml:space="preserve"> (that is, gross company tax less franking credits)</w:t>
      </w:r>
      <w:r>
        <w:rPr>
          <w:color w:val="auto"/>
        </w:rPr>
        <w:t>. For example</w:t>
      </w:r>
      <w:r w:rsidR="000D7F2A">
        <w:rPr>
          <w:color w:val="auto"/>
        </w:rPr>
        <w:t>,</w:t>
      </w:r>
      <w:r>
        <w:rPr>
          <w:color w:val="auto"/>
        </w:rPr>
        <w:t xml:space="preserve"> after gains in</w:t>
      </w:r>
      <w:r w:rsidR="00312CC1">
        <w:rPr>
          <w:color w:val="auto"/>
        </w:rPr>
        <w:t xml:space="preserve"> revenue from</w:t>
      </w:r>
      <w:r>
        <w:rPr>
          <w:color w:val="auto"/>
        </w:rPr>
        <w:t xml:space="preserve"> other</w:t>
      </w:r>
      <w:r w:rsidR="00312CC1">
        <w:rPr>
          <w:color w:val="auto"/>
        </w:rPr>
        <w:t xml:space="preserve"> sources of</w:t>
      </w:r>
      <w:r>
        <w:rPr>
          <w:color w:val="auto"/>
        </w:rPr>
        <w:t xml:space="preserve"> tax</w:t>
      </w:r>
      <w:r w:rsidR="00312CC1">
        <w:rPr>
          <w:color w:val="auto"/>
        </w:rPr>
        <w:t>ation</w:t>
      </w:r>
      <w:r w:rsidR="009A1E51">
        <w:rPr>
          <w:color w:val="auto"/>
        </w:rPr>
        <w:t xml:space="preserve"> </w:t>
      </w:r>
      <w:r w:rsidR="00312CC1">
        <w:rPr>
          <w:color w:val="auto"/>
        </w:rPr>
        <w:t xml:space="preserve">due to </w:t>
      </w:r>
      <w:r w:rsidR="009A1E51">
        <w:rPr>
          <w:color w:val="auto"/>
        </w:rPr>
        <w:t xml:space="preserve">higher </w:t>
      </w:r>
      <w:r w:rsidR="00312CC1">
        <w:rPr>
          <w:color w:val="auto"/>
        </w:rPr>
        <w:t xml:space="preserve">economic </w:t>
      </w:r>
      <w:r w:rsidR="009A1E51">
        <w:rPr>
          <w:color w:val="auto"/>
        </w:rPr>
        <w:t>activity</w:t>
      </w:r>
      <w:r w:rsidR="002A5BA4">
        <w:rPr>
          <w:color w:val="auto"/>
        </w:rPr>
        <w:t xml:space="preserve"> induced by the reduction in the company tax rate</w:t>
      </w:r>
      <w:r w:rsidR="009A1E51">
        <w:rPr>
          <w:color w:val="auto"/>
        </w:rPr>
        <w:t xml:space="preserve"> (</w:t>
      </w:r>
      <w:r w:rsidR="00A74492">
        <w:rPr>
          <w:color w:val="auto"/>
        </w:rPr>
        <w:t xml:space="preserve">labelled </w:t>
      </w:r>
      <w:r w:rsidR="0010329F">
        <w:rPr>
          <w:color w:val="auto"/>
        </w:rPr>
        <w:t>as second-round effects</w:t>
      </w:r>
      <w:r w:rsidR="009A1E51">
        <w:rPr>
          <w:color w:val="auto"/>
        </w:rPr>
        <w:t>)</w:t>
      </w:r>
      <w:r w:rsidR="00312CC1">
        <w:rPr>
          <w:color w:val="auto"/>
        </w:rPr>
        <w:t>,</w:t>
      </w:r>
      <w:r>
        <w:rPr>
          <w:color w:val="auto"/>
        </w:rPr>
        <w:t xml:space="preserve"> </w:t>
      </w:r>
      <w:r w:rsidR="00A31FD5">
        <w:rPr>
          <w:color w:val="auto"/>
        </w:rPr>
        <w:t xml:space="preserve">it is estimated that </w:t>
      </w:r>
      <w:r>
        <w:rPr>
          <w:color w:val="auto"/>
        </w:rPr>
        <w:t xml:space="preserve">the lump-sum tax </w:t>
      </w:r>
      <w:r w:rsidR="00E125A8">
        <w:rPr>
          <w:color w:val="auto"/>
        </w:rPr>
        <w:t xml:space="preserve">must rise by </w:t>
      </w:r>
      <w:r w:rsidR="009A1E51">
        <w:rPr>
          <w:color w:val="auto"/>
        </w:rPr>
        <w:t>55</w:t>
      </w:r>
      <w:r w:rsidR="00E125A8">
        <w:rPr>
          <w:color w:val="auto"/>
        </w:rPr>
        <w:t xml:space="preserve"> cents for every dollar of direct net company tax cut.</w:t>
      </w:r>
      <w:r>
        <w:rPr>
          <w:color w:val="auto"/>
        </w:rPr>
        <w:t xml:space="preserve"> </w:t>
      </w:r>
      <w:r w:rsidR="00E125A8">
        <w:rPr>
          <w:color w:val="auto"/>
        </w:rPr>
        <w:t xml:space="preserve">It </w:t>
      </w:r>
      <w:r w:rsidR="00A31FD5">
        <w:rPr>
          <w:color w:val="auto"/>
        </w:rPr>
        <w:t xml:space="preserve">is </w:t>
      </w:r>
      <w:r w:rsidR="00E125A8">
        <w:rPr>
          <w:color w:val="auto"/>
        </w:rPr>
        <w:t xml:space="preserve">also </w:t>
      </w:r>
      <w:r w:rsidR="00A31FD5">
        <w:rPr>
          <w:color w:val="auto"/>
        </w:rPr>
        <w:t>estimated</w:t>
      </w:r>
      <w:r w:rsidR="00E125A8">
        <w:rPr>
          <w:color w:val="auto"/>
        </w:rPr>
        <w:t xml:space="preserve"> that 1</w:t>
      </w:r>
      <w:r w:rsidR="009A1E51">
        <w:rPr>
          <w:color w:val="auto"/>
        </w:rPr>
        <w:t>6</w:t>
      </w:r>
      <w:r w:rsidR="00E125A8">
        <w:rPr>
          <w:color w:val="auto"/>
        </w:rPr>
        <w:t xml:space="preserve"> cents of every dollar cut is </w:t>
      </w:r>
      <w:r w:rsidR="00A31FD5">
        <w:rPr>
          <w:color w:val="auto"/>
        </w:rPr>
        <w:t>recovered</w:t>
      </w:r>
      <w:r w:rsidR="00E125A8">
        <w:rPr>
          <w:color w:val="auto"/>
        </w:rPr>
        <w:t xml:space="preserve"> through higher personal income tax receipts</w:t>
      </w:r>
      <w:r w:rsidR="009A1E51">
        <w:rPr>
          <w:color w:val="auto"/>
        </w:rPr>
        <w:t>, while 14</w:t>
      </w:r>
      <w:r w:rsidR="00A31FD5">
        <w:rPr>
          <w:color w:val="auto"/>
        </w:rPr>
        <w:t> </w:t>
      </w:r>
      <w:r w:rsidR="009A1E51">
        <w:rPr>
          <w:color w:val="auto"/>
        </w:rPr>
        <w:t xml:space="preserve">cents of every dollar cut is </w:t>
      </w:r>
      <w:r w:rsidR="00A31FD5">
        <w:rPr>
          <w:color w:val="auto"/>
        </w:rPr>
        <w:t>recovered</w:t>
      </w:r>
      <w:r w:rsidR="009A1E51">
        <w:rPr>
          <w:color w:val="auto"/>
        </w:rPr>
        <w:t xml:space="preserve"> through higher company income tax receipts</w:t>
      </w:r>
      <w:r w:rsidR="00E125A8">
        <w:rPr>
          <w:color w:val="auto"/>
        </w:rPr>
        <w:t xml:space="preserve">. The total revenue </w:t>
      </w:r>
      <w:r w:rsidR="002A5BA4">
        <w:rPr>
          <w:color w:val="auto"/>
        </w:rPr>
        <w:t xml:space="preserve">loss </w:t>
      </w:r>
      <w:r w:rsidR="00E125A8">
        <w:rPr>
          <w:color w:val="auto"/>
        </w:rPr>
        <w:t>from the company tax cut</w:t>
      </w:r>
      <w:r w:rsidR="002A5BA4">
        <w:rPr>
          <w:color w:val="auto"/>
        </w:rPr>
        <w:t xml:space="preserve"> that is </w:t>
      </w:r>
      <w:r w:rsidR="00A31FD5">
        <w:rPr>
          <w:color w:val="auto"/>
        </w:rPr>
        <w:t>recovered in the long run</w:t>
      </w:r>
      <w:r w:rsidR="002A5BA4">
        <w:rPr>
          <w:color w:val="auto"/>
        </w:rPr>
        <w:t xml:space="preserve"> through </w:t>
      </w:r>
      <w:r w:rsidR="0010329F">
        <w:rPr>
          <w:color w:val="auto"/>
        </w:rPr>
        <w:t>second-round effects</w:t>
      </w:r>
      <w:r w:rsidR="00E125A8">
        <w:rPr>
          <w:color w:val="auto"/>
        </w:rPr>
        <w:t xml:space="preserve"> </w:t>
      </w:r>
      <w:r w:rsidR="00E125A8">
        <w:rPr>
          <w:color w:val="auto"/>
        </w:rPr>
        <w:lastRenderedPageBreak/>
        <w:t xml:space="preserve">is </w:t>
      </w:r>
      <w:r w:rsidR="000D7F2A">
        <w:rPr>
          <w:color w:val="auto"/>
        </w:rPr>
        <w:t xml:space="preserve">estimated to be </w:t>
      </w:r>
      <w:r w:rsidR="00E125A8">
        <w:rPr>
          <w:color w:val="auto"/>
        </w:rPr>
        <w:t xml:space="preserve">around </w:t>
      </w:r>
      <w:r w:rsidR="009A1E51">
        <w:rPr>
          <w:color w:val="auto"/>
        </w:rPr>
        <w:t>45</w:t>
      </w:r>
      <w:r w:rsidR="00E125A8">
        <w:rPr>
          <w:color w:val="auto"/>
        </w:rPr>
        <w:t xml:space="preserve"> cents per dollar of net company tax cut, with </w:t>
      </w:r>
      <w:r w:rsidR="009A1E51">
        <w:rPr>
          <w:color w:val="auto"/>
        </w:rPr>
        <w:t>8</w:t>
      </w:r>
      <w:r w:rsidR="00E125A8">
        <w:rPr>
          <w:color w:val="auto"/>
        </w:rPr>
        <w:t xml:space="preserve"> cents accruing to </w:t>
      </w:r>
      <w:r w:rsidR="00A31FD5">
        <w:rPr>
          <w:color w:val="auto"/>
        </w:rPr>
        <w:t>sub</w:t>
      </w:r>
      <w:r w:rsidR="00A31FD5">
        <w:rPr>
          <w:color w:val="auto"/>
        </w:rPr>
        <w:noBreakHyphen/>
        <w:t>national</w:t>
      </w:r>
      <w:r w:rsidR="000D7F2A">
        <w:rPr>
          <w:color w:val="auto"/>
        </w:rPr>
        <w:t xml:space="preserve"> governments</w:t>
      </w:r>
      <w:r w:rsidR="00E125A8">
        <w:rPr>
          <w:color w:val="auto"/>
        </w:rPr>
        <w:t xml:space="preserve"> and </w:t>
      </w:r>
      <w:r w:rsidR="009A1E51">
        <w:rPr>
          <w:color w:val="auto"/>
        </w:rPr>
        <w:t>37</w:t>
      </w:r>
      <w:r w:rsidR="00E125A8">
        <w:rPr>
          <w:color w:val="auto"/>
        </w:rPr>
        <w:t xml:space="preserve"> cents to the </w:t>
      </w:r>
      <w:r w:rsidR="00A31FD5">
        <w:rPr>
          <w:color w:val="auto"/>
        </w:rPr>
        <w:t>federal</w:t>
      </w:r>
      <w:r w:rsidR="00E125A8">
        <w:rPr>
          <w:color w:val="auto"/>
        </w:rPr>
        <w:t xml:space="preserve"> government.</w:t>
      </w:r>
      <w:r w:rsidR="00BE5740" w:rsidRPr="00BE5740">
        <w:rPr>
          <w:color w:val="auto"/>
          <w:vertAlign w:val="superscript"/>
        </w:rPr>
        <w:footnoteReference w:id="16"/>
      </w:r>
    </w:p>
    <w:bookmarkEnd w:id="3"/>
    <w:p w14:paraId="2529E665" w14:textId="77777777" w:rsidR="00C11090" w:rsidRPr="00C11090" w:rsidRDefault="00C11090" w:rsidP="00EB5476">
      <w:pPr>
        <w:pStyle w:val="ChartMainHeading"/>
      </w:pPr>
      <w:r w:rsidRPr="00CF4069">
        <w:t xml:space="preserve">Chart </w:t>
      </w:r>
      <w:r w:rsidR="005A7277">
        <w:fldChar w:fldCharType="begin"/>
      </w:r>
      <w:r w:rsidR="005A7277">
        <w:instrText xml:space="preserve"> SEQ Chart \* ARABIC </w:instrText>
      </w:r>
      <w:r w:rsidR="005A7277">
        <w:fldChar w:fldCharType="separate"/>
      </w:r>
      <w:r w:rsidR="00C97912">
        <w:rPr>
          <w:noProof/>
        </w:rPr>
        <w:t>3</w:t>
      </w:r>
      <w:r w:rsidR="005A7277">
        <w:rPr>
          <w:noProof/>
        </w:rPr>
        <w:fldChar w:fldCharType="end"/>
      </w:r>
      <w:r w:rsidRPr="00CF4069">
        <w:t>: Government budget response</w:t>
      </w:r>
      <w:r w:rsidR="005F423C" w:rsidRPr="00CF4069">
        <w:t xml:space="preserve"> — </w:t>
      </w:r>
      <w:r w:rsidR="008862EA" w:rsidRPr="00CF4069">
        <w:t>CIT financed by l</w:t>
      </w:r>
      <w:r w:rsidR="005F423C" w:rsidRPr="00CF4069">
        <w:t>ump-sum tax</w:t>
      </w:r>
    </w:p>
    <w:p w14:paraId="53787374" w14:textId="77777777" w:rsidR="005A2B26" w:rsidRPr="00CF4069" w:rsidRDefault="00054BEA" w:rsidP="00EB5476">
      <w:pPr>
        <w:pStyle w:val="ChartGraphic"/>
      </w:pPr>
      <w:r>
        <w:rPr>
          <w:noProof/>
        </w:rPr>
        <w:drawing>
          <wp:inline distT="0" distB="0" distL="0" distR="0" wp14:anchorId="1F1513FB" wp14:editId="577BE7BC">
            <wp:extent cx="5580000" cy="3060000"/>
            <wp:effectExtent l="0" t="0" r="1905" b="7620"/>
            <wp:docPr id="5" name="Chart 5" descr="This chart shows the effect on the components of the government’s budget per dollar of direct increase in net company income tax revenue (gross company income tax revenue less franking credit) when the company tax cut is financed by a lump sum tax. The budget response is decomposed into direct effects, indirect effects and the net effect on revenue for: net company tax; personal income tax; stamp duty and land tax; GST, government spending; and lump-sum tax." titl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F1FCE9" w14:textId="77777777" w:rsidR="00CF4069" w:rsidRPr="00A04BA1" w:rsidRDefault="005A2B26" w:rsidP="000733CF">
      <w:pPr>
        <w:pStyle w:val="Source"/>
        <w:ind w:left="406"/>
      </w:pPr>
      <w:r w:rsidRPr="00A04BA1">
        <w:t>Source: Treasury estimates.</w:t>
      </w:r>
    </w:p>
    <w:p w14:paraId="34805355" w14:textId="77777777" w:rsidR="00B51DA1" w:rsidRDefault="00B51DA1" w:rsidP="00A04BA1">
      <w:pPr>
        <w:pStyle w:val="SingleParagraph"/>
        <w:rPr>
          <w:lang w:eastAsia="en-AU"/>
        </w:rPr>
      </w:pPr>
    </w:p>
    <w:p w14:paraId="3A09B1CE" w14:textId="77777777" w:rsidR="00C11090" w:rsidRDefault="00C11090" w:rsidP="00EB5476">
      <w:pPr>
        <w:pStyle w:val="ChartMainHeading"/>
      </w:pPr>
      <w:r w:rsidRPr="006E7DC0">
        <w:t xml:space="preserve">Chart </w:t>
      </w:r>
      <w:r w:rsidR="005A7277">
        <w:fldChar w:fldCharType="begin"/>
      </w:r>
      <w:r w:rsidR="005A7277">
        <w:instrText xml:space="preserve"> SEQ Chart \* ARABIC </w:instrText>
      </w:r>
      <w:r w:rsidR="005A7277">
        <w:fldChar w:fldCharType="separate"/>
      </w:r>
      <w:r w:rsidR="00C97912">
        <w:rPr>
          <w:noProof/>
        </w:rPr>
        <w:t>4</w:t>
      </w:r>
      <w:r w:rsidR="005A7277">
        <w:rPr>
          <w:noProof/>
        </w:rPr>
        <w:fldChar w:fldCharType="end"/>
      </w:r>
      <w:r w:rsidRPr="006E7DC0">
        <w:t xml:space="preserve">: </w:t>
      </w:r>
      <w:r w:rsidR="006E5332" w:rsidRPr="006E7DC0">
        <w:t>Household welfare</w:t>
      </w:r>
      <w:r w:rsidR="005F423C" w:rsidRPr="006E7DC0">
        <w:t xml:space="preserve"> — </w:t>
      </w:r>
      <w:r w:rsidR="008862EA" w:rsidRPr="006E7DC0">
        <w:t>CIT financed by l</w:t>
      </w:r>
      <w:r w:rsidR="005F423C" w:rsidRPr="006E7DC0">
        <w:t>ump-sum tax</w:t>
      </w:r>
    </w:p>
    <w:p w14:paraId="20F70215" w14:textId="77777777" w:rsidR="005A2B26" w:rsidRPr="006E7DC0" w:rsidRDefault="006E7DC0" w:rsidP="00A04BA1">
      <w:pPr>
        <w:pStyle w:val="ChartGraphic"/>
      </w:pPr>
      <w:r>
        <w:rPr>
          <w:noProof/>
        </w:rPr>
        <w:drawing>
          <wp:inline distT="0" distB="0" distL="0" distR="0" wp14:anchorId="1997EC48" wp14:editId="3EF66336">
            <wp:extent cx="5580000" cy="3060000"/>
            <wp:effectExtent l="0" t="0" r="1905" b="7620"/>
            <wp:docPr id="25" name="Chart 25" descr="This chart decomposes the welfare effect (equivalent variation) of the company tax cut financed by a lump-sum tax into a labour effect (post-change after tax real labour income plus pre-change after-tax real value of post-change leisure) and capital effect (post-change after tax real capital income less savings)." titl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1795BA" w14:textId="77777777" w:rsidR="005A2B26" w:rsidRPr="005A2B26" w:rsidRDefault="005A2B26" w:rsidP="002E2E01">
      <w:pPr>
        <w:pStyle w:val="Source"/>
        <w:ind w:left="284"/>
      </w:pPr>
      <w:r w:rsidRPr="005A2B26">
        <w:rPr>
          <w:lang w:val="en-US"/>
        </w:rPr>
        <w:t xml:space="preserve">Source: </w:t>
      </w:r>
      <w:r w:rsidRPr="005A2B26">
        <w:t>Treasury estimates.</w:t>
      </w:r>
    </w:p>
    <w:p w14:paraId="3F10918D" w14:textId="77777777" w:rsidR="00A04BA1" w:rsidRDefault="00A04BA1">
      <w:pPr>
        <w:rPr>
          <w:rFonts w:ascii="Arial" w:hAnsi="Arial"/>
          <w:b/>
          <w:color w:val="003157"/>
        </w:rPr>
      </w:pPr>
      <w:r>
        <w:br w:type="page"/>
      </w:r>
    </w:p>
    <w:p w14:paraId="06D7DFF5" w14:textId="78E9DEAD" w:rsidR="00CF4069" w:rsidRPr="005A2B26" w:rsidRDefault="00CF4069" w:rsidP="00CF4069">
      <w:pPr>
        <w:pStyle w:val="Heading4"/>
      </w:pPr>
      <w:r>
        <w:lastRenderedPageBreak/>
        <w:t>Household welfare</w:t>
      </w:r>
    </w:p>
    <w:p w14:paraId="22B77640" w14:textId="76DAB042" w:rsidR="00CF4069" w:rsidRPr="005A2B26" w:rsidRDefault="00CF4069" w:rsidP="00CF4069">
      <w:pPr>
        <w:rPr>
          <w:color w:val="auto"/>
        </w:rPr>
      </w:pPr>
      <w:r w:rsidRPr="005A2B26">
        <w:rPr>
          <w:color w:val="auto"/>
        </w:rPr>
        <w:t>Household welfare is derived from the consumption of goods and services, and leisure. Consistent with Section 2, changes to leisure are measured by pricing leisure at the baseline after</w:t>
      </w:r>
      <w:r w:rsidRPr="005A2B26">
        <w:rPr>
          <w:color w:val="auto"/>
        </w:rPr>
        <w:noBreakHyphen/>
        <w:t xml:space="preserve">tax wage. A </w:t>
      </w:r>
      <w:r>
        <w:rPr>
          <w:color w:val="auto"/>
        </w:rPr>
        <w:t>decrease</w:t>
      </w:r>
      <w:r w:rsidRPr="005A2B26">
        <w:rPr>
          <w:color w:val="auto"/>
        </w:rPr>
        <w:t xml:space="preserve"> in the company income tax rate implies an overall welfare </w:t>
      </w:r>
      <w:r>
        <w:rPr>
          <w:color w:val="auto"/>
        </w:rPr>
        <w:t>gain</w:t>
      </w:r>
      <w:r w:rsidRPr="005A2B26">
        <w:rPr>
          <w:color w:val="auto"/>
        </w:rPr>
        <w:t xml:space="preserve"> of around </w:t>
      </w:r>
      <w:r>
        <w:rPr>
          <w:color w:val="auto"/>
        </w:rPr>
        <w:t>0.2 percent</w:t>
      </w:r>
      <w:r w:rsidR="00F23F50">
        <w:rPr>
          <w:color w:val="auto"/>
        </w:rPr>
        <w:t>age points</w:t>
      </w:r>
      <w:r w:rsidRPr="005A2B26">
        <w:rPr>
          <w:color w:val="auto"/>
        </w:rPr>
        <w:t xml:space="preserve"> (</w:t>
      </w:r>
      <w:r>
        <w:rPr>
          <w:color w:val="auto"/>
        </w:rPr>
        <w:t>see</w:t>
      </w:r>
      <w:r w:rsidR="000777C3">
        <w:rPr>
          <w:color w:val="auto"/>
        </w:rPr>
        <w:t> </w:t>
      </w:r>
      <w:r w:rsidRPr="005A2B26">
        <w:rPr>
          <w:color w:val="auto"/>
        </w:rPr>
        <w:t>Chart</w:t>
      </w:r>
      <w:r>
        <w:rPr>
          <w:color w:val="auto"/>
        </w:rPr>
        <w:t> </w:t>
      </w:r>
      <w:r w:rsidRPr="005A2B26">
        <w:rPr>
          <w:noProof/>
          <w:color w:val="auto"/>
        </w:rPr>
        <w:t>4</w:t>
      </w:r>
      <w:r w:rsidRPr="005A2B26">
        <w:rPr>
          <w:color w:val="auto"/>
        </w:rPr>
        <w:t xml:space="preserve">). </w:t>
      </w:r>
      <w:r>
        <w:rPr>
          <w:color w:val="auto"/>
        </w:rPr>
        <w:t xml:space="preserve">As anticipated in </w:t>
      </w:r>
      <w:r w:rsidR="00312CC1">
        <w:rPr>
          <w:color w:val="auto"/>
        </w:rPr>
        <w:t xml:space="preserve">the </w:t>
      </w:r>
      <w:r>
        <w:rPr>
          <w:color w:val="auto"/>
        </w:rPr>
        <w:t>theoretical discussion</w:t>
      </w:r>
      <w:r w:rsidR="00312CC1">
        <w:rPr>
          <w:color w:val="auto"/>
        </w:rPr>
        <w:t>,</w:t>
      </w:r>
      <w:r>
        <w:rPr>
          <w:color w:val="auto"/>
        </w:rPr>
        <w:t xml:space="preserve"> w</w:t>
      </w:r>
      <w:r w:rsidRPr="005A2B26">
        <w:rPr>
          <w:color w:val="auto"/>
        </w:rPr>
        <w:t xml:space="preserve">hen viewed from the standpoint of the notional owners of the factors of production, the </w:t>
      </w:r>
      <w:r>
        <w:rPr>
          <w:color w:val="auto"/>
        </w:rPr>
        <w:t>welfare gain</w:t>
      </w:r>
      <w:r w:rsidRPr="005A2B26">
        <w:rPr>
          <w:color w:val="auto"/>
        </w:rPr>
        <w:t xml:space="preserve"> is largely </w:t>
      </w:r>
      <w:r>
        <w:rPr>
          <w:color w:val="auto"/>
        </w:rPr>
        <w:t>due to a significant improvement</w:t>
      </w:r>
      <w:r w:rsidRPr="005A2B26">
        <w:rPr>
          <w:color w:val="auto"/>
        </w:rPr>
        <w:t xml:space="preserve"> </w:t>
      </w:r>
      <w:r>
        <w:rPr>
          <w:color w:val="auto"/>
        </w:rPr>
        <w:t xml:space="preserve">in labour income due to higher after-tax </w:t>
      </w:r>
      <w:r w:rsidRPr="005A2B26">
        <w:rPr>
          <w:color w:val="auto"/>
        </w:rPr>
        <w:t>real wages.</w:t>
      </w:r>
      <w:r w:rsidR="00BE5740" w:rsidRPr="00BE5740">
        <w:rPr>
          <w:color w:val="auto"/>
          <w:vertAlign w:val="superscript"/>
        </w:rPr>
        <w:footnoteReference w:id="17"/>
      </w:r>
      <w:r w:rsidRPr="005A2B26">
        <w:rPr>
          <w:color w:val="auto"/>
        </w:rPr>
        <w:t xml:space="preserve"> </w:t>
      </w:r>
      <w:r>
        <w:rPr>
          <w:color w:val="auto"/>
        </w:rPr>
        <w:t>The contribution from labour is estimated to be around 0.7</w:t>
      </w:r>
      <w:r w:rsidR="00CD0719">
        <w:rPr>
          <w:color w:val="auto"/>
        </w:rPr>
        <w:t> </w:t>
      </w:r>
      <w:r>
        <w:rPr>
          <w:color w:val="auto"/>
        </w:rPr>
        <w:t>percent</w:t>
      </w:r>
      <w:r w:rsidR="00CD0719">
        <w:rPr>
          <w:color w:val="auto"/>
        </w:rPr>
        <w:t>age points</w:t>
      </w:r>
      <w:r>
        <w:rPr>
          <w:color w:val="auto"/>
        </w:rPr>
        <w:t>, which more than offsets the detraction from higher lump-sum taxes of 0.5</w:t>
      </w:r>
      <w:r w:rsidR="00CD0719">
        <w:rPr>
          <w:color w:val="auto"/>
        </w:rPr>
        <w:t> </w:t>
      </w:r>
      <w:r>
        <w:rPr>
          <w:color w:val="auto"/>
        </w:rPr>
        <w:t>percent</w:t>
      </w:r>
      <w:r w:rsidR="00CD0719">
        <w:rPr>
          <w:color w:val="auto"/>
        </w:rPr>
        <w:t>age points</w:t>
      </w:r>
      <w:r>
        <w:rPr>
          <w:color w:val="auto"/>
        </w:rPr>
        <w:t xml:space="preserve">. </w:t>
      </w:r>
      <w:r w:rsidR="00312CC1">
        <w:rPr>
          <w:color w:val="auto"/>
        </w:rPr>
        <w:t>D</w:t>
      </w:r>
      <w:r w:rsidRPr="005A2B26">
        <w:rPr>
          <w:color w:val="auto"/>
        </w:rPr>
        <w:t xml:space="preserve">omestic capital owners </w:t>
      </w:r>
      <w:r>
        <w:rPr>
          <w:color w:val="auto"/>
        </w:rPr>
        <w:t xml:space="preserve">enjoy a small </w:t>
      </w:r>
      <w:r w:rsidRPr="005A2B26">
        <w:rPr>
          <w:color w:val="auto"/>
        </w:rPr>
        <w:t xml:space="preserve">welfare improvement </w:t>
      </w:r>
      <w:r>
        <w:rPr>
          <w:color w:val="auto"/>
        </w:rPr>
        <w:t>from a</w:t>
      </w:r>
      <w:r w:rsidRPr="005A2B26">
        <w:rPr>
          <w:color w:val="auto"/>
        </w:rPr>
        <w:t xml:space="preserve"> slight increase in after</w:t>
      </w:r>
      <w:r w:rsidRPr="005A2B26">
        <w:rPr>
          <w:color w:val="auto"/>
        </w:rPr>
        <w:noBreakHyphen/>
        <w:t>tax capital income net of saving.</w:t>
      </w:r>
    </w:p>
    <w:p w14:paraId="73402A39" w14:textId="77777777" w:rsidR="005A2B26" w:rsidRPr="005A2B26" w:rsidRDefault="005A2B26" w:rsidP="005A2B26">
      <w:pPr>
        <w:rPr>
          <w:color w:val="auto"/>
        </w:rPr>
      </w:pPr>
      <w:r w:rsidRPr="005A2B26">
        <w:rPr>
          <w:color w:val="auto"/>
        </w:rPr>
        <w:t>After</w:t>
      </w:r>
      <w:r w:rsidRPr="005A2B26">
        <w:rPr>
          <w:color w:val="auto"/>
        </w:rPr>
        <w:noBreakHyphen/>
        <w:t xml:space="preserve">tax capital income, </w:t>
      </w:r>
      <w:r w:rsidR="005C4EA1">
        <w:rPr>
          <w:color w:val="auto"/>
        </w:rPr>
        <w:t>whose contribution</w:t>
      </w:r>
      <w:r w:rsidRPr="005A2B26">
        <w:rPr>
          <w:color w:val="auto"/>
        </w:rPr>
        <w:t xml:space="preserve"> </w:t>
      </w:r>
      <w:r w:rsidR="000D7F2A">
        <w:rPr>
          <w:color w:val="auto"/>
        </w:rPr>
        <w:t xml:space="preserve">is </w:t>
      </w:r>
      <w:r w:rsidRPr="005A2B26">
        <w:rPr>
          <w:color w:val="auto"/>
        </w:rPr>
        <w:t xml:space="preserve">slightly greater than zero, can be </w:t>
      </w:r>
      <w:r w:rsidR="000D7F2A">
        <w:rPr>
          <w:color w:val="auto"/>
        </w:rPr>
        <w:t xml:space="preserve">further </w:t>
      </w:r>
      <w:r w:rsidRPr="005A2B26">
        <w:rPr>
          <w:color w:val="auto"/>
        </w:rPr>
        <w:t>decomposed into</w:t>
      </w:r>
      <w:r w:rsidR="00312CC1">
        <w:rPr>
          <w:color w:val="auto"/>
        </w:rPr>
        <w:t xml:space="preserve"> </w:t>
      </w:r>
      <w:r w:rsidRPr="005A2B26">
        <w:rPr>
          <w:color w:val="auto"/>
        </w:rPr>
        <w:t>returns to variable capital</w:t>
      </w:r>
      <w:r w:rsidR="00312CC1">
        <w:rPr>
          <w:color w:val="auto"/>
        </w:rPr>
        <w:t xml:space="preserve"> </w:t>
      </w:r>
      <w:r w:rsidRPr="005A2B26">
        <w:rPr>
          <w:color w:val="auto"/>
        </w:rPr>
        <w:t xml:space="preserve">and returns to fixed factors. Incomes accruing to fixed factors </w:t>
      </w:r>
      <w:r w:rsidR="00BD424D">
        <w:rPr>
          <w:color w:val="auto"/>
        </w:rPr>
        <w:t>contribute about 0.3</w:t>
      </w:r>
      <w:r w:rsidR="000D7F2A">
        <w:rPr>
          <w:color w:val="auto"/>
        </w:rPr>
        <w:t> </w:t>
      </w:r>
      <w:r w:rsidR="00BD424D">
        <w:rPr>
          <w:color w:val="auto"/>
        </w:rPr>
        <w:t>percent</w:t>
      </w:r>
      <w:r w:rsidR="00CD0719">
        <w:rPr>
          <w:color w:val="auto"/>
        </w:rPr>
        <w:t>age points</w:t>
      </w:r>
      <w:r w:rsidR="00BD424D">
        <w:rPr>
          <w:color w:val="auto"/>
        </w:rPr>
        <w:t xml:space="preserve"> to the overall welfare gain</w:t>
      </w:r>
      <w:r w:rsidR="00312CC1">
        <w:rPr>
          <w:color w:val="auto"/>
        </w:rPr>
        <w:t>. T</w:t>
      </w:r>
      <w:r w:rsidR="00BD424D">
        <w:rPr>
          <w:color w:val="auto"/>
        </w:rPr>
        <w:t xml:space="preserve">he </w:t>
      </w:r>
      <w:r w:rsidRPr="005A2B26">
        <w:rPr>
          <w:color w:val="auto"/>
        </w:rPr>
        <w:t>lower</w:t>
      </w:r>
      <w:r w:rsidR="00BD424D">
        <w:rPr>
          <w:color w:val="auto"/>
        </w:rPr>
        <w:t xml:space="preserve"> return to variable</w:t>
      </w:r>
      <w:r w:rsidR="00A907B8">
        <w:rPr>
          <w:color w:val="auto"/>
        </w:rPr>
        <w:t xml:space="preserve"> </w:t>
      </w:r>
      <w:r w:rsidR="00BD424D">
        <w:rPr>
          <w:color w:val="auto"/>
        </w:rPr>
        <w:t>factors</w:t>
      </w:r>
      <w:r w:rsidRPr="005A2B26">
        <w:rPr>
          <w:color w:val="auto"/>
        </w:rPr>
        <w:t xml:space="preserve"> decreas</w:t>
      </w:r>
      <w:r w:rsidR="00BD424D">
        <w:rPr>
          <w:color w:val="auto"/>
        </w:rPr>
        <w:t>es</w:t>
      </w:r>
      <w:r w:rsidRPr="005A2B26">
        <w:rPr>
          <w:color w:val="auto"/>
        </w:rPr>
        <w:t xml:space="preserve"> </w:t>
      </w:r>
      <w:r w:rsidR="00BD424D">
        <w:rPr>
          <w:color w:val="auto"/>
        </w:rPr>
        <w:t>income accruing to variable capital owners</w:t>
      </w:r>
      <w:r w:rsidR="00312CC1">
        <w:rPr>
          <w:color w:val="auto"/>
        </w:rPr>
        <w:t>,</w:t>
      </w:r>
      <w:r w:rsidR="00BD424D">
        <w:rPr>
          <w:color w:val="auto"/>
        </w:rPr>
        <w:t xml:space="preserve"> with the detraction </w:t>
      </w:r>
      <w:r w:rsidR="00312CC1">
        <w:rPr>
          <w:color w:val="auto"/>
        </w:rPr>
        <w:t xml:space="preserve">from </w:t>
      </w:r>
      <w:r w:rsidR="00BD424D">
        <w:rPr>
          <w:color w:val="auto"/>
        </w:rPr>
        <w:t xml:space="preserve">overall welfare of around </w:t>
      </w:r>
      <w:r w:rsidR="00BD424D">
        <w:rPr>
          <w:color w:val="auto"/>
        </w:rPr>
        <w:noBreakHyphen/>
        <w:t>0.3</w:t>
      </w:r>
      <w:r w:rsidR="000D7F2A">
        <w:rPr>
          <w:color w:val="auto"/>
        </w:rPr>
        <w:t> </w:t>
      </w:r>
      <w:r w:rsidR="00BD424D">
        <w:rPr>
          <w:color w:val="auto"/>
        </w:rPr>
        <w:t>percent</w:t>
      </w:r>
      <w:r w:rsidR="00CD0719">
        <w:rPr>
          <w:color w:val="auto"/>
        </w:rPr>
        <w:t>age points</w:t>
      </w:r>
      <w:r w:rsidR="00BD424D">
        <w:rPr>
          <w:color w:val="auto"/>
        </w:rPr>
        <w:t>.</w:t>
      </w:r>
    </w:p>
    <w:p w14:paraId="7FA0B6A7" w14:textId="77777777" w:rsidR="00F012EA" w:rsidRDefault="00FD1094" w:rsidP="00A57848">
      <w:pPr>
        <w:pStyle w:val="Heading2"/>
      </w:pPr>
      <w:r>
        <w:t xml:space="preserve">Company </w:t>
      </w:r>
      <w:r w:rsidR="006E5332">
        <w:t xml:space="preserve">income </w:t>
      </w:r>
      <w:r>
        <w:t xml:space="preserve">tax cut financed by </w:t>
      </w:r>
      <w:r w:rsidR="006E5332">
        <w:t xml:space="preserve">a personal income tax </w:t>
      </w:r>
      <w:r>
        <w:t>increase</w:t>
      </w:r>
    </w:p>
    <w:p w14:paraId="538C1EBA" w14:textId="77777777" w:rsidR="00AD3D7A" w:rsidRDefault="00AD3D7A" w:rsidP="003765F6">
      <w:pPr>
        <w:rPr>
          <w:color w:val="auto"/>
        </w:rPr>
      </w:pPr>
      <w:r w:rsidRPr="00AD3D7A">
        <w:rPr>
          <w:color w:val="auto"/>
        </w:rPr>
        <w:t xml:space="preserve">In this section a reduction in company tax rate from </w:t>
      </w:r>
      <w:r w:rsidRPr="007826E2">
        <w:rPr>
          <w:color w:val="auto"/>
        </w:rPr>
        <w:t>30 to 25 per cent</w:t>
      </w:r>
      <w:r w:rsidRPr="00AD3D7A">
        <w:rPr>
          <w:color w:val="auto"/>
        </w:rPr>
        <w:t xml:space="preserve"> is financed by an increase in </w:t>
      </w:r>
      <w:r>
        <w:rPr>
          <w:color w:val="auto"/>
        </w:rPr>
        <w:t>the average rate of personal income tax.</w:t>
      </w:r>
    </w:p>
    <w:p w14:paraId="41839B5D" w14:textId="77777777" w:rsidR="00DA557B" w:rsidRPr="005D4BBD" w:rsidRDefault="00DA557B" w:rsidP="005D4BBD">
      <w:pPr>
        <w:pStyle w:val="Heading3"/>
      </w:pPr>
      <w:r w:rsidRPr="005D4BBD">
        <w:t>Theory and key assumptions</w:t>
      </w:r>
    </w:p>
    <w:p w14:paraId="70EC17CC" w14:textId="77777777" w:rsidR="003765F6" w:rsidRPr="003765F6" w:rsidRDefault="003765F6" w:rsidP="003765F6">
      <w:pPr>
        <w:rPr>
          <w:color w:val="auto"/>
        </w:rPr>
      </w:pPr>
      <w:r w:rsidRPr="003765F6">
        <w:rPr>
          <w:color w:val="auto"/>
        </w:rPr>
        <w:t xml:space="preserve">The personal income tax system includes the taxation of both labour and capital income. It is difficult to incorporate progressivity in a model with a </w:t>
      </w:r>
      <w:r w:rsidR="00A31FD5">
        <w:rPr>
          <w:color w:val="auto"/>
        </w:rPr>
        <w:t xml:space="preserve">single </w:t>
      </w:r>
      <w:r w:rsidRPr="003765F6">
        <w:rPr>
          <w:color w:val="auto"/>
        </w:rPr>
        <w:t xml:space="preserve">representative household, so the modelling reported here assumes a single effective tax rate (hereafter </w:t>
      </w:r>
      <w:r w:rsidR="006B02E6">
        <w:rPr>
          <w:color w:val="auto"/>
        </w:rPr>
        <w:t>average</w:t>
      </w:r>
      <w:r w:rsidRPr="003765F6">
        <w:rPr>
          <w:color w:val="auto"/>
        </w:rPr>
        <w:t xml:space="preserve"> personal income tax) that is applied to labour income and capital income after franking credits. </w:t>
      </w:r>
      <w:r w:rsidR="00AD3D7A">
        <w:rPr>
          <w:color w:val="auto"/>
        </w:rPr>
        <w:t>P</w:t>
      </w:r>
      <w:r w:rsidRPr="003765F6">
        <w:rPr>
          <w:color w:val="auto"/>
        </w:rPr>
        <w:t xml:space="preserve">rogressivity </w:t>
      </w:r>
      <w:r w:rsidR="00AD3D7A">
        <w:rPr>
          <w:color w:val="auto"/>
        </w:rPr>
        <w:t xml:space="preserve">potentially </w:t>
      </w:r>
      <w:r w:rsidRPr="003765F6">
        <w:rPr>
          <w:color w:val="auto"/>
        </w:rPr>
        <w:t xml:space="preserve">raises the excess burden of a tax, which implies the modelled </w:t>
      </w:r>
      <w:r w:rsidR="00AD3D7A">
        <w:rPr>
          <w:color w:val="auto"/>
        </w:rPr>
        <w:t xml:space="preserve">average </w:t>
      </w:r>
      <w:r w:rsidRPr="003765F6">
        <w:rPr>
          <w:color w:val="auto"/>
        </w:rPr>
        <w:t xml:space="preserve">personal income tax </w:t>
      </w:r>
      <w:r w:rsidR="00AD3D7A">
        <w:rPr>
          <w:color w:val="auto"/>
        </w:rPr>
        <w:t>increase may</w:t>
      </w:r>
      <w:r w:rsidRPr="003765F6">
        <w:rPr>
          <w:color w:val="auto"/>
        </w:rPr>
        <w:t xml:space="preserve"> understate the welfare cost of raising revenue via the actual personal income tax</w:t>
      </w:r>
      <w:r w:rsidR="00AD3D7A">
        <w:rPr>
          <w:color w:val="auto"/>
        </w:rPr>
        <w:t xml:space="preserve"> system</w:t>
      </w:r>
      <w:r w:rsidRPr="003765F6">
        <w:rPr>
          <w:color w:val="auto"/>
        </w:rPr>
        <w:t>.</w:t>
      </w:r>
    </w:p>
    <w:p w14:paraId="2C59E539" w14:textId="77777777" w:rsidR="003765F6" w:rsidRPr="003765F6" w:rsidRDefault="003765F6" w:rsidP="003765F6">
      <w:pPr>
        <w:rPr>
          <w:color w:val="auto"/>
        </w:rPr>
      </w:pPr>
      <w:r w:rsidRPr="003765F6">
        <w:rPr>
          <w:color w:val="auto"/>
        </w:rPr>
        <w:t xml:space="preserve">As noted in Section 3, the perfect capital market and fixed </w:t>
      </w:r>
      <w:r w:rsidR="00AD3D7A">
        <w:rPr>
          <w:color w:val="auto"/>
        </w:rPr>
        <w:t>domestic saving rate</w:t>
      </w:r>
      <w:r w:rsidRPr="003765F6">
        <w:rPr>
          <w:color w:val="auto"/>
        </w:rPr>
        <w:t xml:space="preserve"> assumptions imply the capital income component of the personal income is </w:t>
      </w:r>
      <w:r w:rsidR="00AD3D7A">
        <w:rPr>
          <w:color w:val="auto"/>
        </w:rPr>
        <w:t xml:space="preserve">largely </w:t>
      </w:r>
      <w:r w:rsidRPr="003765F6">
        <w:rPr>
          <w:color w:val="auto"/>
        </w:rPr>
        <w:t>invariant to changes in personal tax rates.</w:t>
      </w:r>
      <w:r w:rsidRPr="003765F6">
        <w:rPr>
          <w:color w:val="auto"/>
          <w:vertAlign w:val="superscript"/>
        </w:rPr>
        <w:t xml:space="preserve"> </w:t>
      </w:r>
      <w:r w:rsidRPr="003765F6">
        <w:rPr>
          <w:color w:val="auto"/>
        </w:rPr>
        <w:t xml:space="preserve">Therefore, the distortionary part of the </w:t>
      </w:r>
      <w:r w:rsidR="00A31FD5">
        <w:rPr>
          <w:color w:val="auto"/>
        </w:rPr>
        <w:t xml:space="preserve">modelled </w:t>
      </w:r>
      <w:r w:rsidRPr="003765F6">
        <w:rPr>
          <w:color w:val="auto"/>
        </w:rPr>
        <w:t>personal income tax is effectively t</w:t>
      </w:r>
      <w:r w:rsidR="00AD3D7A">
        <w:rPr>
          <w:color w:val="auto"/>
        </w:rPr>
        <w:t>he labour income tax component.</w:t>
      </w:r>
    </w:p>
    <w:p w14:paraId="582E6710" w14:textId="77777777" w:rsidR="00A04BA1" w:rsidRDefault="00A04BA1" w:rsidP="003765F6">
      <w:pPr>
        <w:rPr>
          <w:color w:val="auto"/>
        </w:rPr>
      </w:pPr>
    </w:p>
    <w:p w14:paraId="09DCE1D8" w14:textId="77777777" w:rsidR="00A04BA1" w:rsidRDefault="00A04BA1">
      <w:pPr>
        <w:rPr>
          <w:color w:val="auto"/>
        </w:rPr>
      </w:pPr>
      <w:r>
        <w:rPr>
          <w:color w:val="auto"/>
        </w:rPr>
        <w:br w:type="page"/>
      </w:r>
    </w:p>
    <w:p w14:paraId="0FBB75C8" w14:textId="0734A64F" w:rsidR="003765F6" w:rsidRPr="003765F6" w:rsidRDefault="00AA5767" w:rsidP="003765F6">
      <w:pPr>
        <w:rPr>
          <w:color w:val="auto"/>
        </w:rPr>
      </w:pPr>
      <w:r>
        <w:rPr>
          <w:color w:val="auto"/>
        </w:rPr>
        <w:lastRenderedPageBreak/>
        <w:t>Financing a company income tax cut via a</w:t>
      </w:r>
      <w:r w:rsidR="00AD3D7A">
        <w:rPr>
          <w:color w:val="auto"/>
        </w:rPr>
        <w:t xml:space="preserve"> higher personal income tax </w:t>
      </w:r>
      <w:r>
        <w:rPr>
          <w:color w:val="auto"/>
        </w:rPr>
        <w:t>will impose the following effects over a lump sum tax: lower the after</w:t>
      </w:r>
      <w:r>
        <w:rPr>
          <w:color w:val="auto"/>
        </w:rPr>
        <w:noBreakHyphen/>
        <w:t>tax real capital income which is captured in Figure 1 by a fall in the vertical section of the household’s budget constraint (</w:t>
      </w:r>
      <w:r w:rsidR="000D7F2A">
        <w:rPr>
          <w:color w:val="auto"/>
        </w:rPr>
        <w:t xml:space="preserve">that is, </w:t>
      </w:r>
      <w:r>
        <w:rPr>
          <w:color w:val="auto"/>
        </w:rPr>
        <w:t>XY’); and cause the real after-tax wage to fall which is captured in Figure 1 by the inclined section of the household’s budget constraint (</w:t>
      </w:r>
      <w:r w:rsidR="000D7F2A">
        <w:rPr>
          <w:color w:val="auto"/>
        </w:rPr>
        <w:t xml:space="preserve">that is, </w:t>
      </w:r>
      <w:r>
        <w:rPr>
          <w:color w:val="auto"/>
        </w:rPr>
        <w:t>Z’Y’) rotating toward</w:t>
      </w:r>
      <w:r w:rsidR="000D7F2A">
        <w:rPr>
          <w:color w:val="auto"/>
        </w:rPr>
        <w:t>s</w:t>
      </w:r>
      <w:r>
        <w:rPr>
          <w:color w:val="auto"/>
        </w:rPr>
        <w:t xml:space="preserve"> the origin.</w:t>
      </w:r>
      <w:r w:rsidR="007319CD">
        <w:rPr>
          <w:color w:val="auto"/>
        </w:rPr>
        <w:t xml:space="preserve"> As such, it is expected to lead to lower steady state consumption</w:t>
      </w:r>
      <w:r w:rsidR="00C829F5">
        <w:rPr>
          <w:color w:val="auto"/>
        </w:rPr>
        <w:t>, employment</w:t>
      </w:r>
      <w:r w:rsidR="007319CD">
        <w:rPr>
          <w:color w:val="auto"/>
        </w:rPr>
        <w:t xml:space="preserve"> </w:t>
      </w:r>
      <w:r w:rsidR="003C077F">
        <w:rPr>
          <w:color w:val="auto"/>
        </w:rPr>
        <w:t xml:space="preserve">and household welfare </w:t>
      </w:r>
      <w:r w:rsidR="002A5BA4">
        <w:rPr>
          <w:color w:val="auto"/>
        </w:rPr>
        <w:t xml:space="preserve">compared with </w:t>
      </w:r>
      <w:r w:rsidR="003C077F">
        <w:rPr>
          <w:color w:val="auto"/>
        </w:rPr>
        <w:t>the lump-sum tax</w:t>
      </w:r>
      <w:r w:rsidR="002A5BA4">
        <w:rPr>
          <w:color w:val="auto"/>
        </w:rPr>
        <w:t xml:space="preserve"> funding approach.  </w:t>
      </w:r>
      <w:r w:rsidR="005F5403">
        <w:rPr>
          <w:color w:val="auto"/>
        </w:rPr>
        <w:t xml:space="preserve">Simply put, the imposition of higher personal income taxes will </w:t>
      </w:r>
      <w:r w:rsidR="009918FD">
        <w:rPr>
          <w:color w:val="auto"/>
        </w:rPr>
        <w:t xml:space="preserve">eat into </w:t>
      </w:r>
      <w:r w:rsidR="005F5403">
        <w:rPr>
          <w:color w:val="auto"/>
        </w:rPr>
        <w:t>some of the economic gains from the company tax rate reduction.</w:t>
      </w:r>
    </w:p>
    <w:p w14:paraId="25A2245E" w14:textId="77777777" w:rsidR="001444DB" w:rsidRPr="005A2B26" w:rsidRDefault="001444DB" w:rsidP="005D4BBD">
      <w:pPr>
        <w:pStyle w:val="Heading3"/>
      </w:pPr>
      <w:r w:rsidRPr="005A2B26">
        <w:t>Results</w:t>
      </w:r>
    </w:p>
    <w:p w14:paraId="5859F227" w14:textId="77777777" w:rsidR="001444DB" w:rsidRPr="005A2B26" w:rsidRDefault="001444DB" w:rsidP="001444DB">
      <w:pPr>
        <w:rPr>
          <w:color w:val="auto"/>
        </w:rPr>
      </w:pPr>
      <w:r>
        <w:rPr>
          <w:color w:val="auto"/>
        </w:rPr>
        <w:t xml:space="preserve">This subsection reports the findings </w:t>
      </w:r>
      <w:r w:rsidR="006B02E6">
        <w:rPr>
          <w:color w:val="auto"/>
        </w:rPr>
        <w:t>from the</w:t>
      </w:r>
      <w:r>
        <w:rPr>
          <w:color w:val="auto"/>
        </w:rPr>
        <w:t xml:space="preserve"> model simulation </w:t>
      </w:r>
      <w:r w:rsidR="006B02E6">
        <w:rPr>
          <w:color w:val="auto"/>
        </w:rPr>
        <w:t>of</w:t>
      </w:r>
      <w:r>
        <w:rPr>
          <w:color w:val="auto"/>
        </w:rPr>
        <w:t xml:space="preserve"> a</w:t>
      </w:r>
      <w:r w:rsidRPr="005A2B26">
        <w:rPr>
          <w:color w:val="auto"/>
        </w:rPr>
        <w:t xml:space="preserve"> company income tax </w:t>
      </w:r>
      <w:r>
        <w:rPr>
          <w:color w:val="auto"/>
        </w:rPr>
        <w:t xml:space="preserve">rate cut from 30 to 25 per cent, </w:t>
      </w:r>
      <w:r w:rsidR="006B02E6">
        <w:rPr>
          <w:color w:val="auto"/>
        </w:rPr>
        <w:t>with</w:t>
      </w:r>
      <w:r w:rsidRPr="005A2B26">
        <w:rPr>
          <w:color w:val="auto"/>
        </w:rPr>
        <w:t xml:space="preserve"> other tax rates unchanged</w:t>
      </w:r>
      <w:r>
        <w:rPr>
          <w:color w:val="auto"/>
        </w:rPr>
        <w:t xml:space="preserve"> and assuming any shortfall in revenue across al</w:t>
      </w:r>
      <w:r w:rsidR="002339A8">
        <w:rPr>
          <w:color w:val="auto"/>
        </w:rPr>
        <w:t>l jurisdictions is financed by an increase in the model’s average person income tax rate</w:t>
      </w:r>
      <w:r>
        <w:rPr>
          <w:color w:val="auto"/>
        </w:rPr>
        <w:t>.</w:t>
      </w:r>
    </w:p>
    <w:p w14:paraId="0DABB15D" w14:textId="77777777" w:rsidR="001444DB" w:rsidRPr="005A2B26" w:rsidRDefault="001444DB" w:rsidP="001444DB">
      <w:pPr>
        <w:pStyle w:val="Heading4"/>
      </w:pPr>
      <w:r w:rsidRPr="005A2B26">
        <w:t>Activity</w:t>
      </w:r>
    </w:p>
    <w:p w14:paraId="0EC0058B" w14:textId="77777777" w:rsidR="001444DB" w:rsidRPr="005A2B26" w:rsidRDefault="001444DB" w:rsidP="001444DB">
      <w:pPr>
        <w:rPr>
          <w:color w:val="auto"/>
        </w:rPr>
      </w:pPr>
      <w:r>
        <w:rPr>
          <w:color w:val="auto"/>
        </w:rPr>
        <w:t xml:space="preserve">Chart </w:t>
      </w:r>
      <w:r w:rsidR="0067389A">
        <w:rPr>
          <w:color w:val="auto"/>
        </w:rPr>
        <w:t>5</w:t>
      </w:r>
      <w:r>
        <w:rPr>
          <w:color w:val="auto"/>
        </w:rPr>
        <w:t xml:space="preserve"> plots the contribution of domestically generated capital</w:t>
      </w:r>
      <w:r w:rsidR="00D978B6">
        <w:rPr>
          <w:color w:val="auto"/>
        </w:rPr>
        <w:t xml:space="preserve"> income, </w:t>
      </w:r>
      <w:r>
        <w:rPr>
          <w:color w:val="auto"/>
        </w:rPr>
        <w:t>labour income</w:t>
      </w:r>
      <w:r w:rsidR="00D978B6">
        <w:rPr>
          <w:color w:val="auto"/>
        </w:rPr>
        <w:t xml:space="preserve"> </w:t>
      </w:r>
      <w:r>
        <w:rPr>
          <w:color w:val="auto"/>
        </w:rPr>
        <w:t xml:space="preserve">and foreign income payments to </w:t>
      </w:r>
      <w:r w:rsidR="00D978B6">
        <w:rPr>
          <w:color w:val="auto"/>
        </w:rPr>
        <w:t xml:space="preserve">the </w:t>
      </w:r>
      <w:r>
        <w:rPr>
          <w:color w:val="auto"/>
        </w:rPr>
        <w:t xml:space="preserve">change in real </w:t>
      </w:r>
      <w:r w:rsidR="00E35A09">
        <w:rPr>
          <w:color w:val="auto"/>
        </w:rPr>
        <w:t>GNI</w:t>
      </w:r>
      <w:r>
        <w:rPr>
          <w:color w:val="auto"/>
        </w:rPr>
        <w:t xml:space="preserve"> </w:t>
      </w:r>
      <w:r w:rsidR="00D978B6">
        <w:rPr>
          <w:color w:val="auto"/>
        </w:rPr>
        <w:t xml:space="preserve">that results </w:t>
      </w:r>
      <w:r>
        <w:rPr>
          <w:color w:val="auto"/>
        </w:rPr>
        <w:t>from the company tax cut. Under this scenario</w:t>
      </w:r>
      <w:r w:rsidR="00D978B6">
        <w:rPr>
          <w:color w:val="auto"/>
        </w:rPr>
        <w:t>,</w:t>
      </w:r>
      <w:r>
        <w:rPr>
          <w:color w:val="auto"/>
        </w:rPr>
        <w:t xml:space="preserve"> </w:t>
      </w:r>
      <w:r w:rsidR="00FF3C06">
        <w:rPr>
          <w:color w:val="auto"/>
        </w:rPr>
        <w:t xml:space="preserve">GNI </w:t>
      </w:r>
      <w:r>
        <w:rPr>
          <w:color w:val="auto"/>
        </w:rPr>
        <w:t>is expected to rise by 0.</w:t>
      </w:r>
      <w:r w:rsidR="0067389A">
        <w:rPr>
          <w:color w:val="auto"/>
        </w:rPr>
        <w:t>6</w:t>
      </w:r>
      <w:r>
        <w:rPr>
          <w:color w:val="auto"/>
        </w:rPr>
        <w:t xml:space="preserve"> per cent in the long run</w:t>
      </w:r>
      <w:r w:rsidR="00D978B6">
        <w:rPr>
          <w:color w:val="auto"/>
        </w:rPr>
        <w:t>.</w:t>
      </w:r>
      <w:r w:rsidR="00FF3C06">
        <w:rPr>
          <w:color w:val="auto"/>
        </w:rPr>
        <w:t xml:space="preserve"> </w:t>
      </w:r>
      <w:r w:rsidR="00D978B6">
        <w:rPr>
          <w:color w:val="auto"/>
        </w:rPr>
        <w:t xml:space="preserve">This is </w:t>
      </w:r>
      <w:r w:rsidR="00FF3C06">
        <w:rPr>
          <w:color w:val="auto"/>
        </w:rPr>
        <w:t>0.2 percentage point</w:t>
      </w:r>
      <w:r w:rsidR="00D978B6">
        <w:rPr>
          <w:color w:val="auto"/>
        </w:rPr>
        <w:t>s</w:t>
      </w:r>
      <w:r w:rsidR="00FF3C06">
        <w:rPr>
          <w:color w:val="auto"/>
        </w:rPr>
        <w:t xml:space="preserve"> lower than under the lump-tax</w:t>
      </w:r>
      <w:r>
        <w:rPr>
          <w:color w:val="auto"/>
        </w:rPr>
        <w:t xml:space="preserve">. </w:t>
      </w:r>
      <w:r w:rsidR="00FF3C06">
        <w:rPr>
          <w:color w:val="auto"/>
        </w:rPr>
        <w:t xml:space="preserve">This reflects a lower contribution from capital income, with </w:t>
      </w:r>
      <w:r w:rsidR="00E35A09">
        <w:rPr>
          <w:color w:val="auto"/>
        </w:rPr>
        <w:t>GOS</w:t>
      </w:r>
      <w:r w:rsidR="0067389A">
        <w:rPr>
          <w:color w:val="auto"/>
        </w:rPr>
        <w:t xml:space="preserve"> </w:t>
      </w:r>
      <w:r w:rsidR="00FF3C06">
        <w:rPr>
          <w:color w:val="auto"/>
        </w:rPr>
        <w:t xml:space="preserve">now </w:t>
      </w:r>
      <w:r>
        <w:rPr>
          <w:color w:val="auto"/>
        </w:rPr>
        <w:t>contributing</w:t>
      </w:r>
      <w:r w:rsidRPr="005A2B26">
        <w:rPr>
          <w:color w:val="auto"/>
        </w:rPr>
        <w:t xml:space="preserve"> </w:t>
      </w:r>
      <w:r>
        <w:rPr>
          <w:color w:val="auto"/>
        </w:rPr>
        <w:t>0.</w:t>
      </w:r>
      <w:r w:rsidR="00E35A09">
        <w:rPr>
          <w:color w:val="auto"/>
        </w:rPr>
        <w:t>2</w:t>
      </w:r>
      <w:r w:rsidR="00A31FD5">
        <w:rPr>
          <w:color w:val="auto"/>
        </w:rPr>
        <w:t> </w:t>
      </w:r>
      <w:r>
        <w:rPr>
          <w:color w:val="auto"/>
        </w:rPr>
        <w:t>percent</w:t>
      </w:r>
      <w:r w:rsidR="00CD0719">
        <w:rPr>
          <w:color w:val="auto"/>
        </w:rPr>
        <w:t>age points</w:t>
      </w:r>
      <w:r w:rsidR="00FF3C06">
        <w:rPr>
          <w:color w:val="auto"/>
        </w:rPr>
        <w:t xml:space="preserve"> and from labour income, with COE now contributing around 0.7 percent</w:t>
      </w:r>
      <w:r w:rsidR="00CD0719">
        <w:rPr>
          <w:color w:val="auto"/>
        </w:rPr>
        <w:t>age points</w:t>
      </w:r>
      <w:r w:rsidR="00FF3C06">
        <w:rPr>
          <w:color w:val="auto"/>
        </w:rPr>
        <w:t xml:space="preserve"> to the improvement in GNI</w:t>
      </w:r>
      <w:r>
        <w:rPr>
          <w:color w:val="auto"/>
        </w:rPr>
        <w:t xml:space="preserve">. </w:t>
      </w:r>
      <w:r w:rsidR="00FF3C06">
        <w:rPr>
          <w:color w:val="auto"/>
        </w:rPr>
        <w:t xml:space="preserve">Underlying the gain in COE is a rise in before-tax real wages of around 1.2 per cent and </w:t>
      </w:r>
      <w:r w:rsidR="00F23F50">
        <w:rPr>
          <w:color w:val="auto"/>
        </w:rPr>
        <w:t xml:space="preserve">a </w:t>
      </w:r>
      <w:r w:rsidR="00FF3C06">
        <w:rPr>
          <w:color w:val="auto"/>
        </w:rPr>
        <w:t>rise in employment of 0.1 per cent. P</w:t>
      </w:r>
      <w:r>
        <w:rPr>
          <w:color w:val="auto"/>
        </w:rPr>
        <w:t xml:space="preserve">ayments to foreigners </w:t>
      </w:r>
      <w:r w:rsidR="00FF3C06">
        <w:rPr>
          <w:color w:val="auto"/>
        </w:rPr>
        <w:t xml:space="preserve">continue to </w:t>
      </w:r>
      <w:r>
        <w:rPr>
          <w:color w:val="auto"/>
        </w:rPr>
        <w:t>detract around 0.4 percent</w:t>
      </w:r>
      <w:r w:rsidR="00CD0719">
        <w:rPr>
          <w:color w:val="auto"/>
        </w:rPr>
        <w:t>age points</w:t>
      </w:r>
      <w:r w:rsidR="00FF3C06">
        <w:rPr>
          <w:color w:val="auto"/>
        </w:rPr>
        <w:t>, while indirect taxes contribute 0.1 percent</w:t>
      </w:r>
      <w:r w:rsidR="00CD0719">
        <w:rPr>
          <w:color w:val="auto"/>
        </w:rPr>
        <w:t>age points</w:t>
      </w:r>
      <w:r w:rsidR="00FF3C06">
        <w:rPr>
          <w:color w:val="auto"/>
        </w:rPr>
        <w:t>, which suggests the improvement in real GNI are again entirely due to the gain in labour income.</w:t>
      </w:r>
    </w:p>
    <w:p w14:paraId="77A16748" w14:textId="77777777" w:rsidR="001444DB" w:rsidRDefault="001444DB" w:rsidP="00A04BA1">
      <w:pPr>
        <w:pStyle w:val="ChartMainHeading"/>
      </w:pPr>
      <w:r w:rsidRPr="00850D22">
        <w:t xml:space="preserve">Chart </w:t>
      </w:r>
      <w:r w:rsidR="005A7277">
        <w:fldChar w:fldCharType="begin"/>
      </w:r>
      <w:r w:rsidR="005A7277">
        <w:instrText xml:space="preserve"> SEQ Chart \* ARABIC </w:instrText>
      </w:r>
      <w:r w:rsidR="005A7277">
        <w:fldChar w:fldCharType="separate"/>
      </w:r>
      <w:r w:rsidR="00C97912">
        <w:rPr>
          <w:noProof/>
        </w:rPr>
        <w:t>5</w:t>
      </w:r>
      <w:r w:rsidR="005A7277">
        <w:rPr>
          <w:noProof/>
        </w:rPr>
        <w:fldChar w:fldCharType="end"/>
      </w:r>
      <w:r w:rsidRPr="00850D22">
        <w:t xml:space="preserve">: Contribution to real GNI response — CIT financed by </w:t>
      </w:r>
      <w:r w:rsidR="0067389A" w:rsidRPr="00850D22">
        <w:t>PIT</w:t>
      </w:r>
      <w:r w:rsidRPr="00C11090">
        <w:t xml:space="preserve"> </w:t>
      </w:r>
    </w:p>
    <w:p w14:paraId="0604216E" w14:textId="77777777" w:rsidR="001444DB" w:rsidRPr="00850D22" w:rsidRDefault="00850D22" w:rsidP="00A04BA1">
      <w:pPr>
        <w:pStyle w:val="ChartGraphic"/>
      </w:pPr>
      <w:r>
        <w:rPr>
          <w:noProof/>
        </w:rPr>
        <w:drawing>
          <wp:inline distT="0" distB="0" distL="0" distR="0" wp14:anchorId="47ED48ED" wp14:editId="3FBB078B">
            <wp:extent cx="5400000" cy="2880000"/>
            <wp:effectExtent l="0" t="0" r="0" b="0"/>
            <wp:docPr id="23" name="Chart 23" descr="This chart shows the response of the income components of gross national income (GNI): capital income; labour income, indirect taxes and foreign income payments due to a company tax cut financed by a personal income tax." titl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833E91" w14:textId="77777777" w:rsidR="001444DB" w:rsidRDefault="001444DB" w:rsidP="00AA34C9">
      <w:pPr>
        <w:pStyle w:val="Source"/>
        <w:ind w:left="420"/>
      </w:pPr>
      <w:r w:rsidRPr="005A2B26">
        <w:t>Source: Treasury estimates.</w:t>
      </w:r>
    </w:p>
    <w:p w14:paraId="66083E50" w14:textId="77777777" w:rsidR="00A04BA1" w:rsidRDefault="00A04BA1">
      <w:pPr>
        <w:rPr>
          <w:color w:val="auto"/>
        </w:rPr>
      </w:pPr>
      <w:r>
        <w:rPr>
          <w:color w:val="auto"/>
        </w:rPr>
        <w:br w:type="page"/>
      </w:r>
    </w:p>
    <w:p w14:paraId="31043710" w14:textId="74792187" w:rsidR="00925BBE" w:rsidRPr="00925BBE" w:rsidRDefault="00925BBE" w:rsidP="00925BBE">
      <w:pPr>
        <w:rPr>
          <w:color w:val="auto"/>
        </w:rPr>
      </w:pPr>
      <w:r>
        <w:rPr>
          <w:color w:val="auto"/>
        </w:rPr>
        <w:lastRenderedPageBreak/>
        <w:t xml:space="preserve">More than half </w:t>
      </w:r>
      <w:r w:rsidRPr="005A2B26">
        <w:rPr>
          <w:color w:val="auto"/>
        </w:rPr>
        <w:t xml:space="preserve">the </w:t>
      </w:r>
      <w:r>
        <w:rPr>
          <w:color w:val="auto"/>
        </w:rPr>
        <w:t xml:space="preserve">increase in real GDP </w:t>
      </w:r>
      <w:r w:rsidRPr="005A2B26">
        <w:rPr>
          <w:color w:val="auto"/>
        </w:rPr>
        <w:t xml:space="preserve">flows from </w:t>
      </w:r>
      <w:r>
        <w:rPr>
          <w:color w:val="auto"/>
        </w:rPr>
        <w:t>higher</w:t>
      </w:r>
      <w:r w:rsidRPr="005A2B26">
        <w:rPr>
          <w:color w:val="auto"/>
        </w:rPr>
        <w:t xml:space="preserve"> investment</w:t>
      </w:r>
      <w:r>
        <w:rPr>
          <w:color w:val="auto"/>
        </w:rPr>
        <w:t>. Investment increases by 2.</w:t>
      </w:r>
      <w:r w:rsidR="006B02E6">
        <w:rPr>
          <w:color w:val="auto"/>
        </w:rPr>
        <w:t>6</w:t>
      </w:r>
      <w:r>
        <w:rPr>
          <w:color w:val="auto"/>
        </w:rPr>
        <w:t> per cent which contributes around 0.6 percentage points to the overall GDP gain of 1.0 percentage points</w:t>
      </w:r>
      <w:r w:rsidRPr="005A2B26">
        <w:rPr>
          <w:color w:val="auto"/>
        </w:rPr>
        <w:t xml:space="preserve"> (</w:t>
      </w:r>
      <w:r>
        <w:rPr>
          <w:color w:val="auto"/>
        </w:rPr>
        <w:t xml:space="preserve">see </w:t>
      </w:r>
      <w:r w:rsidRPr="005A2B26">
        <w:rPr>
          <w:color w:val="auto"/>
        </w:rPr>
        <w:t xml:space="preserve">Chart </w:t>
      </w:r>
      <w:r>
        <w:rPr>
          <w:noProof/>
          <w:color w:val="auto"/>
        </w:rPr>
        <w:t>6</w:t>
      </w:r>
      <w:r w:rsidRPr="005A2B26">
        <w:rPr>
          <w:color w:val="auto"/>
        </w:rPr>
        <w:t xml:space="preserve">). Consumption </w:t>
      </w:r>
      <w:r>
        <w:rPr>
          <w:color w:val="auto"/>
        </w:rPr>
        <w:t>rises by around 0.3 per cent</w:t>
      </w:r>
      <w:r w:rsidRPr="005A2B26">
        <w:rPr>
          <w:color w:val="auto"/>
        </w:rPr>
        <w:t xml:space="preserve"> </w:t>
      </w:r>
      <w:r>
        <w:rPr>
          <w:color w:val="auto"/>
        </w:rPr>
        <w:t>implying a significantly smaller long-run contribution to GDP of around 0.2 percentage points</w:t>
      </w:r>
      <w:r w:rsidRPr="005A2B26">
        <w:rPr>
          <w:color w:val="auto"/>
        </w:rPr>
        <w:t>.</w:t>
      </w:r>
      <w:r>
        <w:rPr>
          <w:color w:val="auto"/>
        </w:rPr>
        <w:t xml:space="preserve"> As noted above, net exports must rise to stabilise the ratio of net foreign liabilities-to-GDP. The contribution from net exports is around 0.3 percentage points.</w:t>
      </w:r>
    </w:p>
    <w:p w14:paraId="09C13A5B" w14:textId="77777777" w:rsidR="001444DB" w:rsidRDefault="001444DB" w:rsidP="006E6EC1">
      <w:pPr>
        <w:pStyle w:val="ChartMainHeading"/>
      </w:pPr>
      <w:r w:rsidRPr="00850D22">
        <w:t xml:space="preserve">Chart </w:t>
      </w:r>
      <w:r w:rsidR="005A7277">
        <w:fldChar w:fldCharType="begin"/>
      </w:r>
      <w:r w:rsidR="005A7277">
        <w:instrText xml:space="preserve"> SEQ Chart \* ARABIC </w:instrText>
      </w:r>
      <w:r w:rsidR="005A7277">
        <w:fldChar w:fldCharType="separate"/>
      </w:r>
      <w:r w:rsidR="00C97912">
        <w:rPr>
          <w:noProof/>
        </w:rPr>
        <w:t>6</w:t>
      </w:r>
      <w:r w:rsidR="005A7277">
        <w:rPr>
          <w:noProof/>
        </w:rPr>
        <w:fldChar w:fldCharType="end"/>
      </w:r>
      <w:r w:rsidRPr="00850D22">
        <w:t xml:space="preserve">: Contribution to real GDP response — CIT financed by </w:t>
      </w:r>
      <w:r w:rsidR="0067389A" w:rsidRPr="00850D22">
        <w:t>PIT</w:t>
      </w:r>
    </w:p>
    <w:p w14:paraId="54E86ADB" w14:textId="77777777" w:rsidR="001444DB" w:rsidRPr="00CF4069" w:rsidRDefault="007F274E" w:rsidP="006E6EC1">
      <w:pPr>
        <w:pStyle w:val="ChartGraphic"/>
      </w:pPr>
      <w:r>
        <w:rPr>
          <w:noProof/>
        </w:rPr>
        <w:drawing>
          <wp:inline distT="0" distB="0" distL="0" distR="0" wp14:anchorId="06AA7506" wp14:editId="6038EA95">
            <wp:extent cx="5400000" cy="2880000"/>
            <wp:effectExtent l="0" t="0" r="0" b="0"/>
            <wp:docPr id="10" name="Chart 10" descr="This chart shows the volume response of the expenditure components of GDP: consumption; investment; government expenditure and net exports due to a company tax cut financed by a personal income tax." titl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583D6E" w14:textId="77777777" w:rsidR="00CF4069" w:rsidRDefault="001444DB" w:rsidP="00AA34C9">
      <w:pPr>
        <w:pStyle w:val="Source"/>
        <w:ind w:left="518"/>
      </w:pPr>
      <w:r w:rsidRPr="005A2B26">
        <w:rPr>
          <w:lang w:val="en-US"/>
        </w:rPr>
        <w:t xml:space="preserve">Source: </w:t>
      </w:r>
      <w:r w:rsidRPr="005A2B26">
        <w:t>Treasury estimates.</w:t>
      </w:r>
    </w:p>
    <w:p w14:paraId="1B39980E" w14:textId="77777777" w:rsidR="0017685E" w:rsidRDefault="0017685E" w:rsidP="0017685E">
      <w:pPr>
        <w:pStyle w:val="Heading4"/>
      </w:pPr>
      <w:r>
        <w:t>Government budget</w:t>
      </w:r>
    </w:p>
    <w:p w14:paraId="0B8B0491" w14:textId="1A4DA39E" w:rsidR="0017685E" w:rsidRPr="0017685E" w:rsidRDefault="0017685E" w:rsidP="0017685E">
      <w:pPr>
        <w:rPr>
          <w:color w:val="auto"/>
        </w:rPr>
      </w:pPr>
      <w:r w:rsidRPr="005A2B26">
        <w:rPr>
          <w:color w:val="auto"/>
        </w:rPr>
        <w:t xml:space="preserve">Chart </w:t>
      </w:r>
      <w:r>
        <w:rPr>
          <w:noProof/>
          <w:color w:val="auto"/>
        </w:rPr>
        <w:t>7</w:t>
      </w:r>
      <w:r>
        <w:rPr>
          <w:color w:val="auto"/>
        </w:rPr>
        <w:t xml:space="preserve"> reports model-based estimates of the long run effect on tax revenue and government spending per dollar of direct cut in net company tax. After second-round effects, it is estimated that the personal income tax must rise by an additional 65 cents to fund the initial company tax cut. The total long-run revenue dividend from the company tax cut under this sce</w:t>
      </w:r>
      <w:r w:rsidR="006E6EC1">
        <w:rPr>
          <w:color w:val="auto"/>
        </w:rPr>
        <w:t>nario is estimated to be around</w:t>
      </w:r>
      <w:r w:rsidR="006E6EC1">
        <w:rPr>
          <w:color w:val="auto"/>
        </w:rPr>
        <w:br/>
      </w:r>
      <w:r>
        <w:rPr>
          <w:color w:val="auto"/>
        </w:rPr>
        <w:t>35 cents per dollar of net company tax cut, with around 5 cents accruing to sub-national governments and around 30 cents to the federal government.</w:t>
      </w:r>
    </w:p>
    <w:p w14:paraId="6F3AD9FB" w14:textId="77777777" w:rsidR="001444DB" w:rsidRDefault="001444DB" w:rsidP="006E6EC1">
      <w:pPr>
        <w:pStyle w:val="ChartMainHeading"/>
      </w:pPr>
      <w:r w:rsidRPr="00CF4069">
        <w:lastRenderedPageBreak/>
        <w:t xml:space="preserve">Chart </w:t>
      </w:r>
      <w:r w:rsidR="005A7277">
        <w:fldChar w:fldCharType="begin"/>
      </w:r>
      <w:r w:rsidR="005A7277">
        <w:instrText xml:space="preserve"> SEQ Chart \* ARABIC </w:instrText>
      </w:r>
      <w:r w:rsidR="005A7277">
        <w:fldChar w:fldCharType="separate"/>
      </w:r>
      <w:r w:rsidR="00C97912">
        <w:rPr>
          <w:noProof/>
        </w:rPr>
        <w:t>7</w:t>
      </w:r>
      <w:r w:rsidR="005A7277">
        <w:rPr>
          <w:noProof/>
        </w:rPr>
        <w:fldChar w:fldCharType="end"/>
      </w:r>
      <w:r w:rsidRPr="00CF4069">
        <w:t xml:space="preserve">: Government budget response — </w:t>
      </w:r>
      <w:r w:rsidR="008862EA" w:rsidRPr="00CF4069">
        <w:t>CIT financed by PIT</w:t>
      </w:r>
    </w:p>
    <w:p w14:paraId="3FC971F0" w14:textId="77777777" w:rsidR="001444DB" w:rsidRPr="00054BEA" w:rsidRDefault="00054BEA" w:rsidP="006E6EC1">
      <w:pPr>
        <w:pStyle w:val="ChartGraphic"/>
      </w:pPr>
      <w:r>
        <w:rPr>
          <w:noProof/>
        </w:rPr>
        <w:drawing>
          <wp:inline distT="0" distB="0" distL="0" distR="0" wp14:anchorId="50688EB5" wp14:editId="04ADA2C7">
            <wp:extent cx="5403272" cy="2992582"/>
            <wp:effectExtent l="0" t="0" r="6985" b="0"/>
            <wp:docPr id="7" name="Chart 7" descr="This chart shows the effect on the components of the government’s budget per dollar of direct increase in net company income tax revenue (gross company income tax revenue less franking credits) when the company tax cut is financed by a personal income tax. The budget response is decomposed into direct effects, indirect effects and the net effect on revenue for: net company tax; personal income tax; stamp duty and land tax; GST, government spending; and lump-sum tax." titl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24D27D" w14:textId="77777777" w:rsidR="001444DB" w:rsidRPr="005A2B26" w:rsidRDefault="001444DB" w:rsidP="002E2E01">
      <w:pPr>
        <w:pStyle w:val="Source"/>
        <w:ind w:left="518"/>
      </w:pPr>
      <w:r w:rsidRPr="005A2B26">
        <w:rPr>
          <w:lang w:val="en-US"/>
        </w:rPr>
        <w:t xml:space="preserve">Source: </w:t>
      </w:r>
      <w:r w:rsidRPr="005A2B26">
        <w:t>Treasury estimates.</w:t>
      </w:r>
    </w:p>
    <w:p w14:paraId="55ABD821" w14:textId="77777777" w:rsidR="001444DB" w:rsidRPr="005A2B26" w:rsidRDefault="001444DB" w:rsidP="001444DB">
      <w:pPr>
        <w:pStyle w:val="Heading4"/>
      </w:pPr>
      <w:r>
        <w:t>Household welfare</w:t>
      </w:r>
    </w:p>
    <w:p w14:paraId="3C8F5835" w14:textId="77777777" w:rsidR="00BE4258" w:rsidRPr="005A2B26" w:rsidRDefault="001444DB" w:rsidP="001444DB">
      <w:pPr>
        <w:rPr>
          <w:color w:val="auto"/>
        </w:rPr>
      </w:pPr>
      <w:r w:rsidRPr="005A2B26">
        <w:rPr>
          <w:color w:val="auto"/>
        </w:rPr>
        <w:t xml:space="preserve">A </w:t>
      </w:r>
      <w:r w:rsidR="00FE7719">
        <w:rPr>
          <w:color w:val="auto"/>
        </w:rPr>
        <w:t>cut</w:t>
      </w:r>
      <w:r w:rsidRPr="005A2B26">
        <w:rPr>
          <w:color w:val="auto"/>
        </w:rPr>
        <w:t xml:space="preserve"> in the company income tax rate</w:t>
      </w:r>
      <w:r w:rsidR="00FE7719">
        <w:rPr>
          <w:color w:val="auto"/>
        </w:rPr>
        <w:t xml:space="preserve"> financed by an increase in the</w:t>
      </w:r>
      <w:r w:rsidR="00D978B6">
        <w:rPr>
          <w:color w:val="auto"/>
        </w:rPr>
        <w:t xml:space="preserve"> effective</w:t>
      </w:r>
      <w:r w:rsidR="00FE7719">
        <w:rPr>
          <w:color w:val="auto"/>
        </w:rPr>
        <w:t xml:space="preserve"> personal income tax</w:t>
      </w:r>
      <w:r w:rsidR="00D978B6">
        <w:rPr>
          <w:color w:val="auto"/>
        </w:rPr>
        <w:t xml:space="preserve"> rate</w:t>
      </w:r>
      <w:r w:rsidRPr="005A2B26">
        <w:rPr>
          <w:color w:val="auto"/>
        </w:rPr>
        <w:t xml:space="preserve"> implies </w:t>
      </w:r>
      <w:r w:rsidR="00BE4258">
        <w:rPr>
          <w:color w:val="auto"/>
        </w:rPr>
        <w:t xml:space="preserve">a welfare gain </w:t>
      </w:r>
      <w:r w:rsidRPr="005A2B26">
        <w:rPr>
          <w:color w:val="auto"/>
        </w:rPr>
        <w:t xml:space="preserve">of around </w:t>
      </w:r>
      <w:r>
        <w:rPr>
          <w:color w:val="auto"/>
        </w:rPr>
        <w:t>0.</w:t>
      </w:r>
      <w:r w:rsidR="00FE7719">
        <w:rPr>
          <w:color w:val="auto"/>
        </w:rPr>
        <w:t>1</w:t>
      </w:r>
      <w:r>
        <w:rPr>
          <w:color w:val="auto"/>
        </w:rPr>
        <w:t xml:space="preserve"> per cent</w:t>
      </w:r>
      <w:r w:rsidRPr="005A2B26">
        <w:rPr>
          <w:color w:val="auto"/>
        </w:rPr>
        <w:t xml:space="preserve"> (</w:t>
      </w:r>
      <w:r w:rsidR="003E0A84">
        <w:rPr>
          <w:color w:val="auto"/>
        </w:rPr>
        <w:t xml:space="preserve">see </w:t>
      </w:r>
      <w:r w:rsidRPr="005A2B26">
        <w:rPr>
          <w:color w:val="auto"/>
        </w:rPr>
        <w:t>Chart</w:t>
      </w:r>
      <w:r>
        <w:rPr>
          <w:color w:val="auto"/>
        </w:rPr>
        <w:t> </w:t>
      </w:r>
      <w:r w:rsidR="00FE7719">
        <w:rPr>
          <w:noProof/>
          <w:color w:val="auto"/>
        </w:rPr>
        <w:t>8</w:t>
      </w:r>
      <w:r w:rsidRPr="005A2B26">
        <w:rPr>
          <w:color w:val="auto"/>
        </w:rPr>
        <w:t>)</w:t>
      </w:r>
      <w:r w:rsidR="005F5403">
        <w:rPr>
          <w:color w:val="auto"/>
        </w:rPr>
        <w:t>, which is lower</w:t>
      </w:r>
      <w:r w:rsidR="00D978B6" w:rsidRPr="00D978B6">
        <w:rPr>
          <w:color w:val="auto"/>
        </w:rPr>
        <w:t xml:space="preserve"> </w:t>
      </w:r>
      <w:r w:rsidR="00D978B6">
        <w:rPr>
          <w:color w:val="auto"/>
        </w:rPr>
        <w:t>than when the company tax cut is financed by lump-</w:t>
      </w:r>
      <w:r w:rsidR="002E4B7A">
        <w:rPr>
          <w:color w:val="auto"/>
        </w:rPr>
        <w:t xml:space="preserve">sum </w:t>
      </w:r>
      <w:r w:rsidR="00D978B6">
        <w:rPr>
          <w:color w:val="auto"/>
        </w:rPr>
        <w:t>taxes</w:t>
      </w:r>
      <w:r w:rsidRPr="005A2B26">
        <w:rPr>
          <w:color w:val="auto"/>
        </w:rPr>
        <w:t xml:space="preserve">. </w:t>
      </w:r>
      <w:r w:rsidR="00FE7719">
        <w:rPr>
          <w:color w:val="auto"/>
        </w:rPr>
        <w:t>Underlying this</w:t>
      </w:r>
      <w:r w:rsidR="00BE4258">
        <w:rPr>
          <w:color w:val="auto"/>
        </w:rPr>
        <w:t xml:space="preserve"> </w:t>
      </w:r>
      <w:r w:rsidR="00FE7719">
        <w:rPr>
          <w:color w:val="auto"/>
        </w:rPr>
        <w:t xml:space="preserve">is </w:t>
      </w:r>
      <w:r w:rsidR="00BE4258">
        <w:rPr>
          <w:color w:val="auto"/>
        </w:rPr>
        <w:t xml:space="preserve">a </w:t>
      </w:r>
      <w:r w:rsidR="00FE7719">
        <w:rPr>
          <w:color w:val="auto"/>
        </w:rPr>
        <w:t>decline in welfare accruing to d</w:t>
      </w:r>
      <w:r w:rsidRPr="005A2B26">
        <w:rPr>
          <w:color w:val="auto"/>
        </w:rPr>
        <w:t>omestic capital owners</w:t>
      </w:r>
      <w:r w:rsidR="00301493">
        <w:rPr>
          <w:color w:val="auto"/>
        </w:rPr>
        <w:t>. This is because</w:t>
      </w:r>
      <w:r w:rsidR="009918FD">
        <w:rPr>
          <w:color w:val="auto"/>
        </w:rPr>
        <w:t xml:space="preserve"> </w:t>
      </w:r>
      <w:r w:rsidRPr="005A2B26">
        <w:rPr>
          <w:color w:val="auto"/>
        </w:rPr>
        <w:t>after</w:t>
      </w:r>
      <w:r w:rsidRPr="005A2B26">
        <w:rPr>
          <w:color w:val="auto"/>
        </w:rPr>
        <w:noBreakHyphen/>
        <w:t>t</w:t>
      </w:r>
      <w:r w:rsidR="00390C5E">
        <w:rPr>
          <w:color w:val="auto"/>
        </w:rPr>
        <w:t>ax capital income net of saving</w:t>
      </w:r>
      <w:r w:rsidR="00301493">
        <w:rPr>
          <w:color w:val="auto"/>
        </w:rPr>
        <w:t xml:space="preserve"> falls</w:t>
      </w:r>
      <w:r w:rsidR="005C4EA1">
        <w:rPr>
          <w:color w:val="auto"/>
        </w:rPr>
        <w:t xml:space="preserve">, with capital income </w:t>
      </w:r>
      <w:r w:rsidR="00BE4258">
        <w:rPr>
          <w:color w:val="auto"/>
        </w:rPr>
        <w:t xml:space="preserve">now </w:t>
      </w:r>
      <w:r w:rsidR="005C4EA1">
        <w:rPr>
          <w:color w:val="auto"/>
        </w:rPr>
        <w:t>detracting 0.1 percent</w:t>
      </w:r>
      <w:r w:rsidR="00CD0719">
        <w:rPr>
          <w:color w:val="auto"/>
        </w:rPr>
        <w:t>age points</w:t>
      </w:r>
      <w:r w:rsidRPr="005A2B26">
        <w:rPr>
          <w:color w:val="auto"/>
        </w:rPr>
        <w:t>.</w:t>
      </w:r>
      <w:r>
        <w:rPr>
          <w:color w:val="auto"/>
        </w:rPr>
        <w:t xml:space="preserve"> The contribution from labour is estimated to be around 0.</w:t>
      </w:r>
      <w:r w:rsidR="005C4EA1">
        <w:rPr>
          <w:color w:val="auto"/>
        </w:rPr>
        <w:t>2</w:t>
      </w:r>
      <w:r>
        <w:rPr>
          <w:color w:val="auto"/>
        </w:rPr>
        <w:t xml:space="preserve"> percent</w:t>
      </w:r>
      <w:r w:rsidR="00CD0719">
        <w:rPr>
          <w:color w:val="auto"/>
        </w:rPr>
        <w:t>age points</w:t>
      </w:r>
      <w:r>
        <w:rPr>
          <w:color w:val="auto"/>
        </w:rPr>
        <w:t xml:space="preserve">, which </w:t>
      </w:r>
      <w:r w:rsidR="002E4B7A">
        <w:rPr>
          <w:color w:val="auto"/>
        </w:rPr>
        <w:t xml:space="preserve">is </w:t>
      </w:r>
      <w:r w:rsidR="00CD0719">
        <w:rPr>
          <w:color w:val="auto"/>
        </w:rPr>
        <w:t>about</w:t>
      </w:r>
      <w:r w:rsidR="002E4B7A">
        <w:rPr>
          <w:color w:val="auto"/>
        </w:rPr>
        <w:t xml:space="preserve"> the</w:t>
      </w:r>
      <w:r w:rsidR="005C4EA1">
        <w:rPr>
          <w:color w:val="auto"/>
        </w:rPr>
        <w:t xml:space="preserve"> same net contribution </w:t>
      </w:r>
      <w:r w:rsidR="00CD0719">
        <w:rPr>
          <w:color w:val="auto"/>
        </w:rPr>
        <w:t xml:space="preserve">as </w:t>
      </w:r>
      <w:r w:rsidR="005C4EA1">
        <w:rPr>
          <w:color w:val="auto"/>
        </w:rPr>
        <w:t xml:space="preserve">the labour </w:t>
      </w:r>
      <w:r w:rsidR="00CD0719">
        <w:rPr>
          <w:color w:val="auto"/>
        </w:rPr>
        <w:t xml:space="preserve">effect combined with </w:t>
      </w:r>
      <w:r>
        <w:rPr>
          <w:color w:val="auto"/>
        </w:rPr>
        <w:t>lump</w:t>
      </w:r>
      <w:r w:rsidR="00BE4258">
        <w:rPr>
          <w:color w:val="auto"/>
        </w:rPr>
        <w:noBreakHyphen/>
      </w:r>
      <w:r>
        <w:rPr>
          <w:color w:val="auto"/>
        </w:rPr>
        <w:t xml:space="preserve">sum </w:t>
      </w:r>
      <w:r w:rsidR="00BE4258">
        <w:rPr>
          <w:color w:val="auto"/>
        </w:rPr>
        <w:t>taxes</w:t>
      </w:r>
      <w:r w:rsidR="005C4EA1">
        <w:rPr>
          <w:color w:val="auto"/>
        </w:rPr>
        <w:t xml:space="preserve"> in the previous scenario</w:t>
      </w:r>
      <w:r>
        <w:rPr>
          <w:color w:val="auto"/>
        </w:rPr>
        <w:t>.</w:t>
      </w:r>
      <w:r w:rsidR="00BE4258">
        <w:rPr>
          <w:color w:val="auto"/>
        </w:rPr>
        <w:t xml:space="preserve"> Again, when</w:t>
      </w:r>
      <w:r w:rsidR="00BE4258" w:rsidRPr="005A2B26">
        <w:rPr>
          <w:color w:val="auto"/>
        </w:rPr>
        <w:t xml:space="preserve"> viewed from the standpoint of the notional owners of the factors of production</w:t>
      </w:r>
      <w:r w:rsidR="00301493">
        <w:rPr>
          <w:color w:val="auto"/>
        </w:rPr>
        <w:t>,</w:t>
      </w:r>
      <w:r w:rsidR="00BE4258">
        <w:rPr>
          <w:color w:val="auto"/>
        </w:rPr>
        <w:t xml:space="preserve"> </w:t>
      </w:r>
      <w:r w:rsidR="00BE4258" w:rsidRPr="005A2B26">
        <w:rPr>
          <w:color w:val="auto"/>
        </w:rPr>
        <w:t xml:space="preserve">the </w:t>
      </w:r>
      <w:r w:rsidR="00BE4258">
        <w:rPr>
          <w:color w:val="auto"/>
        </w:rPr>
        <w:t>welfare gain</w:t>
      </w:r>
      <w:r w:rsidR="00BE4258" w:rsidRPr="005A2B26">
        <w:rPr>
          <w:color w:val="auto"/>
        </w:rPr>
        <w:t xml:space="preserve"> is </w:t>
      </w:r>
      <w:r w:rsidR="00BE4258">
        <w:rPr>
          <w:color w:val="auto"/>
        </w:rPr>
        <w:t>due to an improvement</w:t>
      </w:r>
      <w:r w:rsidR="00BE4258" w:rsidRPr="005A2B26">
        <w:rPr>
          <w:color w:val="auto"/>
        </w:rPr>
        <w:t xml:space="preserve"> </w:t>
      </w:r>
      <w:r w:rsidR="00BE4258">
        <w:rPr>
          <w:color w:val="auto"/>
        </w:rPr>
        <w:t xml:space="preserve">in labour income </w:t>
      </w:r>
      <w:r w:rsidR="006B02E6">
        <w:rPr>
          <w:color w:val="auto"/>
        </w:rPr>
        <w:t>from</w:t>
      </w:r>
      <w:r w:rsidR="00BE4258">
        <w:rPr>
          <w:color w:val="auto"/>
        </w:rPr>
        <w:t xml:space="preserve"> higher after-tax </w:t>
      </w:r>
      <w:r w:rsidR="00BE4258" w:rsidRPr="005A2B26">
        <w:rPr>
          <w:color w:val="auto"/>
        </w:rPr>
        <w:t>real wages.</w:t>
      </w:r>
    </w:p>
    <w:p w14:paraId="6237CA82" w14:textId="77777777" w:rsidR="001444DB" w:rsidRDefault="001444DB" w:rsidP="006E6EC1">
      <w:pPr>
        <w:pStyle w:val="ChartMainHeading"/>
      </w:pPr>
      <w:r w:rsidRPr="006E7DC0">
        <w:t xml:space="preserve">Chart </w:t>
      </w:r>
      <w:r w:rsidR="005A7277">
        <w:fldChar w:fldCharType="begin"/>
      </w:r>
      <w:r w:rsidR="005A7277">
        <w:instrText xml:space="preserve"> SEQ Chart \* ARABIC </w:instrText>
      </w:r>
      <w:r w:rsidR="005A7277">
        <w:fldChar w:fldCharType="separate"/>
      </w:r>
      <w:r w:rsidR="00C97912">
        <w:rPr>
          <w:noProof/>
        </w:rPr>
        <w:t>8</w:t>
      </w:r>
      <w:r w:rsidR="005A7277">
        <w:rPr>
          <w:noProof/>
        </w:rPr>
        <w:fldChar w:fldCharType="end"/>
      </w:r>
      <w:r w:rsidRPr="006E7DC0">
        <w:t xml:space="preserve">: Household welfare — </w:t>
      </w:r>
      <w:r w:rsidR="008862EA" w:rsidRPr="006E7DC0">
        <w:t>CIT financed by PIT</w:t>
      </w:r>
      <w:r w:rsidR="008862EA">
        <w:t xml:space="preserve"> </w:t>
      </w:r>
    </w:p>
    <w:p w14:paraId="1160D497" w14:textId="77777777" w:rsidR="001444DB" w:rsidRPr="006E7DC0" w:rsidRDefault="006E7DC0" w:rsidP="006E6EC1">
      <w:pPr>
        <w:pStyle w:val="ChartGraphic"/>
      </w:pPr>
      <w:r>
        <w:rPr>
          <w:noProof/>
        </w:rPr>
        <w:drawing>
          <wp:inline distT="0" distB="0" distL="0" distR="0" wp14:anchorId="2C0851D7" wp14:editId="5446B02C">
            <wp:extent cx="5400000" cy="2880000"/>
            <wp:effectExtent l="0" t="0" r="0" b="0"/>
            <wp:docPr id="26" name="Chart 26" descr="This chart decomposes the welfare effect (equivalent variation) of the company tax cut financed by a personal income tax into a labour effect (post-change after tax real labour income plus pre-change after-tax real value of post-change leisure) and capital effect (post-change after tax real capital income less savings)." titl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C865E5" w14:textId="77777777" w:rsidR="001444DB" w:rsidRPr="005A2B26" w:rsidRDefault="001444DB" w:rsidP="002E2E01">
      <w:pPr>
        <w:pStyle w:val="Source"/>
        <w:ind w:left="406"/>
      </w:pPr>
      <w:r w:rsidRPr="005A2B26">
        <w:rPr>
          <w:lang w:val="en-US"/>
        </w:rPr>
        <w:t xml:space="preserve">Source: </w:t>
      </w:r>
      <w:r w:rsidRPr="005A2B26">
        <w:t>Treasury estimates.</w:t>
      </w:r>
    </w:p>
    <w:p w14:paraId="04F9CF26" w14:textId="77777777" w:rsidR="006E5332" w:rsidRDefault="006E5332" w:rsidP="006E5332">
      <w:pPr>
        <w:pStyle w:val="Heading2"/>
      </w:pPr>
      <w:r>
        <w:lastRenderedPageBreak/>
        <w:t>Company tax cut financed by a government spending cut</w:t>
      </w:r>
    </w:p>
    <w:p w14:paraId="7E8C86D2" w14:textId="77777777" w:rsidR="00E11B28" w:rsidRDefault="00E11B28" w:rsidP="006E5332">
      <w:pPr>
        <w:rPr>
          <w:color w:val="auto"/>
        </w:rPr>
      </w:pPr>
      <w:r w:rsidRPr="00E11B28">
        <w:rPr>
          <w:color w:val="auto"/>
        </w:rPr>
        <w:t xml:space="preserve">In this section a reduction in </w:t>
      </w:r>
      <w:r w:rsidR="00301493">
        <w:rPr>
          <w:color w:val="auto"/>
        </w:rPr>
        <w:t xml:space="preserve">the </w:t>
      </w:r>
      <w:r w:rsidRPr="00E11B28">
        <w:rPr>
          <w:color w:val="auto"/>
        </w:rPr>
        <w:t xml:space="preserve">company tax rate from 30 to 25 per cent is financed by </w:t>
      </w:r>
      <w:r>
        <w:rPr>
          <w:color w:val="auto"/>
        </w:rPr>
        <w:t>a cut to government spending</w:t>
      </w:r>
      <w:r w:rsidRPr="00E11B28">
        <w:rPr>
          <w:color w:val="auto"/>
        </w:rPr>
        <w:t>.</w:t>
      </w:r>
    </w:p>
    <w:p w14:paraId="701D11F5" w14:textId="77777777" w:rsidR="00DA557B" w:rsidRDefault="00DA557B" w:rsidP="005D4BBD">
      <w:pPr>
        <w:pStyle w:val="Heading3"/>
      </w:pPr>
      <w:r>
        <w:t>Theory and key assumptions</w:t>
      </w:r>
    </w:p>
    <w:p w14:paraId="2646E4F5" w14:textId="77830D1A" w:rsidR="006E5332" w:rsidRPr="007239DD" w:rsidRDefault="00E11B28" w:rsidP="006E5332">
      <w:pPr>
        <w:rPr>
          <w:color w:val="auto"/>
          <w:highlight w:val="yellow"/>
        </w:rPr>
      </w:pPr>
      <w:r w:rsidRPr="00E11B28">
        <w:rPr>
          <w:color w:val="auto"/>
        </w:rPr>
        <w:t xml:space="preserve">Government spending is assumed not </w:t>
      </w:r>
      <w:r w:rsidR="00CD0719">
        <w:rPr>
          <w:color w:val="auto"/>
        </w:rPr>
        <w:t xml:space="preserve">to affect directly </w:t>
      </w:r>
      <w:r w:rsidRPr="00E11B28">
        <w:rPr>
          <w:color w:val="auto"/>
        </w:rPr>
        <w:t xml:space="preserve">the welfare of households. </w:t>
      </w:r>
      <w:r>
        <w:rPr>
          <w:color w:val="auto"/>
        </w:rPr>
        <w:t xml:space="preserve">In </w:t>
      </w:r>
      <w:r w:rsidR="00061578">
        <w:rPr>
          <w:color w:val="auto"/>
        </w:rPr>
        <w:t xml:space="preserve">the </w:t>
      </w:r>
      <w:r>
        <w:rPr>
          <w:color w:val="auto"/>
        </w:rPr>
        <w:t>previous two</w:t>
      </w:r>
      <w:r w:rsidR="006E6EC1">
        <w:rPr>
          <w:color w:val="auto"/>
        </w:rPr>
        <w:t> </w:t>
      </w:r>
      <w:r w:rsidRPr="00E11B28">
        <w:rPr>
          <w:color w:val="auto"/>
        </w:rPr>
        <w:t xml:space="preserve">scenarios real government spending </w:t>
      </w:r>
      <w:r w:rsidR="00061578">
        <w:rPr>
          <w:color w:val="auto"/>
        </w:rPr>
        <w:t>was</w:t>
      </w:r>
      <w:r>
        <w:rPr>
          <w:color w:val="auto"/>
        </w:rPr>
        <w:t xml:space="preserve"> held</w:t>
      </w:r>
      <w:r w:rsidRPr="00E11B28">
        <w:rPr>
          <w:color w:val="auto"/>
        </w:rPr>
        <w:t xml:space="preserve"> constant</w:t>
      </w:r>
      <w:r>
        <w:rPr>
          <w:color w:val="auto"/>
        </w:rPr>
        <w:t xml:space="preserve"> so</w:t>
      </w:r>
      <w:r w:rsidRPr="00E11B28">
        <w:rPr>
          <w:color w:val="auto"/>
        </w:rPr>
        <w:t xml:space="preserve"> adding it to the household utility function would not </w:t>
      </w:r>
      <w:r w:rsidR="00061578">
        <w:rPr>
          <w:color w:val="auto"/>
        </w:rPr>
        <w:t xml:space="preserve">have </w:t>
      </w:r>
      <w:r w:rsidRPr="00E11B28">
        <w:rPr>
          <w:color w:val="auto"/>
        </w:rPr>
        <w:t>ma</w:t>
      </w:r>
      <w:r w:rsidR="00061578">
        <w:rPr>
          <w:color w:val="auto"/>
        </w:rPr>
        <w:t>d</w:t>
      </w:r>
      <w:r w:rsidRPr="00E11B28">
        <w:rPr>
          <w:color w:val="auto"/>
        </w:rPr>
        <w:t xml:space="preserve">e any difference to the welfare calculations reported </w:t>
      </w:r>
      <w:r w:rsidR="00CD0719">
        <w:rPr>
          <w:color w:val="auto"/>
        </w:rPr>
        <w:t>t</w:t>
      </w:r>
      <w:r w:rsidRPr="00E11B28">
        <w:rPr>
          <w:color w:val="auto"/>
        </w:rPr>
        <w:t>here. In th</w:t>
      </w:r>
      <w:r w:rsidR="00061578">
        <w:rPr>
          <w:color w:val="auto"/>
        </w:rPr>
        <w:t>e current</w:t>
      </w:r>
      <w:r w:rsidRPr="00E11B28">
        <w:rPr>
          <w:color w:val="auto"/>
        </w:rPr>
        <w:t xml:space="preserve"> </w:t>
      </w:r>
      <w:r>
        <w:rPr>
          <w:color w:val="auto"/>
        </w:rPr>
        <w:t>scenario</w:t>
      </w:r>
      <w:r w:rsidR="00301493">
        <w:rPr>
          <w:color w:val="auto"/>
        </w:rPr>
        <w:t>,</w:t>
      </w:r>
      <w:r w:rsidRPr="00E11B28">
        <w:rPr>
          <w:color w:val="auto"/>
        </w:rPr>
        <w:t xml:space="preserve"> the implicit assumption is that </w:t>
      </w:r>
      <w:r w:rsidR="00301493">
        <w:rPr>
          <w:color w:val="auto"/>
        </w:rPr>
        <w:t>all</w:t>
      </w:r>
      <w:r w:rsidR="00301493" w:rsidRPr="00E11B28">
        <w:rPr>
          <w:color w:val="auto"/>
        </w:rPr>
        <w:t xml:space="preserve"> </w:t>
      </w:r>
      <w:r w:rsidR="00061578">
        <w:rPr>
          <w:color w:val="auto"/>
        </w:rPr>
        <w:t xml:space="preserve">government </w:t>
      </w:r>
      <w:r w:rsidRPr="00E11B28">
        <w:rPr>
          <w:color w:val="auto"/>
        </w:rPr>
        <w:t>spending</w:t>
      </w:r>
      <w:r w:rsidR="00480FF5">
        <w:rPr>
          <w:color w:val="auto"/>
        </w:rPr>
        <w:t xml:space="preserve"> </w:t>
      </w:r>
      <w:r w:rsidR="00301493">
        <w:rPr>
          <w:color w:val="auto"/>
        </w:rPr>
        <w:t>that is</w:t>
      </w:r>
      <w:r w:rsidR="00480FF5">
        <w:rPr>
          <w:color w:val="auto"/>
        </w:rPr>
        <w:t xml:space="preserve"> cut</w:t>
      </w:r>
      <w:r w:rsidRPr="00E11B28">
        <w:rPr>
          <w:color w:val="auto"/>
        </w:rPr>
        <w:t xml:space="preserve"> is wasteful.</w:t>
      </w:r>
      <w:r w:rsidR="009918FD" w:rsidRPr="009918FD">
        <w:t xml:space="preserve"> </w:t>
      </w:r>
      <w:r w:rsidR="009918FD">
        <w:t>While this is a common modelling assumption i</w:t>
      </w:r>
      <w:r w:rsidR="002E4B7A">
        <w:t>t</w:t>
      </w:r>
      <w:r w:rsidR="009918FD">
        <w:t xml:space="preserve"> ignores the fact that: government spending provides goods and services that would otherwise not be provided by the market sector; households derive direct utility from government spending; and infrastructure spending can improve market sector productivity.</w:t>
      </w:r>
      <w:r w:rsidR="009918FD">
        <w:rPr>
          <w:color w:val="auto"/>
        </w:rPr>
        <w:t xml:space="preserve"> </w:t>
      </w:r>
      <w:r w:rsidR="005F5403">
        <w:rPr>
          <w:color w:val="auto"/>
        </w:rPr>
        <w:t>This suggests the model will overstate the benefits of this funding alternative.</w:t>
      </w:r>
      <w:r w:rsidR="00480FF5">
        <w:rPr>
          <w:color w:val="auto"/>
        </w:rPr>
        <w:t xml:space="preserve"> </w:t>
      </w:r>
      <w:r w:rsidR="009918FD">
        <w:rPr>
          <w:color w:val="auto"/>
        </w:rPr>
        <w:t>T</w:t>
      </w:r>
      <w:r w:rsidR="00480FF5">
        <w:rPr>
          <w:color w:val="auto"/>
        </w:rPr>
        <w:t xml:space="preserve">his scenario is expected to yield significantly higher welfare gains than the previous </w:t>
      </w:r>
      <w:r w:rsidR="00061578">
        <w:rPr>
          <w:color w:val="auto"/>
        </w:rPr>
        <w:t xml:space="preserve">two </w:t>
      </w:r>
      <w:r w:rsidR="00480FF5">
        <w:rPr>
          <w:color w:val="auto"/>
        </w:rPr>
        <w:t xml:space="preserve">scenarios because an additional </w:t>
      </w:r>
      <w:r w:rsidR="007826E2">
        <w:rPr>
          <w:color w:val="auto"/>
        </w:rPr>
        <w:t xml:space="preserve">assumed </w:t>
      </w:r>
      <w:r w:rsidR="00480FF5">
        <w:rPr>
          <w:color w:val="auto"/>
        </w:rPr>
        <w:t>distortion is removed from the economy.</w:t>
      </w:r>
    </w:p>
    <w:p w14:paraId="08CA55B6" w14:textId="77777777" w:rsidR="001444DB" w:rsidRPr="005A2B26" w:rsidRDefault="001444DB" w:rsidP="005D4BBD">
      <w:pPr>
        <w:pStyle w:val="Heading3"/>
      </w:pPr>
      <w:r w:rsidRPr="005A2B26">
        <w:t>Results</w:t>
      </w:r>
    </w:p>
    <w:p w14:paraId="5546DE43" w14:textId="77777777" w:rsidR="001444DB" w:rsidRPr="005A2B26" w:rsidRDefault="001444DB" w:rsidP="001444DB">
      <w:pPr>
        <w:rPr>
          <w:color w:val="auto"/>
        </w:rPr>
      </w:pPr>
      <w:r>
        <w:rPr>
          <w:color w:val="auto"/>
        </w:rPr>
        <w:t xml:space="preserve">This subsection reports the findings </w:t>
      </w:r>
      <w:r w:rsidR="00301493">
        <w:rPr>
          <w:color w:val="auto"/>
        </w:rPr>
        <w:t xml:space="preserve">from the </w:t>
      </w:r>
      <w:r>
        <w:rPr>
          <w:color w:val="auto"/>
        </w:rPr>
        <w:t xml:space="preserve">model simulation </w:t>
      </w:r>
      <w:r w:rsidR="00301493">
        <w:rPr>
          <w:color w:val="auto"/>
        </w:rPr>
        <w:t xml:space="preserve">of </w:t>
      </w:r>
      <w:r>
        <w:rPr>
          <w:color w:val="auto"/>
        </w:rPr>
        <w:t>a</w:t>
      </w:r>
      <w:r w:rsidRPr="005A2B26">
        <w:rPr>
          <w:color w:val="auto"/>
        </w:rPr>
        <w:t xml:space="preserve"> company income tax </w:t>
      </w:r>
      <w:r>
        <w:rPr>
          <w:color w:val="auto"/>
        </w:rPr>
        <w:t xml:space="preserve">rate cut from 30 to 25 per cent, </w:t>
      </w:r>
      <w:r w:rsidR="00301493">
        <w:rPr>
          <w:color w:val="auto"/>
        </w:rPr>
        <w:t xml:space="preserve">leaving </w:t>
      </w:r>
      <w:r w:rsidRPr="005A2B26">
        <w:rPr>
          <w:color w:val="auto"/>
        </w:rPr>
        <w:t>all other tax rates unchanged</w:t>
      </w:r>
      <w:r>
        <w:rPr>
          <w:color w:val="auto"/>
        </w:rPr>
        <w:t xml:space="preserve"> and assuming any shortfall in revenue across all jurisdictions is financed by </w:t>
      </w:r>
      <w:r w:rsidR="00480FF5">
        <w:rPr>
          <w:color w:val="auto"/>
        </w:rPr>
        <w:t>a cut in government spending</w:t>
      </w:r>
      <w:r>
        <w:rPr>
          <w:color w:val="auto"/>
        </w:rPr>
        <w:t>.</w:t>
      </w:r>
    </w:p>
    <w:p w14:paraId="1AC9A48E" w14:textId="77777777" w:rsidR="001444DB" w:rsidRPr="005A2B26" w:rsidRDefault="001444DB" w:rsidP="001444DB">
      <w:pPr>
        <w:pStyle w:val="Heading4"/>
      </w:pPr>
      <w:r w:rsidRPr="005A2B26">
        <w:t>Activity</w:t>
      </w:r>
    </w:p>
    <w:p w14:paraId="44BAAADC" w14:textId="77777777" w:rsidR="001444DB" w:rsidRDefault="001444DB" w:rsidP="001444DB">
      <w:pPr>
        <w:rPr>
          <w:color w:val="auto"/>
        </w:rPr>
      </w:pPr>
      <w:r>
        <w:rPr>
          <w:color w:val="auto"/>
        </w:rPr>
        <w:t>Under this scenario</w:t>
      </w:r>
      <w:r w:rsidR="00445EC9">
        <w:rPr>
          <w:color w:val="auto"/>
        </w:rPr>
        <w:t>,</w:t>
      </w:r>
      <w:r>
        <w:rPr>
          <w:color w:val="auto"/>
        </w:rPr>
        <w:t xml:space="preserve"> </w:t>
      </w:r>
      <w:r w:rsidR="00E35A09">
        <w:rPr>
          <w:color w:val="auto"/>
        </w:rPr>
        <w:t>GNI</w:t>
      </w:r>
      <w:r>
        <w:rPr>
          <w:color w:val="auto"/>
        </w:rPr>
        <w:t xml:space="preserve"> is expected to rise by 0.</w:t>
      </w:r>
      <w:r w:rsidR="00E35A09">
        <w:rPr>
          <w:color w:val="auto"/>
        </w:rPr>
        <w:t>7</w:t>
      </w:r>
      <w:r>
        <w:rPr>
          <w:color w:val="auto"/>
        </w:rPr>
        <w:t xml:space="preserve"> per cent in the long run</w:t>
      </w:r>
      <w:r w:rsidR="00F52074">
        <w:rPr>
          <w:color w:val="auto"/>
        </w:rPr>
        <w:t xml:space="preserve"> (see Chart 9)</w:t>
      </w:r>
      <w:r>
        <w:rPr>
          <w:color w:val="auto"/>
        </w:rPr>
        <w:t xml:space="preserve">. </w:t>
      </w:r>
      <w:r w:rsidR="00882B0D">
        <w:rPr>
          <w:color w:val="auto"/>
        </w:rPr>
        <w:t xml:space="preserve">Underlying this is a </w:t>
      </w:r>
      <w:r w:rsidR="00301493">
        <w:rPr>
          <w:color w:val="auto"/>
        </w:rPr>
        <w:t xml:space="preserve">GOS </w:t>
      </w:r>
      <w:r w:rsidR="00882B0D">
        <w:rPr>
          <w:color w:val="auto"/>
        </w:rPr>
        <w:t xml:space="preserve">contribution of </w:t>
      </w:r>
      <w:r w:rsidR="009E68FC">
        <w:rPr>
          <w:color w:val="auto"/>
        </w:rPr>
        <w:t xml:space="preserve">slightly more than </w:t>
      </w:r>
      <w:r>
        <w:rPr>
          <w:color w:val="auto"/>
        </w:rPr>
        <w:t>0.3</w:t>
      </w:r>
      <w:r w:rsidR="00E35A09">
        <w:rPr>
          <w:color w:val="auto"/>
        </w:rPr>
        <w:t> </w:t>
      </w:r>
      <w:r>
        <w:rPr>
          <w:color w:val="auto"/>
        </w:rPr>
        <w:t>percent</w:t>
      </w:r>
      <w:r w:rsidR="00445EC9">
        <w:rPr>
          <w:color w:val="auto"/>
        </w:rPr>
        <w:t>age points</w:t>
      </w:r>
      <w:r w:rsidR="00E35A09">
        <w:rPr>
          <w:color w:val="auto"/>
        </w:rPr>
        <w:t xml:space="preserve"> </w:t>
      </w:r>
      <w:r w:rsidR="00882B0D">
        <w:rPr>
          <w:color w:val="auto"/>
        </w:rPr>
        <w:t xml:space="preserve">and a </w:t>
      </w:r>
      <w:r w:rsidR="00301493">
        <w:rPr>
          <w:color w:val="auto"/>
        </w:rPr>
        <w:t>COE</w:t>
      </w:r>
      <w:r w:rsidR="00301493" w:rsidRPr="005A2B26">
        <w:rPr>
          <w:color w:val="auto"/>
        </w:rPr>
        <w:t xml:space="preserve"> </w:t>
      </w:r>
      <w:r w:rsidR="00882B0D">
        <w:rPr>
          <w:color w:val="auto"/>
        </w:rPr>
        <w:t>contribution of around 0.6</w:t>
      </w:r>
      <w:r w:rsidR="00445EC9">
        <w:rPr>
          <w:color w:val="auto"/>
        </w:rPr>
        <w:t> percentage points</w:t>
      </w:r>
      <w:r>
        <w:rPr>
          <w:color w:val="auto"/>
        </w:rPr>
        <w:t xml:space="preserve">. </w:t>
      </w:r>
      <w:r w:rsidR="009E68FC">
        <w:rPr>
          <w:color w:val="auto"/>
        </w:rPr>
        <w:t>Again, t</w:t>
      </w:r>
      <w:r>
        <w:rPr>
          <w:color w:val="auto"/>
        </w:rPr>
        <w:t>he expanded capital stock is to a large extent owned by foreign investors, which results in increased payments to foreigners. This detraction from real gross national income is estimated to be around 0.4 percent</w:t>
      </w:r>
      <w:r w:rsidR="00445EC9">
        <w:rPr>
          <w:color w:val="auto"/>
        </w:rPr>
        <w:t>age points</w:t>
      </w:r>
      <w:r>
        <w:rPr>
          <w:color w:val="auto"/>
        </w:rPr>
        <w:t>.</w:t>
      </w:r>
      <w:r w:rsidR="00882B0D">
        <w:rPr>
          <w:color w:val="auto"/>
        </w:rPr>
        <w:t xml:space="preserve"> Indirect taxes contribute 0.1</w:t>
      </w:r>
      <w:r w:rsidR="00445EC9">
        <w:rPr>
          <w:color w:val="auto"/>
        </w:rPr>
        <w:t> </w:t>
      </w:r>
      <w:r w:rsidR="00882B0D">
        <w:rPr>
          <w:color w:val="auto"/>
        </w:rPr>
        <w:t>percent</w:t>
      </w:r>
      <w:r w:rsidR="00445EC9">
        <w:rPr>
          <w:color w:val="auto"/>
        </w:rPr>
        <w:t>age points</w:t>
      </w:r>
      <w:r w:rsidR="00882B0D">
        <w:rPr>
          <w:color w:val="auto"/>
        </w:rPr>
        <w:t>, which suggests the improvement in real GNI is largely due to the gain in labour income.</w:t>
      </w:r>
    </w:p>
    <w:p w14:paraId="48399A81" w14:textId="77777777" w:rsidR="00882B0D" w:rsidRPr="005A2B26" w:rsidRDefault="00882B0D" w:rsidP="001444DB">
      <w:pPr>
        <w:rPr>
          <w:color w:val="auto"/>
        </w:rPr>
      </w:pPr>
      <w:r>
        <w:rPr>
          <w:color w:val="auto"/>
        </w:rPr>
        <w:t>Underlying the gain in COE is an estimated rise in before-tax real wages of around 1.1 per cent and a rise in employment of 0.1 per cent.</w:t>
      </w:r>
    </w:p>
    <w:p w14:paraId="64E925DF" w14:textId="5A363A85" w:rsidR="001444DB" w:rsidRDefault="001444DB" w:rsidP="006E6EC1">
      <w:pPr>
        <w:pStyle w:val="ChartMainHeading"/>
      </w:pPr>
      <w:r w:rsidRPr="00850D22">
        <w:lastRenderedPageBreak/>
        <w:t xml:space="preserve">Chart </w:t>
      </w:r>
      <w:r w:rsidR="005A7277">
        <w:fldChar w:fldCharType="begin"/>
      </w:r>
      <w:r w:rsidR="005A7277">
        <w:instrText xml:space="preserve"> SEQ Chart \* ARABIC </w:instrText>
      </w:r>
      <w:r w:rsidR="005A7277">
        <w:fldChar w:fldCharType="separate"/>
      </w:r>
      <w:r w:rsidR="00C97912">
        <w:rPr>
          <w:noProof/>
        </w:rPr>
        <w:t>9</w:t>
      </w:r>
      <w:r w:rsidR="005A7277">
        <w:rPr>
          <w:noProof/>
        </w:rPr>
        <w:fldChar w:fldCharType="end"/>
      </w:r>
      <w:r w:rsidRPr="00850D22">
        <w:t xml:space="preserve">: Contribution to real GNI response — CIT financed </w:t>
      </w:r>
      <w:r w:rsidR="00F52074" w:rsidRPr="00850D22">
        <w:t>gov</w:t>
      </w:r>
      <w:r w:rsidR="00B948AD">
        <w:t>ernmen</w:t>
      </w:r>
      <w:r w:rsidR="00F52074" w:rsidRPr="00850D22">
        <w:t>t spending</w:t>
      </w:r>
      <w:r w:rsidRPr="00C11090">
        <w:t xml:space="preserve"> </w:t>
      </w:r>
    </w:p>
    <w:p w14:paraId="5F5EC223" w14:textId="77777777" w:rsidR="001444DB" w:rsidRPr="00850D22" w:rsidRDefault="00850D22" w:rsidP="006E6EC1">
      <w:pPr>
        <w:pStyle w:val="ChartGraphic"/>
      </w:pPr>
      <w:r>
        <w:rPr>
          <w:noProof/>
        </w:rPr>
        <w:drawing>
          <wp:inline distT="0" distB="0" distL="0" distR="0" wp14:anchorId="5003603E" wp14:editId="1E665079">
            <wp:extent cx="5400000" cy="2880000"/>
            <wp:effectExtent l="0" t="0" r="0" b="0"/>
            <wp:docPr id="24" name="Chart 24" descr="This chart shows the response of the income components of gross national income (GNI): capital income; labour income, indirect taxes and foreign income payments due to a company tax cut financed by a government spending cut." titl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4AA8A8" w14:textId="77777777" w:rsidR="001444DB" w:rsidRPr="005A2B26" w:rsidRDefault="001444DB" w:rsidP="002E2E01">
      <w:pPr>
        <w:pStyle w:val="Source"/>
        <w:ind w:left="420"/>
      </w:pPr>
      <w:r w:rsidRPr="005A2B26">
        <w:t>Source: Treasury estimates.</w:t>
      </w:r>
    </w:p>
    <w:p w14:paraId="38351D1C" w14:textId="309B2E9C" w:rsidR="001444DB" w:rsidRPr="005A2B26" w:rsidRDefault="00D729EE" w:rsidP="001444DB">
      <w:pPr>
        <w:rPr>
          <w:color w:val="auto"/>
        </w:rPr>
      </w:pPr>
      <w:r>
        <w:rPr>
          <w:color w:val="auto"/>
        </w:rPr>
        <w:t>Again, more than half the</w:t>
      </w:r>
      <w:r w:rsidR="001444DB" w:rsidRPr="005A2B26">
        <w:rPr>
          <w:color w:val="auto"/>
        </w:rPr>
        <w:t xml:space="preserve"> </w:t>
      </w:r>
      <w:r w:rsidR="001444DB">
        <w:rPr>
          <w:color w:val="auto"/>
        </w:rPr>
        <w:t xml:space="preserve">increase in real gross domestic product </w:t>
      </w:r>
      <w:r w:rsidR="001444DB" w:rsidRPr="005A2B26">
        <w:rPr>
          <w:color w:val="auto"/>
        </w:rPr>
        <w:t xml:space="preserve">flows from </w:t>
      </w:r>
      <w:r w:rsidR="001444DB">
        <w:rPr>
          <w:color w:val="auto"/>
        </w:rPr>
        <w:t>higher</w:t>
      </w:r>
      <w:r w:rsidR="001444DB" w:rsidRPr="005A2B26">
        <w:rPr>
          <w:color w:val="auto"/>
        </w:rPr>
        <w:t xml:space="preserve"> investment</w:t>
      </w:r>
      <w:r w:rsidR="001444DB">
        <w:rPr>
          <w:color w:val="auto"/>
        </w:rPr>
        <w:t>. Investment increases by 2.</w:t>
      </w:r>
      <w:r w:rsidR="00F52074">
        <w:rPr>
          <w:color w:val="auto"/>
        </w:rPr>
        <w:t>9</w:t>
      </w:r>
      <w:r w:rsidR="001444DB">
        <w:rPr>
          <w:color w:val="auto"/>
        </w:rPr>
        <w:t xml:space="preserve"> per cent which contributes 0.</w:t>
      </w:r>
      <w:r w:rsidR="00B764BA">
        <w:rPr>
          <w:color w:val="auto"/>
        </w:rPr>
        <w:t>6</w:t>
      </w:r>
      <w:r w:rsidR="001444DB">
        <w:rPr>
          <w:color w:val="auto"/>
        </w:rPr>
        <w:t xml:space="preserve"> percent</w:t>
      </w:r>
      <w:r w:rsidR="00301493">
        <w:rPr>
          <w:color w:val="auto"/>
        </w:rPr>
        <w:t>age points</w:t>
      </w:r>
      <w:r w:rsidR="001444DB">
        <w:rPr>
          <w:color w:val="auto"/>
        </w:rPr>
        <w:t xml:space="preserve"> to the overall GDP gain of 1.</w:t>
      </w:r>
      <w:r w:rsidR="00F52074">
        <w:rPr>
          <w:color w:val="auto"/>
        </w:rPr>
        <w:t>1</w:t>
      </w:r>
      <w:r w:rsidR="00696614">
        <w:rPr>
          <w:color w:val="auto"/>
        </w:rPr>
        <w:t> per</w:t>
      </w:r>
      <w:r w:rsidR="001444DB">
        <w:rPr>
          <w:color w:val="auto"/>
        </w:rPr>
        <w:t>cent</w:t>
      </w:r>
      <w:r w:rsidR="00696614">
        <w:rPr>
          <w:color w:val="auto"/>
        </w:rPr>
        <w:t>age points</w:t>
      </w:r>
      <w:r w:rsidR="001444DB" w:rsidRPr="005A2B26">
        <w:rPr>
          <w:color w:val="auto"/>
        </w:rPr>
        <w:t xml:space="preserve"> (</w:t>
      </w:r>
      <w:r w:rsidR="00F52074">
        <w:rPr>
          <w:color w:val="auto"/>
        </w:rPr>
        <w:t xml:space="preserve">see </w:t>
      </w:r>
      <w:r w:rsidR="001444DB" w:rsidRPr="005A2B26">
        <w:rPr>
          <w:color w:val="auto"/>
        </w:rPr>
        <w:t xml:space="preserve">Chart </w:t>
      </w:r>
      <w:r w:rsidR="00F52074">
        <w:rPr>
          <w:noProof/>
          <w:color w:val="auto"/>
        </w:rPr>
        <w:t>10</w:t>
      </w:r>
      <w:r w:rsidR="001444DB" w:rsidRPr="005A2B26">
        <w:rPr>
          <w:color w:val="auto"/>
        </w:rPr>
        <w:t xml:space="preserve">). Consumption </w:t>
      </w:r>
      <w:r>
        <w:rPr>
          <w:color w:val="auto"/>
        </w:rPr>
        <w:t xml:space="preserve">is significantly higher than the previous scenarios, with an estimated </w:t>
      </w:r>
      <w:r w:rsidR="001444DB">
        <w:rPr>
          <w:color w:val="auto"/>
        </w:rPr>
        <w:t xml:space="preserve">rise </w:t>
      </w:r>
      <w:r>
        <w:rPr>
          <w:color w:val="auto"/>
        </w:rPr>
        <w:t xml:space="preserve">of </w:t>
      </w:r>
      <w:r w:rsidR="001444DB">
        <w:rPr>
          <w:color w:val="auto"/>
        </w:rPr>
        <w:t xml:space="preserve">around </w:t>
      </w:r>
      <w:r w:rsidR="00F52074">
        <w:rPr>
          <w:color w:val="auto"/>
        </w:rPr>
        <w:t>1.0</w:t>
      </w:r>
      <w:r w:rsidR="001444DB">
        <w:rPr>
          <w:color w:val="auto"/>
        </w:rPr>
        <w:t xml:space="preserve"> per cent</w:t>
      </w:r>
      <w:r w:rsidR="00301493">
        <w:rPr>
          <w:color w:val="auto"/>
        </w:rPr>
        <w:t>,</w:t>
      </w:r>
      <w:r w:rsidR="001444DB" w:rsidRPr="005A2B26">
        <w:rPr>
          <w:color w:val="auto"/>
        </w:rPr>
        <w:t xml:space="preserve"> </w:t>
      </w:r>
      <w:r w:rsidR="001444DB">
        <w:rPr>
          <w:color w:val="auto"/>
        </w:rPr>
        <w:t>implying a long-run contribution to GDP of 0.</w:t>
      </w:r>
      <w:r w:rsidR="00F52074">
        <w:rPr>
          <w:color w:val="auto"/>
        </w:rPr>
        <w:t>6</w:t>
      </w:r>
      <w:r w:rsidR="006E6EC1">
        <w:rPr>
          <w:color w:val="auto"/>
        </w:rPr>
        <w:t> </w:t>
      </w:r>
      <w:r w:rsidR="001444DB">
        <w:rPr>
          <w:color w:val="auto"/>
        </w:rPr>
        <w:t>percent</w:t>
      </w:r>
      <w:r w:rsidR="00301493">
        <w:rPr>
          <w:color w:val="auto"/>
        </w:rPr>
        <w:t>age points</w:t>
      </w:r>
      <w:r w:rsidR="001444DB" w:rsidRPr="005A2B26">
        <w:rPr>
          <w:color w:val="auto"/>
        </w:rPr>
        <w:t>.</w:t>
      </w:r>
      <w:r w:rsidR="001444DB">
        <w:rPr>
          <w:color w:val="auto"/>
        </w:rPr>
        <w:t xml:space="preserve"> </w:t>
      </w:r>
      <w:r>
        <w:rPr>
          <w:color w:val="auto"/>
        </w:rPr>
        <w:t>T</w:t>
      </w:r>
      <w:r w:rsidR="001444DB">
        <w:rPr>
          <w:color w:val="auto"/>
        </w:rPr>
        <w:t xml:space="preserve">he contribution to GDP from net exports </w:t>
      </w:r>
      <w:r>
        <w:rPr>
          <w:color w:val="auto"/>
        </w:rPr>
        <w:t xml:space="preserve">is estimated to be </w:t>
      </w:r>
      <w:r w:rsidR="001444DB">
        <w:rPr>
          <w:color w:val="auto"/>
        </w:rPr>
        <w:t>around 0.</w:t>
      </w:r>
      <w:r w:rsidR="00B764BA">
        <w:rPr>
          <w:color w:val="auto"/>
        </w:rPr>
        <w:t>3</w:t>
      </w:r>
      <w:r w:rsidR="006E6EC1">
        <w:rPr>
          <w:color w:val="auto"/>
        </w:rPr>
        <w:t> </w:t>
      </w:r>
      <w:r w:rsidR="001444DB">
        <w:rPr>
          <w:color w:val="auto"/>
        </w:rPr>
        <w:t>percent</w:t>
      </w:r>
      <w:r w:rsidR="00445EC9">
        <w:rPr>
          <w:color w:val="auto"/>
        </w:rPr>
        <w:t>age points</w:t>
      </w:r>
      <w:r>
        <w:rPr>
          <w:color w:val="auto"/>
        </w:rPr>
        <w:t xml:space="preserve">, while the </w:t>
      </w:r>
      <w:r w:rsidR="00F52074">
        <w:rPr>
          <w:color w:val="auto"/>
        </w:rPr>
        <w:t>cut to government spending detracts around 0.</w:t>
      </w:r>
      <w:r w:rsidR="00B764BA">
        <w:rPr>
          <w:color w:val="auto"/>
        </w:rPr>
        <w:t>4</w:t>
      </w:r>
      <w:r w:rsidR="00F52074">
        <w:rPr>
          <w:color w:val="auto"/>
        </w:rPr>
        <w:t> percent</w:t>
      </w:r>
      <w:r w:rsidR="00301493">
        <w:rPr>
          <w:color w:val="auto"/>
        </w:rPr>
        <w:t>age points</w:t>
      </w:r>
      <w:r w:rsidR="00F52074">
        <w:rPr>
          <w:color w:val="auto"/>
        </w:rPr>
        <w:t xml:space="preserve"> from GDP.</w:t>
      </w:r>
    </w:p>
    <w:p w14:paraId="68AA7A1C" w14:textId="28A55310" w:rsidR="001444DB" w:rsidRDefault="001444DB" w:rsidP="006E6EC1">
      <w:pPr>
        <w:pStyle w:val="ChartMainHeading"/>
      </w:pPr>
      <w:r w:rsidRPr="00850D22">
        <w:t xml:space="preserve">Chart </w:t>
      </w:r>
      <w:r w:rsidR="005A7277">
        <w:fldChar w:fldCharType="begin"/>
      </w:r>
      <w:r w:rsidR="005A7277">
        <w:instrText xml:space="preserve"> SEQ Chart \* ARABIC </w:instrText>
      </w:r>
      <w:r w:rsidR="005A7277">
        <w:fldChar w:fldCharType="separate"/>
      </w:r>
      <w:r w:rsidR="00C97912">
        <w:rPr>
          <w:noProof/>
        </w:rPr>
        <w:t>10</w:t>
      </w:r>
      <w:r w:rsidR="005A7277">
        <w:rPr>
          <w:noProof/>
        </w:rPr>
        <w:fldChar w:fldCharType="end"/>
      </w:r>
      <w:r w:rsidRPr="00850D22">
        <w:t xml:space="preserve">: Contribution to real GDP response — CIT financed by </w:t>
      </w:r>
      <w:r w:rsidR="00F52074" w:rsidRPr="00850D22">
        <w:t>gov</w:t>
      </w:r>
      <w:r w:rsidR="006E6EC1">
        <w:t>ernmen</w:t>
      </w:r>
      <w:r w:rsidR="00F52074" w:rsidRPr="00850D22">
        <w:t>t spending</w:t>
      </w:r>
    </w:p>
    <w:p w14:paraId="6F1B7430" w14:textId="77777777" w:rsidR="001444DB" w:rsidRPr="00850D22" w:rsidRDefault="007F274E" w:rsidP="006E6EC1">
      <w:pPr>
        <w:pStyle w:val="ChartGraphic"/>
      </w:pPr>
      <w:r>
        <w:rPr>
          <w:noProof/>
        </w:rPr>
        <w:drawing>
          <wp:inline distT="0" distB="0" distL="0" distR="0" wp14:anchorId="2B2F7F07" wp14:editId="20A0BB71">
            <wp:extent cx="5400000" cy="2880000"/>
            <wp:effectExtent l="0" t="0" r="0" b="0"/>
            <wp:docPr id="11" name="Chart 11" descr="This chart shows the volume response of the expenditure components of GDP: consumption; investment; government expenditure and net exports due to a company tax cut financed by a government spending cut." titl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45447C" w14:textId="77777777" w:rsidR="001444DB" w:rsidRDefault="001444DB" w:rsidP="002E2E01">
      <w:pPr>
        <w:pStyle w:val="Source"/>
        <w:ind w:left="546"/>
      </w:pPr>
      <w:r w:rsidRPr="005A2B26">
        <w:rPr>
          <w:lang w:val="en-US"/>
        </w:rPr>
        <w:t xml:space="preserve">Source: </w:t>
      </w:r>
      <w:r w:rsidRPr="005A2B26">
        <w:t>Treasury estimates.</w:t>
      </w:r>
    </w:p>
    <w:p w14:paraId="7B6103DD" w14:textId="77777777" w:rsidR="001444DB" w:rsidRDefault="001444DB" w:rsidP="001444DB">
      <w:pPr>
        <w:pStyle w:val="Heading4"/>
      </w:pPr>
      <w:r>
        <w:lastRenderedPageBreak/>
        <w:t>Government budget</w:t>
      </w:r>
    </w:p>
    <w:p w14:paraId="53DE25AD" w14:textId="77777777" w:rsidR="007826E2" w:rsidRPr="00E125A8" w:rsidRDefault="001444DB" w:rsidP="001444DB">
      <w:pPr>
        <w:rPr>
          <w:color w:val="auto"/>
        </w:rPr>
      </w:pPr>
      <w:r w:rsidRPr="005A2B26">
        <w:rPr>
          <w:color w:val="auto"/>
        </w:rPr>
        <w:t xml:space="preserve">Chart </w:t>
      </w:r>
      <w:r w:rsidR="006578EA">
        <w:rPr>
          <w:noProof/>
          <w:color w:val="auto"/>
        </w:rPr>
        <w:t>11</w:t>
      </w:r>
      <w:r>
        <w:rPr>
          <w:color w:val="auto"/>
        </w:rPr>
        <w:t xml:space="preserve"> </w:t>
      </w:r>
      <w:r w:rsidR="003E62B7">
        <w:rPr>
          <w:color w:val="auto"/>
        </w:rPr>
        <w:t>reports model-based estimates</w:t>
      </w:r>
      <w:r>
        <w:rPr>
          <w:color w:val="auto"/>
        </w:rPr>
        <w:t xml:space="preserve"> the </w:t>
      </w:r>
      <w:r w:rsidR="003E62B7">
        <w:rPr>
          <w:color w:val="auto"/>
        </w:rPr>
        <w:t>long-run effect on</w:t>
      </w:r>
      <w:r>
        <w:rPr>
          <w:color w:val="auto"/>
        </w:rPr>
        <w:t xml:space="preserve"> tax revenue and government spending per dollar of direct cut in net company tax. </w:t>
      </w:r>
      <w:r w:rsidR="003E62B7">
        <w:rPr>
          <w:color w:val="auto"/>
        </w:rPr>
        <w:t>A</w:t>
      </w:r>
      <w:r>
        <w:rPr>
          <w:color w:val="auto"/>
        </w:rPr>
        <w:t xml:space="preserve">fter </w:t>
      </w:r>
      <w:r w:rsidR="00054BEA">
        <w:rPr>
          <w:color w:val="auto"/>
        </w:rPr>
        <w:t>second-round effects</w:t>
      </w:r>
      <w:r w:rsidR="009A1E51">
        <w:rPr>
          <w:color w:val="auto"/>
        </w:rPr>
        <w:t>,</w:t>
      </w:r>
      <w:r>
        <w:rPr>
          <w:color w:val="auto"/>
        </w:rPr>
        <w:t xml:space="preserve"> </w:t>
      </w:r>
      <w:r w:rsidR="003E62B7">
        <w:rPr>
          <w:color w:val="auto"/>
        </w:rPr>
        <w:t xml:space="preserve">it is estimated that </w:t>
      </w:r>
      <w:r w:rsidR="006578EA">
        <w:rPr>
          <w:color w:val="auto"/>
        </w:rPr>
        <w:t>government spending must be cut</w:t>
      </w:r>
      <w:r>
        <w:rPr>
          <w:color w:val="auto"/>
        </w:rPr>
        <w:t xml:space="preserve"> by </w:t>
      </w:r>
      <w:r w:rsidR="006578EA">
        <w:rPr>
          <w:color w:val="auto"/>
        </w:rPr>
        <w:t>5</w:t>
      </w:r>
      <w:r w:rsidR="009A1E51">
        <w:rPr>
          <w:color w:val="auto"/>
        </w:rPr>
        <w:t>1</w:t>
      </w:r>
      <w:r>
        <w:rPr>
          <w:color w:val="auto"/>
        </w:rPr>
        <w:t xml:space="preserve"> cents for every dollar of direct net company tax cut. It </w:t>
      </w:r>
      <w:r w:rsidR="003E62B7">
        <w:rPr>
          <w:color w:val="auto"/>
        </w:rPr>
        <w:t xml:space="preserve">is </w:t>
      </w:r>
      <w:r>
        <w:rPr>
          <w:color w:val="auto"/>
        </w:rPr>
        <w:t xml:space="preserve">also </w:t>
      </w:r>
      <w:r w:rsidR="003E62B7">
        <w:rPr>
          <w:color w:val="auto"/>
        </w:rPr>
        <w:t>estimated</w:t>
      </w:r>
      <w:r>
        <w:rPr>
          <w:color w:val="auto"/>
        </w:rPr>
        <w:t xml:space="preserve"> that 1</w:t>
      </w:r>
      <w:r w:rsidR="009A1E51">
        <w:rPr>
          <w:color w:val="auto"/>
        </w:rPr>
        <w:t>3</w:t>
      </w:r>
      <w:r>
        <w:rPr>
          <w:color w:val="auto"/>
        </w:rPr>
        <w:t xml:space="preserve"> cents of every dollar cut is </w:t>
      </w:r>
      <w:r w:rsidR="003E62B7">
        <w:rPr>
          <w:color w:val="auto"/>
        </w:rPr>
        <w:t>recovered</w:t>
      </w:r>
      <w:r>
        <w:rPr>
          <w:color w:val="auto"/>
        </w:rPr>
        <w:t xml:space="preserve"> through higher personal income tax receipts</w:t>
      </w:r>
      <w:r w:rsidR="003E62B7">
        <w:rPr>
          <w:color w:val="auto"/>
        </w:rPr>
        <w:t xml:space="preserve"> in the long run</w:t>
      </w:r>
      <w:r w:rsidR="009A1E51">
        <w:rPr>
          <w:color w:val="auto"/>
        </w:rPr>
        <w:t xml:space="preserve">, while 14 cents is </w:t>
      </w:r>
      <w:r w:rsidR="003E62B7">
        <w:rPr>
          <w:color w:val="auto"/>
        </w:rPr>
        <w:t>recovered</w:t>
      </w:r>
      <w:r w:rsidR="009A1E51">
        <w:rPr>
          <w:color w:val="auto"/>
        </w:rPr>
        <w:t xml:space="preserve"> thorough higher company income tax receipts</w:t>
      </w:r>
      <w:r>
        <w:rPr>
          <w:color w:val="auto"/>
        </w:rPr>
        <w:t xml:space="preserve">. </w:t>
      </w:r>
      <w:r w:rsidR="003E62B7">
        <w:rPr>
          <w:color w:val="auto"/>
        </w:rPr>
        <w:t>In the long run, t</w:t>
      </w:r>
      <w:r>
        <w:rPr>
          <w:color w:val="auto"/>
        </w:rPr>
        <w:t xml:space="preserve">he total revenue dividend from the company tax cut is </w:t>
      </w:r>
      <w:r w:rsidR="003E62B7">
        <w:rPr>
          <w:color w:val="auto"/>
        </w:rPr>
        <w:t xml:space="preserve">estimated to be </w:t>
      </w:r>
      <w:r>
        <w:rPr>
          <w:color w:val="auto"/>
        </w:rPr>
        <w:t xml:space="preserve">around </w:t>
      </w:r>
      <w:r w:rsidR="006578EA">
        <w:rPr>
          <w:color w:val="auto"/>
        </w:rPr>
        <w:t>4</w:t>
      </w:r>
      <w:r w:rsidR="005A6FE7">
        <w:rPr>
          <w:color w:val="auto"/>
        </w:rPr>
        <w:t>9</w:t>
      </w:r>
      <w:r>
        <w:rPr>
          <w:color w:val="auto"/>
        </w:rPr>
        <w:t xml:space="preserve"> cents per dollar </w:t>
      </w:r>
      <w:r w:rsidR="00301493">
        <w:rPr>
          <w:color w:val="auto"/>
        </w:rPr>
        <w:t>lost through the</w:t>
      </w:r>
      <w:r>
        <w:rPr>
          <w:color w:val="auto"/>
        </w:rPr>
        <w:t xml:space="preserve"> company tax cut, with </w:t>
      </w:r>
      <w:r w:rsidR="005A6FE7">
        <w:rPr>
          <w:color w:val="auto"/>
        </w:rPr>
        <w:t>12</w:t>
      </w:r>
      <w:r>
        <w:rPr>
          <w:color w:val="auto"/>
        </w:rPr>
        <w:t xml:space="preserve"> cents accruing to </w:t>
      </w:r>
      <w:r w:rsidR="003E62B7">
        <w:rPr>
          <w:color w:val="auto"/>
        </w:rPr>
        <w:t>sub-national</w:t>
      </w:r>
      <w:r w:rsidR="00893D11">
        <w:rPr>
          <w:color w:val="auto"/>
        </w:rPr>
        <w:t xml:space="preserve"> governments</w:t>
      </w:r>
      <w:r>
        <w:rPr>
          <w:color w:val="auto"/>
        </w:rPr>
        <w:t xml:space="preserve"> and </w:t>
      </w:r>
      <w:r w:rsidR="005A6FE7">
        <w:rPr>
          <w:color w:val="auto"/>
        </w:rPr>
        <w:t>3</w:t>
      </w:r>
      <w:r w:rsidR="006578EA">
        <w:rPr>
          <w:color w:val="auto"/>
        </w:rPr>
        <w:t>7</w:t>
      </w:r>
      <w:r>
        <w:rPr>
          <w:color w:val="auto"/>
        </w:rPr>
        <w:t xml:space="preserve"> cents </w:t>
      </w:r>
      <w:r w:rsidR="00301493">
        <w:rPr>
          <w:color w:val="auto"/>
        </w:rPr>
        <w:t xml:space="preserve">accruing </w:t>
      </w:r>
      <w:r w:rsidR="003E62B7">
        <w:rPr>
          <w:color w:val="auto"/>
        </w:rPr>
        <w:t>to the federal</w:t>
      </w:r>
      <w:r>
        <w:rPr>
          <w:color w:val="auto"/>
        </w:rPr>
        <w:t xml:space="preserve"> government.</w:t>
      </w:r>
    </w:p>
    <w:p w14:paraId="0C584960" w14:textId="19711C88" w:rsidR="001444DB" w:rsidRDefault="001444DB" w:rsidP="006E6EC1">
      <w:pPr>
        <w:pStyle w:val="ChartMainHeading"/>
      </w:pPr>
      <w:r w:rsidRPr="00CF4069">
        <w:t xml:space="preserve">Chart </w:t>
      </w:r>
      <w:r w:rsidR="005A7277">
        <w:fldChar w:fldCharType="begin"/>
      </w:r>
      <w:r w:rsidR="005A7277">
        <w:instrText xml:space="preserve"> SEQ Chart \* ARABIC </w:instrText>
      </w:r>
      <w:r w:rsidR="005A7277">
        <w:fldChar w:fldCharType="separate"/>
      </w:r>
      <w:r w:rsidR="00C97912">
        <w:rPr>
          <w:noProof/>
        </w:rPr>
        <w:t>11</w:t>
      </w:r>
      <w:r w:rsidR="005A7277">
        <w:rPr>
          <w:noProof/>
        </w:rPr>
        <w:fldChar w:fldCharType="end"/>
      </w:r>
      <w:r w:rsidRPr="00CF4069">
        <w:t xml:space="preserve">: Government budget response — </w:t>
      </w:r>
      <w:r w:rsidR="008862EA" w:rsidRPr="00CF4069">
        <w:t>CIT financed by gov</w:t>
      </w:r>
      <w:r w:rsidR="006E6EC1">
        <w:t>ernmen</w:t>
      </w:r>
      <w:r w:rsidR="008862EA" w:rsidRPr="00CF4069">
        <w:t>t spending</w:t>
      </w:r>
    </w:p>
    <w:p w14:paraId="32038E17" w14:textId="77777777" w:rsidR="001444DB" w:rsidRPr="00CF4069" w:rsidRDefault="00054BEA" w:rsidP="006E6EC1">
      <w:pPr>
        <w:pStyle w:val="ChartGraphic"/>
      </w:pPr>
      <w:r>
        <w:rPr>
          <w:noProof/>
        </w:rPr>
        <w:drawing>
          <wp:inline distT="0" distB="0" distL="0" distR="0" wp14:anchorId="38FDCA6A" wp14:editId="2803E8B2">
            <wp:extent cx="5400000" cy="2880000"/>
            <wp:effectExtent l="0" t="0" r="0" b="0"/>
            <wp:docPr id="8" name="Chart 8" descr="This chart shows the effect on the components of the government’s budget per dollar of direct increase in net company income tax revenue (gross company income tax revenue less franking credits) when the company tax cut is financed by a government spending cut. The budget response is decomposed into direct effects, indirect effects and the net effect on revenue for: net company tax; personal income tax; stamp duty and land tax; GST, government spending; and lump-sum tax." titl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6ED442" w14:textId="77777777" w:rsidR="001444DB" w:rsidRPr="005A2B26" w:rsidRDefault="001444DB" w:rsidP="002E2E01">
      <w:pPr>
        <w:pStyle w:val="Source"/>
        <w:ind w:left="532"/>
      </w:pPr>
      <w:r w:rsidRPr="005A2B26">
        <w:rPr>
          <w:lang w:val="en-US"/>
        </w:rPr>
        <w:t xml:space="preserve">Source: </w:t>
      </w:r>
      <w:r w:rsidRPr="005A2B26">
        <w:t>Treasury estimates.</w:t>
      </w:r>
    </w:p>
    <w:p w14:paraId="2FD1C1E4" w14:textId="77777777" w:rsidR="001444DB" w:rsidRPr="005A2B26" w:rsidRDefault="001444DB" w:rsidP="001444DB">
      <w:pPr>
        <w:pStyle w:val="Heading4"/>
      </w:pPr>
      <w:r>
        <w:t>Household welfare</w:t>
      </w:r>
    </w:p>
    <w:p w14:paraId="1D082079" w14:textId="77777777" w:rsidR="001444DB" w:rsidRDefault="001444DB" w:rsidP="001444DB">
      <w:pPr>
        <w:rPr>
          <w:color w:val="auto"/>
        </w:rPr>
      </w:pPr>
      <w:r w:rsidRPr="005A2B26">
        <w:rPr>
          <w:color w:val="auto"/>
        </w:rPr>
        <w:t xml:space="preserve">A </w:t>
      </w:r>
      <w:r>
        <w:rPr>
          <w:color w:val="auto"/>
        </w:rPr>
        <w:t>decrease</w:t>
      </w:r>
      <w:r w:rsidRPr="005A2B26">
        <w:rPr>
          <w:color w:val="auto"/>
        </w:rPr>
        <w:t xml:space="preserve"> in the company income tax rate </w:t>
      </w:r>
      <w:r w:rsidR="00893D11">
        <w:rPr>
          <w:color w:val="auto"/>
        </w:rPr>
        <w:t xml:space="preserve">financed by </w:t>
      </w:r>
      <w:r w:rsidR="00301493">
        <w:rPr>
          <w:color w:val="auto"/>
        </w:rPr>
        <w:t xml:space="preserve">lower </w:t>
      </w:r>
      <w:r w:rsidR="00893D11">
        <w:rPr>
          <w:color w:val="auto"/>
        </w:rPr>
        <w:t xml:space="preserve">government spending </w:t>
      </w:r>
      <w:r w:rsidRPr="005A2B26">
        <w:rPr>
          <w:color w:val="auto"/>
        </w:rPr>
        <w:t>implies a</w:t>
      </w:r>
      <w:r w:rsidR="00A956E5">
        <w:rPr>
          <w:color w:val="auto"/>
        </w:rPr>
        <w:t xml:space="preserve"> significantly higher</w:t>
      </w:r>
      <w:r w:rsidRPr="005A2B26">
        <w:rPr>
          <w:color w:val="auto"/>
        </w:rPr>
        <w:t xml:space="preserve"> overall welfare </w:t>
      </w:r>
      <w:r>
        <w:rPr>
          <w:color w:val="auto"/>
        </w:rPr>
        <w:t>gain</w:t>
      </w:r>
      <w:r w:rsidR="00A956E5">
        <w:rPr>
          <w:color w:val="auto"/>
        </w:rPr>
        <w:t xml:space="preserve"> when compared with the previous scenarios</w:t>
      </w:r>
      <w:r w:rsidRPr="005A2B26">
        <w:rPr>
          <w:color w:val="auto"/>
        </w:rPr>
        <w:t xml:space="preserve"> of around </w:t>
      </w:r>
      <w:r>
        <w:rPr>
          <w:color w:val="auto"/>
        </w:rPr>
        <w:t>0.</w:t>
      </w:r>
      <w:r w:rsidR="00301493">
        <w:rPr>
          <w:color w:val="auto"/>
        </w:rPr>
        <w:t>7 </w:t>
      </w:r>
      <w:r>
        <w:rPr>
          <w:color w:val="auto"/>
        </w:rPr>
        <w:t>percent</w:t>
      </w:r>
      <w:r w:rsidR="00696614">
        <w:rPr>
          <w:color w:val="auto"/>
        </w:rPr>
        <w:t>age points</w:t>
      </w:r>
      <w:r w:rsidRPr="005A2B26">
        <w:rPr>
          <w:color w:val="auto"/>
        </w:rPr>
        <w:t xml:space="preserve"> (</w:t>
      </w:r>
      <w:r w:rsidR="0019627C">
        <w:rPr>
          <w:color w:val="auto"/>
        </w:rPr>
        <w:t xml:space="preserve">see </w:t>
      </w:r>
      <w:r w:rsidRPr="005A2B26">
        <w:rPr>
          <w:color w:val="auto"/>
        </w:rPr>
        <w:t>Chart</w:t>
      </w:r>
      <w:r>
        <w:rPr>
          <w:color w:val="auto"/>
        </w:rPr>
        <w:t> </w:t>
      </w:r>
      <w:r w:rsidR="0019627C">
        <w:rPr>
          <w:noProof/>
          <w:color w:val="auto"/>
        </w:rPr>
        <w:t>12</w:t>
      </w:r>
      <w:r w:rsidRPr="005A2B26">
        <w:rPr>
          <w:color w:val="auto"/>
        </w:rPr>
        <w:t xml:space="preserve">). </w:t>
      </w:r>
      <w:r w:rsidR="00AF1837">
        <w:rPr>
          <w:color w:val="auto"/>
        </w:rPr>
        <w:t xml:space="preserve">As anticipated in </w:t>
      </w:r>
      <w:r w:rsidR="00301493">
        <w:rPr>
          <w:color w:val="auto"/>
        </w:rPr>
        <w:t xml:space="preserve">the </w:t>
      </w:r>
      <w:r w:rsidR="00AF1837">
        <w:rPr>
          <w:color w:val="auto"/>
        </w:rPr>
        <w:t>theoretical discussion, w</w:t>
      </w:r>
      <w:r w:rsidR="00AF1837" w:rsidRPr="005A2B26">
        <w:rPr>
          <w:color w:val="auto"/>
        </w:rPr>
        <w:t xml:space="preserve">hen viewed from the standpoint of the notional owners of the factors of production, the </w:t>
      </w:r>
      <w:r w:rsidR="00AF1837">
        <w:rPr>
          <w:color w:val="auto"/>
        </w:rPr>
        <w:t>welfare gain</w:t>
      </w:r>
      <w:r w:rsidR="00AF1837" w:rsidRPr="005A2B26">
        <w:rPr>
          <w:color w:val="auto"/>
        </w:rPr>
        <w:t xml:space="preserve"> is largely </w:t>
      </w:r>
      <w:r w:rsidR="00AF1837">
        <w:rPr>
          <w:color w:val="auto"/>
        </w:rPr>
        <w:t>due to a significant improvement</w:t>
      </w:r>
      <w:r w:rsidR="00AF1837" w:rsidRPr="005A2B26">
        <w:rPr>
          <w:color w:val="auto"/>
        </w:rPr>
        <w:t xml:space="preserve"> </w:t>
      </w:r>
      <w:r w:rsidR="00AF1837">
        <w:rPr>
          <w:color w:val="auto"/>
        </w:rPr>
        <w:t xml:space="preserve">in labour income due to higher after-tax </w:t>
      </w:r>
      <w:r w:rsidR="00AF1837" w:rsidRPr="005A2B26">
        <w:rPr>
          <w:color w:val="auto"/>
        </w:rPr>
        <w:t xml:space="preserve">real wages. </w:t>
      </w:r>
      <w:r w:rsidR="00AF1837">
        <w:rPr>
          <w:color w:val="auto"/>
        </w:rPr>
        <w:t>The contribution from labour is estimated to be around 0.7 percent</w:t>
      </w:r>
      <w:r w:rsidR="008950A3">
        <w:rPr>
          <w:color w:val="auto"/>
        </w:rPr>
        <w:t>age points</w:t>
      </w:r>
      <w:r w:rsidR="00AF1837">
        <w:rPr>
          <w:color w:val="auto"/>
        </w:rPr>
        <w:t>, while d</w:t>
      </w:r>
      <w:r w:rsidRPr="005A2B26">
        <w:rPr>
          <w:color w:val="auto"/>
        </w:rPr>
        <w:t xml:space="preserve">omestic capital owners </w:t>
      </w:r>
      <w:r>
        <w:rPr>
          <w:color w:val="auto"/>
        </w:rPr>
        <w:t>enjoy a slight</w:t>
      </w:r>
      <w:r w:rsidRPr="005A2B26">
        <w:rPr>
          <w:color w:val="auto"/>
        </w:rPr>
        <w:t xml:space="preserve"> welfare improvement </w:t>
      </w:r>
      <w:r>
        <w:rPr>
          <w:color w:val="auto"/>
        </w:rPr>
        <w:t>from a</w:t>
      </w:r>
      <w:r w:rsidRPr="005A2B26">
        <w:rPr>
          <w:color w:val="auto"/>
        </w:rPr>
        <w:t xml:space="preserve"> slight increase in after</w:t>
      </w:r>
      <w:r w:rsidRPr="005A2B26">
        <w:rPr>
          <w:color w:val="auto"/>
        </w:rPr>
        <w:noBreakHyphen/>
        <w:t>t</w:t>
      </w:r>
      <w:r w:rsidR="00390C5E">
        <w:rPr>
          <w:color w:val="auto"/>
        </w:rPr>
        <w:t>ax capital income net of saving</w:t>
      </w:r>
      <w:r w:rsidRPr="005A2B26">
        <w:rPr>
          <w:color w:val="auto"/>
        </w:rPr>
        <w:t>.</w:t>
      </w:r>
      <w:r>
        <w:rPr>
          <w:color w:val="auto"/>
        </w:rPr>
        <w:t xml:space="preserve"> </w:t>
      </w:r>
      <w:r w:rsidR="00AF1837" w:rsidRPr="005A2B26">
        <w:rPr>
          <w:color w:val="auto"/>
        </w:rPr>
        <w:t>After</w:t>
      </w:r>
      <w:r w:rsidR="00AF1837" w:rsidRPr="005A2B26">
        <w:rPr>
          <w:color w:val="auto"/>
        </w:rPr>
        <w:noBreakHyphen/>
        <w:t xml:space="preserve">tax capital income, which in net terms is slightly greater than zero, </w:t>
      </w:r>
      <w:r w:rsidR="00AF1837">
        <w:rPr>
          <w:color w:val="auto"/>
        </w:rPr>
        <w:t>reflects a rise in i</w:t>
      </w:r>
      <w:r w:rsidR="00AF1837" w:rsidRPr="005A2B26">
        <w:rPr>
          <w:color w:val="auto"/>
        </w:rPr>
        <w:t>ncomes accruing to fixed factors</w:t>
      </w:r>
      <w:r w:rsidR="00301493">
        <w:rPr>
          <w:color w:val="auto"/>
        </w:rPr>
        <w:t>. This rise</w:t>
      </w:r>
      <w:r w:rsidR="00AF1837">
        <w:rPr>
          <w:color w:val="auto"/>
        </w:rPr>
        <w:t xml:space="preserve"> contribute</w:t>
      </w:r>
      <w:r w:rsidR="00301493">
        <w:rPr>
          <w:color w:val="auto"/>
        </w:rPr>
        <w:t>s</w:t>
      </w:r>
      <w:r w:rsidR="00AF1837">
        <w:rPr>
          <w:color w:val="auto"/>
        </w:rPr>
        <w:t xml:space="preserve"> about 0.3 percent</w:t>
      </w:r>
      <w:r w:rsidR="008950A3">
        <w:rPr>
          <w:color w:val="auto"/>
        </w:rPr>
        <w:t>age points</w:t>
      </w:r>
      <w:r w:rsidR="00AF1837">
        <w:rPr>
          <w:color w:val="auto"/>
        </w:rPr>
        <w:t xml:space="preserve"> to the overall welfare gain</w:t>
      </w:r>
      <w:r w:rsidR="00301493">
        <w:rPr>
          <w:color w:val="auto"/>
        </w:rPr>
        <w:t xml:space="preserve">. The </w:t>
      </w:r>
      <w:r w:rsidR="00AF1837" w:rsidRPr="005A2B26">
        <w:rPr>
          <w:color w:val="auto"/>
        </w:rPr>
        <w:t>lower</w:t>
      </w:r>
      <w:r w:rsidR="00AF1837">
        <w:rPr>
          <w:color w:val="auto"/>
        </w:rPr>
        <w:t xml:space="preserve"> return to variable factors</w:t>
      </w:r>
      <w:r w:rsidR="00AF1837" w:rsidRPr="005A2B26">
        <w:rPr>
          <w:color w:val="auto"/>
        </w:rPr>
        <w:t xml:space="preserve"> </w:t>
      </w:r>
      <w:r w:rsidR="00301493">
        <w:rPr>
          <w:color w:val="auto"/>
        </w:rPr>
        <w:t xml:space="preserve">reduces </w:t>
      </w:r>
      <w:r w:rsidR="00AF1837">
        <w:rPr>
          <w:color w:val="auto"/>
        </w:rPr>
        <w:t>income accruing to variable capital owners</w:t>
      </w:r>
      <w:r w:rsidR="00301493">
        <w:rPr>
          <w:color w:val="auto"/>
        </w:rPr>
        <w:t>,</w:t>
      </w:r>
      <w:r w:rsidR="00AF1837">
        <w:rPr>
          <w:color w:val="auto"/>
        </w:rPr>
        <w:t xml:space="preserve"> with </w:t>
      </w:r>
      <w:r w:rsidR="006B02E6">
        <w:rPr>
          <w:color w:val="auto"/>
        </w:rPr>
        <w:t xml:space="preserve">the </w:t>
      </w:r>
      <w:r w:rsidR="00AF1837">
        <w:rPr>
          <w:color w:val="auto"/>
        </w:rPr>
        <w:t xml:space="preserve">detraction </w:t>
      </w:r>
      <w:r w:rsidR="00301493">
        <w:rPr>
          <w:color w:val="auto"/>
        </w:rPr>
        <w:t>from</w:t>
      </w:r>
      <w:r w:rsidR="00AF1837">
        <w:rPr>
          <w:color w:val="auto"/>
        </w:rPr>
        <w:t xml:space="preserve"> overall welfare of around </w:t>
      </w:r>
      <w:r w:rsidR="00AF1837">
        <w:rPr>
          <w:color w:val="auto"/>
        </w:rPr>
        <w:noBreakHyphen/>
        <w:t>0.3 percent</w:t>
      </w:r>
      <w:r w:rsidR="008950A3">
        <w:rPr>
          <w:color w:val="auto"/>
        </w:rPr>
        <w:t>age points</w:t>
      </w:r>
      <w:r w:rsidR="00AF1837">
        <w:rPr>
          <w:color w:val="auto"/>
        </w:rPr>
        <w:t>.</w:t>
      </w:r>
    </w:p>
    <w:p w14:paraId="426044D6" w14:textId="77777777" w:rsidR="006E6EC1" w:rsidRDefault="006E6EC1">
      <w:pPr>
        <w:rPr>
          <w:color w:val="auto"/>
        </w:rPr>
      </w:pPr>
      <w:r>
        <w:rPr>
          <w:color w:val="auto"/>
        </w:rPr>
        <w:br w:type="page"/>
      </w:r>
    </w:p>
    <w:p w14:paraId="5BD270DC" w14:textId="236059C3" w:rsidR="008950A3" w:rsidRPr="005A2B26" w:rsidRDefault="008950A3" w:rsidP="001444DB">
      <w:pPr>
        <w:rPr>
          <w:color w:val="auto"/>
        </w:rPr>
      </w:pPr>
      <w:r>
        <w:rPr>
          <w:color w:val="auto"/>
        </w:rPr>
        <w:lastRenderedPageBreak/>
        <w:t>It is important to recall that the modelling of g</w:t>
      </w:r>
      <w:r w:rsidRPr="00E11B28">
        <w:rPr>
          <w:color w:val="auto"/>
        </w:rPr>
        <w:t xml:space="preserve">overnment </w:t>
      </w:r>
      <w:r>
        <w:rPr>
          <w:color w:val="auto"/>
        </w:rPr>
        <w:t>spending is assumed not to affect directly the</w:t>
      </w:r>
      <w:r w:rsidRPr="00E11B28">
        <w:rPr>
          <w:color w:val="auto"/>
        </w:rPr>
        <w:t xml:space="preserve"> welfare of households.</w:t>
      </w:r>
      <w:r>
        <w:rPr>
          <w:color w:val="auto"/>
        </w:rPr>
        <w:t xml:space="preserve"> </w:t>
      </w:r>
      <w:r>
        <w:t>While this is a common modelling assumption it ignores the fact that: government spending provides goods and services that would otherwise not be provided by the market sector; households derive direct utility from government spending; and infrastructure spending can improve market sector productivity.</w:t>
      </w:r>
      <w:r>
        <w:rPr>
          <w:color w:val="auto"/>
        </w:rPr>
        <w:t xml:space="preserve"> This suggests the results reported in this section overstate the benefits of this funding alternative.</w:t>
      </w:r>
    </w:p>
    <w:p w14:paraId="33409CE3" w14:textId="4B090AB8" w:rsidR="001444DB" w:rsidRDefault="001444DB" w:rsidP="006E6EC1">
      <w:pPr>
        <w:pStyle w:val="ChartMainHeading"/>
      </w:pPr>
      <w:r w:rsidRPr="006E7DC0">
        <w:t xml:space="preserve">Chart </w:t>
      </w:r>
      <w:r w:rsidR="005A7277">
        <w:fldChar w:fldCharType="begin"/>
      </w:r>
      <w:r w:rsidR="005A7277">
        <w:instrText xml:space="preserve"> SEQ Chart \* ARABIC </w:instrText>
      </w:r>
      <w:r w:rsidR="005A7277">
        <w:fldChar w:fldCharType="separate"/>
      </w:r>
      <w:r w:rsidR="00C97912">
        <w:rPr>
          <w:noProof/>
        </w:rPr>
        <w:t>12</w:t>
      </w:r>
      <w:r w:rsidR="005A7277">
        <w:rPr>
          <w:noProof/>
        </w:rPr>
        <w:fldChar w:fldCharType="end"/>
      </w:r>
      <w:r w:rsidRPr="006E7DC0">
        <w:t xml:space="preserve">: Household welfare — </w:t>
      </w:r>
      <w:r w:rsidR="008862EA" w:rsidRPr="006E7DC0">
        <w:t xml:space="preserve">CIT financed by </w:t>
      </w:r>
      <w:r w:rsidR="00F00616">
        <w:t xml:space="preserve">government </w:t>
      </w:r>
      <w:r w:rsidR="008862EA" w:rsidRPr="006E7DC0">
        <w:t>spending</w:t>
      </w:r>
    </w:p>
    <w:p w14:paraId="50CF78B2" w14:textId="77777777" w:rsidR="001444DB" w:rsidRPr="006E7DC0" w:rsidRDefault="006E7DC0" w:rsidP="006E6EC1">
      <w:pPr>
        <w:pStyle w:val="ChartGraphic"/>
      </w:pPr>
      <w:r>
        <w:rPr>
          <w:noProof/>
        </w:rPr>
        <w:drawing>
          <wp:inline distT="0" distB="0" distL="0" distR="0" wp14:anchorId="088AF408" wp14:editId="1ADEBD34">
            <wp:extent cx="5400000" cy="2880000"/>
            <wp:effectExtent l="0" t="0" r="0" b="0"/>
            <wp:docPr id="29" name="Chart 29" descr="This chart decomposes the welfare effect (equivalent variation) of the company tax cut financed by a government spending cut into a labour effect (post-change after tax real labour income plus pre-change after-tax real value of post-change leisure) and capital effect (post-change after tax real capital income less savings)." titl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562266" w14:textId="77777777" w:rsidR="005A6FE7" w:rsidRDefault="001444DB" w:rsidP="002E2E01">
      <w:pPr>
        <w:pStyle w:val="Source"/>
        <w:ind w:left="420"/>
      </w:pPr>
      <w:r w:rsidRPr="005A2B26">
        <w:rPr>
          <w:lang w:val="en-US"/>
        </w:rPr>
        <w:t xml:space="preserve">Source: </w:t>
      </w:r>
      <w:r w:rsidRPr="005A2B26">
        <w:t>Treasury estimates.</w:t>
      </w:r>
    </w:p>
    <w:p w14:paraId="7D7285CF" w14:textId="77777777" w:rsidR="00242011" w:rsidRDefault="00242011" w:rsidP="00242011">
      <w:pPr>
        <w:pStyle w:val="Heading2"/>
      </w:pPr>
      <w:r>
        <w:t>Summary and conclusion</w:t>
      </w:r>
    </w:p>
    <w:p w14:paraId="2D843F7A" w14:textId="77777777" w:rsidR="00242011" w:rsidRDefault="00242011" w:rsidP="00242011">
      <w:pPr>
        <w:pStyle w:val="Abstract"/>
      </w:pPr>
      <w:r>
        <w:t xml:space="preserve">For a small open economy, such as Australia, per capita income is determined by the level of its terms of trade, labour productivity, labour force participation and population. Australia’s terms of trade, labour force participation and population growth are expected to be flat or declining in the foreseeable future which implies any improvement in Australia’s living standards must be driven by a higher level of labour productivity. </w:t>
      </w:r>
    </w:p>
    <w:p w14:paraId="4583E6BD" w14:textId="77777777" w:rsidR="00242011" w:rsidRDefault="00242011" w:rsidP="00242011">
      <w:pPr>
        <w:pStyle w:val="Abstract"/>
      </w:pPr>
      <w:r>
        <w:t xml:space="preserve">This paper shows that a company income tax cut can do that, even after allowing for increases in other taxes or cutting government spending to recover lost revenue, by lowering the before tax cost of capital. This encourages investment, which in turn increases the capital stock and labour productivity. </w:t>
      </w:r>
    </w:p>
    <w:p w14:paraId="7037BC12" w14:textId="77777777" w:rsidR="00242011" w:rsidRPr="00242011" w:rsidRDefault="00242011" w:rsidP="00242011">
      <w:pPr>
        <w:rPr>
          <w:color w:val="auto"/>
        </w:rPr>
      </w:pPr>
      <w:r w:rsidRPr="004B791A">
        <w:rPr>
          <w:color w:val="auto"/>
        </w:rPr>
        <w:t>The goal of this paper is to provide a clear exposition of the likely activity and welfare effects of simple company tax cut scenarios. The tax package announced in the 2016-17 Budget has more detailed funding components than analysed here so this paper does not provide specific estimates of the economic gains of that proposal.</w:t>
      </w:r>
    </w:p>
    <w:p w14:paraId="2D58DA2D" w14:textId="77777777" w:rsidR="006E6EC1" w:rsidRDefault="006E6EC1">
      <w:pPr>
        <w:rPr>
          <w:rFonts w:ascii="Arial Bold" w:hAnsi="Arial Bold"/>
          <w:b/>
          <w:bCs/>
          <w:color w:val="003157"/>
          <w:szCs w:val="18"/>
        </w:rPr>
      </w:pPr>
      <w:r>
        <w:br w:type="page"/>
      </w:r>
    </w:p>
    <w:p w14:paraId="2536EF75" w14:textId="11DB83B8" w:rsidR="00F012EA" w:rsidRDefault="009D19D7" w:rsidP="006E6EC1">
      <w:pPr>
        <w:pStyle w:val="TableMainHeading"/>
      </w:pPr>
      <w:r>
        <w:lastRenderedPageBreak/>
        <w:t xml:space="preserve">Table </w:t>
      </w:r>
      <w:r w:rsidR="005A7277">
        <w:fldChar w:fldCharType="begin"/>
      </w:r>
      <w:r w:rsidR="005A7277">
        <w:instrText xml:space="preserve"> SEQ Table \* ARABIC </w:instrText>
      </w:r>
      <w:r w:rsidR="005A7277">
        <w:fldChar w:fldCharType="separate"/>
      </w:r>
      <w:r w:rsidR="00C97912">
        <w:rPr>
          <w:noProof/>
        </w:rPr>
        <w:t>1</w:t>
      </w:r>
      <w:r w:rsidR="005A7277">
        <w:rPr>
          <w:noProof/>
        </w:rPr>
        <w:fldChar w:fldCharType="end"/>
      </w:r>
      <w:r>
        <w:t xml:space="preserve">: </w:t>
      </w:r>
      <w:r w:rsidR="00C40BF5">
        <w:t>Summary of key results</w:t>
      </w:r>
      <w:r w:rsidR="00A940A5">
        <w:t xml:space="preserve"> (per</w:t>
      </w:r>
      <w:r w:rsidR="002C0388">
        <w:t xml:space="preserve"> </w:t>
      </w:r>
      <w:r w:rsidR="00A940A5">
        <w:t>cent deviation from no policy change)</w:t>
      </w:r>
    </w:p>
    <w:tbl>
      <w:tblPr>
        <w:tblW w:w="9299" w:type="dxa"/>
        <w:tblInd w:w="108" w:type="dxa"/>
        <w:tblLook w:val="04A0" w:firstRow="1" w:lastRow="0" w:firstColumn="1" w:lastColumn="0" w:noHBand="0" w:noVBand="1"/>
      </w:tblPr>
      <w:tblGrid>
        <w:gridCol w:w="3005"/>
        <w:gridCol w:w="2098"/>
        <w:gridCol w:w="2098"/>
        <w:gridCol w:w="2098"/>
      </w:tblGrid>
      <w:tr w:rsidR="00B948AD" w:rsidRPr="00B948AD" w14:paraId="6CA0D95B" w14:textId="77777777" w:rsidTr="00B948AD">
        <w:trPr>
          <w:trHeight w:val="480"/>
        </w:trPr>
        <w:tc>
          <w:tcPr>
            <w:tcW w:w="3005" w:type="dxa"/>
            <w:tcBorders>
              <w:top w:val="single" w:sz="4" w:space="0" w:color="003157"/>
              <w:left w:val="nil"/>
              <w:bottom w:val="single" w:sz="4" w:space="0" w:color="003157"/>
              <w:right w:val="nil"/>
            </w:tcBorders>
            <w:shd w:val="clear" w:color="000000" w:fill="FFFFFF"/>
            <w:vAlign w:val="center"/>
            <w:hideMark/>
          </w:tcPr>
          <w:p w14:paraId="478D2B27" w14:textId="77777777" w:rsidR="00A940A5" w:rsidRPr="00B948AD" w:rsidRDefault="00006011" w:rsidP="00B948AD">
            <w:pPr>
              <w:pStyle w:val="TableColumnHeadingCentred"/>
            </w:pPr>
            <w:r w:rsidRPr="00B948AD">
              <w:t>Variable</w:t>
            </w:r>
          </w:p>
        </w:tc>
        <w:tc>
          <w:tcPr>
            <w:tcW w:w="2098" w:type="dxa"/>
            <w:tcBorders>
              <w:top w:val="single" w:sz="4" w:space="0" w:color="003157"/>
              <w:left w:val="nil"/>
              <w:bottom w:val="single" w:sz="4" w:space="0" w:color="003157"/>
              <w:right w:val="nil"/>
            </w:tcBorders>
            <w:shd w:val="clear" w:color="000000" w:fill="FFFFFF"/>
            <w:vAlign w:val="center"/>
            <w:hideMark/>
          </w:tcPr>
          <w:p w14:paraId="0DBD543B" w14:textId="77777777" w:rsidR="00006011" w:rsidRPr="00B948AD" w:rsidRDefault="00B53A5C" w:rsidP="00B948AD">
            <w:pPr>
              <w:pStyle w:val="TableColumnHeadingCentred"/>
            </w:pPr>
            <w:r w:rsidRPr="00B948AD">
              <w:t>CIT</w:t>
            </w:r>
            <w:r w:rsidR="00006011" w:rsidRPr="00B948AD">
              <w:t>–Lump-sum</w:t>
            </w:r>
          </w:p>
        </w:tc>
        <w:tc>
          <w:tcPr>
            <w:tcW w:w="2098" w:type="dxa"/>
            <w:tcBorders>
              <w:top w:val="single" w:sz="4" w:space="0" w:color="003157"/>
              <w:left w:val="nil"/>
              <w:bottom w:val="single" w:sz="4" w:space="0" w:color="003157"/>
              <w:right w:val="nil"/>
            </w:tcBorders>
            <w:shd w:val="clear" w:color="000000" w:fill="FFFFFF"/>
            <w:vAlign w:val="center"/>
            <w:hideMark/>
          </w:tcPr>
          <w:p w14:paraId="335525D7" w14:textId="77777777" w:rsidR="00006011" w:rsidRPr="00B948AD" w:rsidRDefault="00006011" w:rsidP="00B948AD">
            <w:pPr>
              <w:pStyle w:val="TableColumnHeadingCentred"/>
            </w:pPr>
            <w:r w:rsidRPr="00B948AD">
              <w:t>CIT-PIT</w:t>
            </w:r>
          </w:p>
        </w:tc>
        <w:tc>
          <w:tcPr>
            <w:tcW w:w="2098" w:type="dxa"/>
            <w:tcBorders>
              <w:top w:val="single" w:sz="4" w:space="0" w:color="003157"/>
              <w:left w:val="nil"/>
              <w:bottom w:val="single" w:sz="4" w:space="0" w:color="003157"/>
              <w:right w:val="nil"/>
            </w:tcBorders>
            <w:shd w:val="clear" w:color="000000" w:fill="FFFFFF"/>
            <w:vAlign w:val="center"/>
            <w:hideMark/>
          </w:tcPr>
          <w:p w14:paraId="64996ABE" w14:textId="6B7F8C9C" w:rsidR="00006011" w:rsidRPr="00B948AD" w:rsidRDefault="00006011" w:rsidP="00B948AD">
            <w:pPr>
              <w:pStyle w:val="TableColumnHeadingCentred"/>
            </w:pPr>
            <w:r w:rsidRPr="00B948AD">
              <w:t>CIT-</w:t>
            </w:r>
            <w:r w:rsidR="00F00616" w:rsidRPr="00B948AD">
              <w:t xml:space="preserve">Government </w:t>
            </w:r>
            <w:r w:rsidRPr="00B948AD">
              <w:t>spending</w:t>
            </w:r>
          </w:p>
        </w:tc>
      </w:tr>
      <w:tr w:rsidR="00B4768A" w:rsidRPr="00016769" w14:paraId="3C0769E1" w14:textId="77777777" w:rsidTr="00B948AD">
        <w:trPr>
          <w:trHeight w:val="222"/>
        </w:trPr>
        <w:tc>
          <w:tcPr>
            <w:tcW w:w="3005" w:type="dxa"/>
            <w:tcBorders>
              <w:top w:val="single" w:sz="4" w:space="0" w:color="003157"/>
              <w:left w:val="nil"/>
              <w:bottom w:val="nil"/>
              <w:right w:val="nil"/>
            </w:tcBorders>
            <w:shd w:val="clear" w:color="000000" w:fill="FFFFFF"/>
            <w:noWrap/>
            <w:vAlign w:val="center"/>
            <w:hideMark/>
          </w:tcPr>
          <w:p w14:paraId="71BF6C32" w14:textId="77777777" w:rsidR="00B4768A" w:rsidRPr="006E6EC1" w:rsidRDefault="00B4768A" w:rsidP="00C24CBB">
            <w:pPr>
              <w:pStyle w:val="TableTextLeft"/>
              <w:spacing w:before="20" w:after="20" w:line="240" w:lineRule="auto"/>
            </w:pPr>
            <w:r w:rsidRPr="006E6EC1">
              <w:t xml:space="preserve">Real GDP </w:t>
            </w:r>
          </w:p>
        </w:tc>
        <w:tc>
          <w:tcPr>
            <w:tcW w:w="2098" w:type="dxa"/>
            <w:tcBorders>
              <w:top w:val="single" w:sz="4" w:space="0" w:color="003157"/>
              <w:left w:val="nil"/>
              <w:bottom w:val="nil"/>
              <w:right w:val="nil"/>
            </w:tcBorders>
            <w:shd w:val="clear" w:color="000000" w:fill="FFFFFF"/>
            <w:noWrap/>
            <w:vAlign w:val="center"/>
            <w:hideMark/>
          </w:tcPr>
          <w:p w14:paraId="57A6A8D5" w14:textId="77777777" w:rsidR="00B4768A" w:rsidRPr="00C24CBB" w:rsidRDefault="00B4768A" w:rsidP="00C24CBB">
            <w:pPr>
              <w:pStyle w:val="TableTextCentered"/>
            </w:pPr>
            <w:r w:rsidRPr="00C24CBB">
              <w:t>1.2</w:t>
            </w:r>
          </w:p>
        </w:tc>
        <w:tc>
          <w:tcPr>
            <w:tcW w:w="2098" w:type="dxa"/>
            <w:tcBorders>
              <w:top w:val="single" w:sz="4" w:space="0" w:color="003157"/>
              <w:left w:val="nil"/>
              <w:bottom w:val="nil"/>
              <w:right w:val="nil"/>
            </w:tcBorders>
            <w:shd w:val="clear" w:color="000000" w:fill="FFFFFF"/>
            <w:noWrap/>
            <w:vAlign w:val="center"/>
            <w:hideMark/>
          </w:tcPr>
          <w:p w14:paraId="2FA7D829" w14:textId="77777777" w:rsidR="00B4768A" w:rsidRPr="00C24CBB" w:rsidRDefault="00B4768A" w:rsidP="00C24CBB">
            <w:pPr>
              <w:pStyle w:val="TableTextCentered"/>
            </w:pPr>
            <w:r w:rsidRPr="00C24CBB">
              <w:t>1.0</w:t>
            </w:r>
          </w:p>
        </w:tc>
        <w:tc>
          <w:tcPr>
            <w:tcW w:w="2098" w:type="dxa"/>
            <w:tcBorders>
              <w:top w:val="single" w:sz="4" w:space="0" w:color="003157"/>
              <w:left w:val="nil"/>
              <w:bottom w:val="nil"/>
              <w:right w:val="nil"/>
            </w:tcBorders>
            <w:shd w:val="clear" w:color="000000" w:fill="FFFFFF"/>
            <w:noWrap/>
            <w:vAlign w:val="center"/>
            <w:hideMark/>
          </w:tcPr>
          <w:p w14:paraId="551C5C22" w14:textId="77777777" w:rsidR="00B4768A" w:rsidRPr="00C24CBB" w:rsidRDefault="00B4768A" w:rsidP="00C24CBB">
            <w:pPr>
              <w:pStyle w:val="TableTextCentered"/>
            </w:pPr>
            <w:r w:rsidRPr="00C24CBB">
              <w:t>1.1</w:t>
            </w:r>
          </w:p>
        </w:tc>
      </w:tr>
      <w:tr w:rsidR="00B4768A" w:rsidRPr="00016769" w14:paraId="6DF8E9C5" w14:textId="77777777" w:rsidTr="00F00616">
        <w:trPr>
          <w:trHeight w:val="222"/>
        </w:trPr>
        <w:tc>
          <w:tcPr>
            <w:tcW w:w="3005" w:type="dxa"/>
            <w:tcBorders>
              <w:top w:val="nil"/>
              <w:left w:val="nil"/>
              <w:bottom w:val="nil"/>
              <w:right w:val="nil"/>
            </w:tcBorders>
            <w:shd w:val="clear" w:color="000000" w:fill="FFFFFF"/>
            <w:noWrap/>
            <w:vAlign w:val="center"/>
            <w:hideMark/>
          </w:tcPr>
          <w:p w14:paraId="0375BB4D" w14:textId="77777777" w:rsidR="00B4768A" w:rsidRPr="006E6EC1" w:rsidRDefault="00B4768A" w:rsidP="00C24CBB">
            <w:pPr>
              <w:pStyle w:val="TableTextLeft"/>
              <w:spacing w:before="20" w:after="20" w:line="240" w:lineRule="auto"/>
            </w:pPr>
            <w:r w:rsidRPr="006E6EC1">
              <w:t>Real GNI (GNE deflator)</w:t>
            </w:r>
          </w:p>
        </w:tc>
        <w:tc>
          <w:tcPr>
            <w:tcW w:w="2098" w:type="dxa"/>
            <w:tcBorders>
              <w:top w:val="nil"/>
              <w:left w:val="nil"/>
              <w:bottom w:val="nil"/>
              <w:right w:val="nil"/>
            </w:tcBorders>
            <w:shd w:val="clear" w:color="000000" w:fill="FFFFFF"/>
            <w:noWrap/>
            <w:vAlign w:val="center"/>
            <w:hideMark/>
          </w:tcPr>
          <w:p w14:paraId="569F354A" w14:textId="77777777" w:rsidR="00B4768A" w:rsidRPr="00C24CBB" w:rsidRDefault="00B4768A" w:rsidP="00C24CBB">
            <w:pPr>
              <w:pStyle w:val="TableTextCentered"/>
            </w:pPr>
            <w:r w:rsidRPr="00C24CBB">
              <w:t>0.8</w:t>
            </w:r>
          </w:p>
        </w:tc>
        <w:tc>
          <w:tcPr>
            <w:tcW w:w="2098" w:type="dxa"/>
            <w:tcBorders>
              <w:top w:val="nil"/>
              <w:left w:val="nil"/>
              <w:bottom w:val="nil"/>
              <w:right w:val="nil"/>
            </w:tcBorders>
            <w:shd w:val="clear" w:color="000000" w:fill="FFFFFF"/>
            <w:noWrap/>
            <w:vAlign w:val="center"/>
            <w:hideMark/>
          </w:tcPr>
          <w:p w14:paraId="34CC3A31" w14:textId="77777777" w:rsidR="00B4768A" w:rsidRPr="00C24CBB" w:rsidRDefault="00B4768A" w:rsidP="00C24CBB">
            <w:pPr>
              <w:pStyle w:val="TableTextCentered"/>
            </w:pPr>
            <w:r w:rsidRPr="00C24CBB">
              <w:t>0.6</w:t>
            </w:r>
          </w:p>
        </w:tc>
        <w:tc>
          <w:tcPr>
            <w:tcW w:w="2098" w:type="dxa"/>
            <w:tcBorders>
              <w:top w:val="nil"/>
              <w:left w:val="nil"/>
              <w:bottom w:val="nil"/>
              <w:right w:val="nil"/>
            </w:tcBorders>
            <w:shd w:val="clear" w:color="000000" w:fill="FFFFFF"/>
            <w:noWrap/>
            <w:vAlign w:val="center"/>
            <w:hideMark/>
          </w:tcPr>
          <w:p w14:paraId="19E12945" w14:textId="77777777" w:rsidR="00B4768A" w:rsidRPr="00C24CBB" w:rsidRDefault="00B4768A" w:rsidP="00C24CBB">
            <w:pPr>
              <w:pStyle w:val="TableTextCentered"/>
            </w:pPr>
            <w:r w:rsidRPr="00C24CBB">
              <w:t>0.7</w:t>
            </w:r>
          </w:p>
        </w:tc>
      </w:tr>
      <w:tr w:rsidR="00B4768A" w:rsidRPr="00016769" w14:paraId="5677C94F" w14:textId="77777777" w:rsidTr="00F00616">
        <w:trPr>
          <w:trHeight w:val="212"/>
        </w:trPr>
        <w:tc>
          <w:tcPr>
            <w:tcW w:w="3005" w:type="dxa"/>
            <w:tcBorders>
              <w:top w:val="nil"/>
              <w:left w:val="nil"/>
              <w:bottom w:val="nil"/>
              <w:right w:val="nil"/>
            </w:tcBorders>
            <w:shd w:val="clear" w:color="000000" w:fill="FFFFFF"/>
            <w:noWrap/>
            <w:vAlign w:val="center"/>
          </w:tcPr>
          <w:p w14:paraId="012D2321" w14:textId="77777777" w:rsidR="00B4768A" w:rsidRPr="006E6EC1" w:rsidRDefault="00B4768A" w:rsidP="00C24CBB">
            <w:pPr>
              <w:pStyle w:val="TableTextLeft"/>
              <w:spacing w:before="20" w:after="20" w:line="240" w:lineRule="auto"/>
            </w:pPr>
          </w:p>
        </w:tc>
        <w:tc>
          <w:tcPr>
            <w:tcW w:w="2098" w:type="dxa"/>
            <w:tcBorders>
              <w:top w:val="nil"/>
              <w:left w:val="nil"/>
              <w:bottom w:val="nil"/>
              <w:right w:val="nil"/>
            </w:tcBorders>
            <w:shd w:val="clear" w:color="000000" w:fill="FFFFFF"/>
            <w:noWrap/>
            <w:vAlign w:val="center"/>
          </w:tcPr>
          <w:p w14:paraId="3BA96681" w14:textId="77777777" w:rsidR="00B4768A" w:rsidRPr="00C24CBB" w:rsidRDefault="00B4768A" w:rsidP="00C24CBB">
            <w:pPr>
              <w:pStyle w:val="TableTextCentered"/>
            </w:pPr>
          </w:p>
        </w:tc>
        <w:tc>
          <w:tcPr>
            <w:tcW w:w="2098" w:type="dxa"/>
            <w:tcBorders>
              <w:top w:val="nil"/>
              <w:left w:val="nil"/>
              <w:bottom w:val="nil"/>
              <w:right w:val="nil"/>
            </w:tcBorders>
            <w:shd w:val="clear" w:color="000000" w:fill="FFFFFF"/>
            <w:noWrap/>
            <w:vAlign w:val="center"/>
          </w:tcPr>
          <w:p w14:paraId="6CCE4192" w14:textId="77777777" w:rsidR="00B4768A" w:rsidRPr="00C24CBB" w:rsidRDefault="00B4768A" w:rsidP="00C24CBB">
            <w:pPr>
              <w:pStyle w:val="TableTextCentered"/>
            </w:pPr>
          </w:p>
        </w:tc>
        <w:tc>
          <w:tcPr>
            <w:tcW w:w="2098" w:type="dxa"/>
            <w:tcBorders>
              <w:top w:val="nil"/>
              <w:left w:val="nil"/>
              <w:bottom w:val="nil"/>
              <w:right w:val="nil"/>
            </w:tcBorders>
            <w:shd w:val="clear" w:color="000000" w:fill="FFFFFF"/>
            <w:noWrap/>
            <w:vAlign w:val="center"/>
          </w:tcPr>
          <w:p w14:paraId="3FB67A1F" w14:textId="77777777" w:rsidR="00B4768A" w:rsidRPr="00C24CBB" w:rsidRDefault="00B4768A" w:rsidP="00C24CBB">
            <w:pPr>
              <w:pStyle w:val="TableTextCentered"/>
            </w:pPr>
          </w:p>
        </w:tc>
      </w:tr>
      <w:tr w:rsidR="00B4768A" w:rsidRPr="00016769" w14:paraId="37F873CE" w14:textId="77777777" w:rsidTr="00F00616">
        <w:trPr>
          <w:trHeight w:val="87"/>
        </w:trPr>
        <w:tc>
          <w:tcPr>
            <w:tcW w:w="3005" w:type="dxa"/>
            <w:tcBorders>
              <w:top w:val="nil"/>
              <w:left w:val="nil"/>
              <w:bottom w:val="nil"/>
              <w:right w:val="nil"/>
            </w:tcBorders>
            <w:shd w:val="clear" w:color="000000" w:fill="FFFFFF"/>
            <w:noWrap/>
            <w:vAlign w:val="center"/>
            <w:hideMark/>
          </w:tcPr>
          <w:p w14:paraId="4C72B191" w14:textId="77777777" w:rsidR="00B4768A" w:rsidRPr="006E6EC1" w:rsidRDefault="00B4768A" w:rsidP="00C24CBB">
            <w:pPr>
              <w:pStyle w:val="TableTextLeft"/>
              <w:spacing w:before="20" w:after="20" w:line="240" w:lineRule="auto"/>
            </w:pPr>
            <w:r w:rsidRPr="006E6EC1">
              <w:t>Consumption</w:t>
            </w:r>
          </w:p>
        </w:tc>
        <w:tc>
          <w:tcPr>
            <w:tcW w:w="2098" w:type="dxa"/>
            <w:tcBorders>
              <w:top w:val="nil"/>
              <w:left w:val="nil"/>
              <w:bottom w:val="nil"/>
              <w:right w:val="nil"/>
            </w:tcBorders>
            <w:shd w:val="clear" w:color="000000" w:fill="FFFFFF"/>
            <w:noWrap/>
            <w:vAlign w:val="center"/>
            <w:hideMark/>
          </w:tcPr>
          <w:p w14:paraId="6712E7A8" w14:textId="77777777" w:rsidR="00B4768A" w:rsidRPr="00C24CBB" w:rsidRDefault="00B4768A" w:rsidP="00C24CBB">
            <w:pPr>
              <w:pStyle w:val="TableTextCentered"/>
            </w:pPr>
            <w:r w:rsidRPr="00C24CBB">
              <w:t>0.6</w:t>
            </w:r>
          </w:p>
        </w:tc>
        <w:tc>
          <w:tcPr>
            <w:tcW w:w="2098" w:type="dxa"/>
            <w:tcBorders>
              <w:top w:val="nil"/>
              <w:left w:val="nil"/>
              <w:bottom w:val="nil"/>
              <w:right w:val="nil"/>
            </w:tcBorders>
            <w:shd w:val="clear" w:color="000000" w:fill="FFFFFF"/>
            <w:noWrap/>
            <w:vAlign w:val="center"/>
            <w:hideMark/>
          </w:tcPr>
          <w:p w14:paraId="5B4E0C05" w14:textId="77777777" w:rsidR="00B4768A" w:rsidRPr="00C24CBB" w:rsidRDefault="00B4768A" w:rsidP="00C24CBB">
            <w:pPr>
              <w:pStyle w:val="TableTextCentered"/>
            </w:pPr>
            <w:r w:rsidRPr="00C24CBB">
              <w:t>0.3</w:t>
            </w:r>
          </w:p>
        </w:tc>
        <w:tc>
          <w:tcPr>
            <w:tcW w:w="2098" w:type="dxa"/>
            <w:tcBorders>
              <w:top w:val="nil"/>
              <w:left w:val="nil"/>
              <w:bottom w:val="nil"/>
              <w:right w:val="nil"/>
            </w:tcBorders>
            <w:shd w:val="clear" w:color="000000" w:fill="FFFFFF"/>
            <w:noWrap/>
            <w:vAlign w:val="center"/>
            <w:hideMark/>
          </w:tcPr>
          <w:p w14:paraId="5C2FFC8C" w14:textId="77777777" w:rsidR="00B4768A" w:rsidRPr="00C24CBB" w:rsidRDefault="00B4768A" w:rsidP="00C24CBB">
            <w:pPr>
              <w:pStyle w:val="TableTextCentered"/>
            </w:pPr>
            <w:r w:rsidRPr="00C24CBB">
              <w:t>1.0</w:t>
            </w:r>
          </w:p>
        </w:tc>
      </w:tr>
      <w:tr w:rsidR="00B4768A" w:rsidRPr="00016769" w14:paraId="5FD793DC" w14:textId="77777777" w:rsidTr="00F00616">
        <w:trPr>
          <w:trHeight w:val="219"/>
        </w:trPr>
        <w:tc>
          <w:tcPr>
            <w:tcW w:w="3005" w:type="dxa"/>
            <w:tcBorders>
              <w:top w:val="nil"/>
              <w:left w:val="nil"/>
              <w:bottom w:val="nil"/>
              <w:right w:val="nil"/>
            </w:tcBorders>
            <w:shd w:val="clear" w:color="000000" w:fill="FFFFFF"/>
            <w:noWrap/>
            <w:vAlign w:val="center"/>
            <w:hideMark/>
          </w:tcPr>
          <w:p w14:paraId="517F83B8" w14:textId="77777777" w:rsidR="00B4768A" w:rsidRPr="006E6EC1" w:rsidRDefault="00B4768A" w:rsidP="00C24CBB">
            <w:pPr>
              <w:pStyle w:val="TableTextLeft"/>
              <w:spacing w:before="20" w:after="20" w:line="240" w:lineRule="auto"/>
            </w:pPr>
            <w:r w:rsidRPr="006E6EC1">
              <w:t>Public final demand</w:t>
            </w:r>
          </w:p>
        </w:tc>
        <w:tc>
          <w:tcPr>
            <w:tcW w:w="2098" w:type="dxa"/>
            <w:tcBorders>
              <w:top w:val="nil"/>
              <w:left w:val="nil"/>
              <w:bottom w:val="nil"/>
              <w:right w:val="nil"/>
            </w:tcBorders>
            <w:shd w:val="clear" w:color="000000" w:fill="FFFFFF"/>
            <w:noWrap/>
            <w:vAlign w:val="center"/>
            <w:hideMark/>
          </w:tcPr>
          <w:p w14:paraId="23ED1A8A" w14:textId="77777777" w:rsidR="00B4768A" w:rsidRPr="00C24CBB" w:rsidRDefault="00B4768A" w:rsidP="00C24CBB">
            <w:pPr>
              <w:pStyle w:val="TableTextCentered"/>
            </w:pPr>
            <w:r w:rsidRPr="00C24CBB">
              <w:t>0.0</w:t>
            </w:r>
          </w:p>
        </w:tc>
        <w:tc>
          <w:tcPr>
            <w:tcW w:w="2098" w:type="dxa"/>
            <w:tcBorders>
              <w:top w:val="nil"/>
              <w:left w:val="nil"/>
              <w:bottom w:val="nil"/>
              <w:right w:val="nil"/>
            </w:tcBorders>
            <w:shd w:val="clear" w:color="000000" w:fill="FFFFFF"/>
            <w:noWrap/>
            <w:vAlign w:val="center"/>
            <w:hideMark/>
          </w:tcPr>
          <w:p w14:paraId="5A1FDACD" w14:textId="77777777" w:rsidR="00B4768A" w:rsidRPr="00C24CBB" w:rsidRDefault="00B4768A" w:rsidP="00C24CBB">
            <w:pPr>
              <w:pStyle w:val="TableTextCentered"/>
            </w:pPr>
            <w:r w:rsidRPr="00C24CBB">
              <w:t>0.0</w:t>
            </w:r>
          </w:p>
        </w:tc>
        <w:tc>
          <w:tcPr>
            <w:tcW w:w="2098" w:type="dxa"/>
            <w:tcBorders>
              <w:top w:val="nil"/>
              <w:left w:val="nil"/>
              <w:bottom w:val="nil"/>
              <w:right w:val="nil"/>
            </w:tcBorders>
            <w:shd w:val="clear" w:color="000000" w:fill="FFFFFF"/>
            <w:noWrap/>
            <w:vAlign w:val="center"/>
            <w:hideMark/>
          </w:tcPr>
          <w:p w14:paraId="1319CCEE" w14:textId="77777777" w:rsidR="00B4768A" w:rsidRPr="00C24CBB" w:rsidRDefault="00B4768A" w:rsidP="00C24CBB">
            <w:pPr>
              <w:pStyle w:val="TableTextCentered"/>
            </w:pPr>
            <w:r w:rsidRPr="00C24CBB">
              <w:t>-1.7</w:t>
            </w:r>
          </w:p>
        </w:tc>
      </w:tr>
      <w:tr w:rsidR="00B4768A" w:rsidRPr="00016769" w14:paraId="6F00EFB5" w14:textId="77777777" w:rsidTr="00F00616">
        <w:trPr>
          <w:trHeight w:val="209"/>
        </w:trPr>
        <w:tc>
          <w:tcPr>
            <w:tcW w:w="3005" w:type="dxa"/>
            <w:tcBorders>
              <w:top w:val="nil"/>
              <w:left w:val="nil"/>
              <w:bottom w:val="nil"/>
              <w:right w:val="nil"/>
            </w:tcBorders>
            <w:shd w:val="clear" w:color="000000" w:fill="FFFFFF"/>
            <w:noWrap/>
            <w:vAlign w:val="center"/>
            <w:hideMark/>
          </w:tcPr>
          <w:p w14:paraId="6C50511C" w14:textId="77777777" w:rsidR="00B4768A" w:rsidRPr="006E6EC1" w:rsidRDefault="00B4768A" w:rsidP="00C24CBB">
            <w:pPr>
              <w:pStyle w:val="TableTextLeft"/>
              <w:spacing w:before="20" w:after="20" w:line="240" w:lineRule="auto"/>
            </w:pPr>
            <w:r w:rsidRPr="006E6EC1">
              <w:t>Investment</w:t>
            </w:r>
          </w:p>
        </w:tc>
        <w:tc>
          <w:tcPr>
            <w:tcW w:w="2098" w:type="dxa"/>
            <w:tcBorders>
              <w:top w:val="nil"/>
              <w:left w:val="nil"/>
              <w:bottom w:val="nil"/>
              <w:right w:val="nil"/>
            </w:tcBorders>
            <w:shd w:val="clear" w:color="000000" w:fill="FFFFFF"/>
            <w:noWrap/>
            <w:vAlign w:val="center"/>
            <w:hideMark/>
          </w:tcPr>
          <w:p w14:paraId="6044987B" w14:textId="77777777" w:rsidR="00B4768A" w:rsidRPr="00C24CBB" w:rsidRDefault="00B4768A" w:rsidP="00C24CBB">
            <w:pPr>
              <w:pStyle w:val="TableTextCentered"/>
            </w:pPr>
            <w:r w:rsidRPr="00C24CBB">
              <w:t>2.8</w:t>
            </w:r>
          </w:p>
        </w:tc>
        <w:tc>
          <w:tcPr>
            <w:tcW w:w="2098" w:type="dxa"/>
            <w:tcBorders>
              <w:top w:val="nil"/>
              <w:left w:val="nil"/>
              <w:bottom w:val="nil"/>
              <w:right w:val="nil"/>
            </w:tcBorders>
            <w:shd w:val="clear" w:color="000000" w:fill="FFFFFF"/>
            <w:noWrap/>
            <w:vAlign w:val="center"/>
            <w:hideMark/>
          </w:tcPr>
          <w:p w14:paraId="429A8385" w14:textId="77777777" w:rsidR="00B4768A" w:rsidRPr="00C24CBB" w:rsidRDefault="00B4768A" w:rsidP="00C24CBB">
            <w:pPr>
              <w:pStyle w:val="TableTextCentered"/>
            </w:pPr>
            <w:r w:rsidRPr="00C24CBB">
              <w:t>2.6</w:t>
            </w:r>
          </w:p>
        </w:tc>
        <w:tc>
          <w:tcPr>
            <w:tcW w:w="2098" w:type="dxa"/>
            <w:tcBorders>
              <w:top w:val="nil"/>
              <w:left w:val="nil"/>
              <w:bottom w:val="nil"/>
              <w:right w:val="nil"/>
            </w:tcBorders>
            <w:shd w:val="clear" w:color="000000" w:fill="FFFFFF"/>
            <w:noWrap/>
            <w:vAlign w:val="center"/>
            <w:hideMark/>
          </w:tcPr>
          <w:p w14:paraId="3CB4612E" w14:textId="77777777" w:rsidR="00B4768A" w:rsidRPr="00C24CBB" w:rsidRDefault="00B4768A" w:rsidP="00C24CBB">
            <w:pPr>
              <w:pStyle w:val="TableTextCentered"/>
            </w:pPr>
            <w:r w:rsidRPr="00C24CBB">
              <w:t>2.9</w:t>
            </w:r>
          </w:p>
        </w:tc>
      </w:tr>
      <w:tr w:rsidR="00B4768A" w:rsidRPr="00016769" w14:paraId="71B91752" w14:textId="77777777" w:rsidTr="00F00616">
        <w:trPr>
          <w:trHeight w:val="213"/>
        </w:trPr>
        <w:tc>
          <w:tcPr>
            <w:tcW w:w="3005" w:type="dxa"/>
            <w:tcBorders>
              <w:top w:val="nil"/>
              <w:left w:val="nil"/>
              <w:bottom w:val="nil"/>
              <w:right w:val="nil"/>
            </w:tcBorders>
            <w:shd w:val="clear" w:color="000000" w:fill="FFFFFF"/>
            <w:noWrap/>
            <w:vAlign w:val="center"/>
          </w:tcPr>
          <w:p w14:paraId="11F8F655" w14:textId="77777777" w:rsidR="00B4768A" w:rsidRPr="006E6EC1" w:rsidRDefault="00B4768A" w:rsidP="00C24CBB">
            <w:pPr>
              <w:pStyle w:val="TableTextLeft"/>
              <w:spacing w:before="20" w:after="20" w:line="240" w:lineRule="auto"/>
            </w:pPr>
            <w:r w:rsidRPr="006E6EC1">
              <w:t>Exports</w:t>
            </w:r>
          </w:p>
        </w:tc>
        <w:tc>
          <w:tcPr>
            <w:tcW w:w="2098" w:type="dxa"/>
            <w:tcBorders>
              <w:top w:val="nil"/>
              <w:left w:val="nil"/>
              <w:bottom w:val="nil"/>
              <w:right w:val="nil"/>
            </w:tcBorders>
            <w:shd w:val="clear" w:color="000000" w:fill="FFFFFF"/>
            <w:noWrap/>
            <w:vAlign w:val="center"/>
          </w:tcPr>
          <w:p w14:paraId="170ECCDC" w14:textId="77777777" w:rsidR="00B4768A" w:rsidRPr="00C24CBB" w:rsidRDefault="00B4768A" w:rsidP="00C24CBB">
            <w:pPr>
              <w:pStyle w:val="TableTextCentered"/>
            </w:pPr>
            <w:r w:rsidRPr="00C24CBB">
              <w:t>2.2</w:t>
            </w:r>
          </w:p>
        </w:tc>
        <w:tc>
          <w:tcPr>
            <w:tcW w:w="2098" w:type="dxa"/>
            <w:tcBorders>
              <w:top w:val="nil"/>
              <w:left w:val="nil"/>
              <w:bottom w:val="nil"/>
              <w:right w:val="nil"/>
            </w:tcBorders>
            <w:shd w:val="clear" w:color="000000" w:fill="FFFFFF"/>
            <w:noWrap/>
            <w:vAlign w:val="center"/>
          </w:tcPr>
          <w:p w14:paraId="2DD5CD52" w14:textId="77777777" w:rsidR="00B4768A" w:rsidRPr="00C24CBB" w:rsidRDefault="00B4768A" w:rsidP="00C24CBB">
            <w:pPr>
              <w:pStyle w:val="TableTextCentered"/>
            </w:pPr>
            <w:r w:rsidRPr="00C24CBB">
              <w:t>2.0</w:t>
            </w:r>
          </w:p>
        </w:tc>
        <w:tc>
          <w:tcPr>
            <w:tcW w:w="2098" w:type="dxa"/>
            <w:tcBorders>
              <w:top w:val="nil"/>
              <w:left w:val="nil"/>
              <w:bottom w:val="nil"/>
              <w:right w:val="nil"/>
            </w:tcBorders>
            <w:shd w:val="clear" w:color="000000" w:fill="FFFFFF"/>
            <w:noWrap/>
            <w:vAlign w:val="center"/>
          </w:tcPr>
          <w:p w14:paraId="7E327B82" w14:textId="77777777" w:rsidR="00B4768A" w:rsidRPr="00C24CBB" w:rsidRDefault="00B4768A" w:rsidP="00C24CBB">
            <w:pPr>
              <w:pStyle w:val="TableTextCentered"/>
            </w:pPr>
            <w:r w:rsidRPr="00C24CBB">
              <w:t>2.1</w:t>
            </w:r>
          </w:p>
        </w:tc>
      </w:tr>
      <w:tr w:rsidR="00B4768A" w:rsidRPr="00016769" w14:paraId="4B24AFE7" w14:textId="77777777" w:rsidTr="00F00616">
        <w:trPr>
          <w:trHeight w:val="217"/>
        </w:trPr>
        <w:tc>
          <w:tcPr>
            <w:tcW w:w="3005" w:type="dxa"/>
            <w:tcBorders>
              <w:top w:val="nil"/>
              <w:left w:val="nil"/>
              <w:bottom w:val="nil"/>
              <w:right w:val="nil"/>
            </w:tcBorders>
            <w:shd w:val="clear" w:color="000000" w:fill="FFFFFF"/>
            <w:noWrap/>
            <w:vAlign w:val="center"/>
          </w:tcPr>
          <w:p w14:paraId="64C0909C" w14:textId="77777777" w:rsidR="00B4768A" w:rsidRPr="006E6EC1" w:rsidRDefault="00B4768A" w:rsidP="00C24CBB">
            <w:pPr>
              <w:pStyle w:val="TableTextLeft"/>
              <w:spacing w:before="20" w:after="20" w:line="240" w:lineRule="auto"/>
            </w:pPr>
            <w:r w:rsidRPr="006E6EC1">
              <w:t>Imports</w:t>
            </w:r>
          </w:p>
        </w:tc>
        <w:tc>
          <w:tcPr>
            <w:tcW w:w="2098" w:type="dxa"/>
            <w:tcBorders>
              <w:top w:val="nil"/>
              <w:left w:val="nil"/>
              <w:bottom w:val="nil"/>
              <w:right w:val="nil"/>
            </w:tcBorders>
            <w:shd w:val="clear" w:color="000000" w:fill="FFFFFF"/>
            <w:noWrap/>
            <w:vAlign w:val="center"/>
          </w:tcPr>
          <w:p w14:paraId="4A789932" w14:textId="77777777" w:rsidR="00B4768A" w:rsidRPr="00C24CBB" w:rsidRDefault="00B4768A" w:rsidP="00C24CBB">
            <w:pPr>
              <w:pStyle w:val="TableTextCentered"/>
            </w:pPr>
            <w:r w:rsidRPr="00C24CBB">
              <w:t>1.1</w:t>
            </w:r>
          </w:p>
        </w:tc>
        <w:tc>
          <w:tcPr>
            <w:tcW w:w="2098" w:type="dxa"/>
            <w:tcBorders>
              <w:top w:val="nil"/>
              <w:left w:val="nil"/>
              <w:bottom w:val="nil"/>
              <w:right w:val="nil"/>
            </w:tcBorders>
            <w:shd w:val="clear" w:color="000000" w:fill="FFFFFF"/>
            <w:noWrap/>
            <w:vAlign w:val="center"/>
          </w:tcPr>
          <w:p w14:paraId="0F99FBEB" w14:textId="77777777" w:rsidR="00B4768A" w:rsidRPr="00C24CBB" w:rsidRDefault="00B4768A" w:rsidP="00C24CBB">
            <w:pPr>
              <w:pStyle w:val="TableTextCentered"/>
            </w:pPr>
            <w:r w:rsidRPr="00C24CBB">
              <w:t>0.9</w:t>
            </w:r>
          </w:p>
        </w:tc>
        <w:tc>
          <w:tcPr>
            <w:tcW w:w="2098" w:type="dxa"/>
            <w:tcBorders>
              <w:top w:val="nil"/>
              <w:left w:val="nil"/>
              <w:bottom w:val="nil"/>
              <w:right w:val="nil"/>
            </w:tcBorders>
            <w:shd w:val="clear" w:color="000000" w:fill="FFFFFF"/>
            <w:noWrap/>
            <w:vAlign w:val="center"/>
          </w:tcPr>
          <w:p w14:paraId="2162174D" w14:textId="77777777" w:rsidR="00B4768A" w:rsidRPr="00C24CBB" w:rsidRDefault="00B4768A" w:rsidP="00C24CBB">
            <w:pPr>
              <w:pStyle w:val="TableTextCentered"/>
            </w:pPr>
            <w:r w:rsidRPr="00C24CBB">
              <w:t>1.1</w:t>
            </w:r>
          </w:p>
        </w:tc>
      </w:tr>
      <w:tr w:rsidR="00B4768A" w:rsidRPr="00016769" w14:paraId="24635930" w14:textId="77777777" w:rsidTr="00F00616">
        <w:trPr>
          <w:trHeight w:val="221"/>
        </w:trPr>
        <w:tc>
          <w:tcPr>
            <w:tcW w:w="3005" w:type="dxa"/>
            <w:tcBorders>
              <w:top w:val="nil"/>
              <w:left w:val="nil"/>
              <w:bottom w:val="nil"/>
              <w:right w:val="nil"/>
            </w:tcBorders>
            <w:shd w:val="clear" w:color="000000" w:fill="FFFFFF"/>
            <w:noWrap/>
            <w:vAlign w:val="center"/>
          </w:tcPr>
          <w:p w14:paraId="597CFCF8" w14:textId="77777777" w:rsidR="00B4768A" w:rsidRPr="006E6EC1" w:rsidRDefault="00B4768A" w:rsidP="00C24CBB">
            <w:pPr>
              <w:pStyle w:val="TableTextLeft"/>
              <w:spacing w:before="20" w:after="20" w:line="240" w:lineRule="auto"/>
            </w:pPr>
          </w:p>
        </w:tc>
        <w:tc>
          <w:tcPr>
            <w:tcW w:w="2098" w:type="dxa"/>
            <w:tcBorders>
              <w:top w:val="nil"/>
              <w:left w:val="nil"/>
              <w:bottom w:val="nil"/>
              <w:right w:val="nil"/>
            </w:tcBorders>
            <w:shd w:val="clear" w:color="000000" w:fill="FFFFFF"/>
            <w:noWrap/>
            <w:vAlign w:val="center"/>
          </w:tcPr>
          <w:p w14:paraId="2B019DF2" w14:textId="77777777" w:rsidR="00B4768A" w:rsidRPr="00C24CBB" w:rsidRDefault="00B4768A" w:rsidP="00C24CBB">
            <w:pPr>
              <w:pStyle w:val="TableTextCentered"/>
            </w:pPr>
          </w:p>
        </w:tc>
        <w:tc>
          <w:tcPr>
            <w:tcW w:w="2098" w:type="dxa"/>
            <w:tcBorders>
              <w:top w:val="nil"/>
              <w:left w:val="nil"/>
              <w:bottom w:val="nil"/>
              <w:right w:val="nil"/>
            </w:tcBorders>
            <w:shd w:val="clear" w:color="000000" w:fill="FFFFFF"/>
            <w:noWrap/>
            <w:vAlign w:val="center"/>
          </w:tcPr>
          <w:p w14:paraId="78151D4F" w14:textId="77777777" w:rsidR="00B4768A" w:rsidRPr="00C24CBB" w:rsidRDefault="00B4768A" w:rsidP="00C24CBB">
            <w:pPr>
              <w:pStyle w:val="TableTextCentered"/>
            </w:pPr>
          </w:p>
        </w:tc>
        <w:tc>
          <w:tcPr>
            <w:tcW w:w="2098" w:type="dxa"/>
            <w:tcBorders>
              <w:top w:val="nil"/>
              <w:left w:val="nil"/>
              <w:bottom w:val="nil"/>
              <w:right w:val="nil"/>
            </w:tcBorders>
            <w:shd w:val="clear" w:color="000000" w:fill="FFFFFF"/>
            <w:noWrap/>
            <w:vAlign w:val="center"/>
          </w:tcPr>
          <w:p w14:paraId="5D125C14" w14:textId="77777777" w:rsidR="00B4768A" w:rsidRPr="00C24CBB" w:rsidRDefault="00B4768A" w:rsidP="00C24CBB">
            <w:pPr>
              <w:pStyle w:val="TableTextCentered"/>
            </w:pPr>
          </w:p>
        </w:tc>
      </w:tr>
      <w:tr w:rsidR="00B4768A" w:rsidRPr="00016769" w14:paraId="126ACDEE" w14:textId="77777777" w:rsidTr="00F00616">
        <w:trPr>
          <w:trHeight w:val="197"/>
        </w:trPr>
        <w:tc>
          <w:tcPr>
            <w:tcW w:w="3005" w:type="dxa"/>
            <w:tcBorders>
              <w:top w:val="nil"/>
              <w:left w:val="nil"/>
              <w:bottom w:val="nil"/>
              <w:right w:val="nil"/>
            </w:tcBorders>
            <w:shd w:val="clear" w:color="000000" w:fill="FFFFFF"/>
            <w:noWrap/>
            <w:vAlign w:val="center"/>
          </w:tcPr>
          <w:p w14:paraId="12614BD3" w14:textId="77777777" w:rsidR="00B4768A" w:rsidRPr="006E6EC1" w:rsidRDefault="00B4768A" w:rsidP="00C24CBB">
            <w:pPr>
              <w:pStyle w:val="TableTextLeft"/>
              <w:spacing w:before="20" w:after="20" w:line="240" w:lineRule="auto"/>
            </w:pPr>
            <w:r w:rsidRPr="006E6EC1">
              <w:t>Employment</w:t>
            </w:r>
          </w:p>
        </w:tc>
        <w:tc>
          <w:tcPr>
            <w:tcW w:w="2098" w:type="dxa"/>
            <w:tcBorders>
              <w:top w:val="nil"/>
              <w:left w:val="nil"/>
              <w:bottom w:val="nil"/>
              <w:right w:val="nil"/>
            </w:tcBorders>
            <w:shd w:val="clear" w:color="000000" w:fill="FFFFFF"/>
            <w:noWrap/>
            <w:vAlign w:val="center"/>
          </w:tcPr>
          <w:p w14:paraId="39A698C5" w14:textId="77777777" w:rsidR="00B4768A" w:rsidRPr="00C24CBB" w:rsidRDefault="00B4768A" w:rsidP="00C24CBB">
            <w:pPr>
              <w:pStyle w:val="TableTextCentered"/>
            </w:pPr>
            <w:r w:rsidRPr="00C24CBB">
              <w:t>0.4</w:t>
            </w:r>
          </w:p>
        </w:tc>
        <w:tc>
          <w:tcPr>
            <w:tcW w:w="2098" w:type="dxa"/>
            <w:tcBorders>
              <w:top w:val="nil"/>
              <w:left w:val="nil"/>
              <w:bottom w:val="nil"/>
              <w:right w:val="nil"/>
            </w:tcBorders>
            <w:shd w:val="clear" w:color="000000" w:fill="FFFFFF"/>
            <w:noWrap/>
            <w:vAlign w:val="center"/>
          </w:tcPr>
          <w:p w14:paraId="473FA378" w14:textId="77777777" w:rsidR="00B4768A" w:rsidRPr="00C24CBB" w:rsidRDefault="00B4768A" w:rsidP="00C24CBB">
            <w:pPr>
              <w:pStyle w:val="TableTextCentered"/>
            </w:pPr>
            <w:r w:rsidRPr="00C24CBB">
              <w:t>0.1</w:t>
            </w:r>
          </w:p>
        </w:tc>
        <w:tc>
          <w:tcPr>
            <w:tcW w:w="2098" w:type="dxa"/>
            <w:tcBorders>
              <w:top w:val="nil"/>
              <w:left w:val="nil"/>
              <w:bottom w:val="nil"/>
              <w:right w:val="nil"/>
            </w:tcBorders>
            <w:shd w:val="clear" w:color="000000" w:fill="FFFFFF"/>
            <w:noWrap/>
            <w:vAlign w:val="center"/>
          </w:tcPr>
          <w:p w14:paraId="6F6F0DA1" w14:textId="77777777" w:rsidR="00B4768A" w:rsidRPr="00C24CBB" w:rsidRDefault="00B4768A" w:rsidP="00C24CBB">
            <w:pPr>
              <w:pStyle w:val="TableTextCentered"/>
            </w:pPr>
            <w:r w:rsidRPr="00C24CBB">
              <w:t>0.1</w:t>
            </w:r>
          </w:p>
        </w:tc>
      </w:tr>
      <w:tr w:rsidR="00B4768A" w:rsidRPr="00016769" w14:paraId="62BF516D" w14:textId="77777777" w:rsidTr="00F00616">
        <w:trPr>
          <w:trHeight w:val="187"/>
        </w:trPr>
        <w:tc>
          <w:tcPr>
            <w:tcW w:w="3005" w:type="dxa"/>
            <w:tcBorders>
              <w:top w:val="nil"/>
              <w:left w:val="nil"/>
              <w:bottom w:val="nil"/>
              <w:right w:val="nil"/>
            </w:tcBorders>
            <w:shd w:val="clear" w:color="000000" w:fill="FFFFFF"/>
            <w:noWrap/>
            <w:vAlign w:val="center"/>
          </w:tcPr>
          <w:p w14:paraId="266AE147" w14:textId="77777777" w:rsidR="00B4768A" w:rsidRPr="006E6EC1" w:rsidRDefault="00B4768A" w:rsidP="00C24CBB">
            <w:pPr>
              <w:pStyle w:val="TableTextLeft"/>
              <w:spacing w:before="20" w:after="20" w:line="240" w:lineRule="auto"/>
            </w:pPr>
            <w:r w:rsidRPr="006E6EC1">
              <w:t>Real wage (before tax)</w:t>
            </w:r>
          </w:p>
        </w:tc>
        <w:tc>
          <w:tcPr>
            <w:tcW w:w="2098" w:type="dxa"/>
            <w:tcBorders>
              <w:top w:val="nil"/>
              <w:left w:val="nil"/>
              <w:bottom w:val="nil"/>
              <w:right w:val="nil"/>
            </w:tcBorders>
            <w:shd w:val="clear" w:color="000000" w:fill="FFFFFF"/>
            <w:noWrap/>
            <w:vAlign w:val="center"/>
          </w:tcPr>
          <w:p w14:paraId="6D513503" w14:textId="77777777" w:rsidR="00B4768A" w:rsidRPr="00C24CBB" w:rsidRDefault="00B4768A" w:rsidP="00C24CBB">
            <w:pPr>
              <w:pStyle w:val="TableTextCentered"/>
            </w:pPr>
            <w:r w:rsidRPr="00C24CBB">
              <w:t>1.1</w:t>
            </w:r>
          </w:p>
        </w:tc>
        <w:tc>
          <w:tcPr>
            <w:tcW w:w="2098" w:type="dxa"/>
            <w:tcBorders>
              <w:top w:val="nil"/>
              <w:left w:val="nil"/>
              <w:bottom w:val="nil"/>
              <w:right w:val="nil"/>
            </w:tcBorders>
            <w:shd w:val="clear" w:color="000000" w:fill="FFFFFF"/>
            <w:noWrap/>
            <w:vAlign w:val="center"/>
          </w:tcPr>
          <w:p w14:paraId="5F6B9439" w14:textId="77777777" w:rsidR="00B4768A" w:rsidRPr="00C24CBB" w:rsidRDefault="00B4768A" w:rsidP="00C24CBB">
            <w:pPr>
              <w:pStyle w:val="TableTextCentered"/>
            </w:pPr>
            <w:r w:rsidRPr="00C24CBB">
              <w:t>1.2</w:t>
            </w:r>
          </w:p>
        </w:tc>
        <w:tc>
          <w:tcPr>
            <w:tcW w:w="2098" w:type="dxa"/>
            <w:tcBorders>
              <w:top w:val="nil"/>
              <w:left w:val="nil"/>
              <w:bottom w:val="nil"/>
              <w:right w:val="nil"/>
            </w:tcBorders>
            <w:shd w:val="clear" w:color="000000" w:fill="FFFFFF"/>
            <w:noWrap/>
            <w:vAlign w:val="center"/>
          </w:tcPr>
          <w:p w14:paraId="3D222A58" w14:textId="77777777" w:rsidR="00B4768A" w:rsidRPr="00C24CBB" w:rsidRDefault="00B4768A" w:rsidP="00C24CBB">
            <w:pPr>
              <w:pStyle w:val="TableTextCentered"/>
            </w:pPr>
            <w:r w:rsidRPr="00C24CBB">
              <w:t>1.1</w:t>
            </w:r>
          </w:p>
        </w:tc>
      </w:tr>
      <w:tr w:rsidR="00B4768A" w:rsidRPr="00016769" w14:paraId="0FC8D8A1" w14:textId="77777777" w:rsidTr="00F00616">
        <w:trPr>
          <w:trHeight w:val="205"/>
        </w:trPr>
        <w:tc>
          <w:tcPr>
            <w:tcW w:w="3005" w:type="dxa"/>
            <w:tcBorders>
              <w:top w:val="nil"/>
              <w:left w:val="nil"/>
              <w:bottom w:val="nil"/>
              <w:right w:val="nil"/>
            </w:tcBorders>
            <w:shd w:val="clear" w:color="000000" w:fill="FFFFFF"/>
            <w:noWrap/>
            <w:vAlign w:val="center"/>
          </w:tcPr>
          <w:p w14:paraId="60A3AC2C" w14:textId="77777777" w:rsidR="00B4768A" w:rsidRPr="006E6EC1" w:rsidRDefault="00B4768A" w:rsidP="00C24CBB">
            <w:pPr>
              <w:pStyle w:val="TableTextLeft"/>
              <w:spacing w:before="20" w:after="20" w:line="240" w:lineRule="auto"/>
            </w:pPr>
            <w:r w:rsidRPr="006E6EC1">
              <w:t>Real wage (after-tax)</w:t>
            </w:r>
          </w:p>
        </w:tc>
        <w:tc>
          <w:tcPr>
            <w:tcW w:w="2098" w:type="dxa"/>
            <w:tcBorders>
              <w:top w:val="nil"/>
              <w:left w:val="nil"/>
              <w:bottom w:val="nil"/>
              <w:right w:val="nil"/>
            </w:tcBorders>
            <w:shd w:val="clear" w:color="000000" w:fill="FFFFFF"/>
            <w:noWrap/>
            <w:vAlign w:val="center"/>
          </w:tcPr>
          <w:p w14:paraId="0210EB34" w14:textId="77777777" w:rsidR="00B4768A" w:rsidRPr="00C24CBB" w:rsidRDefault="00B4768A" w:rsidP="00C24CBB">
            <w:pPr>
              <w:pStyle w:val="TableTextCentered"/>
            </w:pPr>
            <w:r w:rsidRPr="00C24CBB">
              <w:t>1.1</w:t>
            </w:r>
          </w:p>
        </w:tc>
        <w:tc>
          <w:tcPr>
            <w:tcW w:w="2098" w:type="dxa"/>
            <w:tcBorders>
              <w:top w:val="nil"/>
              <w:left w:val="nil"/>
              <w:bottom w:val="nil"/>
              <w:right w:val="nil"/>
            </w:tcBorders>
            <w:shd w:val="clear" w:color="000000" w:fill="FFFFFF"/>
            <w:noWrap/>
            <w:vAlign w:val="center"/>
          </w:tcPr>
          <w:p w14:paraId="5E1BEDD9" w14:textId="77777777" w:rsidR="00B4768A" w:rsidRPr="00C24CBB" w:rsidRDefault="00B4768A" w:rsidP="00C24CBB">
            <w:pPr>
              <w:pStyle w:val="TableTextCentered"/>
            </w:pPr>
            <w:r w:rsidRPr="00C24CBB">
              <w:t>0.4</w:t>
            </w:r>
          </w:p>
        </w:tc>
        <w:tc>
          <w:tcPr>
            <w:tcW w:w="2098" w:type="dxa"/>
            <w:tcBorders>
              <w:top w:val="nil"/>
              <w:left w:val="nil"/>
              <w:bottom w:val="nil"/>
              <w:right w:val="nil"/>
            </w:tcBorders>
            <w:shd w:val="clear" w:color="000000" w:fill="FFFFFF"/>
            <w:noWrap/>
            <w:vAlign w:val="center"/>
          </w:tcPr>
          <w:p w14:paraId="7080945E" w14:textId="77777777" w:rsidR="00B4768A" w:rsidRPr="00C24CBB" w:rsidRDefault="00B4768A" w:rsidP="00C24CBB">
            <w:pPr>
              <w:pStyle w:val="TableTextCentered"/>
            </w:pPr>
            <w:r w:rsidRPr="00C24CBB">
              <w:t>1.1</w:t>
            </w:r>
          </w:p>
        </w:tc>
      </w:tr>
      <w:tr w:rsidR="00B4768A" w:rsidRPr="00016769" w14:paraId="3CA42F7A" w14:textId="77777777" w:rsidTr="00B948AD">
        <w:trPr>
          <w:trHeight w:val="195"/>
        </w:trPr>
        <w:tc>
          <w:tcPr>
            <w:tcW w:w="3005" w:type="dxa"/>
            <w:tcBorders>
              <w:top w:val="nil"/>
              <w:left w:val="nil"/>
              <w:right w:val="nil"/>
            </w:tcBorders>
            <w:shd w:val="clear" w:color="000000" w:fill="FFFFFF"/>
            <w:noWrap/>
            <w:vAlign w:val="center"/>
          </w:tcPr>
          <w:p w14:paraId="272B6358" w14:textId="77777777" w:rsidR="00B4768A" w:rsidRPr="006E6EC1" w:rsidRDefault="00B4768A" w:rsidP="00C24CBB">
            <w:pPr>
              <w:pStyle w:val="TableTextLeft"/>
              <w:spacing w:before="20" w:after="20" w:line="240" w:lineRule="auto"/>
            </w:pPr>
          </w:p>
        </w:tc>
        <w:tc>
          <w:tcPr>
            <w:tcW w:w="2098" w:type="dxa"/>
            <w:tcBorders>
              <w:top w:val="nil"/>
              <w:left w:val="nil"/>
              <w:right w:val="nil"/>
            </w:tcBorders>
            <w:shd w:val="clear" w:color="000000" w:fill="FFFFFF"/>
            <w:noWrap/>
            <w:vAlign w:val="center"/>
          </w:tcPr>
          <w:p w14:paraId="468EEC0D" w14:textId="77777777" w:rsidR="00B4768A" w:rsidRPr="00C24CBB" w:rsidRDefault="00B4768A" w:rsidP="00C24CBB">
            <w:pPr>
              <w:pStyle w:val="TableTextCentered"/>
            </w:pPr>
          </w:p>
        </w:tc>
        <w:tc>
          <w:tcPr>
            <w:tcW w:w="2098" w:type="dxa"/>
            <w:tcBorders>
              <w:top w:val="nil"/>
              <w:left w:val="nil"/>
              <w:right w:val="nil"/>
            </w:tcBorders>
            <w:shd w:val="clear" w:color="000000" w:fill="FFFFFF"/>
            <w:noWrap/>
            <w:vAlign w:val="center"/>
          </w:tcPr>
          <w:p w14:paraId="74029AB1" w14:textId="77777777" w:rsidR="00B4768A" w:rsidRPr="00C24CBB" w:rsidRDefault="00B4768A" w:rsidP="00C24CBB">
            <w:pPr>
              <w:pStyle w:val="TableTextCentered"/>
            </w:pPr>
          </w:p>
        </w:tc>
        <w:tc>
          <w:tcPr>
            <w:tcW w:w="2098" w:type="dxa"/>
            <w:tcBorders>
              <w:top w:val="nil"/>
              <w:left w:val="nil"/>
              <w:right w:val="nil"/>
            </w:tcBorders>
            <w:shd w:val="clear" w:color="000000" w:fill="FFFFFF"/>
            <w:noWrap/>
            <w:vAlign w:val="center"/>
          </w:tcPr>
          <w:p w14:paraId="22F56EB1" w14:textId="77777777" w:rsidR="00B4768A" w:rsidRPr="00C24CBB" w:rsidRDefault="00B4768A" w:rsidP="00C24CBB">
            <w:pPr>
              <w:pStyle w:val="TableTextCentered"/>
            </w:pPr>
          </w:p>
        </w:tc>
      </w:tr>
      <w:tr w:rsidR="00B4768A" w:rsidRPr="00016769" w14:paraId="768AE11C" w14:textId="77777777" w:rsidTr="00B948AD">
        <w:trPr>
          <w:trHeight w:val="185"/>
        </w:trPr>
        <w:tc>
          <w:tcPr>
            <w:tcW w:w="3005" w:type="dxa"/>
            <w:tcBorders>
              <w:top w:val="nil"/>
              <w:left w:val="nil"/>
              <w:bottom w:val="single" w:sz="4" w:space="0" w:color="003157"/>
              <w:right w:val="nil"/>
            </w:tcBorders>
            <w:shd w:val="clear" w:color="000000" w:fill="FFFFFF"/>
            <w:noWrap/>
            <w:vAlign w:val="center"/>
          </w:tcPr>
          <w:p w14:paraId="01BE377C" w14:textId="77777777" w:rsidR="00B4768A" w:rsidRPr="006E6EC1" w:rsidRDefault="00B4768A" w:rsidP="00C24CBB">
            <w:pPr>
              <w:pStyle w:val="TableTextLeft"/>
              <w:spacing w:before="20" w:after="20" w:line="240" w:lineRule="auto"/>
            </w:pPr>
            <w:r w:rsidRPr="006E6EC1">
              <w:t>Welfare (equivalent variation)</w:t>
            </w:r>
          </w:p>
        </w:tc>
        <w:tc>
          <w:tcPr>
            <w:tcW w:w="2098" w:type="dxa"/>
            <w:tcBorders>
              <w:top w:val="nil"/>
              <w:left w:val="nil"/>
              <w:bottom w:val="single" w:sz="4" w:space="0" w:color="003157"/>
              <w:right w:val="nil"/>
            </w:tcBorders>
            <w:shd w:val="clear" w:color="000000" w:fill="FFFFFF"/>
            <w:noWrap/>
            <w:vAlign w:val="center"/>
          </w:tcPr>
          <w:p w14:paraId="7963538E" w14:textId="77777777" w:rsidR="00B4768A" w:rsidRPr="00C24CBB" w:rsidRDefault="00B4768A" w:rsidP="00C24CBB">
            <w:pPr>
              <w:pStyle w:val="TableTextCentered"/>
            </w:pPr>
            <w:r w:rsidRPr="00C24CBB">
              <w:t>0.2</w:t>
            </w:r>
          </w:p>
        </w:tc>
        <w:tc>
          <w:tcPr>
            <w:tcW w:w="2098" w:type="dxa"/>
            <w:tcBorders>
              <w:top w:val="nil"/>
              <w:left w:val="nil"/>
              <w:bottom w:val="single" w:sz="4" w:space="0" w:color="003157"/>
              <w:right w:val="nil"/>
            </w:tcBorders>
            <w:shd w:val="clear" w:color="000000" w:fill="FFFFFF"/>
            <w:noWrap/>
            <w:vAlign w:val="center"/>
          </w:tcPr>
          <w:p w14:paraId="728961AD" w14:textId="77777777" w:rsidR="00B4768A" w:rsidRPr="00C24CBB" w:rsidRDefault="00B4768A" w:rsidP="00C24CBB">
            <w:pPr>
              <w:pStyle w:val="TableTextCentered"/>
            </w:pPr>
            <w:r w:rsidRPr="00C24CBB">
              <w:t>0.1</w:t>
            </w:r>
          </w:p>
        </w:tc>
        <w:tc>
          <w:tcPr>
            <w:tcW w:w="2098" w:type="dxa"/>
            <w:tcBorders>
              <w:top w:val="nil"/>
              <w:left w:val="nil"/>
              <w:bottom w:val="single" w:sz="4" w:space="0" w:color="003157"/>
              <w:right w:val="nil"/>
            </w:tcBorders>
            <w:shd w:val="clear" w:color="000000" w:fill="FFFFFF"/>
            <w:noWrap/>
            <w:vAlign w:val="center"/>
          </w:tcPr>
          <w:p w14:paraId="1B751A9E" w14:textId="77777777" w:rsidR="00B4768A" w:rsidRPr="00C24CBB" w:rsidRDefault="00B4768A" w:rsidP="00C24CBB">
            <w:pPr>
              <w:pStyle w:val="TableTextCentered"/>
            </w:pPr>
            <w:r w:rsidRPr="00C24CBB">
              <w:t>0.7</w:t>
            </w:r>
          </w:p>
        </w:tc>
      </w:tr>
    </w:tbl>
    <w:p w14:paraId="48EAD47A" w14:textId="77777777" w:rsidR="00006011" w:rsidRDefault="00006011" w:rsidP="006E6EC1">
      <w:pPr>
        <w:pStyle w:val="Source"/>
      </w:pPr>
      <w:r w:rsidRPr="005A2B26">
        <w:t xml:space="preserve">Source: </w:t>
      </w:r>
      <w:r w:rsidR="009D19D7">
        <w:t>Treasury estimates</w:t>
      </w:r>
      <w:r w:rsidRPr="005A2B26">
        <w:t xml:space="preserve">  </w:t>
      </w:r>
    </w:p>
    <w:p w14:paraId="73E615F9" w14:textId="77777777" w:rsidR="009672D2" w:rsidRDefault="00712BF6" w:rsidP="009672D2">
      <w:pPr>
        <w:pStyle w:val="Abstract"/>
      </w:pPr>
      <w:r>
        <w:t>Model-based a</w:t>
      </w:r>
      <w:r w:rsidR="009672D2">
        <w:t xml:space="preserve">nalysis presented here suggests the long-term benefits accrue to workers and households via permanently higher after tax wages and consumption. Some results are sensitive </w:t>
      </w:r>
      <w:r w:rsidR="00F424BA">
        <w:t xml:space="preserve">to </w:t>
      </w:r>
      <w:r w:rsidR="009672D2">
        <w:t xml:space="preserve">the method of financing. Table </w:t>
      </w:r>
      <w:r w:rsidR="0072571E">
        <w:t>1</w:t>
      </w:r>
      <w:r w:rsidR="009672D2">
        <w:t xml:space="preserve"> summarises the paper’s main results:</w:t>
      </w:r>
    </w:p>
    <w:p w14:paraId="5CE5E080" w14:textId="77777777" w:rsidR="009672D2" w:rsidRDefault="009672D2" w:rsidP="009672D2">
      <w:pPr>
        <w:numPr>
          <w:ilvl w:val="0"/>
          <w:numId w:val="18"/>
        </w:numPr>
        <w:tabs>
          <w:tab w:val="clear" w:pos="614"/>
          <w:tab w:val="num" w:pos="426"/>
        </w:tabs>
        <w:spacing w:after="120"/>
        <w:ind w:left="426" w:hanging="426"/>
        <w:rPr>
          <w:color w:val="auto"/>
        </w:rPr>
      </w:pPr>
      <w:r>
        <w:t>Aggregate domestic activity (GDP) is somewhat invariant to the funding source.</w:t>
      </w:r>
    </w:p>
    <w:p w14:paraId="79E26FAE" w14:textId="77777777" w:rsidR="009672D2" w:rsidRPr="009305FD" w:rsidRDefault="009672D2" w:rsidP="009672D2">
      <w:pPr>
        <w:numPr>
          <w:ilvl w:val="0"/>
          <w:numId w:val="18"/>
        </w:numPr>
        <w:tabs>
          <w:tab w:val="clear" w:pos="614"/>
          <w:tab w:val="num" w:pos="426"/>
        </w:tabs>
        <w:spacing w:after="120"/>
        <w:ind w:left="426" w:hanging="426"/>
        <w:rPr>
          <w:color w:val="auto"/>
        </w:rPr>
      </w:pPr>
      <w:r>
        <w:t>Investment expenditure is somewhat invariant to the funding source. As such</w:t>
      </w:r>
      <w:r w:rsidR="00D33FDE">
        <w:t>,</w:t>
      </w:r>
      <w:r>
        <w:t xml:space="preserve"> the expansion of the capital stock and rise in foreign liabilities is similar across scenarios, which implies roughly unchanged detraction to GNI from foreign payments, with changes in GNI outcomes mirroring changes to GDP.</w:t>
      </w:r>
    </w:p>
    <w:p w14:paraId="7EE3569A" w14:textId="77777777" w:rsidR="009305FD" w:rsidRDefault="009305FD" w:rsidP="009672D2">
      <w:pPr>
        <w:numPr>
          <w:ilvl w:val="0"/>
          <w:numId w:val="18"/>
        </w:numPr>
        <w:tabs>
          <w:tab w:val="clear" w:pos="614"/>
          <w:tab w:val="num" w:pos="426"/>
        </w:tabs>
        <w:spacing w:after="120"/>
        <w:ind w:left="426" w:hanging="426"/>
        <w:rPr>
          <w:color w:val="auto"/>
        </w:rPr>
      </w:pPr>
      <w:r>
        <w:t>Improvements to GNI are largely (and in some cases entirely) due to improvements in real wages.</w:t>
      </w:r>
    </w:p>
    <w:p w14:paraId="727E3D77" w14:textId="77777777" w:rsidR="009672D2" w:rsidRDefault="009672D2" w:rsidP="009672D2">
      <w:pPr>
        <w:numPr>
          <w:ilvl w:val="0"/>
          <w:numId w:val="18"/>
        </w:numPr>
        <w:tabs>
          <w:tab w:val="clear" w:pos="614"/>
          <w:tab w:val="num" w:pos="426"/>
        </w:tabs>
        <w:spacing w:after="120"/>
        <w:ind w:left="426" w:hanging="426"/>
        <w:rPr>
          <w:color w:val="auto"/>
        </w:rPr>
      </w:pPr>
      <w:r>
        <w:t>Consumption</w:t>
      </w:r>
      <w:r w:rsidR="008950A3">
        <w:t>,</w:t>
      </w:r>
      <w:r>
        <w:t xml:space="preserve"> because it depends on after tax income</w:t>
      </w:r>
      <w:r w:rsidR="008950A3">
        <w:t>,</w:t>
      </w:r>
      <w:r>
        <w:t xml:space="preserve"> is somewhat sensitiv</w:t>
      </w:r>
      <w:r w:rsidR="008950A3">
        <w:t>e</w:t>
      </w:r>
      <w:r>
        <w:t xml:space="preserve"> to the funding source.</w:t>
      </w:r>
    </w:p>
    <w:p w14:paraId="7008F13E" w14:textId="77777777" w:rsidR="009672D2" w:rsidRDefault="009672D2" w:rsidP="009672D2">
      <w:pPr>
        <w:numPr>
          <w:ilvl w:val="0"/>
          <w:numId w:val="18"/>
        </w:numPr>
        <w:tabs>
          <w:tab w:val="clear" w:pos="614"/>
          <w:tab w:val="num" w:pos="426"/>
        </w:tabs>
        <w:spacing w:after="120"/>
        <w:ind w:left="426" w:hanging="426"/>
        <w:rPr>
          <w:color w:val="auto"/>
        </w:rPr>
      </w:pPr>
      <w:r>
        <w:t>Employment, like consumption, depends on after tax income so it is sensitive to the funding source.</w:t>
      </w:r>
    </w:p>
    <w:p w14:paraId="221BD0D6" w14:textId="77777777" w:rsidR="009672D2" w:rsidRPr="002D7D7A" w:rsidRDefault="009672D2" w:rsidP="009672D2">
      <w:pPr>
        <w:numPr>
          <w:ilvl w:val="0"/>
          <w:numId w:val="18"/>
        </w:numPr>
        <w:tabs>
          <w:tab w:val="clear" w:pos="614"/>
          <w:tab w:val="num" w:pos="426"/>
        </w:tabs>
        <w:spacing w:after="120"/>
        <w:ind w:left="426" w:hanging="426"/>
        <w:rPr>
          <w:color w:val="auto"/>
        </w:rPr>
      </w:pPr>
      <w:r>
        <w:t xml:space="preserve">Because consumption and employment are </w:t>
      </w:r>
      <w:r w:rsidR="00F424BA">
        <w:t xml:space="preserve">sensitive to the funding source, </w:t>
      </w:r>
      <w:r>
        <w:t>it follows that welfare also depends on the funding source.</w:t>
      </w:r>
    </w:p>
    <w:p w14:paraId="20275838" w14:textId="77777777" w:rsidR="002E4B7A" w:rsidRPr="002E4B7A" w:rsidRDefault="009672D2" w:rsidP="009672D2">
      <w:pPr>
        <w:numPr>
          <w:ilvl w:val="0"/>
          <w:numId w:val="18"/>
        </w:numPr>
        <w:tabs>
          <w:tab w:val="clear" w:pos="614"/>
          <w:tab w:val="num" w:pos="426"/>
        </w:tabs>
        <w:spacing w:after="120"/>
        <w:ind w:left="426" w:hanging="426"/>
        <w:rPr>
          <w:color w:val="auto"/>
        </w:rPr>
      </w:pPr>
      <w:r>
        <w:t xml:space="preserve">Households are better off under all three scenarios. </w:t>
      </w:r>
      <w:r w:rsidR="00161588">
        <w:t>Financing the company tax cut via a g</w:t>
      </w:r>
      <w:r>
        <w:t xml:space="preserve">overnment spending cut yields the greatest welfare gain, while the </w:t>
      </w:r>
      <w:r w:rsidR="002D3E2E">
        <w:t xml:space="preserve">personal income tax </w:t>
      </w:r>
      <w:r>
        <w:t>funded scenario yields the lowest welfare gain.</w:t>
      </w:r>
      <w:r w:rsidR="002E4B7A">
        <w:t xml:space="preserve"> </w:t>
      </w:r>
    </w:p>
    <w:p w14:paraId="207011D8" w14:textId="77777777" w:rsidR="009672D2" w:rsidRPr="002D3E2E" w:rsidRDefault="008950A3" w:rsidP="009672D2">
      <w:pPr>
        <w:numPr>
          <w:ilvl w:val="0"/>
          <w:numId w:val="18"/>
        </w:numPr>
        <w:tabs>
          <w:tab w:val="clear" w:pos="614"/>
          <w:tab w:val="num" w:pos="426"/>
        </w:tabs>
        <w:spacing w:after="120"/>
        <w:ind w:left="426" w:hanging="426"/>
        <w:rPr>
          <w:color w:val="auto"/>
        </w:rPr>
      </w:pPr>
      <w:r>
        <w:rPr>
          <w:color w:val="auto"/>
        </w:rPr>
        <w:t>An important caveat is that g</w:t>
      </w:r>
      <w:r w:rsidR="002E4B7A" w:rsidRPr="00E11B28">
        <w:rPr>
          <w:color w:val="auto"/>
        </w:rPr>
        <w:t xml:space="preserve">overnment spending is assumed not </w:t>
      </w:r>
      <w:r>
        <w:rPr>
          <w:color w:val="auto"/>
        </w:rPr>
        <w:t xml:space="preserve">to affect </w:t>
      </w:r>
      <w:r w:rsidR="002E4B7A" w:rsidRPr="00E11B28">
        <w:rPr>
          <w:color w:val="auto"/>
        </w:rPr>
        <w:t>directly the welfare of households.</w:t>
      </w:r>
      <w:r w:rsidR="002E4B7A">
        <w:rPr>
          <w:color w:val="auto"/>
        </w:rPr>
        <w:t xml:space="preserve"> </w:t>
      </w:r>
      <w:r w:rsidR="002E4B7A">
        <w:t>While this is a common modelling</w:t>
      </w:r>
      <w:r w:rsidR="00DC25A9">
        <w:t xml:space="preserve"> assumption it ignores the fact</w:t>
      </w:r>
      <w:r w:rsidR="002E4B7A">
        <w:t xml:space="preserve"> that: government spending provides goods and services that would otherwise not be provided by the market sector; households derive direct utility from government spending; and infrastructure spending can improve market sector productivity.</w:t>
      </w:r>
      <w:r w:rsidR="002E4B7A">
        <w:rPr>
          <w:color w:val="auto"/>
        </w:rPr>
        <w:t xml:space="preserve"> This suggests the </w:t>
      </w:r>
      <w:r>
        <w:rPr>
          <w:color w:val="auto"/>
        </w:rPr>
        <w:t>analysis</w:t>
      </w:r>
      <w:r w:rsidR="002E4B7A">
        <w:rPr>
          <w:color w:val="auto"/>
        </w:rPr>
        <w:t xml:space="preserve"> overstate</w:t>
      </w:r>
      <w:r>
        <w:rPr>
          <w:color w:val="auto"/>
        </w:rPr>
        <w:t>s</w:t>
      </w:r>
      <w:r w:rsidR="002E4B7A">
        <w:rPr>
          <w:color w:val="auto"/>
        </w:rPr>
        <w:t xml:space="preserve"> the benefits of this funding alternative.</w:t>
      </w:r>
    </w:p>
    <w:p w14:paraId="06695979" w14:textId="77777777" w:rsidR="002D3E2E" w:rsidRPr="009672D2" w:rsidRDefault="00EF0722" w:rsidP="009672D2">
      <w:pPr>
        <w:numPr>
          <w:ilvl w:val="0"/>
          <w:numId w:val="18"/>
        </w:numPr>
        <w:tabs>
          <w:tab w:val="clear" w:pos="614"/>
          <w:tab w:val="num" w:pos="426"/>
        </w:tabs>
        <w:spacing w:after="120"/>
        <w:ind w:left="426" w:hanging="426"/>
        <w:rPr>
          <w:color w:val="auto"/>
        </w:rPr>
      </w:pPr>
      <w:r>
        <w:lastRenderedPageBreak/>
        <w:t>Model-based estimates suggest a</w:t>
      </w:r>
      <w:r w:rsidR="002D3E2E">
        <w:t xml:space="preserve"> significant proportion (</w:t>
      </w:r>
      <w:r w:rsidR="00FC6643">
        <w:t>ranging from</w:t>
      </w:r>
      <w:r w:rsidR="002D3E2E">
        <w:t xml:space="preserve"> 35 to 50 per cent) of the direct cut in company tax revenue is </w:t>
      </w:r>
      <w:r>
        <w:t>recovered</w:t>
      </w:r>
      <w:r w:rsidR="002D3E2E">
        <w:t xml:space="preserve"> through higher tax receipts from increased economic activity.</w:t>
      </w:r>
    </w:p>
    <w:p w14:paraId="129A2DCF" w14:textId="77777777" w:rsidR="00365C6D" w:rsidRDefault="00365C6D" w:rsidP="00F012EA"/>
    <w:p w14:paraId="3FDC102D" w14:textId="77777777" w:rsidR="00F012EA" w:rsidRDefault="00F012EA" w:rsidP="008627B1">
      <w:pPr>
        <w:sectPr w:rsidR="00F012EA" w:rsidSect="008C0793">
          <w:headerReference w:type="first" r:id="rId45"/>
          <w:footerReference w:type="first" r:id="rId46"/>
          <w:pgSz w:w="11906" w:h="16838" w:code="9"/>
          <w:pgMar w:top="1418" w:right="1304" w:bottom="1418" w:left="1304" w:header="567" w:footer="567" w:gutter="0"/>
          <w:pgNumType w:start="1"/>
          <w:cols w:space="708"/>
          <w:titlePg/>
          <w:docGrid w:linePitch="360"/>
        </w:sectPr>
      </w:pPr>
    </w:p>
    <w:p w14:paraId="78656E1A" w14:textId="77777777" w:rsidR="00F012EA" w:rsidRDefault="00FD1094" w:rsidP="00F012EA">
      <w:pPr>
        <w:pStyle w:val="AppendixHeadingLevel2NotNumbered"/>
      </w:pPr>
      <w:r>
        <w:lastRenderedPageBreak/>
        <w:t>References</w:t>
      </w:r>
    </w:p>
    <w:p w14:paraId="663DE0E4" w14:textId="77777777" w:rsidR="007A3BF4" w:rsidRPr="007A3BF4" w:rsidRDefault="007A3BF4" w:rsidP="007A3BF4">
      <w:pPr>
        <w:rPr>
          <w:color w:val="auto"/>
        </w:rPr>
      </w:pPr>
      <w:r w:rsidRPr="007A3BF4">
        <w:rPr>
          <w:color w:val="auto"/>
        </w:rPr>
        <w:t xml:space="preserve">Australian Government (2010) </w:t>
      </w:r>
      <w:r w:rsidRPr="007A3BF4">
        <w:rPr>
          <w:i/>
          <w:color w:val="auto"/>
        </w:rPr>
        <w:t>Australia’s Future Tax System</w:t>
      </w:r>
      <w:r w:rsidRPr="007A3BF4">
        <w:rPr>
          <w:color w:val="auto"/>
        </w:rPr>
        <w:t>, Canberra.</w:t>
      </w:r>
    </w:p>
    <w:p w14:paraId="6EE977FF" w14:textId="77777777" w:rsidR="007A3BF4" w:rsidRPr="007A3BF4" w:rsidRDefault="007A3BF4" w:rsidP="007A3BF4">
      <w:pPr>
        <w:rPr>
          <w:color w:val="auto"/>
        </w:rPr>
      </w:pPr>
      <w:r w:rsidRPr="007A3BF4">
        <w:rPr>
          <w:i/>
          <w:color w:val="auto"/>
        </w:rPr>
        <w:t>Australian Government (2012) Business Tax Working Group</w:t>
      </w:r>
      <w:r w:rsidRPr="007A3BF4">
        <w:rPr>
          <w:color w:val="auto"/>
        </w:rPr>
        <w:t>: Final report, Canberra.</w:t>
      </w:r>
    </w:p>
    <w:p w14:paraId="0DAD646E" w14:textId="77777777" w:rsidR="00F424BA" w:rsidRPr="007A3BF4" w:rsidRDefault="00F424BA" w:rsidP="007A3BF4">
      <w:pPr>
        <w:rPr>
          <w:color w:val="auto"/>
        </w:rPr>
      </w:pPr>
      <w:r>
        <w:rPr>
          <w:color w:val="auto"/>
        </w:rPr>
        <w:t xml:space="preserve">Cao, L., Hosking, A., Kouparitsas, M., Mullaly, M., Rimmer, X., Shi, Q., Stark, W., and Wende, S. (2015) </w:t>
      </w:r>
      <w:r w:rsidRPr="009918FD">
        <w:rPr>
          <w:i/>
          <w:color w:val="auto"/>
        </w:rPr>
        <w:t>Understanding the Economy-wide Efficiency and Incidence of Major Australian Taxes</w:t>
      </w:r>
      <w:r>
        <w:rPr>
          <w:color w:val="auto"/>
        </w:rPr>
        <w:t>, Treasury Working Paper</w:t>
      </w:r>
      <w:r w:rsidR="00657031">
        <w:rPr>
          <w:color w:val="auto"/>
        </w:rPr>
        <w:t xml:space="preserve"> 2015-01, Canberra. </w:t>
      </w:r>
    </w:p>
    <w:p w14:paraId="4FF28DED" w14:textId="77777777" w:rsidR="007A3BF4" w:rsidRPr="007A3BF4" w:rsidRDefault="007A3BF4" w:rsidP="007A3BF4">
      <w:pPr>
        <w:rPr>
          <w:color w:val="auto"/>
        </w:rPr>
      </w:pPr>
      <w:r w:rsidRPr="007A3BF4">
        <w:rPr>
          <w:color w:val="auto"/>
        </w:rPr>
        <w:t xml:space="preserve">Dandie, S. and Mercante, J. (2007) </w:t>
      </w:r>
      <w:r w:rsidRPr="007A3BF4">
        <w:rPr>
          <w:i/>
          <w:color w:val="auto"/>
        </w:rPr>
        <w:t>Australian labour supply elasticities: Comparison and critical review</w:t>
      </w:r>
      <w:r w:rsidRPr="007A3BF4">
        <w:rPr>
          <w:color w:val="auto"/>
        </w:rPr>
        <w:t>, Treasury Working Paper 2007</w:t>
      </w:r>
      <w:r w:rsidRPr="007A3BF4">
        <w:rPr>
          <w:color w:val="auto"/>
        </w:rPr>
        <w:noBreakHyphen/>
        <w:t>04, The Treasury.</w:t>
      </w:r>
    </w:p>
    <w:p w14:paraId="273B9F41" w14:textId="77777777" w:rsidR="007A3BF4" w:rsidRDefault="007A3BF4" w:rsidP="007A3BF4">
      <w:pPr>
        <w:rPr>
          <w:color w:val="auto"/>
        </w:rPr>
      </w:pPr>
      <w:r w:rsidRPr="007A3BF4">
        <w:rPr>
          <w:color w:val="auto"/>
        </w:rPr>
        <w:t xml:space="preserve">De Mooij, R.A. and Devereux, M.P. (2011) </w:t>
      </w:r>
      <w:r w:rsidRPr="007A3BF4">
        <w:rPr>
          <w:i/>
          <w:color w:val="auto"/>
        </w:rPr>
        <w:t>An applied analysis of ACE and CBIT reforms in the EU, International Tax and Public Finance</w:t>
      </w:r>
      <w:r w:rsidRPr="007A3BF4">
        <w:rPr>
          <w:color w:val="auto"/>
        </w:rPr>
        <w:t>, Vol. 18, Issue. 1, pp. 93</w:t>
      </w:r>
      <w:r w:rsidRPr="007A3BF4">
        <w:rPr>
          <w:color w:val="auto"/>
        </w:rPr>
        <w:noBreakHyphen/>
        <w:t>120.</w:t>
      </w:r>
    </w:p>
    <w:p w14:paraId="35595881" w14:textId="77777777" w:rsidR="00925BBE" w:rsidRPr="007A3BF4" w:rsidRDefault="00925BBE" w:rsidP="007A3BF4">
      <w:pPr>
        <w:rPr>
          <w:color w:val="auto"/>
        </w:rPr>
      </w:pPr>
      <w:r>
        <w:rPr>
          <w:color w:val="auto"/>
        </w:rPr>
        <w:t xml:space="preserve">Freebairn, J. (2015) </w:t>
      </w:r>
      <w:r w:rsidRPr="00B51DA1">
        <w:rPr>
          <w:i/>
          <w:color w:val="auto"/>
        </w:rPr>
        <w:t>Who pays the Australian Corporate Income Tax?</w:t>
      </w:r>
      <w:r>
        <w:rPr>
          <w:color w:val="auto"/>
        </w:rPr>
        <w:t>, The Australian Economic Review, Vol. 48, No. 4, pp. 357</w:t>
      </w:r>
      <w:r w:rsidRPr="007A3BF4">
        <w:rPr>
          <w:color w:val="auto"/>
        </w:rPr>
        <w:noBreakHyphen/>
      </w:r>
      <w:r>
        <w:rPr>
          <w:color w:val="auto"/>
        </w:rPr>
        <w:t>68.</w:t>
      </w:r>
    </w:p>
    <w:p w14:paraId="3FA5292D" w14:textId="77777777" w:rsidR="007A3BF4" w:rsidRPr="007A3BF4" w:rsidRDefault="007A3BF4" w:rsidP="007A3BF4">
      <w:pPr>
        <w:rPr>
          <w:rFonts w:cs="BookAntiqua"/>
          <w:color w:val="auto"/>
        </w:rPr>
      </w:pPr>
      <w:r w:rsidRPr="007A3BF4">
        <w:rPr>
          <w:color w:val="auto"/>
        </w:rPr>
        <w:t xml:space="preserve">Gravelle, J. (2010) </w:t>
      </w:r>
      <w:r w:rsidRPr="007A3BF4">
        <w:rPr>
          <w:i/>
          <w:color w:val="auto"/>
        </w:rPr>
        <w:t>Corporate tax incidence: Review of general equilibrium estimates and analysis, Congressional Budget Office</w:t>
      </w:r>
      <w:r w:rsidRPr="007A3BF4">
        <w:rPr>
          <w:color w:val="auto"/>
        </w:rPr>
        <w:t xml:space="preserve">, Washington, D.C. </w:t>
      </w:r>
      <w:hyperlink r:id="rId47" w:history="1">
        <w:r w:rsidRPr="007A3BF4">
          <w:rPr>
            <w:rFonts w:cs="BookAntiqua"/>
            <w:color w:val="0000FF" w:themeColor="hyperlink"/>
            <w:u w:val="single"/>
          </w:rPr>
          <w:t>http://www.law.upenn.edu/academics/institutes/tax/201112papers/Gravelle.pdf</w:t>
        </w:r>
      </w:hyperlink>
    </w:p>
    <w:p w14:paraId="3E2974CC" w14:textId="77777777" w:rsidR="007A3BF4" w:rsidRPr="007A3BF4" w:rsidRDefault="007A3BF4" w:rsidP="007A3BF4">
      <w:pPr>
        <w:rPr>
          <w:color w:val="auto"/>
        </w:rPr>
      </w:pPr>
      <w:r w:rsidRPr="007A3BF4">
        <w:rPr>
          <w:color w:val="auto"/>
        </w:rPr>
        <w:t xml:space="preserve">Grubert, H. and Mutti, J.H. (1985) </w:t>
      </w:r>
      <w:r w:rsidRPr="007A3BF4">
        <w:rPr>
          <w:i/>
          <w:color w:val="auto"/>
        </w:rPr>
        <w:t>The taxation of capital income in an open economy: The importance of resident</w:t>
      </w:r>
      <w:r w:rsidRPr="007A3BF4">
        <w:rPr>
          <w:i/>
          <w:color w:val="auto"/>
        </w:rPr>
        <w:noBreakHyphen/>
        <w:t>nonresident tax treatment</w:t>
      </w:r>
      <w:r w:rsidRPr="007A3BF4">
        <w:rPr>
          <w:color w:val="auto"/>
        </w:rPr>
        <w:t>, Journal of Public Economics, Vol. 27 (August), pp. 203</w:t>
      </w:r>
      <w:r w:rsidRPr="007A3BF4">
        <w:rPr>
          <w:color w:val="auto"/>
        </w:rPr>
        <w:noBreakHyphen/>
        <w:t>224.</w:t>
      </w:r>
    </w:p>
    <w:p w14:paraId="57727A98" w14:textId="77777777" w:rsidR="007A3BF4" w:rsidRDefault="007A3BF4" w:rsidP="007A3BF4">
      <w:pPr>
        <w:rPr>
          <w:color w:val="auto"/>
        </w:rPr>
      </w:pPr>
      <w:r w:rsidRPr="007A3BF4">
        <w:rPr>
          <w:color w:val="auto"/>
        </w:rPr>
        <w:t xml:space="preserve">Gunning ,T., Diamond, J. and Zodrow, G. (2007) </w:t>
      </w:r>
      <w:r w:rsidRPr="007A3BF4">
        <w:rPr>
          <w:i/>
          <w:color w:val="auto"/>
        </w:rPr>
        <w:t>Selecting parameter values for general equilibrium model simulations</w:t>
      </w:r>
      <w:r w:rsidRPr="007A3BF4">
        <w:rPr>
          <w:color w:val="auto"/>
        </w:rPr>
        <w:t>, National Tax Association Proceedings from the 100</w:t>
      </w:r>
      <w:r w:rsidRPr="007A3BF4">
        <w:rPr>
          <w:color w:val="auto"/>
          <w:vertAlign w:val="superscript"/>
        </w:rPr>
        <w:t>th</w:t>
      </w:r>
      <w:r w:rsidRPr="007A3BF4">
        <w:rPr>
          <w:color w:val="auto"/>
        </w:rPr>
        <w:t xml:space="preserve"> Annual Conference in Columbia, Ohio, 2007.</w:t>
      </w:r>
    </w:p>
    <w:p w14:paraId="5DD5F3CE" w14:textId="77777777" w:rsidR="001B7E1C" w:rsidRPr="007A3BF4" w:rsidRDefault="001B7E1C" w:rsidP="007A3BF4">
      <w:pPr>
        <w:rPr>
          <w:color w:val="auto"/>
        </w:rPr>
      </w:pPr>
      <w:r>
        <w:rPr>
          <w:color w:val="auto"/>
        </w:rPr>
        <w:t xml:space="preserve">HM Treasury (2013) </w:t>
      </w:r>
      <w:r w:rsidRPr="001B7E1C">
        <w:rPr>
          <w:i/>
          <w:color w:val="auto"/>
        </w:rPr>
        <w:t>Analysis of the dynamic effects of corporation tax reductions</w:t>
      </w:r>
      <w:r>
        <w:rPr>
          <w:color w:val="auto"/>
        </w:rPr>
        <w:t>, HM Treasury and HM R</w:t>
      </w:r>
      <w:r w:rsidR="00D24084">
        <w:rPr>
          <w:color w:val="auto"/>
        </w:rPr>
        <w:t>evenue Office, London, UK.</w:t>
      </w:r>
    </w:p>
    <w:p w14:paraId="73F716D3" w14:textId="77777777" w:rsidR="007A3BF4" w:rsidRPr="007A3BF4" w:rsidRDefault="007A3BF4" w:rsidP="007A3BF4">
      <w:pPr>
        <w:rPr>
          <w:color w:val="0000FF" w:themeColor="hyperlink"/>
          <w:u w:val="single"/>
        </w:rPr>
      </w:pPr>
      <w:r w:rsidRPr="007A3BF4">
        <w:rPr>
          <w:color w:val="auto"/>
        </w:rPr>
        <w:t xml:space="preserve">Independent Economics (2012) </w:t>
      </w:r>
      <w:hyperlink r:id="rId48" w:history="1">
        <w:r w:rsidRPr="007A3BF4">
          <w:rPr>
            <w:i/>
            <w:color w:val="auto"/>
          </w:rPr>
          <w:t>The Independent CGE model: Model Documentation</w:t>
        </w:r>
      </w:hyperlink>
      <w:r w:rsidRPr="007A3BF4">
        <w:rPr>
          <w:color w:val="auto"/>
        </w:rPr>
        <w:t xml:space="preserve">, Canberra. </w:t>
      </w:r>
      <w:hyperlink r:id="rId49" w:history="1">
        <w:r w:rsidRPr="007A3BF4">
          <w:rPr>
            <w:color w:val="0000FF" w:themeColor="hyperlink"/>
            <w:u w:val="single"/>
          </w:rPr>
          <w:t>http://www.independenteconomics.com.au/information/models/Independent%20CGE%20model%20Dec%202012.pdf</w:t>
        </w:r>
      </w:hyperlink>
    </w:p>
    <w:p w14:paraId="6933998E" w14:textId="77777777" w:rsidR="007A3BF4" w:rsidRPr="007A3BF4" w:rsidRDefault="007A3BF4" w:rsidP="007A3BF4">
      <w:pPr>
        <w:rPr>
          <w:color w:val="auto"/>
        </w:rPr>
      </w:pPr>
      <w:r w:rsidRPr="005055AA">
        <w:rPr>
          <w:color w:val="auto"/>
        </w:rPr>
        <w:t>Independent Economics (2014)</w:t>
      </w:r>
      <w:r w:rsidRPr="007A3BF4">
        <w:rPr>
          <w:i/>
          <w:color w:val="auto"/>
        </w:rPr>
        <w:t xml:space="preserve"> Economic impacts of negative gearing of residential property</w:t>
      </w:r>
      <w:r w:rsidRPr="007A3BF4">
        <w:rPr>
          <w:color w:val="auto"/>
        </w:rPr>
        <w:t>: Report prepared for the Housing Industry Association, July 2014.</w:t>
      </w:r>
    </w:p>
    <w:p w14:paraId="7B96D4FE" w14:textId="77777777" w:rsidR="007A3BF4" w:rsidRPr="007A3BF4" w:rsidRDefault="007A3BF4" w:rsidP="007A3BF4">
      <w:pPr>
        <w:rPr>
          <w:color w:val="auto"/>
        </w:rPr>
      </w:pPr>
      <w:r w:rsidRPr="007A3BF4">
        <w:rPr>
          <w:color w:val="auto"/>
        </w:rPr>
        <w:t xml:space="preserve">Johansson, A., Heady, C., Arnold, J., Brys, B. and Vartia, L. (2008) </w:t>
      </w:r>
      <w:r w:rsidRPr="007A3BF4">
        <w:rPr>
          <w:i/>
          <w:color w:val="auto"/>
        </w:rPr>
        <w:t>Tax and economic growth</w:t>
      </w:r>
      <w:r w:rsidRPr="007A3BF4">
        <w:rPr>
          <w:color w:val="auto"/>
        </w:rPr>
        <w:t>, Economics Department Working Paper No. 620, Organisation for Economic Cooperation and Development.</w:t>
      </w:r>
    </w:p>
    <w:p w14:paraId="64761081" w14:textId="77777777" w:rsidR="007A3BF4" w:rsidRPr="007A3BF4" w:rsidRDefault="007A3BF4" w:rsidP="007A3BF4">
      <w:pPr>
        <w:rPr>
          <w:color w:val="auto"/>
        </w:rPr>
      </w:pPr>
      <w:r w:rsidRPr="007A3BF4">
        <w:rPr>
          <w:color w:val="auto"/>
        </w:rPr>
        <w:t xml:space="preserve">KPMG (2010) </w:t>
      </w:r>
      <w:r w:rsidRPr="007A3BF4">
        <w:rPr>
          <w:i/>
          <w:color w:val="auto"/>
        </w:rPr>
        <w:t>CGE analysis of the Current Australian Tax System</w:t>
      </w:r>
      <w:r w:rsidRPr="007A3BF4">
        <w:rPr>
          <w:color w:val="auto"/>
        </w:rPr>
        <w:t>, Canberra.</w:t>
      </w:r>
    </w:p>
    <w:p w14:paraId="206404D9" w14:textId="77777777" w:rsidR="007A3BF4" w:rsidRPr="007A3BF4" w:rsidRDefault="007A3BF4" w:rsidP="007A3BF4">
      <w:pPr>
        <w:rPr>
          <w:color w:val="auto"/>
        </w:rPr>
      </w:pPr>
      <w:r w:rsidRPr="007A3BF4">
        <w:rPr>
          <w:color w:val="auto"/>
        </w:rPr>
        <w:t xml:space="preserve">KPMG (2011) </w:t>
      </w:r>
      <w:r w:rsidRPr="007A3BF4">
        <w:rPr>
          <w:i/>
          <w:color w:val="auto"/>
        </w:rPr>
        <w:t>Economic analysis of the impacts of using GST to reform taxes</w:t>
      </w:r>
      <w:r w:rsidRPr="007A3BF4">
        <w:rPr>
          <w:color w:val="auto"/>
        </w:rPr>
        <w:t>: A report prepared for CPA Australia, September 2011.</w:t>
      </w:r>
    </w:p>
    <w:p w14:paraId="381AC675" w14:textId="77777777" w:rsidR="007A3BF4" w:rsidRPr="007A3BF4" w:rsidRDefault="007A3BF4" w:rsidP="007A3BF4">
      <w:pPr>
        <w:rPr>
          <w:color w:val="auto"/>
        </w:rPr>
      </w:pPr>
      <w:r w:rsidRPr="007A3BF4">
        <w:rPr>
          <w:color w:val="auto"/>
        </w:rPr>
        <w:lastRenderedPageBreak/>
        <w:t xml:space="preserve">Kudrna, G and Woodland, A. (2010) </w:t>
      </w:r>
      <w:r w:rsidRPr="007A3BF4">
        <w:rPr>
          <w:i/>
          <w:color w:val="auto"/>
        </w:rPr>
        <w:t>Simulating policy change using a dynamic overlapping generations model of the Australian economy</w:t>
      </w:r>
      <w:r w:rsidRPr="007A3BF4">
        <w:rPr>
          <w:color w:val="auto"/>
        </w:rPr>
        <w:t>, University of New South Wales Working Paper.</w:t>
      </w:r>
    </w:p>
    <w:p w14:paraId="763C573C" w14:textId="77777777" w:rsidR="007A3BF4" w:rsidRPr="007A3BF4" w:rsidRDefault="007A3BF4" w:rsidP="007A3BF4">
      <w:pPr>
        <w:rPr>
          <w:color w:val="auto"/>
        </w:rPr>
      </w:pPr>
      <w:r w:rsidRPr="007A3BF4">
        <w:rPr>
          <w:color w:val="auto"/>
        </w:rPr>
        <w:t xml:space="preserve">Lucas, R.E. (1990) </w:t>
      </w:r>
      <w:r w:rsidRPr="007A3BF4">
        <w:rPr>
          <w:i/>
          <w:color w:val="auto"/>
        </w:rPr>
        <w:t>Supply</w:t>
      </w:r>
      <w:r w:rsidRPr="007A3BF4">
        <w:rPr>
          <w:i/>
          <w:color w:val="auto"/>
        </w:rPr>
        <w:noBreakHyphen/>
        <w:t>side economics: An analytical review</w:t>
      </w:r>
      <w:r w:rsidRPr="007A3BF4">
        <w:rPr>
          <w:color w:val="auto"/>
        </w:rPr>
        <w:t>, Oxford Economic Papers: New Series, Vol. 42, No. 2, pp. 293</w:t>
      </w:r>
      <w:r w:rsidRPr="007A3BF4">
        <w:rPr>
          <w:color w:val="auto"/>
        </w:rPr>
        <w:noBreakHyphen/>
        <w:t>316.</w:t>
      </w:r>
    </w:p>
    <w:p w14:paraId="03EB85BF" w14:textId="4C72985C" w:rsidR="007A3BF4" w:rsidRPr="007A3BF4" w:rsidRDefault="007A3BF4" w:rsidP="007A3BF4">
      <w:pPr>
        <w:rPr>
          <w:color w:val="auto"/>
        </w:rPr>
      </w:pPr>
      <w:r w:rsidRPr="007A3BF4">
        <w:rPr>
          <w:color w:val="auto"/>
        </w:rPr>
        <w:t>Mas</w:t>
      </w:r>
      <w:r w:rsidRPr="007A3BF4">
        <w:rPr>
          <w:color w:val="auto"/>
        </w:rPr>
        <w:noBreakHyphen/>
        <w:t xml:space="preserve">Colell, A., Whintson, M. and Green, J. (1995) </w:t>
      </w:r>
      <w:r w:rsidRPr="007A3BF4">
        <w:rPr>
          <w:i/>
          <w:color w:val="auto"/>
        </w:rPr>
        <w:t>Microeconomic Theory</w:t>
      </w:r>
      <w:r w:rsidRPr="007A3BF4">
        <w:rPr>
          <w:color w:val="auto"/>
        </w:rPr>
        <w:t>, Oxford University Press: New</w:t>
      </w:r>
      <w:r w:rsidR="000777C3">
        <w:rPr>
          <w:color w:val="auto"/>
        </w:rPr>
        <w:t> </w:t>
      </w:r>
      <w:r w:rsidRPr="007A3BF4">
        <w:rPr>
          <w:color w:val="auto"/>
        </w:rPr>
        <w:t>York.</w:t>
      </w:r>
    </w:p>
    <w:p w14:paraId="7D76A7E8" w14:textId="77777777" w:rsidR="007A3BF4" w:rsidRDefault="007A3BF4" w:rsidP="007A3BF4">
      <w:pPr>
        <w:rPr>
          <w:color w:val="auto"/>
        </w:rPr>
      </w:pPr>
      <w:r w:rsidRPr="007A3BF4">
        <w:rPr>
          <w:color w:val="auto"/>
        </w:rPr>
        <w:t xml:space="preserve">Mendoza, E., and Tesar, L. (1998) </w:t>
      </w:r>
      <w:r w:rsidRPr="007A3BF4">
        <w:rPr>
          <w:i/>
          <w:color w:val="auto"/>
        </w:rPr>
        <w:t>The international ramifications of tax reforms: Supply</w:t>
      </w:r>
      <w:r w:rsidRPr="007A3BF4">
        <w:rPr>
          <w:i/>
          <w:color w:val="auto"/>
        </w:rPr>
        <w:noBreakHyphen/>
        <w:t>side in a global economy</w:t>
      </w:r>
      <w:r w:rsidRPr="007A3BF4">
        <w:rPr>
          <w:color w:val="auto"/>
        </w:rPr>
        <w:t>, The American Economic Review, Vol. 88, No. 1, pp. 226</w:t>
      </w:r>
      <w:r w:rsidRPr="007A3BF4">
        <w:rPr>
          <w:color w:val="auto"/>
        </w:rPr>
        <w:noBreakHyphen/>
        <w:t>245.</w:t>
      </w:r>
    </w:p>
    <w:p w14:paraId="4C145FF9" w14:textId="77777777" w:rsidR="005055AA" w:rsidRPr="007A3BF4" w:rsidRDefault="005055AA" w:rsidP="007A3BF4">
      <w:pPr>
        <w:rPr>
          <w:color w:val="auto"/>
        </w:rPr>
      </w:pPr>
      <w:r w:rsidRPr="005055AA">
        <w:rPr>
          <w:color w:val="auto"/>
        </w:rPr>
        <w:t xml:space="preserve">Rimmer, X., Smith, J. and Wende, S. (2014) </w:t>
      </w:r>
      <w:r w:rsidRPr="005055AA">
        <w:rPr>
          <w:i/>
          <w:color w:val="auto"/>
        </w:rPr>
        <w:t>The incidence of company tax in Australia</w:t>
      </w:r>
      <w:r w:rsidRPr="005055AA">
        <w:rPr>
          <w:color w:val="auto"/>
        </w:rPr>
        <w:t>, The Treasury, Economic Roundup Issue 1, pp.33</w:t>
      </w:r>
      <w:r>
        <w:rPr>
          <w:color w:val="auto"/>
        </w:rPr>
        <w:t>-</w:t>
      </w:r>
      <w:r w:rsidRPr="005055AA">
        <w:rPr>
          <w:color w:val="auto"/>
        </w:rPr>
        <w:t>47.</w:t>
      </w:r>
    </w:p>
    <w:p w14:paraId="44B2B47D" w14:textId="77777777" w:rsidR="007A3BF4" w:rsidRDefault="007A3BF4" w:rsidP="00F012EA"/>
    <w:p w14:paraId="16C301DE" w14:textId="77777777" w:rsidR="00F012EA" w:rsidRDefault="00F012EA" w:rsidP="008627B1">
      <w:pPr>
        <w:sectPr w:rsidR="00F012EA" w:rsidSect="008C0793">
          <w:pgSz w:w="11906" w:h="16838" w:code="9"/>
          <w:pgMar w:top="1418" w:right="1304" w:bottom="1418" w:left="1304" w:header="567" w:footer="567" w:gutter="0"/>
          <w:cols w:space="708"/>
          <w:titlePg/>
          <w:docGrid w:linePitch="360"/>
        </w:sectPr>
      </w:pPr>
    </w:p>
    <w:p w14:paraId="522B6F0C" w14:textId="77777777" w:rsidR="00F012EA" w:rsidRPr="005D4BBD" w:rsidRDefault="00E71C4A" w:rsidP="002E2E01">
      <w:pPr>
        <w:pStyle w:val="AppendixHeading"/>
      </w:pPr>
      <w:r w:rsidRPr="005D4BBD">
        <w:lastRenderedPageBreak/>
        <w:t xml:space="preserve">Appendix A: </w:t>
      </w:r>
      <w:r w:rsidR="00EA129E" w:rsidRPr="005D4BBD">
        <w:t xml:space="preserve">baseline calibration and sensitivity analysis </w:t>
      </w:r>
    </w:p>
    <w:p w14:paraId="6750118C" w14:textId="77777777" w:rsidR="00EA129E" w:rsidRPr="005A2B26" w:rsidRDefault="00EA129E" w:rsidP="005D4BBD">
      <w:pPr>
        <w:pStyle w:val="Heading3"/>
      </w:pPr>
      <w:r w:rsidRPr="005A2B26">
        <w:t>Model calibration and key economic parameters</w:t>
      </w:r>
    </w:p>
    <w:p w14:paraId="05BE212C" w14:textId="77777777" w:rsidR="00475A8C" w:rsidRPr="00475A8C" w:rsidRDefault="00EA129E" w:rsidP="00AE0023">
      <w:pPr>
        <w:ind w:right="-11"/>
        <w:rPr>
          <w:color w:val="auto"/>
        </w:rPr>
      </w:pPr>
      <w:r w:rsidRPr="005A2B26">
        <w:rPr>
          <w:color w:val="auto"/>
        </w:rPr>
        <w:t>To a large extent the model used in this paper relies on the calibration of the model used for the BTWG. Details of that calibration are reported in Independent Economics (2012).</w:t>
      </w:r>
      <w:r>
        <w:rPr>
          <w:color w:val="auto"/>
        </w:rPr>
        <w:t xml:space="preserve"> </w:t>
      </w:r>
      <w:r w:rsidR="00475A8C" w:rsidRPr="00475A8C">
        <w:rPr>
          <w:color w:val="auto"/>
        </w:rPr>
        <w:t>As with all analysis based on parameterised theoretical models, the results presented above are sensitiv</w:t>
      </w:r>
      <w:r w:rsidR="00A94150">
        <w:rPr>
          <w:color w:val="auto"/>
        </w:rPr>
        <w:t>e</w:t>
      </w:r>
      <w:r w:rsidR="00475A8C" w:rsidRPr="00475A8C">
        <w:rPr>
          <w:color w:val="auto"/>
        </w:rPr>
        <w:t xml:space="preserve"> to parameter assumptions</w:t>
      </w:r>
      <w:r w:rsidR="0017685E">
        <w:rPr>
          <w:color w:val="auto"/>
        </w:rPr>
        <w:t xml:space="preserve"> (see Gunning et al., 2007, and references therein for further detail)</w:t>
      </w:r>
      <w:r w:rsidR="00475A8C" w:rsidRPr="00475A8C">
        <w:rPr>
          <w:color w:val="auto"/>
        </w:rPr>
        <w:t xml:space="preserve">. Where possible the baseline calibration of the model is consistent with estimates of Australian economic activity and industry structure reported by the Australian Bureau of Statistics (ABS). </w:t>
      </w:r>
      <w:r w:rsidR="00A94150">
        <w:rPr>
          <w:color w:val="auto"/>
        </w:rPr>
        <w:t>T</w:t>
      </w:r>
      <w:r w:rsidR="00475A8C" w:rsidRPr="00475A8C">
        <w:rPr>
          <w:color w:val="auto"/>
        </w:rPr>
        <w:t>here remains a degree of uncertainty around some assumptions, in part</w:t>
      </w:r>
      <w:r w:rsidR="00A94150">
        <w:rPr>
          <w:color w:val="auto"/>
        </w:rPr>
        <w:t xml:space="preserve">icular those that relate to </w:t>
      </w:r>
      <w:r w:rsidR="00475A8C" w:rsidRPr="00475A8C">
        <w:rPr>
          <w:color w:val="auto"/>
        </w:rPr>
        <w:t>elasticities of substitution.</w:t>
      </w:r>
    </w:p>
    <w:p w14:paraId="6A0B4B61" w14:textId="77777777" w:rsidR="00475A8C" w:rsidRPr="00475A8C" w:rsidRDefault="00475A8C" w:rsidP="00475A8C">
      <w:pPr>
        <w:rPr>
          <w:color w:val="auto"/>
        </w:rPr>
      </w:pPr>
      <w:r w:rsidRPr="00475A8C">
        <w:rPr>
          <w:color w:val="auto"/>
        </w:rPr>
        <w:t>The model is calibrated to reflect the structure of the Australian economy in 2013</w:t>
      </w:r>
      <w:r w:rsidRPr="00475A8C">
        <w:rPr>
          <w:color w:val="auto"/>
        </w:rPr>
        <w:noBreakHyphen/>
        <w:t>14. The basic industry structure and expenditure patterns of the economy are initially calibrated to match ABS Input</w:t>
      </w:r>
      <w:r w:rsidRPr="00475A8C">
        <w:rPr>
          <w:color w:val="auto"/>
        </w:rPr>
        <w:noBreakHyphen/>
        <w:t>Output Tables (ABS cat. 5209.0) for 2007</w:t>
      </w:r>
      <w:r w:rsidRPr="00475A8C">
        <w:rPr>
          <w:color w:val="auto"/>
        </w:rPr>
        <w:noBreakHyphen/>
        <w:t>08. The model is calibrated based on the 2007</w:t>
      </w:r>
      <w:r w:rsidRPr="00475A8C">
        <w:rPr>
          <w:color w:val="auto"/>
        </w:rPr>
        <w:noBreakHyphen/>
        <w:t>08 level of the terms of trade and incorporates a range of other data including other ABS data and unpublished Australian Tax Office (ATO) tax statistics. These data are then uprated to allow for growth in wages, prices, productivity and labour supply from 2007</w:t>
      </w:r>
      <w:r w:rsidRPr="00475A8C">
        <w:rPr>
          <w:color w:val="auto"/>
        </w:rPr>
        <w:noBreakHyphen/>
        <w:t>08 to 2013</w:t>
      </w:r>
      <w:r w:rsidRPr="00475A8C">
        <w:rPr>
          <w:color w:val="auto"/>
        </w:rPr>
        <w:noBreakHyphen/>
        <w:t>14, using ABS national accounts (ABS cat. 5206.0), consumer prices (ABS cat. 6401.0) and labour force data (ABS cat. 6291.0.55.003). Finally, the supply of land and fixed factors, the size of the world market, general government final demand and Australian asset ownership are grown in line with Australian real GDP.</w:t>
      </w:r>
    </w:p>
    <w:p w14:paraId="4E57C37F" w14:textId="77777777" w:rsidR="00475A8C" w:rsidRDefault="00475A8C" w:rsidP="00475A8C">
      <w:pPr>
        <w:rPr>
          <w:color w:val="auto"/>
        </w:rPr>
      </w:pPr>
      <w:r w:rsidRPr="00475A8C">
        <w:rPr>
          <w:color w:val="auto"/>
        </w:rPr>
        <w:t xml:space="preserve">The sensitivity analysis presented below </w:t>
      </w:r>
      <w:r>
        <w:rPr>
          <w:color w:val="auto"/>
        </w:rPr>
        <w:t>suggests</w:t>
      </w:r>
      <w:r w:rsidRPr="00475A8C">
        <w:rPr>
          <w:color w:val="auto"/>
        </w:rPr>
        <w:t xml:space="preserve"> that the </w:t>
      </w:r>
      <w:r>
        <w:rPr>
          <w:color w:val="auto"/>
        </w:rPr>
        <w:t>key results of this paper are</w:t>
      </w:r>
      <w:r w:rsidRPr="00475A8C">
        <w:rPr>
          <w:color w:val="auto"/>
        </w:rPr>
        <w:t xml:space="preserve"> robust to a </w:t>
      </w:r>
      <w:r w:rsidR="00A94150">
        <w:rPr>
          <w:color w:val="auto"/>
        </w:rPr>
        <w:t xml:space="preserve">wide </w:t>
      </w:r>
      <w:r w:rsidRPr="00475A8C">
        <w:rPr>
          <w:color w:val="auto"/>
        </w:rPr>
        <w:t>range of parameter assumptions</w:t>
      </w:r>
      <w:r w:rsidR="00A94150">
        <w:rPr>
          <w:color w:val="auto"/>
        </w:rPr>
        <w:t xml:space="preserve"> which encompass empirically plausible estimates</w:t>
      </w:r>
      <w:r>
        <w:rPr>
          <w:color w:val="auto"/>
        </w:rPr>
        <w:t>.</w:t>
      </w:r>
    </w:p>
    <w:p w14:paraId="17F3B143" w14:textId="77777777" w:rsidR="00CE75F6" w:rsidRPr="00EA129E" w:rsidRDefault="00CE75F6" w:rsidP="005D4BBD">
      <w:pPr>
        <w:pStyle w:val="Heading3"/>
      </w:pPr>
      <w:r>
        <w:t>Parameters governing household behaviour</w:t>
      </w:r>
    </w:p>
    <w:p w14:paraId="7AE40DCF" w14:textId="77777777" w:rsidR="00CE75F6" w:rsidRPr="005A2B26" w:rsidRDefault="00CE75F6" w:rsidP="00CE75F6">
      <w:pPr>
        <w:pStyle w:val="Heading4"/>
      </w:pPr>
      <w:r w:rsidRPr="005A2B26">
        <w:t xml:space="preserve">The elasticity of </w:t>
      </w:r>
      <w:r>
        <w:t xml:space="preserve">substitution between </w:t>
      </w:r>
      <w:r w:rsidRPr="005A2B26">
        <w:t>consumption and leisure</w:t>
      </w:r>
    </w:p>
    <w:p w14:paraId="19F2C06D" w14:textId="77777777" w:rsidR="00CE75F6" w:rsidRPr="00237EDE" w:rsidRDefault="00CE75F6" w:rsidP="00CE75F6">
      <w:pPr>
        <w:rPr>
          <w:color w:val="auto"/>
        </w:rPr>
      </w:pPr>
      <w:r>
        <w:rPr>
          <w:color w:val="auto"/>
        </w:rPr>
        <w:t xml:space="preserve">The activity and welfare effects of a tax policy change typically depend on the compensated (or Hicks) labour supply elasticity. Compensated elasticities are difficult to identify empirically so the econometric literature typically reports estimates of the uncompensated (or Marshallian) labour supply elasticity with respect to the after-tax wage </w:t>
      </w:r>
      <w:r w:rsidRPr="00237EDE">
        <w:rPr>
          <w:color w:val="auto"/>
        </w:rPr>
        <w:t xml:space="preserve">(see Table </w:t>
      </w:r>
      <w:r>
        <w:rPr>
          <w:noProof/>
          <w:color w:val="auto"/>
        </w:rPr>
        <w:t>2</w:t>
      </w:r>
      <w:r w:rsidRPr="00237EDE">
        <w:rPr>
          <w:color w:val="auto"/>
        </w:rPr>
        <w:t>)</w:t>
      </w:r>
      <w:r>
        <w:rPr>
          <w:color w:val="auto"/>
        </w:rPr>
        <w:t xml:space="preserve">. The compensated </w:t>
      </w:r>
      <w:r w:rsidR="006B02E6">
        <w:rPr>
          <w:color w:val="auto"/>
        </w:rPr>
        <w:t xml:space="preserve">elasticity </w:t>
      </w:r>
      <w:r>
        <w:rPr>
          <w:color w:val="auto"/>
        </w:rPr>
        <w:t>of labour supply and CES elasticity are then calculated c</w:t>
      </w:r>
      <w:r w:rsidRPr="00237EDE">
        <w:rPr>
          <w:color w:val="auto"/>
        </w:rPr>
        <w:t xml:space="preserve">onditional on </w:t>
      </w:r>
      <w:r>
        <w:rPr>
          <w:color w:val="auto"/>
        </w:rPr>
        <w:t>expenditure shares and the split between working and leisure time</w:t>
      </w:r>
      <w:r w:rsidRPr="00237EDE">
        <w:rPr>
          <w:color w:val="auto"/>
        </w:rPr>
        <w:t>.</w:t>
      </w:r>
    </w:p>
    <w:p w14:paraId="10CCE39A" w14:textId="77777777" w:rsidR="00CE75F6" w:rsidRPr="00ED7616" w:rsidRDefault="00CE75F6" w:rsidP="00B948AD">
      <w:pPr>
        <w:pStyle w:val="TableMainHeading"/>
      </w:pPr>
      <w:r w:rsidRPr="00ED7616">
        <w:t xml:space="preserve">Table </w:t>
      </w:r>
      <w:r w:rsidR="005A7277">
        <w:fldChar w:fldCharType="begin"/>
      </w:r>
      <w:r w:rsidR="005A7277">
        <w:instrText xml:space="preserve"> SEQ Table \* ARABIC </w:instrText>
      </w:r>
      <w:r w:rsidR="005A7277">
        <w:fldChar w:fldCharType="separate"/>
      </w:r>
      <w:r w:rsidR="00C97912">
        <w:rPr>
          <w:noProof/>
        </w:rPr>
        <w:t>2</w:t>
      </w:r>
      <w:r w:rsidR="005A7277">
        <w:rPr>
          <w:noProof/>
        </w:rPr>
        <w:fldChar w:fldCharType="end"/>
      </w:r>
      <w:r w:rsidRPr="00ED7616">
        <w:t xml:space="preserve">: </w:t>
      </w:r>
      <w:r>
        <w:t>Australian</w:t>
      </w:r>
      <w:r w:rsidRPr="00ED7616">
        <w:t xml:space="preserve"> estimates of the uncompensated elasticity of labour supply</w:t>
      </w:r>
    </w:p>
    <w:tbl>
      <w:tblPr>
        <w:tblW w:w="9309" w:type="dxa"/>
        <w:tblInd w:w="108" w:type="dxa"/>
        <w:tblLook w:val="04A0" w:firstRow="1" w:lastRow="0" w:firstColumn="1" w:lastColumn="0" w:noHBand="0" w:noVBand="1"/>
      </w:tblPr>
      <w:tblGrid>
        <w:gridCol w:w="1701"/>
        <w:gridCol w:w="1072"/>
        <w:gridCol w:w="1338"/>
        <w:gridCol w:w="1418"/>
        <w:gridCol w:w="992"/>
        <w:gridCol w:w="1134"/>
        <w:gridCol w:w="1654"/>
      </w:tblGrid>
      <w:tr w:rsidR="00CE75F6" w:rsidRPr="005A2B26" w14:paraId="2D8E05CF" w14:textId="77777777" w:rsidTr="000777C3">
        <w:trPr>
          <w:trHeight w:val="480"/>
        </w:trPr>
        <w:tc>
          <w:tcPr>
            <w:tcW w:w="1701" w:type="dxa"/>
            <w:tcBorders>
              <w:top w:val="single" w:sz="4" w:space="0" w:color="003157"/>
              <w:left w:val="nil"/>
              <w:bottom w:val="single" w:sz="4" w:space="0" w:color="003157"/>
              <w:right w:val="nil"/>
            </w:tcBorders>
            <w:shd w:val="clear" w:color="000000" w:fill="FFFFFF"/>
            <w:vAlign w:val="center"/>
            <w:hideMark/>
          </w:tcPr>
          <w:p w14:paraId="1F4441CC" w14:textId="77777777" w:rsidR="00CE75F6" w:rsidRPr="005A2B26" w:rsidRDefault="00CE75F6" w:rsidP="00B948AD">
            <w:pPr>
              <w:pStyle w:val="TableColumnHeadingCentred"/>
            </w:pPr>
            <w:r w:rsidRPr="005A2B26">
              <w:t>Population group</w:t>
            </w:r>
          </w:p>
        </w:tc>
        <w:tc>
          <w:tcPr>
            <w:tcW w:w="1072" w:type="dxa"/>
            <w:tcBorders>
              <w:top w:val="single" w:sz="4" w:space="0" w:color="003157"/>
              <w:left w:val="nil"/>
              <w:bottom w:val="single" w:sz="4" w:space="0" w:color="003157"/>
              <w:right w:val="nil"/>
            </w:tcBorders>
            <w:shd w:val="clear" w:color="000000" w:fill="FFFFFF"/>
            <w:vAlign w:val="center"/>
            <w:hideMark/>
          </w:tcPr>
          <w:p w14:paraId="189CE117" w14:textId="77777777" w:rsidR="00CE75F6" w:rsidRPr="005A2B26" w:rsidRDefault="00CE75F6" w:rsidP="00B948AD">
            <w:pPr>
              <w:pStyle w:val="TableColumnHeadingCentred"/>
            </w:pPr>
            <w:r w:rsidRPr="005A2B26">
              <w:t>Studies</w:t>
            </w:r>
          </w:p>
        </w:tc>
        <w:tc>
          <w:tcPr>
            <w:tcW w:w="1338" w:type="dxa"/>
            <w:tcBorders>
              <w:top w:val="single" w:sz="4" w:space="0" w:color="003157"/>
              <w:left w:val="nil"/>
              <w:bottom w:val="single" w:sz="4" w:space="0" w:color="003157"/>
              <w:right w:val="nil"/>
            </w:tcBorders>
            <w:shd w:val="clear" w:color="000000" w:fill="FFFFFF"/>
            <w:vAlign w:val="center"/>
            <w:hideMark/>
          </w:tcPr>
          <w:p w14:paraId="5573E8C0" w14:textId="77777777" w:rsidR="00CE75F6" w:rsidRPr="005A2B26" w:rsidRDefault="00CE75F6" w:rsidP="00B948AD">
            <w:pPr>
              <w:pStyle w:val="TableColumnHeadingCentred"/>
            </w:pPr>
            <w:r w:rsidRPr="005A2B26">
              <w:t>Estimates</w:t>
            </w:r>
          </w:p>
        </w:tc>
        <w:tc>
          <w:tcPr>
            <w:tcW w:w="1418" w:type="dxa"/>
            <w:tcBorders>
              <w:top w:val="single" w:sz="4" w:space="0" w:color="003157"/>
              <w:left w:val="nil"/>
              <w:bottom w:val="single" w:sz="4" w:space="0" w:color="003157"/>
              <w:right w:val="nil"/>
            </w:tcBorders>
            <w:shd w:val="clear" w:color="000000" w:fill="FFFFFF"/>
            <w:vAlign w:val="center"/>
            <w:hideMark/>
          </w:tcPr>
          <w:p w14:paraId="5AB4ECD5" w14:textId="77777777" w:rsidR="00CE75F6" w:rsidRPr="005A2B26" w:rsidRDefault="00CE75F6" w:rsidP="00B948AD">
            <w:pPr>
              <w:pStyle w:val="TableColumnHeadingCentred"/>
            </w:pPr>
            <w:r w:rsidRPr="005A2B26">
              <w:t>Range</w:t>
            </w:r>
          </w:p>
        </w:tc>
        <w:tc>
          <w:tcPr>
            <w:tcW w:w="992" w:type="dxa"/>
            <w:tcBorders>
              <w:top w:val="single" w:sz="4" w:space="0" w:color="003157"/>
              <w:left w:val="nil"/>
              <w:bottom w:val="single" w:sz="4" w:space="0" w:color="003157"/>
              <w:right w:val="nil"/>
            </w:tcBorders>
            <w:shd w:val="clear" w:color="000000" w:fill="FFFFFF"/>
            <w:vAlign w:val="center"/>
            <w:hideMark/>
          </w:tcPr>
          <w:p w14:paraId="69EE9479" w14:textId="77777777" w:rsidR="00CE75F6" w:rsidRPr="005A2B26" w:rsidRDefault="00CE75F6" w:rsidP="00B948AD">
            <w:pPr>
              <w:pStyle w:val="TableColumnHeadingCentred"/>
            </w:pPr>
            <w:r w:rsidRPr="005A2B26">
              <w:t>Mean</w:t>
            </w:r>
          </w:p>
        </w:tc>
        <w:tc>
          <w:tcPr>
            <w:tcW w:w="1134" w:type="dxa"/>
            <w:tcBorders>
              <w:top w:val="single" w:sz="4" w:space="0" w:color="003157"/>
              <w:left w:val="nil"/>
              <w:bottom w:val="single" w:sz="4" w:space="0" w:color="003157"/>
              <w:right w:val="nil"/>
            </w:tcBorders>
            <w:shd w:val="clear" w:color="000000" w:fill="FFFFFF"/>
            <w:vAlign w:val="center"/>
            <w:hideMark/>
          </w:tcPr>
          <w:p w14:paraId="00C2D1C8" w14:textId="77777777" w:rsidR="00CE75F6" w:rsidRPr="005A2B26" w:rsidRDefault="00CE75F6" w:rsidP="00B948AD">
            <w:pPr>
              <w:pStyle w:val="TableColumnHeadingCentred"/>
            </w:pPr>
            <w:r w:rsidRPr="005A2B26">
              <w:t>Median</w:t>
            </w:r>
          </w:p>
        </w:tc>
        <w:tc>
          <w:tcPr>
            <w:tcW w:w="1654" w:type="dxa"/>
            <w:tcBorders>
              <w:top w:val="single" w:sz="4" w:space="0" w:color="003157"/>
              <w:left w:val="nil"/>
              <w:bottom w:val="single" w:sz="4" w:space="0" w:color="003157"/>
              <w:right w:val="nil"/>
            </w:tcBorders>
            <w:shd w:val="clear" w:color="000000" w:fill="FFFFFF"/>
            <w:vAlign w:val="center"/>
            <w:hideMark/>
          </w:tcPr>
          <w:p w14:paraId="4CF6A7BE" w14:textId="77777777" w:rsidR="00CE75F6" w:rsidRPr="005A2B26" w:rsidRDefault="00CE75F6" w:rsidP="00B948AD">
            <w:pPr>
              <w:pStyle w:val="TableColumnHeadingCentred"/>
            </w:pPr>
            <w:r w:rsidRPr="005A2B26">
              <w:t>Standard Deviation</w:t>
            </w:r>
          </w:p>
        </w:tc>
      </w:tr>
      <w:tr w:rsidR="00CE75F6" w:rsidRPr="005C2366" w14:paraId="5A346437" w14:textId="77777777" w:rsidTr="000777C3">
        <w:trPr>
          <w:trHeight w:val="300"/>
        </w:trPr>
        <w:tc>
          <w:tcPr>
            <w:tcW w:w="1701" w:type="dxa"/>
            <w:tcBorders>
              <w:top w:val="single" w:sz="4" w:space="0" w:color="003157"/>
              <w:left w:val="nil"/>
              <w:bottom w:val="nil"/>
              <w:right w:val="nil"/>
            </w:tcBorders>
            <w:shd w:val="clear" w:color="000000" w:fill="FFFFFF"/>
            <w:noWrap/>
            <w:vAlign w:val="center"/>
            <w:hideMark/>
          </w:tcPr>
          <w:p w14:paraId="3C8196B7" w14:textId="77777777" w:rsidR="00CE75F6" w:rsidRPr="005C2366" w:rsidRDefault="00CE75F6" w:rsidP="00B948AD">
            <w:pPr>
              <w:pStyle w:val="TableTextLeft"/>
              <w:rPr>
                <w:lang w:eastAsia="en-AU"/>
              </w:rPr>
            </w:pPr>
            <w:r w:rsidRPr="005C2366">
              <w:rPr>
                <w:lang w:eastAsia="en-AU"/>
              </w:rPr>
              <w:t xml:space="preserve">Married men </w:t>
            </w:r>
          </w:p>
        </w:tc>
        <w:tc>
          <w:tcPr>
            <w:tcW w:w="1072" w:type="dxa"/>
            <w:tcBorders>
              <w:top w:val="single" w:sz="4" w:space="0" w:color="003157"/>
              <w:left w:val="nil"/>
              <w:bottom w:val="nil"/>
              <w:right w:val="nil"/>
            </w:tcBorders>
            <w:shd w:val="clear" w:color="000000" w:fill="FFFFFF"/>
            <w:noWrap/>
            <w:vAlign w:val="center"/>
            <w:hideMark/>
          </w:tcPr>
          <w:p w14:paraId="527FAD04" w14:textId="77777777" w:rsidR="00CE75F6" w:rsidRPr="005C2366" w:rsidRDefault="00CE75F6" w:rsidP="00B948AD">
            <w:pPr>
              <w:pStyle w:val="TableTextCentered"/>
              <w:rPr>
                <w:lang w:eastAsia="en-AU"/>
              </w:rPr>
            </w:pPr>
            <w:r w:rsidRPr="005C2366">
              <w:rPr>
                <w:lang w:eastAsia="en-AU"/>
              </w:rPr>
              <w:t>5</w:t>
            </w:r>
          </w:p>
        </w:tc>
        <w:tc>
          <w:tcPr>
            <w:tcW w:w="1338" w:type="dxa"/>
            <w:tcBorders>
              <w:top w:val="single" w:sz="4" w:space="0" w:color="003157"/>
              <w:left w:val="nil"/>
              <w:bottom w:val="nil"/>
              <w:right w:val="nil"/>
            </w:tcBorders>
            <w:shd w:val="clear" w:color="000000" w:fill="FFFFFF"/>
            <w:noWrap/>
            <w:vAlign w:val="center"/>
            <w:hideMark/>
          </w:tcPr>
          <w:p w14:paraId="071D57AF" w14:textId="77777777" w:rsidR="00CE75F6" w:rsidRPr="005C2366" w:rsidRDefault="00CE75F6" w:rsidP="00B948AD">
            <w:pPr>
              <w:pStyle w:val="TableTextCentered"/>
              <w:rPr>
                <w:lang w:eastAsia="en-AU"/>
              </w:rPr>
            </w:pPr>
            <w:r w:rsidRPr="005C2366">
              <w:rPr>
                <w:lang w:eastAsia="en-AU"/>
              </w:rPr>
              <w:t>14</w:t>
            </w:r>
          </w:p>
        </w:tc>
        <w:tc>
          <w:tcPr>
            <w:tcW w:w="1418" w:type="dxa"/>
            <w:tcBorders>
              <w:top w:val="single" w:sz="4" w:space="0" w:color="003157"/>
              <w:left w:val="nil"/>
              <w:bottom w:val="nil"/>
              <w:right w:val="nil"/>
            </w:tcBorders>
            <w:shd w:val="clear" w:color="000000" w:fill="FFFFFF"/>
            <w:noWrap/>
            <w:vAlign w:val="center"/>
            <w:hideMark/>
          </w:tcPr>
          <w:p w14:paraId="0BB99744" w14:textId="77777777" w:rsidR="00CE75F6" w:rsidRPr="005C2366" w:rsidRDefault="00CE75F6" w:rsidP="00B948AD">
            <w:pPr>
              <w:pStyle w:val="TableTextCentered"/>
              <w:rPr>
                <w:lang w:eastAsia="en-AU"/>
              </w:rPr>
            </w:pPr>
            <w:r w:rsidRPr="005C2366">
              <w:rPr>
                <w:lang w:eastAsia="en-AU"/>
              </w:rPr>
              <w:noBreakHyphen/>
              <w:t>0.19 to 0.26</w:t>
            </w:r>
          </w:p>
        </w:tc>
        <w:tc>
          <w:tcPr>
            <w:tcW w:w="992" w:type="dxa"/>
            <w:tcBorders>
              <w:top w:val="single" w:sz="4" w:space="0" w:color="003157"/>
              <w:left w:val="nil"/>
              <w:bottom w:val="nil"/>
              <w:right w:val="nil"/>
            </w:tcBorders>
            <w:shd w:val="clear" w:color="000000" w:fill="FFFFFF"/>
            <w:noWrap/>
            <w:vAlign w:val="center"/>
            <w:hideMark/>
          </w:tcPr>
          <w:p w14:paraId="69ECB224" w14:textId="77777777" w:rsidR="00CE75F6" w:rsidRPr="005C2366" w:rsidRDefault="00CE75F6" w:rsidP="00B948AD">
            <w:pPr>
              <w:pStyle w:val="TableTextCentered"/>
              <w:rPr>
                <w:lang w:eastAsia="en-AU"/>
              </w:rPr>
            </w:pPr>
            <w:r w:rsidRPr="005C2366">
              <w:rPr>
                <w:lang w:eastAsia="en-AU"/>
              </w:rPr>
              <w:t>0.00</w:t>
            </w:r>
          </w:p>
        </w:tc>
        <w:tc>
          <w:tcPr>
            <w:tcW w:w="1134" w:type="dxa"/>
            <w:tcBorders>
              <w:top w:val="single" w:sz="4" w:space="0" w:color="003157"/>
              <w:left w:val="nil"/>
              <w:bottom w:val="nil"/>
              <w:right w:val="nil"/>
            </w:tcBorders>
            <w:shd w:val="clear" w:color="000000" w:fill="FFFFFF"/>
            <w:noWrap/>
            <w:vAlign w:val="center"/>
            <w:hideMark/>
          </w:tcPr>
          <w:p w14:paraId="387AEFE3" w14:textId="77777777" w:rsidR="00CE75F6" w:rsidRPr="005C2366" w:rsidRDefault="00CE75F6" w:rsidP="00B948AD">
            <w:pPr>
              <w:pStyle w:val="TableTextCentered"/>
              <w:rPr>
                <w:lang w:eastAsia="en-AU"/>
              </w:rPr>
            </w:pPr>
            <w:r w:rsidRPr="005C2366">
              <w:rPr>
                <w:lang w:eastAsia="en-AU"/>
              </w:rPr>
              <w:t>0</w:t>
            </w:r>
          </w:p>
        </w:tc>
        <w:tc>
          <w:tcPr>
            <w:tcW w:w="1654" w:type="dxa"/>
            <w:tcBorders>
              <w:top w:val="single" w:sz="4" w:space="0" w:color="003157"/>
              <w:left w:val="nil"/>
              <w:bottom w:val="nil"/>
              <w:right w:val="nil"/>
            </w:tcBorders>
            <w:shd w:val="clear" w:color="000000" w:fill="FFFFFF"/>
            <w:noWrap/>
            <w:vAlign w:val="center"/>
            <w:hideMark/>
          </w:tcPr>
          <w:p w14:paraId="5F51A504" w14:textId="77777777" w:rsidR="00CE75F6" w:rsidRPr="005C2366" w:rsidRDefault="00CE75F6" w:rsidP="00B948AD">
            <w:pPr>
              <w:pStyle w:val="TableTextCentered"/>
              <w:rPr>
                <w:lang w:eastAsia="en-AU"/>
              </w:rPr>
            </w:pPr>
            <w:r w:rsidRPr="005C2366">
              <w:rPr>
                <w:lang w:eastAsia="en-AU"/>
              </w:rPr>
              <w:t>0.13</w:t>
            </w:r>
          </w:p>
        </w:tc>
      </w:tr>
      <w:tr w:rsidR="00CE75F6" w:rsidRPr="005C2366" w14:paraId="385339DF" w14:textId="77777777" w:rsidTr="000777C3">
        <w:trPr>
          <w:trHeight w:val="300"/>
        </w:trPr>
        <w:tc>
          <w:tcPr>
            <w:tcW w:w="1701" w:type="dxa"/>
            <w:tcBorders>
              <w:top w:val="nil"/>
              <w:left w:val="nil"/>
              <w:bottom w:val="nil"/>
              <w:right w:val="nil"/>
            </w:tcBorders>
            <w:shd w:val="clear" w:color="000000" w:fill="FFFFFF"/>
            <w:noWrap/>
            <w:vAlign w:val="center"/>
            <w:hideMark/>
          </w:tcPr>
          <w:p w14:paraId="26F5830D" w14:textId="77777777" w:rsidR="00CE75F6" w:rsidRPr="005C2366" w:rsidRDefault="00CE75F6" w:rsidP="00B948AD">
            <w:pPr>
              <w:pStyle w:val="TableTextLeft"/>
              <w:rPr>
                <w:lang w:eastAsia="en-AU"/>
              </w:rPr>
            </w:pPr>
            <w:r w:rsidRPr="005C2366">
              <w:rPr>
                <w:lang w:eastAsia="en-AU"/>
              </w:rPr>
              <w:t>Married women</w:t>
            </w:r>
          </w:p>
        </w:tc>
        <w:tc>
          <w:tcPr>
            <w:tcW w:w="1072" w:type="dxa"/>
            <w:tcBorders>
              <w:top w:val="nil"/>
              <w:left w:val="nil"/>
              <w:bottom w:val="nil"/>
              <w:right w:val="nil"/>
            </w:tcBorders>
            <w:shd w:val="clear" w:color="000000" w:fill="FFFFFF"/>
            <w:noWrap/>
            <w:vAlign w:val="center"/>
            <w:hideMark/>
          </w:tcPr>
          <w:p w14:paraId="33B140DF" w14:textId="77777777" w:rsidR="00CE75F6" w:rsidRPr="005C2366" w:rsidRDefault="00CE75F6" w:rsidP="00B948AD">
            <w:pPr>
              <w:pStyle w:val="TableTextCentered"/>
              <w:rPr>
                <w:lang w:eastAsia="en-AU"/>
              </w:rPr>
            </w:pPr>
            <w:r w:rsidRPr="005C2366">
              <w:rPr>
                <w:lang w:eastAsia="en-AU"/>
              </w:rPr>
              <w:t>11</w:t>
            </w:r>
          </w:p>
        </w:tc>
        <w:tc>
          <w:tcPr>
            <w:tcW w:w="1338" w:type="dxa"/>
            <w:tcBorders>
              <w:top w:val="nil"/>
              <w:left w:val="nil"/>
              <w:bottom w:val="nil"/>
              <w:right w:val="nil"/>
            </w:tcBorders>
            <w:shd w:val="clear" w:color="000000" w:fill="FFFFFF"/>
            <w:noWrap/>
            <w:vAlign w:val="center"/>
            <w:hideMark/>
          </w:tcPr>
          <w:p w14:paraId="321278DD" w14:textId="77777777" w:rsidR="00CE75F6" w:rsidRPr="005C2366" w:rsidRDefault="00CE75F6" w:rsidP="00B948AD">
            <w:pPr>
              <w:pStyle w:val="TableTextCentered"/>
              <w:rPr>
                <w:lang w:eastAsia="en-AU"/>
              </w:rPr>
            </w:pPr>
            <w:r w:rsidRPr="005C2366">
              <w:rPr>
                <w:lang w:eastAsia="en-AU"/>
              </w:rPr>
              <w:t>27</w:t>
            </w:r>
          </w:p>
        </w:tc>
        <w:tc>
          <w:tcPr>
            <w:tcW w:w="1418" w:type="dxa"/>
            <w:tcBorders>
              <w:top w:val="nil"/>
              <w:left w:val="nil"/>
              <w:bottom w:val="nil"/>
              <w:right w:val="nil"/>
            </w:tcBorders>
            <w:shd w:val="clear" w:color="000000" w:fill="FFFFFF"/>
            <w:noWrap/>
            <w:vAlign w:val="center"/>
            <w:hideMark/>
          </w:tcPr>
          <w:p w14:paraId="09B38590" w14:textId="77777777" w:rsidR="00CE75F6" w:rsidRPr="005C2366" w:rsidRDefault="00CE75F6" w:rsidP="00B948AD">
            <w:pPr>
              <w:pStyle w:val="TableTextCentered"/>
              <w:rPr>
                <w:lang w:eastAsia="en-AU"/>
              </w:rPr>
            </w:pPr>
            <w:r w:rsidRPr="005C2366">
              <w:rPr>
                <w:lang w:eastAsia="en-AU"/>
              </w:rPr>
              <w:noBreakHyphen/>
              <w:t>0.19 to 1.3</w:t>
            </w:r>
          </w:p>
        </w:tc>
        <w:tc>
          <w:tcPr>
            <w:tcW w:w="992" w:type="dxa"/>
            <w:tcBorders>
              <w:top w:val="nil"/>
              <w:left w:val="nil"/>
              <w:bottom w:val="nil"/>
              <w:right w:val="nil"/>
            </w:tcBorders>
            <w:shd w:val="clear" w:color="000000" w:fill="FFFFFF"/>
            <w:noWrap/>
            <w:vAlign w:val="center"/>
            <w:hideMark/>
          </w:tcPr>
          <w:p w14:paraId="47179F88" w14:textId="77777777" w:rsidR="00CE75F6" w:rsidRPr="005C2366" w:rsidRDefault="00CE75F6" w:rsidP="00B948AD">
            <w:pPr>
              <w:pStyle w:val="TableTextCentered"/>
              <w:rPr>
                <w:lang w:eastAsia="en-AU"/>
              </w:rPr>
            </w:pPr>
            <w:r w:rsidRPr="005C2366">
              <w:rPr>
                <w:lang w:eastAsia="en-AU"/>
              </w:rPr>
              <w:t>0.30</w:t>
            </w:r>
          </w:p>
        </w:tc>
        <w:tc>
          <w:tcPr>
            <w:tcW w:w="1134" w:type="dxa"/>
            <w:tcBorders>
              <w:top w:val="nil"/>
              <w:left w:val="nil"/>
              <w:bottom w:val="nil"/>
              <w:right w:val="nil"/>
            </w:tcBorders>
            <w:shd w:val="clear" w:color="000000" w:fill="FFFFFF"/>
            <w:noWrap/>
            <w:vAlign w:val="center"/>
            <w:hideMark/>
          </w:tcPr>
          <w:p w14:paraId="7050036A" w14:textId="77777777" w:rsidR="00CE75F6" w:rsidRPr="005C2366" w:rsidRDefault="00CE75F6" w:rsidP="00B948AD">
            <w:pPr>
              <w:pStyle w:val="TableTextCentered"/>
              <w:rPr>
                <w:lang w:eastAsia="en-AU"/>
              </w:rPr>
            </w:pPr>
            <w:r w:rsidRPr="005C2366">
              <w:rPr>
                <w:lang w:eastAsia="en-AU"/>
              </w:rPr>
              <w:t>0.18</w:t>
            </w:r>
          </w:p>
        </w:tc>
        <w:tc>
          <w:tcPr>
            <w:tcW w:w="1654" w:type="dxa"/>
            <w:tcBorders>
              <w:top w:val="nil"/>
              <w:left w:val="nil"/>
              <w:bottom w:val="nil"/>
              <w:right w:val="nil"/>
            </w:tcBorders>
            <w:shd w:val="clear" w:color="000000" w:fill="FFFFFF"/>
            <w:noWrap/>
            <w:vAlign w:val="center"/>
            <w:hideMark/>
          </w:tcPr>
          <w:p w14:paraId="489FDFA3" w14:textId="77777777" w:rsidR="00CE75F6" w:rsidRPr="005C2366" w:rsidRDefault="00CE75F6" w:rsidP="00B948AD">
            <w:pPr>
              <w:pStyle w:val="TableTextCentered"/>
              <w:rPr>
                <w:lang w:eastAsia="en-AU"/>
              </w:rPr>
            </w:pPr>
            <w:r w:rsidRPr="005C2366">
              <w:rPr>
                <w:lang w:eastAsia="en-AU"/>
              </w:rPr>
              <w:t>0.35</w:t>
            </w:r>
          </w:p>
        </w:tc>
      </w:tr>
      <w:tr w:rsidR="00CE75F6" w:rsidRPr="005C2366" w14:paraId="4BCA85CE" w14:textId="77777777" w:rsidTr="000777C3">
        <w:trPr>
          <w:trHeight w:val="300"/>
        </w:trPr>
        <w:tc>
          <w:tcPr>
            <w:tcW w:w="1701" w:type="dxa"/>
            <w:tcBorders>
              <w:top w:val="nil"/>
              <w:left w:val="nil"/>
              <w:bottom w:val="nil"/>
              <w:right w:val="nil"/>
            </w:tcBorders>
            <w:shd w:val="clear" w:color="000000" w:fill="FFFFFF"/>
            <w:noWrap/>
            <w:vAlign w:val="center"/>
            <w:hideMark/>
          </w:tcPr>
          <w:p w14:paraId="6BDFE8B1" w14:textId="77777777" w:rsidR="00CE75F6" w:rsidRPr="005C2366" w:rsidRDefault="00CE75F6" w:rsidP="00B948AD">
            <w:pPr>
              <w:pStyle w:val="TableTextLeft"/>
              <w:rPr>
                <w:lang w:eastAsia="en-AU"/>
              </w:rPr>
            </w:pPr>
            <w:r w:rsidRPr="005C2366">
              <w:rPr>
                <w:lang w:eastAsia="en-AU"/>
              </w:rPr>
              <w:t>Single men</w:t>
            </w:r>
          </w:p>
        </w:tc>
        <w:tc>
          <w:tcPr>
            <w:tcW w:w="1072" w:type="dxa"/>
            <w:tcBorders>
              <w:top w:val="nil"/>
              <w:left w:val="nil"/>
              <w:bottom w:val="nil"/>
              <w:right w:val="nil"/>
            </w:tcBorders>
            <w:shd w:val="clear" w:color="000000" w:fill="FFFFFF"/>
            <w:noWrap/>
            <w:vAlign w:val="center"/>
            <w:hideMark/>
          </w:tcPr>
          <w:p w14:paraId="07EEAF7D" w14:textId="77777777" w:rsidR="00CE75F6" w:rsidRPr="005C2366" w:rsidRDefault="00CE75F6" w:rsidP="00B948AD">
            <w:pPr>
              <w:pStyle w:val="TableTextCentered"/>
              <w:rPr>
                <w:lang w:eastAsia="en-AU"/>
              </w:rPr>
            </w:pPr>
            <w:r w:rsidRPr="005C2366">
              <w:rPr>
                <w:lang w:eastAsia="en-AU"/>
              </w:rPr>
              <w:t>1</w:t>
            </w:r>
          </w:p>
        </w:tc>
        <w:tc>
          <w:tcPr>
            <w:tcW w:w="1338" w:type="dxa"/>
            <w:tcBorders>
              <w:top w:val="nil"/>
              <w:left w:val="nil"/>
              <w:bottom w:val="nil"/>
              <w:right w:val="nil"/>
            </w:tcBorders>
            <w:shd w:val="clear" w:color="000000" w:fill="FFFFFF"/>
            <w:noWrap/>
            <w:vAlign w:val="center"/>
            <w:hideMark/>
          </w:tcPr>
          <w:p w14:paraId="6ACEF226" w14:textId="77777777" w:rsidR="00CE75F6" w:rsidRPr="005C2366" w:rsidRDefault="00CE75F6" w:rsidP="00B948AD">
            <w:pPr>
              <w:pStyle w:val="TableTextCentered"/>
              <w:rPr>
                <w:lang w:eastAsia="en-AU"/>
              </w:rPr>
            </w:pPr>
            <w:r w:rsidRPr="005C2366">
              <w:rPr>
                <w:lang w:eastAsia="en-AU"/>
              </w:rPr>
              <w:t>1</w:t>
            </w:r>
          </w:p>
        </w:tc>
        <w:tc>
          <w:tcPr>
            <w:tcW w:w="1418" w:type="dxa"/>
            <w:tcBorders>
              <w:top w:val="nil"/>
              <w:left w:val="nil"/>
              <w:bottom w:val="nil"/>
              <w:right w:val="nil"/>
            </w:tcBorders>
            <w:shd w:val="clear" w:color="000000" w:fill="FFFFFF"/>
            <w:noWrap/>
            <w:vAlign w:val="center"/>
            <w:hideMark/>
          </w:tcPr>
          <w:p w14:paraId="202C8E4C" w14:textId="77777777" w:rsidR="00CE75F6" w:rsidRPr="005C2366" w:rsidRDefault="00CE75F6" w:rsidP="00B948AD">
            <w:pPr>
              <w:pStyle w:val="TableTextCentered"/>
              <w:rPr>
                <w:lang w:eastAsia="en-AU"/>
              </w:rPr>
            </w:pPr>
            <w:r w:rsidRPr="005C2366">
              <w:rPr>
                <w:lang w:eastAsia="en-AU"/>
              </w:rPr>
              <w:t>0.28</w:t>
            </w:r>
          </w:p>
        </w:tc>
        <w:tc>
          <w:tcPr>
            <w:tcW w:w="992" w:type="dxa"/>
            <w:tcBorders>
              <w:top w:val="nil"/>
              <w:left w:val="nil"/>
              <w:bottom w:val="nil"/>
              <w:right w:val="nil"/>
            </w:tcBorders>
            <w:shd w:val="clear" w:color="000000" w:fill="FFFFFF"/>
            <w:noWrap/>
            <w:vAlign w:val="center"/>
            <w:hideMark/>
          </w:tcPr>
          <w:p w14:paraId="685BC210" w14:textId="77777777" w:rsidR="00CE75F6" w:rsidRPr="005C2366" w:rsidRDefault="00CE75F6" w:rsidP="00B948AD">
            <w:pPr>
              <w:pStyle w:val="TableTextCentered"/>
              <w:rPr>
                <w:lang w:eastAsia="en-AU"/>
              </w:rPr>
            </w:pPr>
            <w:r w:rsidRPr="005C2366">
              <w:rPr>
                <w:lang w:eastAsia="en-AU"/>
              </w:rPr>
              <w:t>0.28</w:t>
            </w:r>
          </w:p>
        </w:tc>
        <w:tc>
          <w:tcPr>
            <w:tcW w:w="1134" w:type="dxa"/>
            <w:tcBorders>
              <w:top w:val="nil"/>
              <w:left w:val="nil"/>
              <w:bottom w:val="nil"/>
              <w:right w:val="nil"/>
            </w:tcBorders>
            <w:shd w:val="clear" w:color="000000" w:fill="FFFFFF"/>
            <w:noWrap/>
            <w:vAlign w:val="center"/>
            <w:hideMark/>
          </w:tcPr>
          <w:p w14:paraId="2330D274" w14:textId="77777777" w:rsidR="00CE75F6" w:rsidRPr="005C2366" w:rsidRDefault="00CE75F6" w:rsidP="00B948AD">
            <w:pPr>
              <w:pStyle w:val="TableTextCentered"/>
              <w:rPr>
                <w:lang w:eastAsia="en-AU"/>
              </w:rPr>
            </w:pPr>
            <w:r w:rsidRPr="005C2366">
              <w:rPr>
                <w:lang w:eastAsia="en-AU"/>
              </w:rPr>
              <w:t>0.28</w:t>
            </w:r>
          </w:p>
        </w:tc>
        <w:tc>
          <w:tcPr>
            <w:tcW w:w="1654" w:type="dxa"/>
            <w:tcBorders>
              <w:top w:val="nil"/>
              <w:left w:val="nil"/>
              <w:bottom w:val="nil"/>
              <w:right w:val="nil"/>
            </w:tcBorders>
            <w:shd w:val="clear" w:color="000000" w:fill="FFFFFF"/>
            <w:noWrap/>
            <w:vAlign w:val="center"/>
            <w:hideMark/>
          </w:tcPr>
          <w:p w14:paraId="23068289" w14:textId="77777777" w:rsidR="00CE75F6" w:rsidRPr="005C2366" w:rsidRDefault="00CE75F6" w:rsidP="00B948AD">
            <w:pPr>
              <w:pStyle w:val="TableTextCentered"/>
              <w:rPr>
                <w:lang w:eastAsia="en-AU"/>
              </w:rPr>
            </w:pPr>
            <w:r w:rsidRPr="005C2366">
              <w:rPr>
                <w:lang w:eastAsia="en-AU"/>
              </w:rPr>
              <w:noBreakHyphen/>
            </w:r>
          </w:p>
        </w:tc>
      </w:tr>
      <w:tr w:rsidR="00CE75F6" w:rsidRPr="005C2366" w14:paraId="57650A70" w14:textId="77777777" w:rsidTr="000777C3">
        <w:trPr>
          <w:trHeight w:val="300"/>
        </w:trPr>
        <w:tc>
          <w:tcPr>
            <w:tcW w:w="1701" w:type="dxa"/>
            <w:tcBorders>
              <w:top w:val="nil"/>
              <w:left w:val="nil"/>
              <w:right w:val="nil"/>
            </w:tcBorders>
            <w:shd w:val="clear" w:color="000000" w:fill="FFFFFF"/>
            <w:noWrap/>
            <w:vAlign w:val="center"/>
            <w:hideMark/>
          </w:tcPr>
          <w:p w14:paraId="337C06FB" w14:textId="77777777" w:rsidR="00CE75F6" w:rsidRPr="005C2366" w:rsidRDefault="00CE75F6" w:rsidP="00B948AD">
            <w:pPr>
              <w:pStyle w:val="TableTextLeft"/>
              <w:rPr>
                <w:lang w:eastAsia="en-AU"/>
              </w:rPr>
            </w:pPr>
            <w:r w:rsidRPr="005C2366">
              <w:rPr>
                <w:lang w:eastAsia="en-AU"/>
              </w:rPr>
              <w:t>Single women</w:t>
            </w:r>
          </w:p>
        </w:tc>
        <w:tc>
          <w:tcPr>
            <w:tcW w:w="1072" w:type="dxa"/>
            <w:tcBorders>
              <w:top w:val="nil"/>
              <w:left w:val="nil"/>
              <w:right w:val="nil"/>
            </w:tcBorders>
            <w:shd w:val="clear" w:color="000000" w:fill="FFFFFF"/>
            <w:noWrap/>
            <w:vAlign w:val="center"/>
            <w:hideMark/>
          </w:tcPr>
          <w:p w14:paraId="3824882D" w14:textId="77777777" w:rsidR="00CE75F6" w:rsidRPr="005C2366" w:rsidRDefault="00CE75F6" w:rsidP="00B948AD">
            <w:pPr>
              <w:pStyle w:val="TableTextCentered"/>
              <w:rPr>
                <w:lang w:eastAsia="en-AU"/>
              </w:rPr>
            </w:pPr>
            <w:r w:rsidRPr="005C2366">
              <w:rPr>
                <w:lang w:eastAsia="en-AU"/>
              </w:rPr>
              <w:t>1</w:t>
            </w:r>
          </w:p>
        </w:tc>
        <w:tc>
          <w:tcPr>
            <w:tcW w:w="1338" w:type="dxa"/>
            <w:tcBorders>
              <w:top w:val="nil"/>
              <w:left w:val="nil"/>
              <w:right w:val="nil"/>
            </w:tcBorders>
            <w:shd w:val="clear" w:color="000000" w:fill="FFFFFF"/>
            <w:noWrap/>
            <w:vAlign w:val="center"/>
            <w:hideMark/>
          </w:tcPr>
          <w:p w14:paraId="6C88FAA4" w14:textId="77777777" w:rsidR="00CE75F6" w:rsidRPr="005C2366" w:rsidRDefault="00CE75F6" w:rsidP="00B948AD">
            <w:pPr>
              <w:pStyle w:val="TableTextCentered"/>
              <w:rPr>
                <w:lang w:eastAsia="en-AU"/>
              </w:rPr>
            </w:pPr>
            <w:r w:rsidRPr="005C2366">
              <w:rPr>
                <w:lang w:eastAsia="en-AU"/>
              </w:rPr>
              <w:t>1</w:t>
            </w:r>
          </w:p>
        </w:tc>
        <w:tc>
          <w:tcPr>
            <w:tcW w:w="1418" w:type="dxa"/>
            <w:tcBorders>
              <w:top w:val="nil"/>
              <w:left w:val="nil"/>
              <w:right w:val="nil"/>
            </w:tcBorders>
            <w:shd w:val="clear" w:color="000000" w:fill="FFFFFF"/>
            <w:noWrap/>
            <w:vAlign w:val="center"/>
            <w:hideMark/>
          </w:tcPr>
          <w:p w14:paraId="5E044CAE" w14:textId="77777777" w:rsidR="00CE75F6" w:rsidRPr="005C2366" w:rsidRDefault="00CE75F6" w:rsidP="00B948AD">
            <w:pPr>
              <w:pStyle w:val="TableTextCentered"/>
              <w:rPr>
                <w:lang w:eastAsia="en-AU"/>
              </w:rPr>
            </w:pPr>
            <w:r w:rsidRPr="005C2366">
              <w:rPr>
                <w:lang w:eastAsia="en-AU"/>
              </w:rPr>
              <w:t>0.34</w:t>
            </w:r>
          </w:p>
        </w:tc>
        <w:tc>
          <w:tcPr>
            <w:tcW w:w="992" w:type="dxa"/>
            <w:tcBorders>
              <w:top w:val="nil"/>
              <w:left w:val="nil"/>
              <w:right w:val="nil"/>
            </w:tcBorders>
            <w:shd w:val="clear" w:color="000000" w:fill="FFFFFF"/>
            <w:noWrap/>
            <w:vAlign w:val="center"/>
            <w:hideMark/>
          </w:tcPr>
          <w:p w14:paraId="65FE86A6" w14:textId="77777777" w:rsidR="00CE75F6" w:rsidRPr="005C2366" w:rsidRDefault="00CE75F6" w:rsidP="00B948AD">
            <w:pPr>
              <w:pStyle w:val="TableTextCentered"/>
              <w:rPr>
                <w:lang w:eastAsia="en-AU"/>
              </w:rPr>
            </w:pPr>
            <w:r w:rsidRPr="005C2366">
              <w:rPr>
                <w:lang w:eastAsia="en-AU"/>
              </w:rPr>
              <w:t>0.34</w:t>
            </w:r>
          </w:p>
        </w:tc>
        <w:tc>
          <w:tcPr>
            <w:tcW w:w="1134" w:type="dxa"/>
            <w:tcBorders>
              <w:top w:val="nil"/>
              <w:left w:val="nil"/>
              <w:right w:val="nil"/>
            </w:tcBorders>
            <w:shd w:val="clear" w:color="000000" w:fill="FFFFFF"/>
            <w:noWrap/>
            <w:vAlign w:val="center"/>
            <w:hideMark/>
          </w:tcPr>
          <w:p w14:paraId="70808D88" w14:textId="77777777" w:rsidR="00CE75F6" w:rsidRPr="005C2366" w:rsidRDefault="00CE75F6" w:rsidP="00B948AD">
            <w:pPr>
              <w:pStyle w:val="TableTextCentered"/>
              <w:rPr>
                <w:lang w:eastAsia="en-AU"/>
              </w:rPr>
            </w:pPr>
            <w:r w:rsidRPr="005C2366">
              <w:rPr>
                <w:lang w:eastAsia="en-AU"/>
              </w:rPr>
              <w:t>0.34</w:t>
            </w:r>
          </w:p>
        </w:tc>
        <w:tc>
          <w:tcPr>
            <w:tcW w:w="1654" w:type="dxa"/>
            <w:tcBorders>
              <w:top w:val="nil"/>
              <w:left w:val="nil"/>
              <w:right w:val="nil"/>
            </w:tcBorders>
            <w:shd w:val="clear" w:color="000000" w:fill="FFFFFF"/>
            <w:noWrap/>
            <w:vAlign w:val="center"/>
            <w:hideMark/>
          </w:tcPr>
          <w:p w14:paraId="0EC28495" w14:textId="77777777" w:rsidR="00CE75F6" w:rsidRPr="005C2366" w:rsidRDefault="00CE75F6" w:rsidP="00B948AD">
            <w:pPr>
              <w:pStyle w:val="TableTextCentered"/>
              <w:rPr>
                <w:lang w:eastAsia="en-AU"/>
              </w:rPr>
            </w:pPr>
            <w:r w:rsidRPr="005C2366">
              <w:rPr>
                <w:lang w:eastAsia="en-AU"/>
              </w:rPr>
              <w:noBreakHyphen/>
            </w:r>
          </w:p>
        </w:tc>
      </w:tr>
      <w:tr w:rsidR="00CE75F6" w:rsidRPr="005C2366" w14:paraId="2E9484E0" w14:textId="77777777" w:rsidTr="000777C3">
        <w:trPr>
          <w:trHeight w:val="300"/>
        </w:trPr>
        <w:tc>
          <w:tcPr>
            <w:tcW w:w="1701" w:type="dxa"/>
            <w:tcBorders>
              <w:top w:val="nil"/>
              <w:left w:val="nil"/>
              <w:bottom w:val="single" w:sz="4" w:space="0" w:color="003157"/>
              <w:right w:val="nil"/>
            </w:tcBorders>
            <w:shd w:val="clear" w:color="000000" w:fill="FFFFFF"/>
            <w:noWrap/>
            <w:vAlign w:val="center"/>
            <w:hideMark/>
          </w:tcPr>
          <w:p w14:paraId="5A4E615F" w14:textId="77777777" w:rsidR="00CE75F6" w:rsidRPr="005C2366" w:rsidRDefault="00CE75F6" w:rsidP="00B948AD">
            <w:pPr>
              <w:pStyle w:val="TableTextLeft"/>
              <w:rPr>
                <w:lang w:eastAsia="en-AU"/>
              </w:rPr>
            </w:pPr>
            <w:r w:rsidRPr="005C2366">
              <w:rPr>
                <w:lang w:eastAsia="en-AU"/>
              </w:rPr>
              <w:t>Lone parents</w:t>
            </w:r>
          </w:p>
        </w:tc>
        <w:tc>
          <w:tcPr>
            <w:tcW w:w="1072" w:type="dxa"/>
            <w:tcBorders>
              <w:top w:val="nil"/>
              <w:left w:val="nil"/>
              <w:bottom w:val="single" w:sz="4" w:space="0" w:color="003157"/>
              <w:right w:val="nil"/>
            </w:tcBorders>
            <w:shd w:val="clear" w:color="000000" w:fill="FFFFFF"/>
            <w:noWrap/>
            <w:vAlign w:val="center"/>
            <w:hideMark/>
          </w:tcPr>
          <w:p w14:paraId="0BFA6EEE" w14:textId="77777777" w:rsidR="00CE75F6" w:rsidRPr="005C2366" w:rsidRDefault="00CE75F6" w:rsidP="00B948AD">
            <w:pPr>
              <w:pStyle w:val="TableTextCentered"/>
              <w:rPr>
                <w:lang w:eastAsia="en-AU"/>
              </w:rPr>
            </w:pPr>
            <w:r w:rsidRPr="005C2366">
              <w:rPr>
                <w:lang w:eastAsia="en-AU"/>
              </w:rPr>
              <w:t>3</w:t>
            </w:r>
          </w:p>
        </w:tc>
        <w:tc>
          <w:tcPr>
            <w:tcW w:w="1338" w:type="dxa"/>
            <w:tcBorders>
              <w:top w:val="nil"/>
              <w:left w:val="nil"/>
              <w:bottom w:val="single" w:sz="4" w:space="0" w:color="003157"/>
              <w:right w:val="nil"/>
            </w:tcBorders>
            <w:shd w:val="clear" w:color="000000" w:fill="FFFFFF"/>
            <w:noWrap/>
            <w:vAlign w:val="center"/>
            <w:hideMark/>
          </w:tcPr>
          <w:p w14:paraId="217E45C7" w14:textId="77777777" w:rsidR="00CE75F6" w:rsidRPr="005C2366" w:rsidRDefault="00CE75F6" w:rsidP="00B948AD">
            <w:pPr>
              <w:pStyle w:val="TableTextCentered"/>
              <w:rPr>
                <w:lang w:eastAsia="en-AU"/>
              </w:rPr>
            </w:pPr>
            <w:r w:rsidRPr="005C2366">
              <w:rPr>
                <w:lang w:eastAsia="en-AU"/>
              </w:rPr>
              <w:t>6</w:t>
            </w:r>
          </w:p>
        </w:tc>
        <w:tc>
          <w:tcPr>
            <w:tcW w:w="1418" w:type="dxa"/>
            <w:tcBorders>
              <w:top w:val="nil"/>
              <w:left w:val="nil"/>
              <w:bottom w:val="single" w:sz="4" w:space="0" w:color="003157"/>
              <w:right w:val="nil"/>
            </w:tcBorders>
            <w:shd w:val="clear" w:color="000000" w:fill="FFFFFF"/>
            <w:noWrap/>
            <w:vAlign w:val="center"/>
            <w:hideMark/>
          </w:tcPr>
          <w:p w14:paraId="0447A84E" w14:textId="77777777" w:rsidR="00CE75F6" w:rsidRPr="005C2366" w:rsidRDefault="00CE75F6" w:rsidP="00B948AD">
            <w:pPr>
              <w:pStyle w:val="TableTextCentered"/>
              <w:rPr>
                <w:lang w:eastAsia="en-AU"/>
              </w:rPr>
            </w:pPr>
            <w:r w:rsidRPr="005C2366">
              <w:rPr>
                <w:lang w:eastAsia="en-AU"/>
              </w:rPr>
              <w:noBreakHyphen/>
              <w:t>0.15 to 1.48</w:t>
            </w:r>
          </w:p>
        </w:tc>
        <w:tc>
          <w:tcPr>
            <w:tcW w:w="992" w:type="dxa"/>
            <w:tcBorders>
              <w:top w:val="nil"/>
              <w:left w:val="nil"/>
              <w:bottom w:val="single" w:sz="4" w:space="0" w:color="003157"/>
              <w:right w:val="nil"/>
            </w:tcBorders>
            <w:shd w:val="clear" w:color="000000" w:fill="FFFFFF"/>
            <w:noWrap/>
            <w:vAlign w:val="center"/>
            <w:hideMark/>
          </w:tcPr>
          <w:p w14:paraId="4C1076FA" w14:textId="77777777" w:rsidR="00CE75F6" w:rsidRPr="005C2366" w:rsidRDefault="00CE75F6" w:rsidP="00B948AD">
            <w:pPr>
              <w:pStyle w:val="TableTextCentered"/>
              <w:rPr>
                <w:lang w:eastAsia="en-AU"/>
              </w:rPr>
            </w:pPr>
            <w:r w:rsidRPr="005C2366">
              <w:rPr>
                <w:lang w:eastAsia="en-AU"/>
              </w:rPr>
              <w:t>0.52</w:t>
            </w:r>
          </w:p>
        </w:tc>
        <w:tc>
          <w:tcPr>
            <w:tcW w:w="1134" w:type="dxa"/>
            <w:tcBorders>
              <w:top w:val="nil"/>
              <w:left w:val="nil"/>
              <w:bottom w:val="single" w:sz="4" w:space="0" w:color="003157"/>
              <w:right w:val="nil"/>
            </w:tcBorders>
            <w:shd w:val="clear" w:color="000000" w:fill="FFFFFF"/>
            <w:noWrap/>
            <w:vAlign w:val="center"/>
            <w:hideMark/>
          </w:tcPr>
          <w:p w14:paraId="2EB128F7" w14:textId="77777777" w:rsidR="00CE75F6" w:rsidRPr="005C2366" w:rsidRDefault="00CE75F6" w:rsidP="00B948AD">
            <w:pPr>
              <w:pStyle w:val="TableTextCentered"/>
              <w:rPr>
                <w:lang w:eastAsia="en-AU"/>
              </w:rPr>
            </w:pPr>
            <w:r w:rsidRPr="005C2366">
              <w:rPr>
                <w:lang w:eastAsia="en-AU"/>
              </w:rPr>
              <w:t>0.2</w:t>
            </w:r>
          </w:p>
        </w:tc>
        <w:tc>
          <w:tcPr>
            <w:tcW w:w="1654" w:type="dxa"/>
            <w:tcBorders>
              <w:top w:val="nil"/>
              <w:left w:val="nil"/>
              <w:bottom w:val="single" w:sz="4" w:space="0" w:color="003157"/>
              <w:right w:val="nil"/>
            </w:tcBorders>
            <w:shd w:val="clear" w:color="000000" w:fill="FFFFFF"/>
            <w:noWrap/>
            <w:vAlign w:val="center"/>
            <w:hideMark/>
          </w:tcPr>
          <w:p w14:paraId="5D7D64E5" w14:textId="77777777" w:rsidR="00CE75F6" w:rsidRPr="005C2366" w:rsidRDefault="00CE75F6" w:rsidP="00B948AD">
            <w:pPr>
              <w:pStyle w:val="TableTextCentered"/>
              <w:rPr>
                <w:lang w:eastAsia="en-AU"/>
              </w:rPr>
            </w:pPr>
            <w:r w:rsidRPr="005C2366">
              <w:rPr>
                <w:lang w:eastAsia="en-AU"/>
              </w:rPr>
              <w:t>0.75</w:t>
            </w:r>
          </w:p>
        </w:tc>
      </w:tr>
    </w:tbl>
    <w:p w14:paraId="12BA5D7E" w14:textId="77777777" w:rsidR="00CE75F6" w:rsidRDefault="00CE75F6" w:rsidP="00B948AD">
      <w:pPr>
        <w:pStyle w:val="Source"/>
      </w:pPr>
      <w:r w:rsidRPr="005A2B26">
        <w:t xml:space="preserve">Source: Dandie and Mercante (2007)  </w:t>
      </w:r>
    </w:p>
    <w:p w14:paraId="12A175A1" w14:textId="77777777" w:rsidR="00CE75F6" w:rsidRPr="00237EDE" w:rsidRDefault="00CE75F6" w:rsidP="00CE75F6">
      <w:pPr>
        <w:rPr>
          <w:color w:val="auto"/>
        </w:rPr>
      </w:pPr>
      <w:r w:rsidRPr="00237EDE">
        <w:rPr>
          <w:color w:val="auto"/>
        </w:rPr>
        <w:lastRenderedPageBreak/>
        <w:t xml:space="preserve">Specifically, </w:t>
      </w:r>
      <w:r w:rsidRPr="00237EDE">
        <w:rPr>
          <w:rFonts w:eastAsiaTheme="minorEastAsia"/>
          <w:color w:val="auto"/>
        </w:rPr>
        <w:t>the elasticity of substitution between consumption and leisure in the CES utility function</w:t>
      </w:r>
      <w:r w:rsidRPr="00237EDE">
        <w:rPr>
          <w:color w:val="auto"/>
        </w:rPr>
        <w:t xml:space="preserve"> is given by:</w:t>
      </w:r>
    </w:p>
    <w:p w14:paraId="572A6692" w14:textId="77777777" w:rsidR="00CE75F6" w:rsidRPr="00237EDE" w:rsidRDefault="00CE75F6" w:rsidP="00CE75F6">
      <w:pPr>
        <w:tabs>
          <w:tab w:val="center" w:pos="4640"/>
          <w:tab w:val="right" w:pos="9300"/>
        </w:tabs>
        <w:rPr>
          <w:color w:val="auto"/>
        </w:rPr>
      </w:pPr>
      <w:r w:rsidRPr="00237EDE">
        <w:rPr>
          <w:color w:val="auto"/>
        </w:rPr>
        <w:tab/>
      </w:r>
      <w:r w:rsidRPr="00237EDE">
        <w:rPr>
          <w:color w:val="auto"/>
          <w:position w:val="-36"/>
        </w:rPr>
        <w:object w:dxaOrig="3860" w:dyaOrig="840" w14:anchorId="54113FB9">
          <v:shape id="_x0000_i1028" type="#_x0000_t75" alt="This equation presents the uncompensated elasticity of labour supply as a function of the CES elasticity of substitution between consumption and leisure, the ratio of leisure to labour supply, leisure’s share of utility and labour’s share of household income." style="width:192.45pt;height:43.2pt" o:ole="">
            <v:imagedata r:id="rId50" o:title=""/>
          </v:shape>
          <o:OLEObject Type="Embed" ProgID="Equation.DSMT4" ShapeID="_x0000_i1028" DrawAspect="Content" ObjectID="_1523801336" r:id="rId51"/>
        </w:object>
      </w:r>
      <w:r w:rsidRPr="00237EDE">
        <w:rPr>
          <w:color w:val="auto"/>
        </w:rPr>
        <w:tab/>
      </w:r>
      <w:r w:rsidRPr="00237EDE">
        <w:rPr>
          <w:color w:val="auto"/>
        </w:rPr>
        <w:fldChar w:fldCharType="begin"/>
      </w:r>
      <w:r w:rsidRPr="00237EDE">
        <w:rPr>
          <w:color w:val="auto"/>
        </w:rPr>
        <w:instrText xml:space="preserve"> MACROBUTTON MTPlaceRef \* MERGEFORMAT </w:instrText>
      </w:r>
      <w:r w:rsidRPr="00237EDE">
        <w:rPr>
          <w:color w:val="auto"/>
        </w:rPr>
        <w:fldChar w:fldCharType="begin"/>
      </w:r>
      <w:r w:rsidRPr="00237EDE">
        <w:rPr>
          <w:color w:val="auto"/>
        </w:rPr>
        <w:instrText xml:space="preserve"> SEQ MTEqn \h \* MERGEFORMAT </w:instrText>
      </w:r>
      <w:r w:rsidRPr="00237EDE">
        <w:rPr>
          <w:color w:val="auto"/>
        </w:rPr>
        <w:fldChar w:fldCharType="end"/>
      </w:r>
      <w:r w:rsidRPr="00237EDE">
        <w:rPr>
          <w:color w:val="auto"/>
        </w:rPr>
        <w:instrText>(</w:instrText>
      </w:r>
      <w:r w:rsidRPr="00237EDE">
        <w:rPr>
          <w:color w:val="auto"/>
        </w:rPr>
        <w:fldChar w:fldCharType="begin"/>
      </w:r>
      <w:r w:rsidRPr="00237EDE">
        <w:rPr>
          <w:color w:val="auto"/>
        </w:rPr>
        <w:instrText xml:space="preserve"> SEQ MTEqn \c \* Arabic \* MERGEFORMAT </w:instrText>
      </w:r>
      <w:r w:rsidRPr="00237EDE">
        <w:rPr>
          <w:color w:val="auto"/>
        </w:rPr>
        <w:fldChar w:fldCharType="separate"/>
      </w:r>
      <w:r w:rsidR="00C97912">
        <w:rPr>
          <w:noProof/>
          <w:color w:val="auto"/>
        </w:rPr>
        <w:instrText>4</w:instrText>
      </w:r>
      <w:r w:rsidRPr="00237EDE">
        <w:rPr>
          <w:noProof/>
          <w:color w:val="auto"/>
        </w:rPr>
        <w:fldChar w:fldCharType="end"/>
      </w:r>
      <w:r w:rsidRPr="00237EDE">
        <w:rPr>
          <w:color w:val="auto"/>
        </w:rPr>
        <w:instrText>)</w:instrText>
      </w:r>
      <w:r w:rsidRPr="00237EDE">
        <w:rPr>
          <w:color w:val="auto"/>
        </w:rPr>
        <w:fldChar w:fldCharType="end"/>
      </w:r>
    </w:p>
    <w:p w14:paraId="10ADDB04" w14:textId="77777777" w:rsidR="00CE75F6" w:rsidRPr="00006011" w:rsidRDefault="00CE75F6" w:rsidP="00CE75F6">
      <w:pPr>
        <w:rPr>
          <w:rFonts w:eastAsiaTheme="minorEastAsia"/>
          <w:color w:val="auto"/>
        </w:rPr>
      </w:pPr>
      <w:r w:rsidRPr="00237EDE">
        <w:rPr>
          <w:color w:val="auto"/>
        </w:rPr>
        <w:t xml:space="preserve">where </w:t>
      </w:r>
      <w:r w:rsidRPr="00237EDE">
        <w:rPr>
          <w:rFonts w:ascii="Symbol" w:eastAsiaTheme="minorEastAsia" w:hAnsi="Symbol"/>
          <w:color w:val="auto"/>
        </w:rPr>
        <w:t></w:t>
      </w:r>
      <w:r w:rsidRPr="00237EDE">
        <w:rPr>
          <w:rFonts w:eastAsiaTheme="minorEastAsia"/>
          <w:color w:val="auto"/>
        </w:rPr>
        <w:t xml:space="preserve"> is the elasticity of substitution between consumption and leisure in the CES utility function, </w:t>
      </w:r>
      <w:r w:rsidRPr="00237EDE">
        <w:rPr>
          <w:rFonts w:ascii="Symbol" w:eastAsiaTheme="minorEastAsia" w:hAnsi="Symbol"/>
          <w:color w:val="auto"/>
        </w:rPr>
        <w:t></w:t>
      </w:r>
      <w:r w:rsidRPr="00237EDE">
        <w:rPr>
          <w:rFonts w:eastAsiaTheme="minorEastAsia"/>
          <w:color w:val="auto"/>
        </w:rPr>
        <w:t xml:space="preserve"> is the share of total hours devoted to leisure (equal to 33 per cent in the baseline), </w:t>
      </w:r>
      <w:r w:rsidRPr="00237EDE">
        <w:rPr>
          <w:rFonts w:ascii="Symbol" w:eastAsiaTheme="minorEastAsia" w:hAnsi="Symbol"/>
          <w:color w:val="auto"/>
        </w:rPr>
        <w:t></w:t>
      </w:r>
      <w:r w:rsidRPr="00237EDE">
        <w:rPr>
          <w:rFonts w:eastAsiaTheme="minorEastAsia"/>
          <w:color w:val="auto"/>
        </w:rPr>
        <w:t xml:space="preserve"> is leisure’s share of utility (equal to around 30 per cent), H is the after</w:t>
      </w:r>
      <w:r w:rsidRPr="00237EDE">
        <w:rPr>
          <w:rFonts w:eastAsiaTheme="minorEastAsia"/>
          <w:color w:val="auto"/>
        </w:rPr>
        <w:noBreakHyphen/>
        <w:t xml:space="preserve">tax value of total household hours, M is other income from capital and transfers and </w:t>
      </w:r>
      <w:r w:rsidRPr="00237EDE">
        <w:rPr>
          <w:rFonts w:ascii="Symbol" w:eastAsiaTheme="minorEastAsia" w:hAnsi="Symbol"/>
          <w:color w:val="auto"/>
        </w:rPr>
        <w:t></w:t>
      </w:r>
      <w:r w:rsidRPr="00237EDE">
        <w:rPr>
          <w:rFonts w:eastAsiaTheme="minorEastAsia"/>
          <w:color w:val="auto"/>
        </w:rPr>
        <w:t xml:space="preserve"> is </w:t>
      </w:r>
      <w:r w:rsidRPr="00237EDE">
        <w:rPr>
          <w:color w:val="auto"/>
        </w:rPr>
        <w:t xml:space="preserve">the uncompensated elasticity of labour supply. </w:t>
      </w:r>
      <w:r w:rsidRPr="00237EDE">
        <w:rPr>
          <w:rFonts w:eastAsiaTheme="minorEastAsia"/>
          <w:color w:val="auto"/>
        </w:rPr>
        <w:t>The analysis assumes an uncompensated elasticity of labour supply of 0.15,</w:t>
      </w:r>
      <w:r w:rsidRPr="00237EDE">
        <w:rPr>
          <w:color w:val="auto"/>
        </w:rPr>
        <w:t xml:space="preserve"> </w:t>
      </w:r>
      <w:r w:rsidRPr="00237EDE">
        <w:rPr>
          <w:rFonts w:eastAsiaTheme="minorEastAsia"/>
          <w:color w:val="auto"/>
        </w:rPr>
        <w:t>which is slightly lower than the 0.2 assumed in Independent Economics (2014)</w:t>
      </w:r>
      <w:r>
        <w:rPr>
          <w:rFonts w:eastAsiaTheme="minorEastAsia"/>
          <w:color w:val="auto"/>
        </w:rPr>
        <w:t xml:space="preserve">. </w:t>
      </w:r>
      <w:r w:rsidRPr="00237EDE">
        <w:rPr>
          <w:rFonts w:eastAsiaTheme="minorEastAsia"/>
          <w:color w:val="auto"/>
        </w:rPr>
        <w:t>Conditional on this and the other model parameters</w:t>
      </w:r>
      <w:r>
        <w:rPr>
          <w:rFonts w:eastAsiaTheme="minorEastAsia"/>
          <w:color w:val="auto"/>
        </w:rPr>
        <w:t>,</w:t>
      </w:r>
      <w:r w:rsidRPr="00237EDE">
        <w:rPr>
          <w:rFonts w:eastAsiaTheme="minorEastAsia"/>
          <w:color w:val="auto"/>
        </w:rPr>
        <w:t xml:space="preserve"> the consumption</w:t>
      </w:r>
      <w:r w:rsidRPr="00237EDE">
        <w:rPr>
          <w:rFonts w:eastAsiaTheme="minorEastAsia"/>
          <w:color w:val="auto"/>
        </w:rPr>
        <w:noBreakHyphen/>
        <w:t>leisure elasticity is 1.2.</w:t>
      </w:r>
    </w:p>
    <w:p w14:paraId="78B7D21C" w14:textId="77777777" w:rsidR="00CE75F6" w:rsidRPr="00475A8C" w:rsidRDefault="00CE75F6" w:rsidP="00475A8C">
      <w:pPr>
        <w:rPr>
          <w:color w:val="auto"/>
        </w:rPr>
      </w:pPr>
      <w:r w:rsidRPr="0094658C">
        <w:t xml:space="preserve">To test the sensitivity of the results to changes in this elasticity, two alternatives are considered: a low elasticity of 0.6; and a high elasticity of 1.8. Given the central role of this elasticity it is unsurprising that </w:t>
      </w:r>
      <w:r w:rsidRPr="0094658C">
        <w:rPr>
          <w:color w:val="auto"/>
        </w:rPr>
        <w:t xml:space="preserve">the activity and welfare analysis is sensitive to this elasticity, with a higher elasticity implying a higher responses (see Table </w:t>
      </w:r>
      <w:r w:rsidR="00A12683">
        <w:rPr>
          <w:color w:val="auto"/>
        </w:rPr>
        <w:t>3</w:t>
      </w:r>
      <w:r w:rsidRPr="0094658C">
        <w:rPr>
          <w:color w:val="auto"/>
        </w:rPr>
        <w:t>). Again, the key conclusions of the paper are robust to this range of consumption</w:t>
      </w:r>
      <w:r w:rsidRPr="0094658C">
        <w:rPr>
          <w:color w:val="auto"/>
        </w:rPr>
        <w:noBreakHyphen/>
        <w:t>leisure substitution elasticities.</w:t>
      </w:r>
    </w:p>
    <w:p w14:paraId="3F047C13" w14:textId="77777777" w:rsidR="00EA129E" w:rsidRDefault="00EA129E" w:rsidP="005D4BBD">
      <w:pPr>
        <w:pStyle w:val="Heading3"/>
      </w:pPr>
      <w:r>
        <w:t>Parameters governing firm/foreign investment behaviour</w:t>
      </w:r>
    </w:p>
    <w:p w14:paraId="2A18C124" w14:textId="77777777" w:rsidR="00EA129E" w:rsidRPr="005A2B26" w:rsidRDefault="00EA129E" w:rsidP="00EA129E">
      <w:pPr>
        <w:pStyle w:val="Heading4"/>
      </w:pPr>
      <w:r w:rsidRPr="005A2B26">
        <w:t>Share of factor income earned by fixed factors</w:t>
      </w:r>
    </w:p>
    <w:p w14:paraId="12B64C8F" w14:textId="77777777" w:rsidR="00475A8C" w:rsidRPr="00475A8C" w:rsidRDefault="00475A8C" w:rsidP="00475A8C">
      <w:pPr>
        <w:rPr>
          <w:color w:val="auto"/>
          <w:lang w:val="en-US" w:eastAsia="en-AU"/>
        </w:rPr>
      </w:pPr>
      <w:r w:rsidRPr="00475A8C">
        <w:rPr>
          <w:color w:val="auto"/>
          <w:lang w:val="en-US" w:eastAsia="en-AU"/>
        </w:rPr>
        <w:t>The model includes both location</w:t>
      </w:r>
      <w:r w:rsidRPr="00475A8C">
        <w:rPr>
          <w:color w:val="auto"/>
        </w:rPr>
        <w:noBreakHyphen/>
      </w:r>
      <w:r w:rsidRPr="00475A8C">
        <w:rPr>
          <w:color w:val="auto"/>
          <w:lang w:val="en-US" w:eastAsia="en-AU"/>
        </w:rPr>
        <w:t xml:space="preserve"> and firm</w:t>
      </w:r>
      <w:r w:rsidRPr="00475A8C">
        <w:rPr>
          <w:color w:val="auto"/>
          <w:lang w:val="en-US" w:eastAsia="en-AU"/>
        </w:rPr>
        <w:noBreakHyphen/>
        <w:t>specific fixed factors of production in addition to land. The firm</w:t>
      </w:r>
      <w:r w:rsidRPr="00475A8C">
        <w:rPr>
          <w:color w:val="auto"/>
          <w:lang w:val="en-US" w:eastAsia="en-AU"/>
        </w:rPr>
        <w:noBreakHyphen/>
        <w:t>specific fixed factor reflects the rents generated by intangible assets, such as brand names, patents and market power. Location</w:t>
      </w:r>
      <w:r w:rsidRPr="00475A8C">
        <w:rPr>
          <w:color w:val="auto"/>
          <w:lang w:val="en-US" w:eastAsia="en-AU"/>
        </w:rPr>
        <w:noBreakHyphen/>
        <w:t>specific fixed factors are inputs that are fixed in supply to any particular industry, such as natural resources. Each industry uses a different type of location</w:t>
      </w:r>
      <w:r w:rsidRPr="00475A8C">
        <w:rPr>
          <w:color w:val="auto"/>
        </w:rPr>
        <w:noBreakHyphen/>
      </w:r>
      <w:r w:rsidRPr="00475A8C">
        <w:rPr>
          <w:color w:val="auto"/>
          <w:lang w:val="en-US" w:eastAsia="en-AU"/>
        </w:rPr>
        <w:t>specific fixed factor. For example, each industry within the mining sector will use a different type of natural resource — the coal industry requires coal resources and the iron</w:t>
      </w:r>
      <w:r w:rsidRPr="00475A8C">
        <w:rPr>
          <w:color w:val="auto"/>
          <w:lang w:val="en-US" w:eastAsia="en-AU"/>
        </w:rPr>
        <w:noBreakHyphen/>
        <w:t>ore industry requires iron</w:t>
      </w:r>
      <w:r w:rsidRPr="00475A8C">
        <w:rPr>
          <w:color w:val="auto"/>
          <w:lang w:val="en-US" w:eastAsia="en-AU"/>
        </w:rPr>
        <w:noBreakHyphen/>
        <w:t>ore resources. Fixed factors generate location</w:t>
      </w:r>
      <w:r w:rsidRPr="00475A8C">
        <w:rPr>
          <w:color w:val="auto"/>
        </w:rPr>
        <w:noBreakHyphen/>
      </w:r>
      <w:r w:rsidRPr="00475A8C">
        <w:rPr>
          <w:color w:val="auto"/>
          <w:lang w:val="en-US" w:eastAsia="en-AU"/>
        </w:rPr>
        <w:t>specific economic rents, which are unable to be obtained unless they are exploited within Australia.</w:t>
      </w:r>
    </w:p>
    <w:p w14:paraId="76A3D28D" w14:textId="77777777" w:rsidR="00475A8C" w:rsidRPr="005A2B26" w:rsidRDefault="00475A8C" w:rsidP="00475A8C">
      <w:pPr>
        <w:rPr>
          <w:color w:val="auto"/>
        </w:rPr>
      </w:pPr>
      <w:r w:rsidRPr="005A2B26">
        <w:rPr>
          <w:color w:val="auto"/>
        </w:rPr>
        <w:t>Generally, returns to location</w:t>
      </w:r>
      <w:r w:rsidRPr="005A2B26">
        <w:rPr>
          <w:color w:val="auto"/>
        </w:rPr>
        <w:noBreakHyphen/>
        <w:t xml:space="preserve"> and firm</w:t>
      </w:r>
      <w:r w:rsidRPr="005A2B26">
        <w:rPr>
          <w:color w:val="auto"/>
        </w:rPr>
        <w:noBreakHyphen/>
        <w:t>specific fixed factors are those that are not able to be attributed to other forms of capital. Hence these fixed factors are often referred to as excess returns or economic rents.</w:t>
      </w:r>
    </w:p>
    <w:p w14:paraId="05D16BCE" w14:textId="77777777" w:rsidR="00475A8C" w:rsidRPr="005A2B26" w:rsidRDefault="00475A8C" w:rsidP="00475A8C">
      <w:pPr>
        <w:rPr>
          <w:color w:val="auto"/>
          <w:highlight w:val="red"/>
        </w:rPr>
      </w:pPr>
      <w:r>
        <w:rPr>
          <w:color w:val="auto"/>
        </w:rPr>
        <w:t>E</w:t>
      </w:r>
      <w:r w:rsidRPr="005A2B26">
        <w:rPr>
          <w:color w:val="auto"/>
        </w:rPr>
        <w:t>xcess returns o</w:t>
      </w:r>
      <w:r>
        <w:rPr>
          <w:color w:val="auto"/>
        </w:rPr>
        <w:t xml:space="preserve">n the measured stock of capital require an estimate of the normal returns, with </w:t>
      </w:r>
      <w:r w:rsidRPr="005A2B26">
        <w:rPr>
          <w:color w:val="auto"/>
        </w:rPr>
        <w:t>any remaining returns</w:t>
      </w:r>
      <w:r>
        <w:rPr>
          <w:color w:val="auto"/>
        </w:rPr>
        <w:t xml:space="preserve"> </w:t>
      </w:r>
      <w:r w:rsidRPr="005A2B26">
        <w:rPr>
          <w:color w:val="auto"/>
        </w:rPr>
        <w:t>assume</w:t>
      </w:r>
      <w:r>
        <w:rPr>
          <w:color w:val="auto"/>
        </w:rPr>
        <w:t>d to be</w:t>
      </w:r>
      <w:r w:rsidRPr="005A2B26">
        <w:rPr>
          <w:color w:val="auto"/>
        </w:rPr>
        <w:t xml:space="preserve"> due to the location</w:t>
      </w:r>
      <w:r w:rsidRPr="005A2B26">
        <w:rPr>
          <w:color w:val="auto"/>
        </w:rPr>
        <w:noBreakHyphen/>
        <w:t xml:space="preserve"> and firm</w:t>
      </w:r>
      <w:r w:rsidRPr="005A2B26">
        <w:rPr>
          <w:color w:val="auto"/>
        </w:rPr>
        <w:noBreakHyphen/>
        <w:t xml:space="preserve">specific fixed factors. </w:t>
      </w:r>
      <w:r>
        <w:rPr>
          <w:color w:val="auto"/>
        </w:rPr>
        <w:t xml:space="preserve">The normal return is estimated to be </w:t>
      </w:r>
      <w:r w:rsidR="006B02E6">
        <w:rPr>
          <w:color w:val="auto"/>
        </w:rPr>
        <w:t xml:space="preserve">the </w:t>
      </w:r>
      <w:r>
        <w:rPr>
          <w:color w:val="auto"/>
        </w:rPr>
        <w:t xml:space="preserve">model consistent </w:t>
      </w:r>
      <w:r w:rsidRPr="005A2B26">
        <w:rPr>
          <w:color w:val="auto"/>
        </w:rPr>
        <w:t>economy-wide after</w:t>
      </w:r>
      <w:r w:rsidRPr="005A2B26">
        <w:rPr>
          <w:color w:val="auto"/>
        </w:rPr>
        <w:noBreakHyphen/>
        <w:t>tax required rate of return. This is used to calculate the before</w:t>
      </w:r>
      <w:r w:rsidRPr="005A2B26">
        <w:rPr>
          <w:color w:val="auto"/>
        </w:rPr>
        <w:noBreakHyphen/>
        <w:t>tax required rate of return for each industry. The before</w:t>
      </w:r>
      <w:r w:rsidRPr="005A2B26">
        <w:rPr>
          <w:color w:val="auto"/>
        </w:rPr>
        <w:noBreakHyphen/>
        <w:t>tax required rate of return differs across industries because their capital structure and debt levels vary.</w:t>
      </w:r>
    </w:p>
    <w:p w14:paraId="4E21659F" w14:textId="77777777" w:rsidR="00475A8C" w:rsidRDefault="00475A8C" w:rsidP="00475A8C">
      <w:pPr>
        <w:rPr>
          <w:color w:val="auto"/>
        </w:rPr>
      </w:pPr>
      <w:r w:rsidRPr="005A2B26">
        <w:rPr>
          <w:color w:val="auto"/>
        </w:rPr>
        <w:t>Estimating the magnitude of excess returns for different industries and in the whole economy is difficult. Furthermore, the existence of rents in any particular year may be due to temporary factors. This effect is somewhat mitigated by calculating the excess returns over a 20 year period.</w:t>
      </w:r>
    </w:p>
    <w:p w14:paraId="72446FE8" w14:textId="77777777" w:rsidR="00475A8C" w:rsidRDefault="00475A8C" w:rsidP="00475A8C">
      <w:pPr>
        <w:rPr>
          <w:color w:val="auto"/>
        </w:rPr>
      </w:pPr>
      <w:r w:rsidRPr="00475A8C">
        <w:rPr>
          <w:color w:val="auto"/>
        </w:rPr>
        <w:lastRenderedPageBreak/>
        <w:t>Based on detailed industry data reported in ABS Estimates of Multifactor Productivity (ABS  cat. 5260.0.55.002), location</w:t>
      </w:r>
      <w:r w:rsidRPr="00475A8C">
        <w:rPr>
          <w:color w:val="auto"/>
        </w:rPr>
        <w:noBreakHyphen/>
        <w:t xml:space="preserve">specific fixed factors are estimated to account for just over 5 per  cent of GDP or around a seventh of the total gross operating surplus in the baseline calibration. For comparison, land accounts around 3 per cent of GDP. </w:t>
      </w:r>
    </w:p>
    <w:p w14:paraId="46860DBE" w14:textId="77777777" w:rsidR="00475A8C" w:rsidRPr="00F86EE8" w:rsidRDefault="00475A8C" w:rsidP="00475A8C">
      <w:pPr>
        <w:rPr>
          <w:color w:val="auto"/>
        </w:rPr>
      </w:pPr>
      <w:r w:rsidRPr="00F86EE8">
        <w:rPr>
          <w:color w:val="auto"/>
        </w:rPr>
        <w:t xml:space="preserve">Table </w:t>
      </w:r>
      <w:r w:rsidR="00A12683">
        <w:rPr>
          <w:color w:val="auto"/>
        </w:rPr>
        <w:t>4</w:t>
      </w:r>
      <w:r w:rsidRPr="00F86EE8">
        <w:rPr>
          <w:color w:val="auto"/>
        </w:rPr>
        <w:t xml:space="preserve"> presents two sensitivity analyses</w:t>
      </w:r>
      <w:r w:rsidR="00380E98">
        <w:rPr>
          <w:color w:val="auto"/>
        </w:rPr>
        <w:t>:</w:t>
      </w:r>
      <w:r w:rsidRPr="00F86EE8">
        <w:rPr>
          <w:color w:val="auto"/>
        </w:rPr>
        <w:t xml:space="preserve"> </w:t>
      </w:r>
      <w:r w:rsidR="0041730D" w:rsidRPr="00F86EE8">
        <w:rPr>
          <w:color w:val="auto"/>
        </w:rPr>
        <w:t>a lower bound where</w:t>
      </w:r>
      <w:r w:rsidRPr="00F86EE8">
        <w:rPr>
          <w:color w:val="auto"/>
        </w:rPr>
        <w:t xml:space="preserve"> </w:t>
      </w:r>
      <w:r w:rsidR="0041730D" w:rsidRPr="00F86EE8">
        <w:rPr>
          <w:color w:val="auto"/>
        </w:rPr>
        <w:t>the importance of fixed factors is reduced by 50 per cent</w:t>
      </w:r>
      <w:r w:rsidR="00380E98">
        <w:rPr>
          <w:color w:val="auto"/>
        </w:rPr>
        <w:t>;</w:t>
      </w:r>
      <w:r w:rsidR="0041730D" w:rsidRPr="00F86EE8">
        <w:rPr>
          <w:color w:val="auto"/>
        </w:rPr>
        <w:t xml:space="preserve"> </w:t>
      </w:r>
      <w:r w:rsidRPr="00F86EE8">
        <w:rPr>
          <w:color w:val="auto"/>
        </w:rPr>
        <w:t xml:space="preserve">and one where </w:t>
      </w:r>
      <w:r w:rsidR="0041730D" w:rsidRPr="00F86EE8">
        <w:rPr>
          <w:color w:val="auto"/>
        </w:rPr>
        <w:t>the importance of fixed factors is increased by 50 per cent</w:t>
      </w:r>
      <w:r w:rsidRPr="00F86EE8">
        <w:rPr>
          <w:color w:val="auto"/>
        </w:rPr>
        <w:t xml:space="preserve">. The GDP contribution of labour is held constant, so </w:t>
      </w:r>
      <w:r w:rsidR="0041730D" w:rsidRPr="00F86EE8">
        <w:rPr>
          <w:color w:val="auto"/>
        </w:rPr>
        <w:t>reducing the importance of fixed factors</w:t>
      </w:r>
      <w:r w:rsidRPr="00F86EE8">
        <w:rPr>
          <w:color w:val="auto"/>
        </w:rPr>
        <w:t xml:space="preserve"> increases the importance of other capital types.</w:t>
      </w:r>
    </w:p>
    <w:p w14:paraId="1FCA129C" w14:textId="77777777" w:rsidR="00475A8C" w:rsidRPr="00EA129E" w:rsidRDefault="0041730D" w:rsidP="00EA129E">
      <w:pPr>
        <w:rPr>
          <w:color w:val="auto"/>
        </w:rPr>
      </w:pPr>
      <w:r w:rsidRPr="00F86EE8">
        <w:rPr>
          <w:color w:val="auto"/>
        </w:rPr>
        <w:t xml:space="preserve">Reducing the importance of fixed factors (or raising the importance of variable factors) raises the activity and welfare responses to a company </w:t>
      </w:r>
      <w:r w:rsidR="00F86EE8" w:rsidRPr="00F86EE8">
        <w:rPr>
          <w:color w:val="auto"/>
        </w:rPr>
        <w:t>tax cut, while increasing the importance of fixed factors lowers activity and welfare responses to a company tax cut.</w:t>
      </w:r>
    </w:p>
    <w:p w14:paraId="2638A352" w14:textId="77777777" w:rsidR="00EA129E" w:rsidRPr="005A2B26" w:rsidRDefault="00EA129E" w:rsidP="00EA129E">
      <w:pPr>
        <w:pStyle w:val="Heading4"/>
      </w:pPr>
      <w:r w:rsidRPr="005A2B26">
        <w:t>Share of foreign ownership of firms</w:t>
      </w:r>
    </w:p>
    <w:p w14:paraId="65DE408D" w14:textId="77777777" w:rsidR="00EA129E" w:rsidRPr="005A2B26" w:rsidRDefault="00EA129E" w:rsidP="00EA129E">
      <w:pPr>
        <w:rPr>
          <w:color w:val="auto"/>
        </w:rPr>
      </w:pPr>
      <w:r w:rsidRPr="005A2B26">
        <w:rPr>
          <w:color w:val="auto"/>
        </w:rPr>
        <w:t xml:space="preserve">The share of foreign ownership of firms in the model is calibrated using gross foreign ownership of businesses. This requires </w:t>
      </w:r>
      <w:r>
        <w:rPr>
          <w:color w:val="auto"/>
        </w:rPr>
        <w:t xml:space="preserve">an estimate of </w:t>
      </w:r>
      <w:r w:rsidRPr="005A2B26">
        <w:rPr>
          <w:color w:val="auto"/>
        </w:rPr>
        <w:t xml:space="preserve">foreign liabilities excluding households and government. </w:t>
      </w:r>
      <w:r>
        <w:rPr>
          <w:color w:val="auto"/>
        </w:rPr>
        <w:t>This is done</w:t>
      </w:r>
      <w:r w:rsidRPr="005A2B26">
        <w:rPr>
          <w:color w:val="auto"/>
        </w:rPr>
        <w:t xml:space="preserve"> by estimating the indirect liabilities of households and governments to foreigners through banks, securitises and central borrowing authorities using historical data from ABS National Financial Accounts (ABS Cat. No. 5232.0).</w:t>
      </w:r>
    </w:p>
    <w:p w14:paraId="1A5F512B" w14:textId="77777777" w:rsidR="00EA129E" w:rsidRPr="005A2B26" w:rsidRDefault="00EA129E" w:rsidP="00EA129E">
      <w:pPr>
        <w:rPr>
          <w:color w:val="auto"/>
        </w:rPr>
      </w:pPr>
      <w:r>
        <w:rPr>
          <w:color w:val="auto"/>
        </w:rPr>
        <w:t>G</w:t>
      </w:r>
      <w:r w:rsidRPr="005A2B26">
        <w:rPr>
          <w:color w:val="auto"/>
        </w:rPr>
        <w:t xml:space="preserve">ross foreign liabilities excluding those of households and government </w:t>
      </w:r>
      <w:r>
        <w:rPr>
          <w:color w:val="auto"/>
        </w:rPr>
        <w:t xml:space="preserve">are estimated to be </w:t>
      </w:r>
      <w:r w:rsidRPr="005A2B26">
        <w:rPr>
          <w:color w:val="auto"/>
        </w:rPr>
        <w:t>$637 billion at June 2008. Given a total capital stock of roughly $3 trillion, this implies that 20.7 per cent of domestic firms were owned by foreigners.</w:t>
      </w:r>
    </w:p>
    <w:p w14:paraId="55B9A055" w14:textId="77777777" w:rsidR="00EA129E" w:rsidRDefault="00EA129E" w:rsidP="00EA129E">
      <w:pPr>
        <w:rPr>
          <w:color w:val="auto"/>
        </w:rPr>
      </w:pPr>
      <w:r>
        <w:rPr>
          <w:color w:val="auto"/>
        </w:rPr>
        <w:t xml:space="preserve">The framework assumes </w:t>
      </w:r>
      <w:r w:rsidRPr="005A2B26">
        <w:rPr>
          <w:color w:val="auto"/>
        </w:rPr>
        <w:t>homogenous foreign ownership shares of firms across the economy</w:t>
      </w:r>
      <w:r>
        <w:rPr>
          <w:color w:val="auto"/>
        </w:rPr>
        <w:t xml:space="preserve"> due to data limitations</w:t>
      </w:r>
      <w:r w:rsidR="004E5816">
        <w:rPr>
          <w:color w:val="auto"/>
        </w:rPr>
        <w:t>.</w:t>
      </w:r>
    </w:p>
    <w:p w14:paraId="4D48C22E" w14:textId="77777777" w:rsidR="004E5816" w:rsidRPr="004E5816" w:rsidRDefault="004E5816" w:rsidP="004E5816">
      <w:pPr>
        <w:rPr>
          <w:color w:val="auto"/>
        </w:rPr>
      </w:pPr>
      <w:r w:rsidRPr="004E5816">
        <w:rPr>
          <w:color w:val="auto"/>
        </w:rPr>
        <w:t>The share of foreign ownership of domestic assets, especially with respect to land and economic rents, has important implications for the efficiency of the company income tax. If the share of land and rents owned by foreigners is greater, raising the company tax rate will give a larger wind fall gain to domestic capital owners.</w:t>
      </w:r>
    </w:p>
    <w:p w14:paraId="7B4E4EBA" w14:textId="77777777" w:rsidR="004E5816" w:rsidRPr="00EA129E" w:rsidRDefault="004E5816" w:rsidP="004E5816">
      <w:pPr>
        <w:rPr>
          <w:color w:val="auto"/>
        </w:rPr>
      </w:pPr>
      <w:r w:rsidRPr="00380E98">
        <w:rPr>
          <w:color w:val="auto"/>
        </w:rPr>
        <w:t xml:space="preserve">Sensitivity analysis presented in Table </w:t>
      </w:r>
      <w:r w:rsidR="00A12683">
        <w:rPr>
          <w:color w:val="auto"/>
        </w:rPr>
        <w:t>5</w:t>
      </w:r>
      <w:r w:rsidRPr="00380E98">
        <w:rPr>
          <w:color w:val="auto"/>
        </w:rPr>
        <w:t xml:space="preserve"> provides insight into the implications of higher or lower foreign ownership by simulating the model assuming: </w:t>
      </w:r>
      <w:r w:rsidR="00380E98" w:rsidRPr="00380E98">
        <w:rPr>
          <w:color w:val="auto"/>
        </w:rPr>
        <w:t>a lower bound where the share of foreign ownership is reduced by 50 per cent; and one where the share of foreign ownership is increased by 50 per cent.</w:t>
      </w:r>
      <w:r w:rsidRPr="00380E98">
        <w:rPr>
          <w:color w:val="auto"/>
        </w:rPr>
        <w:t xml:space="preserve"> </w:t>
      </w:r>
      <w:r w:rsidR="00380E98" w:rsidRPr="00380E98">
        <w:rPr>
          <w:color w:val="auto"/>
        </w:rPr>
        <w:t xml:space="preserve">The results </w:t>
      </w:r>
      <w:r w:rsidR="00380E98">
        <w:rPr>
          <w:color w:val="auto"/>
        </w:rPr>
        <w:t xml:space="preserve">appear to be </w:t>
      </w:r>
      <w:r w:rsidR="006B02E6">
        <w:rPr>
          <w:color w:val="auto"/>
        </w:rPr>
        <w:t xml:space="preserve">somewhat </w:t>
      </w:r>
      <w:r w:rsidR="00380E98" w:rsidRPr="00380E98">
        <w:rPr>
          <w:color w:val="auto"/>
        </w:rPr>
        <w:t>insensitive to this range of parameters.</w:t>
      </w:r>
    </w:p>
    <w:p w14:paraId="062F249E" w14:textId="77777777" w:rsidR="00EA129E" w:rsidRDefault="00EA129E" w:rsidP="00EA129E">
      <w:pPr>
        <w:pStyle w:val="Heading4"/>
      </w:pPr>
      <w:r>
        <w:t>Degree of international capital mobility</w:t>
      </w:r>
    </w:p>
    <w:p w14:paraId="599C7C37" w14:textId="77777777" w:rsidR="004E5816" w:rsidRPr="004E5816" w:rsidRDefault="004E5816" w:rsidP="004E5816">
      <w:pPr>
        <w:rPr>
          <w:color w:val="auto"/>
        </w:rPr>
      </w:pPr>
      <w:r w:rsidRPr="004E5816">
        <w:rPr>
          <w:color w:val="auto"/>
        </w:rPr>
        <w:t>The mobility of capital refers to how easily financial capital (debt and equity) flows into and out of a country. Greater capital mobility will shift more of the burden of taxation from capital to labour through larger changes in the domestic capital stock, and hence in domestic labour productivity and wages (Grubert and Mutti, 1985; and Gravelle, 2010). Under perfect capital mobility, an increase in the company tax rate will result in an outflow of foreign capital to ensure that there is no material difference between the after</w:t>
      </w:r>
      <w:r w:rsidRPr="004E5816">
        <w:rPr>
          <w:color w:val="auto"/>
        </w:rPr>
        <w:noBreakHyphen/>
        <w:t>tax (risk adjusted) rate of return on investment in Australia and the global rate of return. If capital is not perfectly mobile, an increase in the company tax rate will result in a smaller outflow of foreign capital relative to the perfect capital mobility assumption.</w:t>
      </w:r>
    </w:p>
    <w:p w14:paraId="63563A5F" w14:textId="77777777" w:rsidR="009F7815" w:rsidRDefault="004E5816" w:rsidP="00EA129E">
      <w:pPr>
        <w:rPr>
          <w:color w:val="auto"/>
        </w:rPr>
      </w:pPr>
      <w:r>
        <w:rPr>
          <w:color w:val="auto"/>
        </w:rPr>
        <w:lastRenderedPageBreak/>
        <w:t xml:space="preserve">The model’s </w:t>
      </w:r>
      <w:r w:rsidRPr="005A2B26">
        <w:rPr>
          <w:color w:val="auto"/>
        </w:rPr>
        <w:t>baseline parameterisation assumes perfect international capital mobility. This is consistent with the typical app</w:t>
      </w:r>
      <w:r>
        <w:rPr>
          <w:color w:val="auto"/>
        </w:rPr>
        <w:t>roach of long</w:t>
      </w:r>
      <w:r>
        <w:rPr>
          <w:color w:val="auto"/>
        </w:rPr>
        <w:noBreakHyphen/>
        <w:t xml:space="preserve">run CGE analysis. Analysis presented in Table </w:t>
      </w:r>
      <w:r w:rsidR="00A05277">
        <w:rPr>
          <w:color w:val="auto"/>
        </w:rPr>
        <w:t>6</w:t>
      </w:r>
      <w:r>
        <w:rPr>
          <w:color w:val="auto"/>
        </w:rPr>
        <w:t xml:space="preserve"> tests the sensitivity </w:t>
      </w:r>
      <w:r w:rsidRPr="004E5816">
        <w:rPr>
          <w:color w:val="auto"/>
        </w:rPr>
        <w:t>of the results to this assumption by imposing lower international capital mobility. Imperfect capital mobility has been implemented in the model by placing a variable premium on the domestic returns to capital required to attract foreign investment. This premium is a positive function of foreign investment: as the stock of foreign investment grows, the premium drives an increasing wedge between the domestic after</w:t>
      </w:r>
      <w:r w:rsidRPr="004E5816">
        <w:rPr>
          <w:color w:val="auto"/>
        </w:rPr>
        <w:noBreakHyphen/>
        <w:t xml:space="preserve">tax rate of return and the required rate of return, which moderates capital flows associated with changes in the company income tax rate. The change in risk premium is determined via a premium elasticity which raises the required rate of return with respect to a change in the foreign value of foreign owned capital. </w:t>
      </w:r>
    </w:p>
    <w:p w14:paraId="7E0A3A08" w14:textId="77777777" w:rsidR="00EA129E" w:rsidRPr="004E5816" w:rsidRDefault="009F7815" w:rsidP="00EA129E">
      <w:pPr>
        <w:rPr>
          <w:color w:val="auto"/>
        </w:rPr>
      </w:pPr>
      <w:r>
        <w:rPr>
          <w:color w:val="auto"/>
        </w:rPr>
        <w:t>Following Cao et al. (2015) t</w:t>
      </w:r>
      <w:r w:rsidR="00EB6BD0">
        <w:rPr>
          <w:color w:val="auto"/>
        </w:rPr>
        <w:t>he sensitivity analysis</w:t>
      </w:r>
      <w:r w:rsidR="004E5816" w:rsidRPr="004E5816">
        <w:rPr>
          <w:color w:val="auto"/>
        </w:rPr>
        <w:t xml:space="preserve"> assume</w:t>
      </w:r>
      <w:r w:rsidR="00EB6BD0">
        <w:rPr>
          <w:color w:val="auto"/>
        </w:rPr>
        <w:t>s</w:t>
      </w:r>
      <w:r w:rsidR="004E5816" w:rsidRPr="004E5816">
        <w:rPr>
          <w:color w:val="auto"/>
        </w:rPr>
        <w:t xml:space="preserve"> that a 50 basis points increase in the rate of return is required to double the share of foreign ownership of total assets.</w:t>
      </w:r>
      <w:r w:rsidR="00EB6BD0">
        <w:rPr>
          <w:color w:val="auto"/>
        </w:rPr>
        <w:t xml:space="preserve"> Activity and welfare responses are slightly </w:t>
      </w:r>
      <w:r w:rsidR="006B02E6">
        <w:rPr>
          <w:color w:val="auto"/>
        </w:rPr>
        <w:t>smaller</w:t>
      </w:r>
      <w:r w:rsidR="00EB6BD0">
        <w:rPr>
          <w:color w:val="auto"/>
        </w:rPr>
        <w:t xml:space="preserve"> under this assumption.</w:t>
      </w:r>
    </w:p>
    <w:p w14:paraId="696137D8" w14:textId="77777777" w:rsidR="00EA129E" w:rsidRDefault="00EA129E" w:rsidP="00EA129E">
      <w:pPr>
        <w:pStyle w:val="Heading4"/>
      </w:pPr>
      <w:r>
        <w:t>Propensity to shift capital overseas</w:t>
      </w:r>
    </w:p>
    <w:p w14:paraId="51A84BBC" w14:textId="77777777" w:rsidR="004E5816" w:rsidRPr="004E5816" w:rsidRDefault="004E5816" w:rsidP="004E5816">
      <w:pPr>
        <w:rPr>
          <w:color w:val="auto"/>
        </w:rPr>
      </w:pPr>
      <w:r w:rsidRPr="004E5816">
        <w:rPr>
          <w:color w:val="auto"/>
        </w:rPr>
        <w:t>The model takes into account that companies may seek to reduce their business tax liability by shifting profits from Australia to countries with lower rates of business tax. De Mooij and Devereux (2011) model this profit</w:t>
      </w:r>
      <w:r w:rsidRPr="004E5816">
        <w:rPr>
          <w:color w:val="auto"/>
        </w:rPr>
        <w:noBreakHyphen/>
        <w:t>shifting in two forms: transfer pricing; and tax havens. They find that tax havens are more important.</w:t>
      </w:r>
    </w:p>
    <w:p w14:paraId="406E4536" w14:textId="77777777" w:rsidR="004E5816" w:rsidRPr="004E5816" w:rsidRDefault="004E5816" w:rsidP="004E5816">
      <w:pPr>
        <w:rPr>
          <w:color w:val="auto"/>
        </w:rPr>
      </w:pPr>
      <w:r w:rsidRPr="004E5816">
        <w:rPr>
          <w:color w:val="auto"/>
        </w:rPr>
        <w:t xml:space="preserve">Following De Mooij and Devereux (2011), the representative firm in each industry </w:t>
      </w:r>
      <w:r w:rsidR="008155B0">
        <w:rPr>
          <w:color w:val="auto"/>
        </w:rPr>
        <w:t xml:space="preserve">is assumed to </w:t>
      </w:r>
      <w:r w:rsidRPr="004E5816">
        <w:rPr>
          <w:color w:val="auto"/>
        </w:rPr>
        <w:t>maximise its after</w:t>
      </w:r>
      <w:r w:rsidRPr="004E5816">
        <w:rPr>
          <w:color w:val="auto"/>
        </w:rPr>
        <w:noBreakHyphen/>
        <w:t>tax profit by choosing the proportion of its tax base to shift to a tax haven. This takes into account the costs and benefits of profit</w:t>
      </w:r>
      <w:r w:rsidRPr="004E5816">
        <w:rPr>
          <w:color w:val="auto"/>
        </w:rPr>
        <w:noBreakHyphen/>
        <w:t>shifting. De Mooij and Devereux also estimate the extent to which the tax base is eroded when differential tax rates in the home country and the tax haven create an incentive for profit</w:t>
      </w:r>
      <w:r w:rsidRPr="004E5816">
        <w:rPr>
          <w:color w:val="auto"/>
        </w:rPr>
        <w:noBreakHyphen/>
        <w:t>shifting. They estimate the base</w:t>
      </w:r>
      <w:r w:rsidRPr="004E5816">
        <w:rPr>
          <w:color w:val="auto"/>
        </w:rPr>
        <w:noBreakHyphen/>
        <w:t xml:space="preserve">erosion elasticity with respect to the tax rate to be </w:t>
      </w:r>
      <w:r w:rsidRPr="004E5816">
        <w:rPr>
          <w:color w:val="auto"/>
        </w:rPr>
        <w:noBreakHyphen/>
        <w:t>0.5.</w:t>
      </w:r>
    </w:p>
    <w:p w14:paraId="61620141" w14:textId="089F5D28" w:rsidR="00EA129E" w:rsidRDefault="004E5816" w:rsidP="004E5816">
      <w:r w:rsidRPr="00F848BA">
        <w:rPr>
          <w:color w:val="auto"/>
        </w:rPr>
        <w:t xml:space="preserve">In the baseline the profit shifting elasticity is calibrated to </w:t>
      </w:r>
      <w:r w:rsidRPr="00F848BA">
        <w:rPr>
          <w:color w:val="auto"/>
        </w:rPr>
        <w:noBreakHyphen/>
        <w:t xml:space="preserve">0.5. Table </w:t>
      </w:r>
      <w:r w:rsidR="00A12683">
        <w:rPr>
          <w:color w:val="auto"/>
        </w:rPr>
        <w:t>7</w:t>
      </w:r>
      <w:r w:rsidRPr="00F848BA">
        <w:rPr>
          <w:color w:val="auto"/>
        </w:rPr>
        <w:t xml:space="preserve"> presents the results of sensitivity analysis</w:t>
      </w:r>
      <w:r w:rsidR="00F848BA" w:rsidRPr="00F848BA">
        <w:rPr>
          <w:color w:val="auto"/>
        </w:rPr>
        <w:t xml:space="preserve"> </w:t>
      </w:r>
      <w:r w:rsidRPr="00F848BA">
        <w:rPr>
          <w:color w:val="auto"/>
        </w:rPr>
        <w:t>assuming</w:t>
      </w:r>
      <w:r w:rsidR="00F848BA" w:rsidRPr="00F848BA">
        <w:rPr>
          <w:color w:val="auto"/>
        </w:rPr>
        <w:t>: lower bound profit shifting elasticity of -0.25; and an upper bound profit shifting elasticity of -0.75</w:t>
      </w:r>
      <w:r w:rsidRPr="00F848BA">
        <w:rPr>
          <w:color w:val="auto"/>
        </w:rPr>
        <w:t xml:space="preserve">. </w:t>
      </w:r>
      <w:r w:rsidR="00DF2184">
        <w:rPr>
          <w:color w:val="auto"/>
        </w:rPr>
        <w:t xml:space="preserve">The results are sensitive to this assumption, albeit slightly. The direction depends on the funding source. </w:t>
      </w:r>
      <w:r w:rsidR="009A0F15">
        <w:rPr>
          <w:color w:val="auto"/>
        </w:rPr>
        <w:t>Under the lump-sum and government spending scenario</w:t>
      </w:r>
      <w:r w:rsidR="00DF2184">
        <w:rPr>
          <w:color w:val="auto"/>
        </w:rPr>
        <w:t>s,</w:t>
      </w:r>
      <w:r w:rsidR="009A0F15">
        <w:rPr>
          <w:color w:val="auto"/>
        </w:rPr>
        <w:t xml:space="preserve"> r</w:t>
      </w:r>
      <w:r w:rsidR="009A177F">
        <w:rPr>
          <w:color w:val="auto"/>
        </w:rPr>
        <w:t>aising</w:t>
      </w:r>
      <w:r w:rsidRPr="00F848BA">
        <w:rPr>
          <w:color w:val="auto"/>
        </w:rPr>
        <w:t xml:space="preserve"> the profit</w:t>
      </w:r>
      <w:r w:rsidRPr="00F848BA">
        <w:rPr>
          <w:color w:val="auto"/>
        </w:rPr>
        <w:noBreakHyphen/>
        <w:t>shifting elasticity</w:t>
      </w:r>
      <w:r w:rsidR="009A177F">
        <w:rPr>
          <w:color w:val="auto"/>
        </w:rPr>
        <w:t xml:space="preserve"> (in absolute terms)</w:t>
      </w:r>
      <w:r w:rsidRPr="00F848BA">
        <w:rPr>
          <w:color w:val="auto"/>
        </w:rPr>
        <w:t xml:space="preserve"> </w:t>
      </w:r>
      <w:r w:rsidR="009A177F">
        <w:rPr>
          <w:color w:val="auto"/>
        </w:rPr>
        <w:t xml:space="preserve">implies a </w:t>
      </w:r>
      <w:r w:rsidR="00C0395B">
        <w:rPr>
          <w:color w:val="auto"/>
        </w:rPr>
        <w:t>smaller</w:t>
      </w:r>
      <w:r w:rsidR="009A177F">
        <w:rPr>
          <w:color w:val="auto"/>
        </w:rPr>
        <w:t xml:space="preserve"> </w:t>
      </w:r>
      <w:r w:rsidR="009A0F15">
        <w:rPr>
          <w:color w:val="auto"/>
        </w:rPr>
        <w:t>reduction of distortion to the economy</w:t>
      </w:r>
      <w:r w:rsidR="009A177F">
        <w:rPr>
          <w:color w:val="auto"/>
        </w:rPr>
        <w:t xml:space="preserve"> which decreases</w:t>
      </w:r>
      <w:r w:rsidR="00F848BA" w:rsidRPr="00F848BA">
        <w:rPr>
          <w:color w:val="auto"/>
        </w:rPr>
        <w:t xml:space="preserve"> the activity and welfare responses, </w:t>
      </w:r>
      <w:r w:rsidR="009A0F15">
        <w:rPr>
          <w:color w:val="auto"/>
        </w:rPr>
        <w:t xml:space="preserve">while </w:t>
      </w:r>
      <w:r w:rsidR="009A177F">
        <w:rPr>
          <w:color w:val="auto"/>
        </w:rPr>
        <w:t>lowering</w:t>
      </w:r>
      <w:r w:rsidR="00F848BA" w:rsidRPr="00F848BA">
        <w:rPr>
          <w:color w:val="auto"/>
        </w:rPr>
        <w:t xml:space="preserve"> the profit</w:t>
      </w:r>
      <w:r w:rsidR="00F848BA" w:rsidRPr="00F848BA">
        <w:rPr>
          <w:color w:val="auto"/>
        </w:rPr>
        <w:noBreakHyphen/>
        <w:t>shifting elasticity</w:t>
      </w:r>
      <w:r w:rsidR="009A177F">
        <w:rPr>
          <w:color w:val="auto"/>
        </w:rPr>
        <w:t xml:space="preserve"> (in absolute terms)</w:t>
      </w:r>
      <w:r w:rsidR="00F848BA" w:rsidRPr="00F848BA">
        <w:rPr>
          <w:color w:val="auto"/>
        </w:rPr>
        <w:t xml:space="preserve"> </w:t>
      </w:r>
      <w:r w:rsidR="009A177F">
        <w:rPr>
          <w:color w:val="auto"/>
        </w:rPr>
        <w:t xml:space="preserve">implies a </w:t>
      </w:r>
      <w:r w:rsidR="009A0F15">
        <w:rPr>
          <w:color w:val="auto"/>
        </w:rPr>
        <w:t>greater reduction of distortion to the economy</w:t>
      </w:r>
      <w:r w:rsidR="009A177F">
        <w:rPr>
          <w:color w:val="auto"/>
        </w:rPr>
        <w:t xml:space="preserve"> which inc</w:t>
      </w:r>
      <w:r w:rsidR="00F848BA" w:rsidRPr="00F848BA">
        <w:rPr>
          <w:color w:val="auto"/>
        </w:rPr>
        <w:t>reases the activity and welfare responses</w:t>
      </w:r>
      <w:r w:rsidRPr="00F848BA">
        <w:rPr>
          <w:color w:val="auto"/>
        </w:rPr>
        <w:t>.</w:t>
      </w:r>
      <w:r w:rsidR="009A0F15">
        <w:rPr>
          <w:color w:val="auto"/>
        </w:rPr>
        <w:t xml:space="preserve"> </w:t>
      </w:r>
      <w:r w:rsidR="00E85185">
        <w:rPr>
          <w:color w:val="auto"/>
        </w:rPr>
        <w:t>While t</w:t>
      </w:r>
      <w:r w:rsidR="00DF2184">
        <w:rPr>
          <w:color w:val="auto"/>
        </w:rPr>
        <w:t>he personal income tax scenarios exhibit a similar pattern for non-labour market activity to the lump-sum and government spending scenarios</w:t>
      </w:r>
      <w:r w:rsidR="00E85185">
        <w:rPr>
          <w:color w:val="auto"/>
        </w:rPr>
        <w:t>, they exhibit different after-tax wage and welfare responses</w:t>
      </w:r>
      <w:r w:rsidR="00DF2184">
        <w:rPr>
          <w:color w:val="auto"/>
        </w:rPr>
        <w:t xml:space="preserve">. </w:t>
      </w:r>
      <w:r w:rsidR="00E85185">
        <w:rPr>
          <w:color w:val="auto"/>
        </w:rPr>
        <w:t>U</w:t>
      </w:r>
      <w:r w:rsidR="00DF2184">
        <w:rPr>
          <w:color w:val="auto"/>
        </w:rPr>
        <w:t>nder the personal income tax scenarios</w:t>
      </w:r>
      <w:r w:rsidR="00C97912">
        <w:rPr>
          <w:color w:val="auto"/>
        </w:rPr>
        <w:t>,</w:t>
      </w:r>
      <w:r w:rsidR="00DF2184">
        <w:rPr>
          <w:color w:val="auto"/>
        </w:rPr>
        <w:t xml:space="preserve"> </w:t>
      </w:r>
      <w:r w:rsidR="009A0F15">
        <w:rPr>
          <w:color w:val="auto"/>
        </w:rPr>
        <w:t>raising</w:t>
      </w:r>
      <w:r w:rsidR="009A0F15" w:rsidRPr="00F848BA">
        <w:rPr>
          <w:color w:val="auto"/>
        </w:rPr>
        <w:t xml:space="preserve"> the profit</w:t>
      </w:r>
      <w:r w:rsidR="009A0F15" w:rsidRPr="00F848BA">
        <w:rPr>
          <w:color w:val="auto"/>
        </w:rPr>
        <w:noBreakHyphen/>
        <w:t>shifting elasticity</w:t>
      </w:r>
      <w:r w:rsidR="009A0F15">
        <w:rPr>
          <w:color w:val="auto"/>
        </w:rPr>
        <w:t xml:space="preserve"> (in</w:t>
      </w:r>
      <w:r w:rsidR="000777C3">
        <w:rPr>
          <w:color w:val="auto"/>
        </w:rPr>
        <w:t> </w:t>
      </w:r>
      <w:r w:rsidR="009A0F15">
        <w:rPr>
          <w:color w:val="auto"/>
        </w:rPr>
        <w:t>absolute terms)</w:t>
      </w:r>
      <w:r w:rsidR="009A0F15" w:rsidRPr="00F848BA">
        <w:rPr>
          <w:color w:val="auto"/>
        </w:rPr>
        <w:t xml:space="preserve"> </w:t>
      </w:r>
      <w:r w:rsidR="009A0F15">
        <w:rPr>
          <w:color w:val="auto"/>
        </w:rPr>
        <w:t xml:space="preserve">implies </w:t>
      </w:r>
      <w:r w:rsidR="00C0395B">
        <w:rPr>
          <w:color w:val="auto"/>
        </w:rPr>
        <w:t>a lower personal tax increase</w:t>
      </w:r>
      <w:r w:rsidR="009A0F15">
        <w:rPr>
          <w:color w:val="auto"/>
        </w:rPr>
        <w:t xml:space="preserve"> which increases</w:t>
      </w:r>
      <w:r w:rsidR="009A0F15" w:rsidRPr="00F848BA">
        <w:rPr>
          <w:color w:val="auto"/>
        </w:rPr>
        <w:t xml:space="preserve"> the </w:t>
      </w:r>
      <w:r w:rsidR="00C0395B">
        <w:rPr>
          <w:color w:val="auto"/>
        </w:rPr>
        <w:t>after-tax wage</w:t>
      </w:r>
      <w:r w:rsidR="009A0F15" w:rsidRPr="00F848BA">
        <w:rPr>
          <w:color w:val="auto"/>
        </w:rPr>
        <w:t xml:space="preserve"> and welfare responses, </w:t>
      </w:r>
      <w:r w:rsidR="009A0F15">
        <w:rPr>
          <w:color w:val="auto"/>
        </w:rPr>
        <w:t>while lowering</w:t>
      </w:r>
      <w:r w:rsidR="009A0F15" w:rsidRPr="00F848BA">
        <w:rPr>
          <w:color w:val="auto"/>
        </w:rPr>
        <w:t xml:space="preserve"> the profit</w:t>
      </w:r>
      <w:r w:rsidR="009A0F15" w:rsidRPr="00F848BA">
        <w:rPr>
          <w:color w:val="auto"/>
        </w:rPr>
        <w:noBreakHyphen/>
        <w:t>shifting elasticity</w:t>
      </w:r>
      <w:r w:rsidR="009A0F15">
        <w:rPr>
          <w:color w:val="auto"/>
        </w:rPr>
        <w:t xml:space="preserve"> (in absolute terms)</w:t>
      </w:r>
      <w:r w:rsidR="009A0F15" w:rsidRPr="00F848BA">
        <w:rPr>
          <w:color w:val="auto"/>
        </w:rPr>
        <w:t xml:space="preserve"> </w:t>
      </w:r>
      <w:r w:rsidR="009A0F15">
        <w:rPr>
          <w:color w:val="auto"/>
        </w:rPr>
        <w:t xml:space="preserve">implies a </w:t>
      </w:r>
      <w:r w:rsidR="00C0395B">
        <w:rPr>
          <w:color w:val="auto"/>
        </w:rPr>
        <w:t>greater personal tax increase</w:t>
      </w:r>
      <w:r w:rsidR="009A0F15">
        <w:rPr>
          <w:color w:val="auto"/>
        </w:rPr>
        <w:t xml:space="preserve"> which dec</w:t>
      </w:r>
      <w:r w:rsidR="009A0F15" w:rsidRPr="00F848BA">
        <w:rPr>
          <w:color w:val="auto"/>
        </w:rPr>
        <w:t xml:space="preserve">reases </w:t>
      </w:r>
      <w:r w:rsidR="00C97912">
        <w:rPr>
          <w:color w:val="auto"/>
        </w:rPr>
        <w:t xml:space="preserve">the </w:t>
      </w:r>
      <w:r w:rsidR="00C0395B">
        <w:rPr>
          <w:color w:val="auto"/>
        </w:rPr>
        <w:t>after-tax wage</w:t>
      </w:r>
      <w:r w:rsidR="009A0F15" w:rsidRPr="00F848BA">
        <w:rPr>
          <w:color w:val="auto"/>
        </w:rPr>
        <w:t xml:space="preserve"> and welfare responses.</w:t>
      </w:r>
    </w:p>
    <w:p w14:paraId="07D71640" w14:textId="77777777" w:rsidR="00EA129E" w:rsidRPr="005A2B26" w:rsidRDefault="00EA129E" w:rsidP="00EA129E">
      <w:pPr>
        <w:pStyle w:val="Heading4"/>
      </w:pPr>
      <w:r w:rsidRPr="005A2B26">
        <w:rPr>
          <w:lang w:val="en-US" w:eastAsia="en-AU"/>
        </w:rPr>
        <w:t>Debt equity ratio</w:t>
      </w:r>
    </w:p>
    <w:p w14:paraId="617D3D7C" w14:textId="77777777" w:rsidR="00EA129E" w:rsidRPr="005A2B26" w:rsidRDefault="00EA129E" w:rsidP="00EA129E">
      <w:pPr>
        <w:rPr>
          <w:color w:val="auto"/>
        </w:rPr>
      </w:pPr>
      <w:r w:rsidRPr="005A2B26">
        <w:rPr>
          <w:color w:val="auto"/>
        </w:rPr>
        <w:t>The model incorporates a different tax treatment for debt and equity financed investment. In particular, the current tax system allows for deductions on the interest paid on debt financed investment, with no similar allowance for equity financed investment.</w:t>
      </w:r>
    </w:p>
    <w:p w14:paraId="1CACACA5" w14:textId="77777777" w:rsidR="00EA129E" w:rsidRPr="00EA129E" w:rsidRDefault="00EA129E" w:rsidP="00EA129E">
      <w:pPr>
        <w:rPr>
          <w:color w:val="auto"/>
        </w:rPr>
      </w:pPr>
      <w:r w:rsidRPr="005A2B26">
        <w:rPr>
          <w:color w:val="auto"/>
        </w:rPr>
        <w:lastRenderedPageBreak/>
        <w:t>While in practice firms receive deductions for interest paid on all debt, or on their gross debt position, some of these are offset by the additional tax liability faced as a result of holding debt of other entities. The deductions on debt repayments reduce tax liability while interest received on debt held increases it. As a result</w:t>
      </w:r>
      <w:r>
        <w:rPr>
          <w:color w:val="auto"/>
        </w:rPr>
        <w:t>,</w:t>
      </w:r>
      <w:r w:rsidRPr="005A2B26">
        <w:rPr>
          <w:color w:val="auto"/>
        </w:rPr>
        <w:t xml:space="preserve"> the net debt position of a firm or industry is used as the base from which the effect of deductions can be calculated. The net debt position for each broad industry is calculated from unpublished ATO administrative data.</w:t>
      </w:r>
    </w:p>
    <w:p w14:paraId="2767ED51" w14:textId="77777777" w:rsidR="00EA129E" w:rsidRDefault="00EA129E" w:rsidP="00EA129E">
      <w:pPr>
        <w:pStyle w:val="Heading4"/>
      </w:pPr>
      <w:r>
        <w:t>Substitutability of capital and labour</w:t>
      </w:r>
    </w:p>
    <w:p w14:paraId="5907F8D1" w14:textId="77777777" w:rsidR="00915295" w:rsidRPr="00915295" w:rsidRDefault="00915295" w:rsidP="00915295">
      <w:pPr>
        <w:rPr>
          <w:color w:val="auto"/>
        </w:rPr>
      </w:pPr>
      <w:r w:rsidRPr="00915295">
        <w:rPr>
          <w:color w:val="auto"/>
        </w:rPr>
        <w:t>The elasticity of substitution between capital and labour governs the sensitivity of these factors to changes in their own</w:t>
      </w:r>
      <w:r w:rsidRPr="00915295">
        <w:rPr>
          <w:color w:val="auto"/>
        </w:rPr>
        <w:noBreakHyphen/>
        <w:t>price. Labour is nested with non</w:t>
      </w:r>
      <w:r w:rsidRPr="00915295">
        <w:rPr>
          <w:color w:val="auto"/>
        </w:rPr>
        <w:noBreakHyphen/>
        <w:t>structures capital, and the firm specific fixed factor. Non</w:t>
      </w:r>
      <w:r w:rsidRPr="00915295">
        <w:rPr>
          <w:color w:val="auto"/>
        </w:rPr>
        <w:noBreakHyphen/>
        <w:t>structures capital is made up of six capital types: transport equipment; plant machinery and equipment; mineral exploration; research and development; information technology; and other capital.</w:t>
      </w:r>
    </w:p>
    <w:p w14:paraId="21E15334" w14:textId="77777777" w:rsidR="00915295" w:rsidRPr="00915295" w:rsidRDefault="00915295" w:rsidP="00915295">
      <w:pPr>
        <w:rPr>
          <w:color w:val="auto"/>
        </w:rPr>
      </w:pPr>
      <w:r w:rsidRPr="00915295">
        <w:rPr>
          <w:color w:val="auto"/>
        </w:rPr>
        <w:t>With an elasticity of 0.9, labour and non</w:t>
      </w:r>
      <w:r w:rsidRPr="00915295">
        <w:rPr>
          <w:color w:val="auto"/>
        </w:rPr>
        <w:noBreakHyphen/>
        <w:t xml:space="preserve">structures capital are modelled as gross complements. This means that a </w:t>
      </w:r>
      <w:r>
        <w:rPr>
          <w:color w:val="auto"/>
        </w:rPr>
        <w:t>one</w:t>
      </w:r>
      <w:r w:rsidRPr="00915295">
        <w:rPr>
          <w:color w:val="auto"/>
        </w:rPr>
        <w:t xml:space="preserve"> per cent increase in the rental rate of non</w:t>
      </w:r>
      <w:r w:rsidRPr="00915295">
        <w:rPr>
          <w:color w:val="auto"/>
        </w:rPr>
        <w:noBreakHyphen/>
        <w:t>structure capital relative to the wage rate will result in a reduction in the demand for both non</w:t>
      </w:r>
      <w:r w:rsidRPr="00915295">
        <w:rPr>
          <w:color w:val="auto"/>
        </w:rPr>
        <w:noBreakHyphen/>
        <w:t>structure capital and labour. This elasticity falls within the range of estimates reviewed by Gunning et al. (2007).</w:t>
      </w:r>
    </w:p>
    <w:p w14:paraId="5C41AD3C" w14:textId="77777777" w:rsidR="00EA129E" w:rsidRPr="00F848BA" w:rsidRDefault="00915295" w:rsidP="00915295">
      <w:pPr>
        <w:rPr>
          <w:color w:val="auto"/>
        </w:rPr>
      </w:pPr>
      <w:r w:rsidRPr="00915295">
        <w:rPr>
          <w:color w:val="auto"/>
        </w:rPr>
        <w:t xml:space="preserve">In order to test the sensitivity of the results to this elasticity </w:t>
      </w:r>
      <w:r w:rsidR="00F848BA">
        <w:rPr>
          <w:color w:val="auto"/>
        </w:rPr>
        <w:t>a reasonable empirical range is assumed with a lower b</w:t>
      </w:r>
      <w:r w:rsidR="009F7815">
        <w:rPr>
          <w:color w:val="auto"/>
        </w:rPr>
        <w:t>ound of 0.4 and an upper bound o</w:t>
      </w:r>
      <w:r w:rsidR="00F848BA">
        <w:rPr>
          <w:color w:val="auto"/>
        </w:rPr>
        <w:t xml:space="preserve">f 1.4. The results of this sensitivity analysis reported in Table </w:t>
      </w:r>
      <w:r w:rsidR="00A12683">
        <w:rPr>
          <w:color w:val="auto"/>
        </w:rPr>
        <w:t>8</w:t>
      </w:r>
      <w:r w:rsidR="00F848BA">
        <w:rPr>
          <w:color w:val="auto"/>
        </w:rPr>
        <w:t xml:space="preserve"> suggest the activity and welfare analysis is </w:t>
      </w:r>
      <w:r w:rsidRPr="00F848BA">
        <w:rPr>
          <w:color w:val="auto"/>
        </w:rPr>
        <w:t xml:space="preserve">sensitive to this elasticity, with a higher elasticity implying </w:t>
      </w:r>
      <w:r w:rsidR="009A177F">
        <w:rPr>
          <w:color w:val="auto"/>
        </w:rPr>
        <w:t>greater</w:t>
      </w:r>
      <w:r w:rsidR="00F848BA">
        <w:rPr>
          <w:color w:val="auto"/>
        </w:rPr>
        <w:t xml:space="preserve"> responses</w:t>
      </w:r>
      <w:r w:rsidRPr="00F848BA">
        <w:rPr>
          <w:color w:val="auto"/>
        </w:rPr>
        <w:t xml:space="preserve">. </w:t>
      </w:r>
      <w:r w:rsidR="0094658C">
        <w:rPr>
          <w:color w:val="auto"/>
        </w:rPr>
        <w:t>T</w:t>
      </w:r>
      <w:r w:rsidR="00F848BA">
        <w:rPr>
          <w:color w:val="auto"/>
        </w:rPr>
        <w:t>he key conclusions of the paper are robust to this range of capital-labour substitution elasticities.</w:t>
      </w:r>
    </w:p>
    <w:p w14:paraId="5E9FAB3D" w14:textId="77777777" w:rsidR="00A264A6" w:rsidRDefault="00A264A6" w:rsidP="00EA129E">
      <w:pPr>
        <w:rPr>
          <w:color w:val="auto"/>
        </w:rPr>
      </w:pPr>
    </w:p>
    <w:p w14:paraId="2E793833" w14:textId="77777777" w:rsidR="00A264A6" w:rsidRDefault="00A264A6">
      <w:pPr>
        <w:rPr>
          <w:color w:val="auto"/>
        </w:rPr>
        <w:sectPr w:rsidR="00A264A6" w:rsidSect="008C0793">
          <w:pgSz w:w="11906" w:h="16838" w:code="9"/>
          <w:pgMar w:top="1418" w:right="1304" w:bottom="1418" w:left="1304" w:header="567" w:footer="567" w:gutter="0"/>
          <w:cols w:space="720"/>
          <w:titlePg/>
          <w:docGrid w:linePitch="360"/>
        </w:sectPr>
      </w:pPr>
    </w:p>
    <w:p w14:paraId="7B6DCBB9" w14:textId="77777777" w:rsidR="00A12683" w:rsidRDefault="00A12683" w:rsidP="000733CF">
      <w:pPr>
        <w:pStyle w:val="TableMainHeading"/>
        <w:jc w:val="center"/>
      </w:pPr>
      <w:r w:rsidRPr="00A12683">
        <w:lastRenderedPageBreak/>
        <w:t xml:space="preserve">Table </w:t>
      </w:r>
      <w:r w:rsidR="005A7277">
        <w:fldChar w:fldCharType="begin"/>
      </w:r>
      <w:r w:rsidR="005A7277">
        <w:instrText xml:space="preserve"> SEQ Table \* ARABIC </w:instrText>
      </w:r>
      <w:r w:rsidR="005A7277">
        <w:fldChar w:fldCharType="separate"/>
      </w:r>
      <w:r w:rsidR="00C97912">
        <w:rPr>
          <w:noProof/>
        </w:rPr>
        <w:t>3</w:t>
      </w:r>
      <w:r w:rsidR="005A7277">
        <w:rPr>
          <w:noProof/>
        </w:rPr>
        <w:fldChar w:fldCharType="end"/>
      </w:r>
      <w:r w:rsidRPr="00A12683">
        <w:t>: Sensitivity analysis – Consumption-leisure substitution</w:t>
      </w:r>
    </w:p>
    <w:tbl>
      <w:tblPr>
        <w:tblW w:w="13341" w:type="dxa"/>
        <w:tblInd w:w="93" w:type="dxa"/>
        <w:tblLayout w:type="fixed"/>
        <w:tblLook w:val="04A0" w:firstRow="1" w:lastRow="0" w:firstColumn="1" w:lastColumn="0" w:noHBand="0" w:noVBand="1"/>
      </w:tblPr>
      <w:tblGrid>
        <w:gridCol w:w="2260"/>
        <w:gridCol w:w="1227"/>
        <w:gridCol w:w="1232"/>
        <w:gridCol w:w="1231"/>
        <w:gridCol w:w="1232"/>
        <w:gridCol w:w="1232"/>
        <w:gridCol w:w="1232"/>
        <w:gridCol w:w="1232"/>
        <w:gridCol w:w="1231"/>
        <w:gridCol w:w="1232"/>
      </w:tblGrid>
      <w:tr w:rsidR="00DD28A5" w:rsidRPr="00DD28A5" w14:paraId="34A35551" w14:textId="77777777" w:rsidTr="007576B8">
        <w:trPr>
          <w:trHeight w:val="147"/>
        </w:trPr>
        <w:tc>
          <w:tcPr>
            <w:tcW w:w="2260" w:type="dxa"/>
            <w:tcBorders>
              <w:top w:val="single" w:sz="4" w:space="0" w:color="auto"/>
              <w:left w:val="nil"/>
              <w:bottom w:val="nil"/>
              <w:right w:val="nil"/>
            </w:tcBorders>
            <w:shd w:val="clear" w:color="000000" w:fill="FFFFFF"/>
            <w:noWrap/>
            <w:vAlign w:val="bottom"/>
            <w:hideMark/>
          </w:tcPr>
          <w:p w14:paraId="3E2D782F" w14:textId="77777777" w:rsidR="00DD28A5" w:rsidRPr="00DD28A5" w:rsidRDefault="00DD28A5" w:rsidP="00DD28A5">
            <w:pPr>
              <w:spacing w:after="0" w:line="240" w:lineRule="auto"/>
              <w:contextualSpacing/>
              <w:rPr>
                <w:rFonts w:eastAsia="Times New Roman" w:cs="Times New Roman"/>
                <w:color w:val="000000"/>
                <w:sz w:val="18"/>
                <w:szCs w:val="18"/>
                <w:lang w:eastAsia="en-AU"/>
              </w:rPr>
            </w:pPr>
            <w:bookmarkStart w:id="4" w:name="RANGE!B2:K17"/>
            <w:r w:rsidRPr="00DD28A5">
              <w:rPr>
                <w:rFonts w:eastAsia="Times New Roman" w:cs="Times New Roman"/>
                <w:color w:val="000000"/>
                <w:sz w:val="18"/>
                <w:szCs w:val="18"/>
                <w:lang w:eastAsia="en-AU"/>
              </w:rPr>
              <w:t> </w:t>
            </w:r>
            <w:bookmarkEnd w:id="4"/>
          </w:p>
        </w:tc>
        <w:tc>
          <w:tcPr>
            <w:tcW w:w="3690" w:type="dxa"/>
            <w:gridSpan w:val="3"/>
            <w:tcBorders>
              <w:top w:val="single" w:sz="4" w:space="0" w:color="auto"/>
              <w:left w:val="nil"/>
              <w:bottom w:val="nil"/>
              <w:right w:val="single" w:sz="4" w:space="0" w:color="000000"/>
            </w:tcBorders>
            <w:shd w:val="clear" w:color="000000" w:fill="FFFFFF"/>
            <w:noWrap/>
            <w:vAlign w:val="bottom"/>
            <w:hideMark/>
          </w:tcPr>
          <w:p w14:paraId="71688634" w14:textId="77777777" w:rsidR="00DD28A5" w:rsidRPr="00DD28A5" w:rsidRDefault="00DD28A5" w:rsidP="007576B8">
            <w:pPr>
              <w:pStyle w:val="TableColumnHeadingCentred2a"/>
            </w:pPr>
            <w:r w:rsidRPr="00DD28A5">
              <w:t>Low elasticity (0.6)</w:t>
            </w:r>
          </w:p>
        </w:tc>
        <w:tc>
          <w:tcPr>
            <w:tcW w:w="3696" w:type="dxa"/>
            <w:gridSpan w:val="3"/>
            <w:tcBorders>
              <w:top w:val="single" w:sz="4" w:space="0" w:color="auto"/>
              <w:left w:val="nil"/>
              <w:bottom w:val="nil"/>
              <w:right w:val="single" w:sz="4" w:space="0" w:color="000000"/>
            </w:tcBorders>
            <w:shd w:val="clear" w:color="000000" w:fill="FFFFFF"/>
            <w:noWrap/>
            <w:vAlign w:val="bottom"/>
            <w:hideMark/>
          </w:tcPr>
          <w:p w14:paraId="51F15EA4" w14:textId="77777777" w:rsidR="00DD28A5" w:rsidRPr="00DD28A5" w:rsidRDefault="00DD28A5" w:rsidP="007576B8">
            <w:pPr>
              <w:pStyle w:val="TableColumnHeadingCentred2a"/>
            </w:pPr>
            <w:r w:rsidRPr="00DD28A5">
              <w:t>Base case (1.2)</w:t>
            </w:r>
          </w:p>
        </w:tc>
        <w:tc>
          <w:tcPr>
            <w:tcW w:w="3695" w:type="dxa"/>
            <w:gridSpan w:val="3"/>
            <w:tcBorders>
              <w:top w:val="single" w:sz="4" w:space="0" w:color="auto"/>
              <w:left w:val="nil"/>
              <w:bottom w:val="nil"/>
              <w:right w:val="nil"/>
            </w:tcBorders>
            <w:shd w:val="clear" w:color="000000" w:fill="FFFFFF"/>
            <w:noWrap/>
            <w:vAlign w:val="bottom"/>
            <w:hideMark/>
          </w:tcPr>
          <w:p w14:paraId="33C8AD0B" w14:textId="77777777" w:rsidR="00DD28A5" w:rsidRPr="00DD28A5" w:rsidRDefault="00DD28A5" w:rsidP="007576B8">
            <w:pPr>
              <w:pStyle w:val="TableColumnHeadingCentred2a"/>
            </w:pPr>
            <w:r w:rsidRPr="00DD28A5">
              <w:t>High elasticity (1.8)</w:t>
            </w:r>
          </w:p>
        </w:tc>
      </w:tr>
      <w:tr w:rsidR="009F27F8" w:rsidRPr="00DD28A5" w14:paraId="5517E9D4" w14:textId="77777777" w:rsidTr="007576B8">
        <w:trPr>
          <w:trHeight w:val="480"/>
        </w:trPr>
        <w:tc>
          <w:tcPr>
            <w:tcW w:w="2260" w:type="dxa"/>
            <w:tcBorders>
              <w:top w:val="nil"/>
              <w:left w:val="nil"/>
              <w:bottom w:val="single" w:sz="4" w:space="0" w:color="auto"/>
              <w:right w:val="nil"/>
            </w:tcBorders>
            <w:shd w:val="clear" w:color="000000" w:fill="FFFFFF"/>
            <w:noWrap/>
            <w:vAlign w:val="bottom"/>
            <w:hideMark/>
          </w:tcPr>
          <w:p w14:paraId="790CC17D" w14:textId="77777777" w:rsidR="00DD28A5" w:rsidRPr="00DD28A5" w:rsidRDefault="00DD28A5" w:rsidP="00DD28A5">
            <w:pPr>
              <w:spacing w:after="0" w:line="240" w:lineRule="auto"/>
              <w:contextualSpacing/>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1227" w:type="dxa"/>
            <w:tcBorders>
              <w:top w:val="nil"/>
              <w:left w:val="nil"/>
              <w:bottom w:val="single" w:sz="4" w:space="0" w:color="auto"/>
              <w:right w:val="nil"/>
            </w:tcBorders>
            <w:shd w:val="clear" w:color="000000" w:fill="FFFFFF"/>
            <w:vAlign w:val="center"/>
            <w:hideMark/>
          </w:tcPr>
          <w:p w14:paraId="7967DA08" w14:textId="77777777" w:rsidR="00DD28A5" w:rsidRPr="00DD28A5" w:rsidRDefault="00DD28A5" w:rsidP="007576B8">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20246E41" w14:textId="77777777" w:rsidR="00DD28A5" w:rsidRPr="00DD28A5" w:rsidRDefault="00DD28A5" w:rsidP="007576B8">
            <w:pPr>
              <w:pStyle w:val="TableColumnHeadingCentred2"/>
            </w:pPr>
            <w:r w:rsidRPr="00DD28A5">
              <w:t>PIT</w:t>
            </w:r>
          </w:p>
        </w:tc>
        <w:tc>
          <w:tcPr>
            <w:tcW w:w="1231" w:type="dxa"/>
            <w:tcBorders>
              <w:top w:val="nil"/>
              <w:left w:val="nil"/>
              <w:bottom w:val="single" w:sz="4" w:space="0" w:color="auto"/>
              <w:right w:val="single" w:sz="4" w:space="0" w:color="auto"/>
            </w:tcBorders>
            <w:shd w:val="clear" w:color="000000" w:fill="FFFFFF"/>
            <w:vAlign w:val="center"/>
            <w:hideMark/>
          </w:tcPr>
          <w:p w14:paraId="30A66524" w14:textId="281DE0F1" w:rsidR="00DD28A5" w:rsidRPr="00DD28A5" w:rsidRDefault="00DD28A5" w:rsidP="007576B8">
            <w:pPr>
              <w:pStyle w:val="TableColumnHeadingCentred2"/>
            </w:pPr>
            <w:r w:rsidRPr="00DD28A5">
              <w:t>Gov</w:t>
            </w:r>
            <w:r w:rsidR="009F27F8">
              <w:t xml:space="preserve">ernment </w:t>
            </w:r>
            <w:r w:rsidRPr="00DD28A5">
              <w:t>spending</w:t>
            </w:r>
          </w:p>
        </w:tc>
        <w:tc>
          <w:tcPr>
            <w:tcW w:w="1232" w:type="dxa"/>
            <w:tcBorders>
              <w:top w:val="nil"/>
              <w:left w:val="nil"/>
              <w:bottom w:val="single" w:sz="4" w:space="0" w:color="auto"/>
              <w:right w:val="nil"/>
            </w:tcBorders>
            <w:shd w:val="clear" w:color="000000" w:fill="FFFFFF"/>
            <w:vAlign w:val="center"/>
            <w:hideMark/>
          </w:tcPr>
          <w:p w14:paraId="7A82F263" w14:textId="77777777" w:rsidR="00DD28A5" w:rsidRPr="00DD28A5" w:rsidRDefault="00DD28A5" w:rsidP="007576B8">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0C99B7C7" w14:textId="77777777" w:rsidR="00DD28A5" w:rsidRPr="00DD28A5" w:rsidRDefault="00DD28A5" w:rsidP="007576B8">
            <w:pPr>
              <w:pStyle w:val="TableColumnHeadingCentred2"/>
            </w:pPr>
            <w:r w:rsidRPr="00DD28A5">
              <w:t>PIT</w:t>
            </w:r>
          </w:p>
        </w:tc>
        <w:tc>
          <w:tcPr>
            <w:tcW w:w="1232" w:type="dxa"/>
            <w:tcBorders>
              <w:top w:val="nil"/>
              <w:left w:val="nil"/>
              <w:bottom w:val="single" w:sz="4" w:space="0" w:color="auto"/>
              <w:right w:val="single" w:sz="4" w:space="0" w:color="auto"/>
            </w:tcBorders>
            <w:shd w:val="clear" w:color="000000" w:fill="FFFFFF"/>
            <w:vAlign w:val="center"/>
            <w:hideMark/>
          </w:tcPr>
          <w:p w14:paraId="002C11DB" w14:textId="6C86D5B6" w:rsidR="00DD28A5" w:rsidRPr="00DD28A5" w:rsidRDefault="007576B8" w:rsidP="007576B8">
            <w:pPr>
              <w:pStyle w:val="TableColumnHeadingCentred2"/>
            </w:pPr>
            <w:r w:rsidRPr="00DD28A5">
              <w:t>Gov</w:t>
            </w:r>
            <w:r>
              <w:t xml:space="preserve">ernment </w:t>
            </w:r>
            <w:r w:rsidR="00DD28A5" w:rsidRPr="00DD28A5">
              <w:t>spending</w:t>
            </w:r>
          </w:p>
        </w:tc>
        <w:tc>
          <w:tcPr>
            <w:tcW w:w="1232" w:type="dxa"/>
            <w:tcBorders>
              <w:top w:val="nil"/>
              <w:left w:val="nil"/>
              <w:bottom w:val="single" w:sz="4" w:space="0" w:color="auto"/>
              <w:right w:val="nil"/>
            </w:tcBorders>
            <w:shd w:val="clear" w:color="000000" w:fill="FFFFFF"/>
            <w:vAlign w:val="center"/>
            <w:hideMark/>
          </w:tcPr>
          <w:p w14:paraId="35B5B9C1" w14:textId="77777777" w:rsidR="00DD28A5" w:rsidRPr="00DD28A5" w:rsidRDefault="00DD28A5" w:rsidP="007576B8">
            <w:pPr>
              <w:pStyle w:val="TableColumnHeadingCentred2"/>
            </w:pPr>
            <w:r w:rsidRPr="00DD28A5">
              <w:t>Lump-sum</w:t>
            </w:r>
          </w:p>
        </w:tc>
        <w:tc>
          <w:tcPr>
            <w:tcW w:w="1231" w:type="dxa"/>
            <w:tcBorders>
              <w:top w:val="nil"/>
              <w:left w:val="nil"/>
              <w:bottom w:val="single" w:sz="4" w:space="0" w:color="auto"/>
              <w:right w:val="nil"/>
            </w:tcBorders>
            <w:shd w:val="clear" w:color="000000" w:fill="FFFFFF"/>
            <w:vAlign w:val="center"/>
            <w:hideMark/>
          </w:tcPr>
          <w:p w14:paraId="17A3E7A0" w14:textId="77777777" w:rsidR="00DD28A5" w:rsidRPr="00DD28A5" w:rsidRDefault="00DD28A5" w:rsidP="007576B8">
            <w:pPr>
              <w:pStyle w:val="TableColumnHeadingCentred2"/>
            </w:pPr>
            <w:r w:rsidRPr="00DD28A5">
              <w:t>PIT</w:t>
            </w:r>
          </w:p>
        </w:tc>
        <w:tc>
          <w:tcPr>
            <w:tcW w:w="1232" w:type="dxa"/>
            <w:tcBorders>
              <w:top w:val="nil"/>
              <w:left w:val="nil"/>
              <w:bottom w:val="single" w:sz="4" w:space="0" w:color="auto"/>
              <w:right w:val="nil"/>
            </w:tcBorders>
            <w:shd w:val="clear" w:color="000000" w:fill="FFFFFF"/>
            <w:vAlign w:val="center"/>
            <w:hideMark/>
          </w:tcPr>
          <w:p w14:paraId="05F9A412" w14:textId="51A8CB5A" w:rsidR="00DD28A5" w:rsidRPr="00DD28A5" w:rsidRDefault="007576B8" w:rsidP="007576B8">
            <w:pPr>
              <w:pStyle w:val="TableColumnHeadingCentred2"/>
            </w:pPr>
            <w:r w:rsidRPr="00DD28A5">
              <w:t>Gov</w:t>
            </w:r>
            <w:r>
              <w:t xml:space="preserve">ernment </w:t>
            </w:r>
            <w:r w:rsidR="00DD28A5" w:rsidRPr="00DD28A5">
              <w:t>spending</w:t>
            </w:r>
          </w:p>
        </w:tc>
      </w:tr>
      <w:tr w:rsidR="009F27F8" w:rsidRPr="00DD28A5" w14:paraId="27B56567" w14:textId="77777777" w:rsidTr="007576B8">
        <w:trPr>
          <w:trHeight w:val="62"/>
        </w:trPr>
        <w:tc>
          <w:tcPr>
            <w:tcW w:w="2260" w:type="dxa"/>
            <w:tcBorders>
              <w:top w:val="nil"/>
              <w:left w:val="nil"/>
              <w:bottom w:val="nil"/>
              <w:right w:val="nil"/>
            </w:tcBorders>
            <w:shd w:val="clear" w:color="000000" w:fill="FFFFFF"/>
            <w:noWrap/>
            <w:vAlign w:val="bottom"/>
            <w:hideMark/>
          </w:tcPr>
          <w:p w14:paraId="11725910" w14:textId="77777777" w:rsidR="00DD28A5" w:rsidRPr="00B948AD" w:rsidRDefault="00DD28A5" w:rsidP="00AE0023">
            <w:pPr>
              <w:pStyle w:val="TableTextLeft2"/>
              <w:spacing w:before="10" w:after="10" w:line="240" w:lineRule="auto"/>
            </w:pPr>
            <w:r w:rsidRPr="00B948AD">
              <w:t>Real GDP</w:t>
            </w:r>
          </w:p>
        </w:tc>
        <w:tc>
          <w:tcPr>
            <w:tcW w:w="1227" w:type="dxa"/>
            <w:tcBorders>
              <w:top w:val="nil"/>
              <w:left w:val="nil"/>
              <w:bottom w:val="nil"/>
              <w:right w:val="nil"/>
            </w:tcBorders>
            <w:shd w:val="clear" w:color="000000" w:fill="FFFFFF"/>
            <w:noWrap/>
            <w:vAlign w:val="center"/>
            <w:hideMark/>
          </w:tcPr>
          <w:p w14:paraId="6ACF75A1" w14:textId="77777777" w:rsidR="00DD28A5" w:rsidRPr="00DD28A5" w:rsidRDefault="00DD28A5" w:rsidP="00AE0023">
            <w:pPr>
              <w:pStyle w:val="TableTextCentered2"/>
              <w:spacing w:before="10" w:after="10"/>
            </w:pPr>
            <w:r w:rsidRPr="00DD28A5">
              <w:t>1.0</w:t>
            </w:r>
          </w:p>
        </w:tc>
        <w:tc>
          <w:tcPr>
            <w:tcW w:w="1232" w:type="dxa"/>
            <w:tcBorders>
              <w:top w:val="nil"/>
              <w:left w:val="nil"/>
              <w:bottom w:val="nil"/>
              <w:right w:val="nil"/>
            </w:tcBorders>
            <w:shd w:val="clear" w:color="000000" w:fill="FFFFFF"/>
            <w:noWrap/>
            <w:vAlign w:val="center"/>
            <w:hideMark/>
          </w:tcPr>
          <w:p w14:paraId="33E091E2" w14:textId="77777777" w:rsidR="00DD28A5" w:rsidRPr="00DD28A5" w:rsidRDefault="00DD28A5" w:rsidP="00AE0023">
            <w:pPr>
              <w:pStyle w:val="TableTextCentered2"/>
              <w:spacing w:before="10" w:after="10"/>
            </w:pPr>
            <w:r w:rsidRPr="00DD28A5">
              <w:t>0.9</w:t>
            </w:r>
          </w:p>
        </w:tc>
        <w:tc>
          <w:tcPr>
            <w:tcW w:w="1231" w:type="dxa"/>
            <w:tcBorders>
              <w:top w:val="nil"/>
              <w:left w:val="nil"/>
              <w:bottom w:val="nil"/>
              <w:right w:val="single" w:sz="4" w:space="0" w:color="auto"/>
            </w:tcBorders>
            <w:shd w:val="clear" w:color="000000" w:fill="FFFFFF"/>
            <w:noWrap/>
            <w:vAlign w:val="center"/>
            <w:hideMark/>
          </w:tcPr>
          <w:p w14:paraId="49495043" w14:textId="77777777" w:rsidR="00DD28A5" w:rsidRPr="00DD28A5" w:rsidRDefault="00DD28A5" w:rsidP="00AE0023">
            <w:pPr>
              <w:pStyle w:val="TableTextCentered2"/>
              <w:spacing w:before="10" w:after="10"/>
            </w:pPr>
            <w:r w:rsidRPr="00DD28A5">
              <w:t>0.9</w:t>
            </w:r>
          </w:p>
        </w:tc>
        <w:tc>
          <w:tcPr>
            <w:tcW w:w="1232" w:type="dxa"/>
            <w:tcBorders>
              <w:top w:val="nil"/>
              <w:left w:val="nil"/>
              <w:bottom w:val="nil"/>
              <w:right w:val="nil"/>
            </w:tcBorders>
            <w:shd w:val="clear" w:color="000000" w:fill="FFFFFF"/>
            <w:noWrap/>
            <w:vAlign w:val="center"/>
            <w:hideMark/>
          </w:tcPr>
          <w:p w14:paraId="1C98E6EB" w14:textId="77777777" w:rsidR="00DD28A5" w:rsidRPr="00DD28A5" w:rsidRDefault="00DD28A5" w:rsidP="00AE0023">
            <w:pPr>
              <w:pStyle w:val="TableTextCentered2"/>
              <w:spacing w:before="10" w:after="10"/>
            </w:pPr>
            <w:r w:rsidRPr="00DD28A5">
              <w:t>1.2</w:t>
            </w:r>
          </w:p>
        </w:tc>
        <w:tc>
          <w:tcPr>
            <w:tcW w:w="1232" w:type="dxa"/>
            <w:tcBorders>
              <w:top w:val="nil"/>
              <w:left w:val="nil"/>
              <w:bottom w:val="nil"/>
              <w:right w:val="nil"/>
            </w:tcBorders>
            <w:shd w:val="clear" w:color="000000" w:fill="FFFFFF"/>
            <w:noWrap/>
            <w:vAlign w:val="center"/>
            <w:hideMark/>
          </w:tcPr>
          <w:p w14:paraId="30DF9146" w14:textId="77777777" w:rsidR="00DD28A5" w:rsidRPr="00DD28A5" w:rsidRDefault="00DD28A5" w:rsidP="00AE0023">
            <w:pPr>
              <w:pStyle w:val="TableTextCentered2"/>
              <w:spacing w:before="10" w:after="10"/>
            </w:pPr>
            <w:r w:rsidRPr="00DD28A5">
              <w:t>1.0</w:t>
            </w:r>
          </w:p>
        </w:tc>
        <w:tc>
          <w:tcPr>
            <w:tcW w:w="1232" w:type="dxa"/>
            <w:tcBorders>
              <w:top w:val="nil"/>
              <w:left w:val="nil"/>
              <w:bottom w:val="nil"/>
              <w:right w:val="single" w:sz="4" w:space="0" w:color="auto"/>
            </w:tcBorders>
            <w:shd w:val="clear" w:color="000000" w:fill="FFFFFF"/>
            <w:noWrap/>
            <w:vAlign w:val="center"/>
            <w:hideMark/>
          </w:tcPr>
          <w:p w14:paraId="0BD50459"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06147C9D" w14:textId="77777777" w:rsidR="00DD28A5" w:rsidRPr="00DD28A5" w:rsidRDefault="00DD28A5" w:rsidP="00AE0023">
            <w:pPr>
              <w:pStyle w:val="TableTextCentered2"/>
              <w:spacing w:before="10" w:after="10"/>
            </w:pPr>
            <w:r w:rsidRPr="00DD28A5">
              <w:t>1.4</w:t>
            </w:r>
          </w:p>
        </w:tc>
        <w:tc>
          <w:tcPr>
            <w:tcW w:w="1231" w:type="dxa"/>
            <w:tcBorders>
              <w:top w:val="nil"/>
              <w:left w:val="nil"/>
              <w:bottom w:val="nil"/>
              <w:right w:val="nil"/>
            </w:tcBorders>
            <w:shd w:val="clear" w:color="000000" w:fill="FFFFFF"/>
            <w:noWrap/>
            <w:vAlign w:val="center"/>
            <w:hideMark/>
          </w:tcPr>
          <w:p w14:paraId="5AFD41F0" w14:textId="77777777" w:rsidR="00DD28A5" w:rsidRPr="00DD28A5" w:rsidRDefault="00DD28A5" w:rsidP="00AE0023">
            <w:pPr>
              <w:pStyle w:val="TableTextCentered2"/>
              <w:spacing w:before="10" w:after="10"/>
            </w:pPr>
            <w:r w:rsidRPr="00DD28A5">
              <w:t>1.0</w:t>
            </w:r>
          </w:p>
        </w:tc>
        <w:tc>
          <w:tcPr>
            <w:tcW w:w="1232" w:type="dxa"/>
            <w:tcBorders>
              <w:top w:val="nil"/>
              <w:left w:val="nil"/>
              <w:bottom w:val="nil"/>
              <w:right w:val="nil"/>
            </w:tcBorders>
            <w:shd w:val="clear" w:color="000000" w:fill="FFFFFF"/>
            <w:noWrap/>
            <w:vAlign w:val="center"/>
            <w:hideMark/>
          </w:tcPr>
          <w:p w14:paraId="40D78927" w14:textId="77777777" w:rsidR="00DD28A5" w:rsidRPr="00DD28A5" w:rsidRDefault="00DD28A5" w:rsidP="00AE0023">
            <w:pPr>
              <w:pStyle w:val="TableTextCentered2"/>
              <w:spacing w:before="10" w:after="10"/>
            </w:pPr>
            <w:r w:rsidRPr="00DD28A5">
              <w:t>1.3</w:t>
            </w:r>
          </w:p>
        </w:tc>
      </w:tr>
      <w:tr w:rsidR="009F27F8" w:rsidRPr="00DD28A5" w14:paraId="2C65F749" w14:textId="77777777" w:rsidTr="007576B8">
        <w:trPr>
          <w:trHeight w:val="128"/>
        </w:trPr>
        <w:tc>
          <w:tcPr>
            <w:tcW w:w="2260" w:type="dxa"/>
            <w:tcBorders>
              <w:top w:val="nil"/>
              <w:left w:val="nil"/>
              <w:bottom w:val="nil"/>
              <w:right w:val="nil"/>
            </w:tcBorders>
            <w:shd w:val="clear" w:color="000000" w:fill="FFFFFF"/>
            <w:noWrap/>
            <w:vAlign w:val="bottom"/>
            <w:hideMark/>
          </w:tcPr>
          <w:p w14:paraId="74FFD7C9" w14:textId="77777777" w:rsidR="00DD28A5" w:rsidRPr="00B948AD" w:rsidRDefault="00DD28A5" w:rsidP="00AE0023">
            <w:pPr>
              <w:pStyle w:val="TableTextLeft2"/>
              <w:spacing w:before="10" w:after="10" w:line="240" w:lineRule="auto"/>
            </w:pPr>
            <w:r w:rsidRPr="00B948AD">
              <w:t>Real GNI (GNE deflator)</w:t>
            </w:r>
          </w:p>
        </w:tc>
        <w:tc>
          <w:tcPr>
            <w:tcW w:w="1227" w:type="dxa"/>
            <w:tcBorders>
              <w:top w:val="nil"/>
              <w:left w:val="nil"/>
              <w:bottom w:val="nil"/>
              <w:right w:val="nil"/>
            </w:tcBorders>
            <w:shd w:val="clear" w:color="000000" w:fill="FFFFFF"/>
            <w:noWrap/>
            <w:vAlign w:val="center"/>
            <w:hideMark/>
          </w:tcPr>
          <w:p w14:paraId="16064324" w14:textId="77777777" w:rsidR="00DD28A5" w:rsidRPr="00DD28A5" w:rsidRDefault="00DD28A5" w:rsidP="00AE0023">
            <w:pPr>
              <w:pStyle w:val="TableTextCentered2"/>
              <w:spacing w:before="10" w:after="10"/>
            </w:pPr>
            <w:r w:rsidRPr="00DD28A5">
              <w:t>0.6</w:t>
            </w:r>
          </w:p>
        </w:tc>
        <w:tc>
          <w:tcPr>
            <w:tcW w:w="1232" w:type="dxa"/>
            <w:tcBorders>
              <w:top w:val="nil"/>
              <w:left w:val="nil"/>
              <w:bottom w:val="nil"/>
              <w:right w:val="nil"/>
            </w:tcBorders>
            <w:shd w:val="clear" w:color="000000" w:fill="FFFFFF"/>
            <w:noWrap/>
            <w:vAlign w:val="center"/>
            <w:hideMark/>
          </w:tcPr>
          <w:p w14:paraId="094A7EFE" w14:textId="77777777" w:rsidR="00DD28A5" w:rsidRPr="00DD28A5" w:rsidRDefault="00DD28A5" w:rsidP="00AE0023">
            <w:pPr>
              <w:pStyle w:val="TableTextCentered2"/>
              <w:spacing w:before="10" w:after="10"/>
            </w:pPr>
            <w:r w:rsidRPr="00DD28A5">
              <w:t>0.5</w:t>
            </w:r>
          </w:p>
        </w:tc>
        <w:tc>
          <w:tcPr>
            <w:tcW w:w="1231" w:type="dxa"/>
            <w:tcBorders>
              <w:top w:val="nil"/>
              <w:left w:val="nil"/>
              <w:bottom w:val="nil"/>
              <w:right w:val="single" w:sz="4" w:space="0" w:color="auto"/>
            </w:tcBorders>
            <w:shd w:val="clear" w:color="000000" w:fill="FFFFFF"/>
            <w:noWrap/>
            <w:vAlign w:val="center"/>
            <w:hideMark/>
          </w:tcPr>
          <w:p w14:paraId="09F6919F" w14:textId="77777777" w:rsidR="00DD28A5" w:rsidRPr="00DD28A5" w:rsidRDefault="00DD28A5" w:rsidP="00AE0023">
            <w:pPr>
              <w:pStyle w:val="TableTextCentered2"/>
              <w:spacing w:before="10" w:after="10"/>
            </w:pPr>
            <w:r w:rsidRPr="00DD28A5">
              <w:t>0.5</w:t>
            </w:r>
          </w:p>
        </w:tc>
        <w:tc>
          <w:tcPr>
            <w:tcW w:w="1232" w:type="dxa"/>
            <w:tcBorders>
              <w:top w:val="nil"/>
              <w:left w:val="nil"/>
              <w:bottom w:val="nil"/>
              <w:right w:val="nil"/>
            </w:tcBorders>
            <w:shd w:val="clear" w:color="000000" w:fill="FFFFFF"/>
            <w:noWrap/>
            <w:vAlign w:val="center"/>
            <w:hideMark/>
          </w:tcPr>
          <w:p w14:paraId="533D2ED7" w14:textId="77777777" w:rsidR="00DD28A5" w:rsidRPr="00DD28A5" w:rsidRDefault="00DD28A5" w:rsidP="00AE0023">
            <w:pPr>
              <w:pStyle w:val="TableTextCentered2"/>
              <w:spacing w:before="10" w:after="10"/>
            </w:pPr>
            <w:r w:rsidRPr="00DD28A5">
              <w:t>0.8</w:t>
            </w:r>
          </w:p>
        </w:tc>
        <w:tc>
          <w:tcPr>
            <w:tcW w:w="1232" w:type="dxa"/>
            <w:tcBorders>
              <w:top w:val="nil"/>
              <w:left w:val="nil"/>
              <w:bottom w:val="nil"/>
              <w:right w:val="nil"/>
            </w:tcBorders>
            <w:shd w:val="clear" w:color="000000" w:fill="FFFFFF"/>
            <w:noWrap/>
            <w:vAlign w:val="center"/>
            <w:hideMark/>
          </w:tcPr>
          <w:p w14:paraId="6D3AE324" w14:textId="77777777" w:rsidR="00DD28A5" w:rsidRPr="00DD28A5" w:rsidRDefault="00DD28A5" w:rsidP="00AE0023">
            <w:pPr>
              <w:pStyle w:val="TableTextCentered2"/>
              <w:spacing w:before="10" w:after="10"/>
            </w:pPr>
            <w:r w:rsidRPr="00DD28A5">
              <w:t>0.6</w:t>
            </w:r>
          </w:p>
        </w:tc>
        <w:tc>
          <w:tcPr>
            <w:tcW w:w="1232" w:type="dxa"/>
            <w:tcBorders>
              <w:top w:val="nil"/>
              <w:left w:val="nil"/>
              <w:bottom w:val="nil"/>
              <w:right w:val="single" w:sz="4" w:space="0" w:color="auto"/>
            </w:tcBorders>
            <w:shd w:val="clear" w:color="000000" w:fill="FFFFFF"/>
            <w:noWrap/>
            <w:vAlign w:val="center"/>
            <w:hideMark/>
          </w:tcPr>
          <w:p w14:paraId="0728D1A5" w14:textId="77777777" w:rsidR="00DD28A5" w:rsidRPr="00DD28A5" w:rsidRDefault="00DD28A5" w:rsidP="00AE0023">
            <w:pPr>
              <w:pStyle w:val="TableTextCentered2"/>
              <w:spacing w:before="10" w:after="10"/>
            </w:pPr>
            <w:r w:rsidRPr="00DD28A5">
              <w:t>0.7</w:t>
            </w:r>
          </w:p>
        </w:tc>
        <w:tc>
          <w:tcPr>
            <w:tcW w:w="1232" w:type="dxa"/>
            <w:tcBorders>
              <w:top w:val="nil"/>
              <w:left w:val="nil"/>
              <w:bottom w:val="nil"/>
              <w:right w:val="nil"/>
            </w:tcBorders>
            <w:shd w:val="clear" w:color="000000" w:fill="FFFFFF"/>
            <w:noWrap/>
            <w:vAlign w:val="center"/>
            <w:hideMark/>
          </w:tcPr>
          <w:p w14:paraId="43FF5A44" w14:textId="77777777" w:rsidR="00DD28A5" w:rsidRPr="00DD28A5" w:rsidRDefault="00DD28A5" w:rsidP="00AE0023">
            <w:pPr>
              <w:pStyle w:val="TableTextCentered2"/>
              <w:spacing w:before="10" w:after="10"/>
            </w:pPr>
            <w:r w:rsidRPr="00DD28A5">
              <w:t>0.9</w:t>
            </w:r>
          </w:p>
        </w:tc>
        <w:tc>
          <w:tcPr>
            <w:tcW w:w="1231" w:type="dxa"/>
            <w:tcBorders>
              <w:top w:val="nil"/>
              <w:left w:val="nil"/>
              <w:bottom w:val="nil"/>
              <w:right w:val="nil"/>
            </w:tcBorders>
            <w:shd w:val="clear" w:color="000000" w:fill="FFFFFF"/>
            <w:noWrap/>
            <w:vAlign w:val="center"/>
            <w:hideMark/>
          </w:tcPr>
          <w:p w14:paraId="3636CCCD" w14:textId="77777777" w:rsidR="00DD28A5" w:rsidRPr="00DD28A5" w:rsidRDefault="00DD28A5" w:rsidP="00AE0023">
            <w:pPr>
              <w:pStyle w:val="TableTextCentered2"/>
              <w:spacing w:before="10" w:after="10"/>
            </w:pPr>
            <w:r w:rsidRPr="00DD28A5">
              <w:t>0.6</w:t>
            </w:r>
          </w:p>
        </w:tc>
        <w:tc>
          <w:tcPr>
            <w:tcW w:w="1232" w:type="dxa"/>
            <w:tcBorders>
              <w:top w:val="nil"/>
              <w:left w:val="nil"/>
              <w:bottom w:val="nil"/>
              <w:right w:val="nil"/>
            </w:tcBorders>
            <w:shd w:val="clear" w:color="000000" w:fill="FFFFFF"/>
            <w:noWrap/>
            <w:vAlign w:val="center"/>
            <w:hideMark/>
          </w:tcPr>
          <w:p w14:paraId="6F5BB61A" w14:textId="77777777" w:rsidR="00DD28A5" w:rsidRPr="00DD28A5" w:rsidRDefault="00DD28A5" w:rsidP="00AE0023">
            <w:pPr>
              <w:pStyle w:val="TableTextCentered2"/>
              <w:spacing w:before="10" w:after="10"/>
            </w:pPr>
            <w:r w:rsidRPr="00DD28A5">
              <w:t>0.8</w:t>
            </w:r>
          </w:p>
        </w:tc>
      </w:tr>
      <w:tr w:rsidR="009F27F8" w:rsidRPr="00DD28A5" w14:paraId="3901220D" w14:textId="77777777" w:rsidTr="007576B8">
        <w:trPr>
          <w:trHeight w:val="72"/>
        </w:trPr>
        <w:tc>
          <w:tcPr>
            <w:tcW w:w="2260" w:type="dxa"/>
            <w:tcBorders>
              <w:top w:val="nil"/>
              <w:left w:val="nil"/>
              <w:bottom w:val="nil"/>
              <w:right w:val="nil"/>
            </w:tcBorders>
            <w:shd w:val="clear" w:color="000000" w:fill="FFFFFF"/>
            <w:noWrap/>
            <w:vAlign w:val="bottom"/>
            <w:hideMark/>
          </w:tcPr>
          <w:p w14:paraId="5ECC7E50" w14:textId="77777777" w:rsidR="00DD28A5" w:rsidRPr="00B948AD" w:rsidRDefault="00DD28A5" w:rsidP="00B948AD">
            <w:pPr>
              <w:pStyle w:val="TableTextLeft2"/>
              <w:spacing w:line="240" w:lineRule="auto"/>
            </w:pPr>
            <w:r w:rsidRPr="00B948AD">
              <w:t> </w:t>
            </w:r>
          </w:p>
        </w:tc>
        <w:tc>
          <w:tcPr>
            <w:tcW w:w="1227" w:type="dxa"/>
            <w:tcBorders>
              <w:top w:val="nil"/>
              <w:left w:val="nil"/>
              <w:bottom w:val="nil"/>
              <w:right w:val="nil"/>
            </w:tcBorders>
            <w:shd w:val="clear" w:color="000000" w:fill="FFFFFF"/>
            <w:noWrap/>
            <w:vAlign w:val="center"/>
            <w:hideMark/>
          </w:tcPr>
          <w:p w14:paraId="6616B840"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10A74C64" w14:textId="77777777" w:rsidR="00DD28A5" w:rsidRPr="00DD28A5" w:rsidRDefault="00DD28A5" w:rsidP="00B948AD">
            <w:pPr>
              <w:pStyle w:val="TableTextCentered2"/>
            </w:pPr>
            <w:r w:rsidRPr="00DD28A5">
              <w:t> </w:t>
            </w:r>
          </w:p>
        </w:tc>
        <w:tc>
          <w:tcPr>
            <w:tcW w:w="1231" w:type="dxa"/>
            <w:tcBorders>
              <w:top w:val="nil"/>
              <w:left w:val="nil"/>
              <w:bottom w:val="nil"/>
              <w:right w:val="single" w:sz="4" w:space="0" w:color="auto"/>
            </w:tcBorders>
            <w:shd w:val="clear" w:color="000000" w:fill="FFFFFF"/>
            <w:noWrap/>
            <w:vAlign w:val="center"/>
            <w:hideMark/>
          </w:tcPr>
          <w:p w14:paraId="7D2A4355"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59661E1F"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3D9E6A0C" w14:textId="77777777" w:rsidR="00DD28A5" w:rsidRPr="00DD28A5" w:rsidRDefault="00DD28A5" w:rsidP="00B948AD">
            <w:pPr>
              <w:pStyle w:val="TableTextCentered2"/>
            </w:pPr>
            <w:r w:rsidRPr="00DD28A5">
              <w:t> </w:t>
            </w:r>
          </w:p>
        </w:tc>
        <w:tc>
          <w:tcPr>
            <w:tcW w:w="1232" w:type="dxa"/>
            <w:tcBorders>
              <w:top w:val="nil"/>
              <w:left w:val="nil"/>
              <w:bottom w:val="nil"/>
              <w:right w:val="single" w:sz="4" w:space="0" w:color="auto"/>
            </w:tcBorders>
            <w:shd w:val="clear" w:color="000000" w:fill="FFFFFF"/>
            <w:noWrap/>
            <w:vAlign w:val="center"/>
            <w:hideMark/>
          </w:tcPr>
          <w:p w14:paraId="01571F96"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06636D13" w14:textId="77777777" w:rsidR="00DD28A5" w:rsidRPr="00DD28A5" w:rsidRDefault="00DD28A5" w:rsidP="00B948AD">
            <w:pPr>
              <w:pStyle w:val="TableTextCentered2"/>
            </w:pPr>
            <w:r w:rsidRPr="00DD28A5">
              <w:t> </w:t>
            </w:r>
          </w:p>
        </w:tc>
        <w:tc>
          <w:tcPr>
            <w:tcW w:w="1231" w:type="dxa"/>
            <w:tcBorders>
              <w:top w:val="nil"/>
              <w:left w:val="nil"/>
              <w:bottom w:val="nil"/>
              <w:right w:val="nil"/>
            </w:tcBorders>
            <w:shd w:val="clear" w:color="000000" w:fill="FFFFFF"/>
            <w:noWrap/>
            <w:vAlign w:val="center"/>
            <w:hideMark/>
          </w:tcPr>
          <w:p w14:paraId="2F5C327E"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7F09E0C7" w14:textId="77777777" w:rsidR="00DD28A5" w:rsidRPr="00DD28A5" w:rsidRDefault="00DD28A5" w:rsidP="00B948AD">
            <w:pPr>
              <w:pStyle w:val="TableTextCentered2"/>
            </w:pPr>
            <w:r w:rsidRPr="00DD28A5">
              <w:t> </w:t>
            </w:r>
          </w:p>
        </w:tc>
      </w:tr>
      <w:tr w:rsidR="009F27F8" w:rsidRPr="00DD28A5" w14:paraId="2A2C3012" w14:textId="77777777" w:rsidTr="007576B8">
        <w:trPr>
          <w:trHeight w:val="105"/>
        </w:trPr>
        <w:tc>
          <w:tcPr>
            <w:tcW w:w="2260" w:type="dxa"/>
            <w:tcBorders>
              <w:top w:val="nil"/>
              <w:left w:val="nil"/>
              <w:bottom w:val="nil"/>
              <w:right w:val="nil"/>
            </w:tcBorders>
            <w:shd w:val="clear" w:color="000000" w:fill="FFFFFF"/>
            <w:noWrap/>
            <w:vAlign w:val="bottom"/>
            <w:hideMark/>
          </w:tcPr>
          <w:p w14:paraId="7B84103B" w14:textId="77777777" w:rsidR="00DD28A5" w:rsidRPr="00B948AD" w:rsidRDefault="00DD28A5" w:rsidP="00AE0023">
            <w:pPr>
              <w:pStyle w:val="TableTextLeft2"/>
              <w:spacing w:before="10" w:after="10" w:line="240" w:lineRule="auto"/>
            </w:pPr>
            <w:r w:rsidRPr="00B948AD">
              <w:t>Consumption</w:t>
            </w:r>
          </w:p>
        </w:tc>
        <w:tc>
          <w:tcPr>
            <w:tcW w:w="1227" w:type="dxa"/>
            <w:tcBorders>
              <w:top w:val="nil"/>
              <w:left w:val="nil"/>
              <w:bottom w:val="nil"/>
              <w:right w:val="nil"/>
            </w:tcBorders>
            <w:shd w:val="clear" w:color="000000" w:fill="FFFFFF"/>
            <w:noWrap/>
            <w:vAlign w:val="center"/>
            <w:hideMark/>
          </w:tcPr>
          <w:p w14:paraId="146F9A87" w14:textId="77777777" w:rsidR="00DD28A5" w:rsidRPr="00B948AD" w:rsidRDefault="00DD28A5" w:rsidP="00AE0023">
            <w:pPr>
              <w:pStyle w:val="TableTextCentered2"/>
              <w:spacing w:before="10" w:after="10"/>
            </w:pPr>
            <w:r w:rsidRPr="00B948AD">
              <w:t>0.4</w:t>
            </w:r>
          </w:p>
        </w:tc>
        <w:tc>
          <w:tcPr>
            <w:tcW w:w="1232" w:type="dxa"/>
            <w:tcBorders>
              <w:top w:val="nil"/>
              <w:left w:val="nil"/>
              <w:bottom w:val="nil"/>
              <w:right w:val="nil"/>
            </w:tcBorders>
            <w:shd w:val="clear" w:color="000000" w:fill="FFFFFF"/>
            <w:noWrap/>
            <w:vAlign w:val="center"/>
            <w:hideMark/>
          </w:tcPr>
          <w:p w14:paraId="1887E085" w14:textId="77777777" w:rsidR="00DD28A5" w:rsidRPr="00DD28A5" w:rsidRDefault="00DD28A5" w:rsidP="00AE0023">
            <w:pPr>
              <w:pStyle w:val="TableTextCentered2"/>
              <w:spacing w:before="10" w:after="10"/>
            </w:pPr>
            <w:r w:rsidRPr="00DD28A5">
              <w:t>0.2</w:t>
            </w:r>
          </w:p>
        </w:tc>
        <w:tc>
          <w:tcPr>
            <w:tcW w:w="1231" w:type="dxa"/>
            <w:tcBorders>
              <w:top w:val="nil"/>
              <w:left w:val="nil"/>
              <w:bottom w:val="nil"/>
              <w:right w:val="single" w:sz="4" w:space="0" w:color="auto"/>
            </w:tcBorders>
            <w:shd w:val="clear" w:color="000000" w:fill="FFFFFF"/>
            <w:noWrap/>
            <w:vAlign w:val="center"/>
            <w:hideMark/>
          </w:tcPr>
          <w:p w14:paraId="2FBD1FFD" w14:textId="77777777" w:rsidR="00DD28A5" w:rsidRPr="00DD28A5" w:rsidRDefault="00DD28A5" w:rsidP="00AE0023">
            <w:pPr>
              <w:pStyle w:val="TableTextCentered2"/>
              <w:spacing w:before="10" w:after="10"/>
            </w:pPr>
            <w:r w:rsidRPr="00DD28A5">
              <w:t>0.9</w:t>
            </w:r>
          </w:p>
        </w:tc>
        <w:tc>
          <w:tcPr>
            <w:tcW w:w="1232" w:type="dxa"/>
            <w:tcBorders>
              <w:top w:val="nil"/>
              <w:left w:val="nil"/>
              <w:bottom w:val="nil"/>
              <w:right w:val="nil"/>
            </w:tcBorders>
            <w:shd w:val="clear" w:color="000000" w:fill="FFFFFF"/>
            <w:noWrap/>
            <w:vAlign w:val="center"/>
            <w:hideMark/>
          </w:tcPr>
          <w:p w14:paraId="0581064E" w14:textId="77777777" w:rsidR="00DD28A5" w:rsidRPr="00DD28A5" w:rsidRDefault="00DD28A5" w:rsidP="00AE0023">
            <w:pPr>
              <w:pStyle w:val="TableTextCentered2"/>
              <w:spacing w:before="10" w:after="10"/>
            </w:pPr>
            <w:r w:rsidRPr="00DD28A5">
              <w:t>0.6</w:t>
            </w:r>
          </w:p>
        </w:tc>
        <w:tc>
          <w:tcPr>
            <w:tcW w:w="1232" w:type="dxa"/>
            <w:tcBorders>
              <w:top w:val="nil"/>
              <w:left w:val="nil"/>
              <w:bottom w:val="nil"/>
              <w:right w:val="nil"/>
            </w:tcBorders>
            <w:shd w:val="clear" w:color="000000" w:fill="FFFFFF"/>
            <w:noWrap/>
            <w:vAlign w:val="center"/>
            <w:hideMark/>
          </w:tcPr>
          <w:p w14:paraId="41DB8633" w14:textId="77777777" w:rsidR="00DD28A5" w:rsidRPr="00DD28A5" w:rsidRDefault="00DD28A5" w:rsidP="00AE0023">
            <w:pPr>
              <w:pStyle w:val="TableTextCentered2"/>
              <w:spacing w:before="10" w:after="10"/>
            </w:pPr>
            <w:r w:rsidRPr="00DD28A5">
              <w:t>0.3</w:t>
            </w:r>
          </w:p>
        </w:tc>
        <w:tc>
          <w:tcPr>
            <w:tcW w:w="1232" w:type="dxa"/>
            <w:tcBorders>
              <w:top w:val="nil"/>
              <w:left w:val="nil"/>
              <w:bottom w:val="nil"/>
              <w:right w:val="single" w:sz="4" w:space="0" w:color="auto"/>
            </w:tcBorders>
            <w:shd w:val="clear" w:color="000000" w:fill="FFFFFF"/>
            <w:noWrap/>
            <w:vAlign w:val="center"/>
            <w:hideMark/>
          </w:tcPr>
          <w:p w14:paraId="1DB81E48" w14:textId="77777777" w:rsidR="00DD28A5" w:rsidRPr="00DD28A5" w:rsidRDefault="00DD28A5" w:rsidP="00AE0023">
            <w:pPr>
              <w:pStyle w:val="TableTextCentered2"/>
              <w:spacing w:before="10" w:after="10"/>
            </w:pPr>
            <w:r w:rsidRPr="00DD28A5">
              <w:t>1.0</w:t>
            </w:r>
          </w:p>
        </w:tc>
        <w:tc>
          <w:tcPr>
            <w:tcW w:w="1232" w:type="dxa"/>
            <w:tcBorders>
              <w:top w:val="nil"/>
              <w:left w:val="nil"/>
              <w:bottom w:val="nil"/>
              <w:right w:val="nil"/>
            </w:tcBorders>
            <w:shd w:val="clear" w:color="000000" w:fill="FFFFFF"/>
            <w:noWrap/>
            <w:vAlign w:val="center"/>
            <w:hideMark/>
          </w:tcPr>
          <w:p w14:paraId="3B6E7C22" w14:textId="77777777" w:rsidR="00DD28A5" w:rsidRPr="00DD28A5" w:rsidRDefault="00DD28A5" w:rsidP="00AE0023">
            <w:pPr>
              <w:pStyle w:val="TableTextCentered2"/>
              <w:spacing w:before="10" w:after="10"/>
            </w:pPr>
            <w:r w:rsidRPr="00DD28A5">
              <w:t>0.8</w:t>
            </w:r>
          </w:p>
        </w:tc>
        <w:tc>
          <w:tcPr>
            <w:tcW w:w="1231" w:type="dxa"/>
            <w:tcBorders>
              <w:top w:val="nil"/>
              <w:left w:val="nil"/>
              <w:bottom w:val="nil"/>
              <w:right w:val="nil"/>
            </w:tcBorders>
            <w:shd w:val="clear" w:color="000000" w:fill="FFFFFF"/>
            <w:noWrap/>
            <w:vAlign w:val="center"/>
            <w:hideMark/>
          </w:tcPr>
          <w:p w14:paraId="189D053D" w14:textId="77777777" w:rsidR="00DD28A5" w:rsidRPr="00DD28A5" w:rsidRDefault="00DD28A5" w:rsidP="00AE0023">
            <w:pPr>
              <w:pStyle w:val="TableTextCentered2"/>
              <w:spacing w:before="10" w:after="10"/>
            </w:pPr>
            <w:r w:rsidRPr="00DD28A5">
              <w:t>0.4</w:t>
            </w:r>
          </w:p>
        </w:tc>
        <w:tc>
          <w:tcPr>
            <w:tcW w:w="1232" w:type="dxa"/>
            <w:tcBorders>
              <w:top w:val="nil"/>
              <w:left w:val="nil"/>
              <w:bottom w:val="nil"/>
              <w:right w:val="nil"/>
            </w:tcBorders>
            <w:shd w:val="clear" w:color="000000" w:fill="FFFFFF"/>
            <w:noWrap/>
            <w:vAlign w:val="center"/>
            <w:hideMark/>
          </w:tcPr>
          <w:p w14:paraId="5ADEA351" w14:textId="77777777" w:rsidR="00DD28A5" w:rsidRPr="00DD28A5" w:rsidRDefault="00DD28A5" w:rsidP="00AE0023">
            <w:pPr>
              <w:pStyle w:val="TableTextCentered2"/>
              <w:spacing w:before="10" w:after="10"/>
            </w:pPr>
            <w:r w:rsidRPr="00DD28A5">
              <w:t>1.2</w:t>
            </w:r>
          </w:p>
        </w:tc>
      </w:tr>
      <w:tr w:rsidR="009F27F8" w:rsidRPr="00DD28A5" w14:paraId="1C0E8C1E" w14:textId="77777777" w:rsidTr="007576B8">
        <w:trPr>
          <w:trHeight w:val="166"/>
        </w:trPr>
        <w:tc>
          <w:tcPr>
            <w:tcW w:w="2260" w:type="dxa"/>
            <w:tcBorders>
              <w:top w:val="nil"/>
              <w:left w:val="nil"/>
              <w:bottom w:val="nil"/>
              <w:right w:val="nil"/>
            </w:tcBorders>
            <w:shd w:val="clear" w:color="000000" w:fill="FFFFFF"/>
            <w:noWrap/>
            <w:vAlign w:val="bottom"/>
            <w:hideMark/>
          </w:tcPr>
          <w:p w14:paraId="7C3CED9D" w14:textId="77777777" w:rsidR="00DD28A5" w:rsidRPr="00B948AD" w:rsidRDefault="00DD28A5" w:rsidP="00AE0023">
            <w:pPr>
              <w:pStyle w:val="TableTextLeft2"/>
              <w:spacing w:before="10" w:after="10" w:line="240" w:lineRule="auto"/>
            </w:pPr>
            <w:r w:rsidRPr="00B948AD">
              <w:t>Govt. spending</w:t>
            </w:r>
          </w:p>
        </w:tc>
        <w:tc>
          <w:tcPr>
            <w:tcW w:w="1227" w:type="dxa"/>
            <w:tcBorders>
              <w:top w:val="nil"/>
              <w:left w:val="nil"/>
              <w:bottom w:val="nil"/>
              <w:right w:val="nil"/>
            </w:tcBorders>
            <w:shd w:val="clear" w:color="000000" w:fill="FFFFFF"/>
            <w:noWrap/>
            <w:vAlign w:val="center"/>
            <w:hideMark/>
          </w:tcPr>
          <w:p w14:paraId="4874A063" w14:textId="77777777" w:rsidR="00DD28A5" w:rsidRPr="00B948AD" w:rsidRDefault="00DD28A5" w:rsidP="00AE0023">
            <w:pPr>
              <w:pStyle w:val="TableTextCentered2"/>
              <w:spacing w:before="10" w:after="10"/>
            </w:pPr>
            <w:r w:rsidRPr="00B948AD">
              <w:t>0.0</w:t>
            </w:r>
          </w:p>
        </w:tc>
        <w:tc>
          <w:tcPr>
            <w:tcW w:w="1232" w:type="dxa"/>
            <w:tcBorders>
              <w:top w:val="nil"/>
              <w:left w:val="nil"/>
              <w:bottom w:val="nil"/>
              <w:right w:val="nil"/>
            </w:tcBorders>
            <w:shd w:val="clear" w:color="000000" w:fill="FFFFFF"/>
            <w:noWrap/>
            <w:vAlign w:val="center"/>
            <w:hideMark/>
          </w:tcPr>
          <w:p w14:paraId="3D39D5A6" w14:textId="77777777" w:rsidR="00DD28A5" w:rsidRPr="00DD28A5" w:rsidRDefault="00DD28A5" w:rsidP="00AE0023">
            <w:pPr>
              <w:pStyle w:val="TableTextCentered2"/>
              <w:spacing w:before="10" w:after="10"/>
            </w:pPr>
            <w:r w:rsidRPr="00DD28A5">
              <w:t>0.0</w:t>
            </w:r>
          </w:p>
        </w:tc>
        <w:tc>
          <w:tcPr>
            <w:tcW w:w="1231" w:type="dxa"/>
            <w:tcBorders>
              <w:top w:val="nil"/>
              <w:left w:val="nil"/>
              <w:bottom w:val="nil"/>
              <w:right w:val="single" w:sz="4" w:space="0" w:color="auto"/>
            </w:tcBorders>
            <w:shd w:val="clear" w:color="000000" w:fill="FFFFFF"/>
            <w:noWrap/>
            <w:vAlign w:val="center"/>
            <w:hideMark/>
          </w:tcPr>
          <w:p w14:paraId="6EC6196B" w14:textId="77777777" w:rsidR="00DD28A5" w:rsidRPr="00DD28A5" w:rsidRDefault="00DD28A5" w:rsidP="00AE0023">
            <w:pPr>
              <w:pStyle w:val="TableTextCentered2"/>
              <w:spacing w:before="10" w:after="10"/>
            </w:pPr>
            <w:r w:rsidRPr="00DD28A5">
              <w:t>-2.0</w:t>
            </w:r>
          </w:p>
        </w:tc>
        <w:tc>
          <w:tcPr>
            <w:tcW w:w="1232" w:type="dxa"/>
            <w:tcBorders>
              <w:top w:val="nil"/>
              <w:left w:val="nil"/>
              <w:bottom w:val="nil"/>
              <w:right w:val="nil"/>
            </w:tcBorders>
            <w:shd w:val="clear" w:color="000000" w:fill="FFFFFF"/>
            <w:noWrap/>
            <w:vAlign w:val="center"/>
            <w:hideMark/>
          </w:tcPr>
          <w:p w14:paraId="40CA0F17" w14:textId="77777777" w:rsidR="00DD28A5" w:rsidRPr="00DD28A5" w:rsidRDefault="00DD28A5" w:rsidP="00AE0023">
            <w:pPr>
              <w:pStyle w:val="TableTextCentered2"/>
              <w:spacing w:before="10" w:after="10"/>
            </w:pPr>
            <w:r w:rsidRPr="00DD28A5">
              <w:t>0.0</w:t>
            </w:r>
          </w:p>
        </w:tc>
        <w:tc>
          <w:tcPr>
            <w:tcW w:w="1232" w:type="dxa"/>
            <w:tcBorders>
              <w:top w:val="nil"/>
              <w:left w:val="nil"/>
              <w:bottom w:val="nil"/>
              <w:right w:val="nil"/>
            </w:tcBorders>
            <w:shd w:val="clear" w:color="000000" w:fill="FFFFFF"/>
            <w:noWrap/>
            <w:vAlign w:val="center"/>
            <w:hideMark/>
          </w:tcPr>
          <w:p w14:paraId="22B1AA84" w14:textId="77777777" w:rsidR="00DD28A5" w:rsidRPr="00DD28A5" w:rsidRDefault="00DD28A5" w:rsidP="00AE0023">
            <w:pPr>
              <w:pStyle w:val="TableTextCentered2"/>
              <w:spacing w:before="10" w:after="10"/>
            </w:pPr>
            <w:r w:rsidRPr="00DD28A5">
              <w:t>0.0</w:t>
            </w:r>
          </w:p>
        </w:tc>
        <w:tc>
          <w:tcPr>
            <w:tcW w:w="1232" w:type="dxa"/>
            <w:tcBorders>
              <w:top w:val="nil"/>
              <w:left w:val="nil"/>
              <w:bottom w:val="nil"/>
              <w:right w:val="single" w:sz="4" w:space="0" w:color="auto"/>
            </w:tcBorders>
            <w:shd w:val="clear" w:color="000000" w:fill="FFFFFF"/>
            <w:noWrap/>
            <w:vAlign w:val="center"/>
            <w:hideMark/>
          </w:tcPr>
          <w:p w14:paraId="14E75688" w14:textId="77777777" w:rsidR="00DD28A5" w:rsidRPr="00DD28A5" w:rsidRDefault="00DD28A5" w:rsidP="00AE0023">
            <w:pPr>
              <w:pStyle w:val="TableTextCentered2"/>
              <w:spacing w:before="10" w:after="10"/>
            </w:pPr>
            <w:r w:rsidRPr="00DD28A5">
              <w:t>-1.7</w:t>
            </w:r>
          </w:p>
        </w:tc>
        <w:tc>
          <w:tcPr>
            <w:tcW w:w="1232" w:type="dxa"/>
            <w:tcBorders>
              <w:top w:val="nil"/>
              <w:left w:val="nil"/>
              <w:bottom w:val="nil"/>
              <w:right w:val="nil"/>
            </w:tcBorders>
            <w:shd w:val="clear" w:color="000000" w:fill="FFFFFF"/>
            <w:noWrap/>
            <w:vAlign w:val="center"/>
            <w:hideMark/>
          </w:tcPr>
          <w:p w14:paraId="09EF6B50" w14:textId="77777777" w:rsidR="00DD28A5" w:rsidRPr="00DD28A5" w:rsidRDefault="00DD28A5" w:rsidP="00AE0023">
            <w:pPr>
              <w:pStyle w:val="TableTextCentered2"/>
              <w:spacing w:before="10" w:after="10"/>
            </w:pPr>
            <w:r w:rsidRPr="00DD28A5">
              <w:t>0.0</w:t>
            </w:r>
          </w:p>
        </w:tc>
        <w:tc>
          <w:tcPr>
            <w:tcW w:w="1231" w:type="dxa"/>
            <w:tcBorders>
              <w:top w:val="nil"/>
              <w:left w:val="nil"/>
              <w:bottom w:val="nil"/>
              <w:right w:val="nil"/>
            </w:tcBorders>
            <w:shd w:val="clear" w:color="000000" w:fill="FFFFFF"/>
            <w:noWrap/>
            <w:vAlign w:val="center"/>
            <w:hideMark/>
          </w:tcPr>
          <w:p w14:paraId="40F48F9D" w14:textId="77777777" w:rsidR="00DD28A5" w:rsidRPr="00DD28A5" w:rsidRDefault="00DD28A5" w:rsidP="00AE0023">
            <w:pPr>
              <w:pStyle w:val="TableTextCentered2"/>
              <w:spacing w:before="10" w:after="10"/>
            </w:pPr>
            <w:r w:rsidRPr="00DD28A5">
              <w:t>0.0</w:t>
            </w:r>
          </w:p>
        </w:tc>
        <w:tc>
          <w:tcPr>
            <w:tcW w:w="1232" w:type="dxa"/>
            <w:tcBorders>
              <w:top w:val="nil"/>
              <w:left w:val="nil"/>
              <w:bottom w:val="nil"/>
              <w:right w:val="nil"/>
            </w:tcBorders>
            <w:shd w:val="clear" w:color="000000" w:fill="FFFFFF"/>
            <w:noWrap/>
            <w:vAlign w:val="center"/>
            <w:hideMark/>
          </w:tcPr>
          <w:p w14:paraId="013652AE" w14:textId="77777777" w:rsidR="00DD28A5" w:rsidRPr="00DD28A5" w:rsidRDefault="00DD28A5" w:rsidP="00AE0023">
            <w:pPr>
              <w:pStyle w:val="TableTextCentered2"/>
              <w:spacing w:before="10" w:after="10"/>
            </w:pPr>
            <w:r w:rsidRPr="00DD28A5">
              <w:t>-1.5</w:t>
            </w:r>
          </w:p>
        </w:tc>
      </w:tr>
      <w:tr w:rsidR="009F27F8" w:rsidRPr="00DD28A5" w14:paraId="1F55BA50" w14:textId="77777777" w:rsidTr="007576B8">
        <w:trPr>
          <w:trHeight w:val="97"/>
        </w:trPr>
        <w:tc>
          <w:tcPr>
            <w:tcW w:w="2260" w:type="dxa"/>
            <w:tcBorders>
              <w:top w:val="nil"/>
              <w:left w:val="nil"/>
              <w:bottom w:val="nil"/>
              <w:right w:val="nil"/>
            </w:tcBorders>
            <w:shd w:val="clear" w:color="000000" w:fill="FFFFFF"/>
            <w:noWrap/>
            <w:vAlign w:val="bottom"/>
            <w:hideMark/>
          </w:tcPr>
          <w:p w14:paraId="7522297F" w14:textId="77777777" w:rsidR="00DD28A5" w:rsidRPr="00B948AD" w:rsidRDefault="00DD28A5" w:rsidP="00AE0023">
            <w:pPr>
              <w:pStyle w:val="TableTextLeft2"/>
              <w:spacing w:before="10" w:after="10" w:line="240" w:lineRule="auto"/>
            </w:pPr>
            <w:r w:rsidRPr="00B948AD">
              <w:t>Investment</w:t>
            </w:r>
          </w:p>
        </w:tc>
        <w:tc>
          <w:tcPr>
            <w:tcW w:w="1227" w:type="dxa"/>
            <w:tcBorders>
              <w:top w:val="nil"/>
              <w:left w:val="nil"/>
              <w:bottom w:val="nil"/>
              <w:right w:val="nil"/>
            </w:tcBorders>
            <w:shd w:val="clear" w:color="000000" w:fill="FFFFFF"/>
            <w:noWrap/>
            <w:vAlign w:val="center"/>
            <w:hideMark/>
          </w:tcPr>
          <w:p w14:paraId="3A9EE73C" w14:textId="77777777" w:rsidR="00DD28A5" w:rsidRPr="00B948AD" w:rsidRDefault="00DD28A5" w:rsidP="00AE0023">
            <w:pPr>
              <w:pStyle w:val="TableTextCentered2"/>
              <w:spacing w:before="10" w:after="10"/>
            </w:pPr>
            <w:r w:rsidRPr="00B948AD">
              <w:t>2.6</w:t>
            </w:r>
          </w:p>
        </w:tc>
        <w:tc>
          <w:tcPr>
            <w:tcW w:w="1232" w:type="dxa"/>
            <w:tcBorders>
              <w:top w:val="nil"/>
              <w:left w:val="nil"/>
              <w:bottom w:val="nil"/>
              <w:right w:val="nil"/>
            </w:tcBorders>
            <w:shd w:val="clear" w:color="000000" w:fill="FFFFFF"/>
            <w:noWrap/>
            <w:vAlign w:val="center"/>
            <w:hideMark/>
          </w:tcPr>
          <w:p w14:paraId="7D19AEDA" w14:textId="77777777" w:rsidR="00DD28A5" w:rsidRPr="00DD28A5" w:rsidRDefault="00DD28A5" w:rsidP="00AE0023">
            <w:pPr>
              <w:pStyle w:val="TableTextCentered2"/>
              <w:spacing w:before="10" w:after="10"/>
            </w:pPr>
            <w:r w:rsidRPr="00DD28A5">
              <w:t>2.5</w:t>
            </w:r>
          </w:p>
        </w:tc>
        <w:tc>
          <w:tcPr>
            <w:tcW w:w="1231" w:type="dxa"/>
            <w:tcBorders>
              <w:top w:val="nil"/>
              <w:left w:val="nil"/>
              <w:bottom w:val="nil"/>
              <w:right w:val="single" w:sz="4" w:space="0" w:color="auto"/>
            </w:tcBorders>
            <w:shd w:val="clear" w:color="000000" w:fill="FFFFFF"/>
            <w:noWrap/>
            <w:vAlign w:val="center"/>
            <w:hideMark/>
          </w:tcPr>
          <w:p w14:paraId="5D55DB07" w14:textId="77777777" w:rsidR="00DD28A5" w:rsidRPr="00DD28A5" w:rsidRDefault="00DD28A5" w:rsidP="00AE0023">
            <w:pPr>
              <w:pStyle w:val="TableTextCentered2"/>
              <w:spacing w:before="10" w:after="10"/>
            </w:pPr>
            <w:r w:rsidRPr="00DD28A5">
              <w:t>2.8</w:t>
            </w:r>
          </w:p>
        </w:tc>
        <w:tc>
          <w:tcPr>
            <w:tcW w:w="1232" w:type="dxa"/>
            <w:tcBorders>
              <w:top w:val="nil"/>
              <w:left w:val="nil"/>
              <w:bottom w:val="nil"/>
              <w:right w:val="nil"/>
            </w:tcBorders>
            <w:shd w:val="clear" w:color="000000" w:fill="FFFFFF"/>
            <w:noWrap/>
            <w:vAlign w:val="center"/>
            <w:hideMark/>
          </w:tcPr>
          <w:p w14:paraId="41C082B8" w14:textId="77777777" w:rsidR="00DD28A5" w:rsidRPr="00DD28A5" w:rsidRDefault="00DD28A5" w:rsidP="00AE0023">
            <w:pPr>
              <w:pStyle w:val="TableTextCentered2"/>
              <w:spacing w:before="10" w:after="10"/>
            </w:pPr>
            <w:r w:rsidRPr="00DD28A5">
              <w:t>2.8</w:t>
            </w:r>
          </w:p>
        </w:tc>
        <w:tc>
          <w:tcPr>
            <w:tcW w:w="1232" w:type="dxa"/>
            <w:tcBorders>
              <w:top w:val="nil"/>
              <w:left w:val="nil"/>
              <w:bottom w:val="nil"/>
              <w:right w:val="nil"/>
            </w:tcBorders>
            <w:shd w:val="clear" w:color="000000" w:fill="FFFFFF"/>
            <w:noWrap/>
            <w:vAlign w:val="center"/>
            <w:hideMark/>
          </w:tcPr>
          <w:p w14:paraId="1163AB42" w14:textId="77777777" w:rsidR="00DD28A5" w:rsidRPr="00DD28A5" w:rsidRDefault="00DD28A5" w:rsidP="00AE0023">
            <w:pPr>
              <w:pStyle w:val="TableTextCentered2"/>
              <w:spacing w:before="10" w:after="10"/>
            </w:pPr>
            <w:r w:rsidRPr="00DD28A5">
              <w:t>2.6</w:t>
            </w:r>
          </w:p>
        </w:tc>
        <w:tc>
          <w:tcPr>
            <w:tcW w:w="1232" w:type="dxa"/>
            <w:tcBorders>
              <w:top w:val="nil"/>
              <w:left w:val="nil"/>
              <w:bottom w:val="nil"/>
              <w:right w:val="single" w:sz="4" w:space="0" w:color="auto"/>
            </w:tcBorders>
            <w:shd w:val="clear" w:color="000000" w:fill="FFFFFF"/>
            <w:noWrap/>
            <w:vAlign w:val="center"/>
            <w:hideMark/>
          </w:tcPr>
          <w:p w14:paraId="37ADB15C" w14:textId="77777777" w:rsidR="00DD28A5" w:rsidRPr="00DD28A5" w:rsidRDefault="00DD28A5" w:rsidP="00AE0023">
            <w:pPr>
              <w:pStyle w:val="TableTextCentered2"/>
              <w:spacing w:before="10" w:after="10"/>
            </w:pPr>
            <w:r w:rsidRPr="00DD28A5">
              <w:t>2.9</w:t>
            </w:r>
          </w:p>
        </w:tc>
        <w:tc>
          <w:tcPr>
            <w:tcW w:w="1232" w:type="dxa"/>
            <w:tcBorders>
              <w:top w:val="nil"/>
              <w:left w:val="nil"/>
              <w:bottom w:val="nil"/>
              <w:right w:val="nil"/>
            </w:tcBorders>
            <w:shd w:val="clear" w:color="000000" w:fill="FFFFFF"/>
            <w:noWrap/>
            <w:vAlign w:val="center"/>
            <w:hideMark/>
          </w:tcPr>
          <w:p w14:paraId="1D79DA9C" w14:textId="77777777" w:rsidR="00DD28A5" w:rsidRPr="00DD28A5" w:rsidRDefault="00DD28A5" w:rsidP="00AE0023">
            <w:pPr>
              <w:pStyle w:val="TableTextCentered2"/>
              <w:spacing w:before="10" w:after="10"/>
            </w:pPr>
            <w:r w:rsidRPr="00DD28A5">
              <w:t>3.0</w:t>
            </w:r>
          </w:p>
        </w:tc>
        <w:tc>
          <w:tcPr>
            <w:tcW w:w="1231" w:type="dxa"/>
            <w:tcBorders>
              <w:top w:val="nil"/>
              <w:left w:val="nil"/>
              <w:bottom w:val="nil"/>
              <w:right w:val="nil"/>
            </w:tcBorders>
            <w:shd w:val="clear" w:color="000000" w:fill="FFFFFF"/>
            <w:noWrap/>
            <w:vAlign w:val="center"/>
            <w:hideMark/>
          </w:tcPr>
          <w:p w14:paraId="66C45163" w14:textId="77777777" w:rsidR="00DD28A5" w:rsidRPr="00DD28A5" w:rsidRDefault="00DD28A5" w:rsidP="00AE0023">
            <w:pPr>
              <w:pStyle w:val="TableTextCentered2"/>
              <w:spacing w:before="10" w:after="10"/>
            </w:pPr>
            <w:r w:rsidRPr="00DD28A5">
              <w:t>2.6</w:t>
            </w:r>
          </w:p>
        </w:tc>
        <w:tc>
          <w:tcPr>
            <w:tcW w:w="1232" w:type="dxa"/>
            <w:tcBorders>
              <w:top w:val="nil"/>
              <w:left w:val="nil"/>
              <w:bottom w:val="nil"/>
              <w:right w:val="nil"/>
            </w:tcBorders>
            <w:shd w:val="clear" w:color="000000" w:fill="FFFFFF"/>
            <w:noWrap/>
            <w:vAlign w:val="center"/>
            <w:hideMark/>
          </w:tcPr>
          <w:p w14:paraId="14731E15" w14:textId="77777777" w:rsidR="00DD28A5" w:rsidRPr="00DD28A5" w:rsidRDefault="00DD28A5" w:rsidP="00AE0023">
            <w:pPr>
              <w:pStyle w:val="TableTextCentered2"/>
              <w:spacing w:before="10" w:after="10"/>
            </w:pPr>
            <w:r w:rsidRPr="00DD28A5">
              <w:t>3.1</w:t>
            </w:r>
          </w:p>
        </w:tc>
      </w:tr>
      <w:tr w:rsidR="009F27F8" w:rsidRPr="00DD28A5" w14:paraId="6BB20068" w14:textId="77777777" w:rsidTr="007576B8">
        <w:trPr>
          <w:trHeight w:val="157"/>
        </w:trPr>
        <w:tc>
          <w:tcPr>
            <w:tcW w:w="2260" w:type="dxa"/>
            <w:tcBorders>
              <w:top w:val="nil"/>
              <w:left w:val="nil"/>
              <w:bottom w:val="nil"/>
              <w:right w:val="nil"/>
            </w:tcBorders>
            <w:shd w:val="clear" w:color="000000" w:fill="FFFFFF"/>
            <w:noWrap/>
            <w:vAlign w:val="bottom"/>
            <w:hideMark/>
          </w:tcPr>
          <w:p w14:paraId="36D948C2" w14:textId="77777777" w:rsidR="00DD28A5" w:rsidRPr="00B948AD" w:rsidRDefault="00DD28A5" w:rsidP="00AE0023">
            <w:pPr>
              <w:pStyle w:val="TableTextLeft2"/>
              <w:spacing w:before="10" w:after="10" w:line="240" w:lineRule="auto"/>
            </w:pPr>
            <w:r w:rsidRPr="00B948AD">
              <w:t>Exports</w:t>
            </w:r>
          </w:p>
        </w:tc>
        <w:tc>
          <w:tcPr>
            <w:tcW w:w="1227" w:type="dxa"/>
            <w:tcBorders>
              <w:top w:val="nil"/>
              <w:left w:val="nil"/>
              <w:bottom w:val="nil"/>
              <w:right w:val="nil"/>
            </w:tcBorders>
            <w:shd w:val="clear" w:color="000000" w:fill="FFFFFF"/>
            <w:noWrap/>
            <w:vAlign w:val="center"/>
            <w:hideMark/>
          </w:tcPr>
          <w:p w14:paraId="48C90F12" w14:textId="77777777" w:rsidR="00DD28A5" w:rsidRPr="00B948AD" w:rsidRDefault="00DD28A5" w:rsidP="00AE0023">
            <w:pPr>
              <w:pStyle w:val="TableTextCentered2"/>
              <w:spacing w:before="10" w:after="10"/>
            </w:pPr>
            <w:r w:rsidRPr="00B948AD">
              <w:t>2.0</w:t>
            </w:r>
          </w:p>
        </w:tc>
        <w:tc>
          <w:tcPr>
            <w:tcW w:w="1232" w:type="dxa"/>
            <w:tcBorders>
              <w:top w:val="nil"/>
              <w:left w:val="nil"/>
              <w:bottom w:val="nil"/>
              <w:right w:val="nil"/>
            </w:tcBorders>
            <w:shd w:val="clear" w:color="000000" w:fill="FFFFFF"/>
            <w:noWrap/>
            <w:vAlign w:val="center"/>
            <w:hideMark/>
          </w:tcPr>
          <w:p w14:paraId="64540226" w14:textId="77777777" w:rsidR="00DD28A5" w:rsidRPr="00DD28A5" w:rsidRDefault="00DD28A5" w:rsidP="00AE0023">
            <w:pPr>
              <w:pStyle w:val="TableTextCentered2"/>
              <w:spacing w:before="10" w:after="10"/>
            </w:pPr>
            <w:r w:rsidRPr="00DD28A5">
              <w:t>1.9</w:t>
            </w:r>
          </w:p>
        </w:tc>
        <w:tc>
          <w:tcPr>
            <w:tcW w:w="1231" w:type="dxa"/>
            <w:tcBorders>
              <w:top w:val="nil"/>
              <w:left w:val="nil"/>
              <w:bottom w:val="nil"/>
              <w:right w:val="single" w:sz="4" w:space="0" w:color="auto"/>
            </w:tcBorders>
            <w:shd w:val="clear" w:color="000000" w:fill="FFFFFF"/>
            <w:noWrap/>
            <w:vAlign w:val="center"/>
            <w:hideMark/>
          </w:tcPr>
          <w:p w14:paraId="05E35921" w14:textId="77777777" w:rsidR="00DD28A5" w:rsidRPr="00DD28A5" w:rsidRDefault="00DD28A5" w:rsidP="00AE0023">
            <w:pPr>
              <w:pStyle w:val="TableTextCentered2"/>
              <w:spacing w:before="10" w:after="10"/>
            </w:pPr>
            <w:r w:rsidRPr="00DD28A5">
              <w:t>2.0</w:t>
            </w:r>
          </w:p>
        </w:tc>
        <w:tc>
          <w:tcPr>
            <w:tcW w:w="1232" w:type="dxa"/>
            <w:tcBorders>
              <w:top w:val="nil"/>
              <w:left w:val="nil"/>
              <w:bottom w:val="nil"/>
              <w:right w:val="nil"/>
            </w:tcBorders>
            <w:shd w:val="clear" w:color="000000" w:fill="FFFFFF"/>
            <w:noWrap/>
            <w:vAlign w:val="center"/>
            <w:hideMark/>
          </w:tcPr>
          <w:p w14:paraId="7DDEFAFC" w14:textId="77777777" w:rsidR="00DD28A5" w:rsidRPr="00DD28A5" w:rsidRDefault="00DD28A5" w:rsidP="00AE0023">
            <w:pPr>
              <w:pStyle w:val="TableTextCentered2"/>
              <w:spacing w:before="10" w:after="10"/>
            </w:pPr>
            <w:r w:rsidRPr="00DD28A5">
              <w:t>2.2</w:t>
            </w:r>
          </w:p>
        </w:tc>
        <w:tc>
          <w:tcPr>
            <w:tcW w:w="1232" w:type="dxa"/>
            <w:tcBorders>
              <w:top w:val="nil"/>
              <w:left w:val="nil"/>
              <w:bottom w:val="nil"/>
              <w:right w:val="nil"/>
            </w:tcBorders>
            <w:shd w:val="clear" w:color="000000" w:fill="FFFFFF"/>
            <w:noWrap/>
            <w:vAlign w:val="center"/>
            <w:hideMark/>
          </w:tcPr>
          <w:p w14:paraId="6E4F97FF" w14:textId="77777777" w:rsidR="00DD28A5" w:rsidRPr="00DD28A5" w:rsidRDefault="00DD28A5" w:rsidP="00AE0023">
            <w:pPr>
              <w:pStyle w:val="TableTextCentered2"/>
              <w:spacing w:before="10" w:after="10"/>
            </w:pPr>
            <w:r w:rsidRPr="00DD28A5">
              <w:t>2.0</w:t>
            </w:r>
          </w:p>
        </w:tc>
        <w:tc>
          <w:tcPr>
            <w:tcW w:w="1232" w:type="dxa"/>
            <w:tcBorders>
              <w:top w:val="nil"/>
              <w:left w:val="nil"/>
              <w:bottom w:val="nil"/>
              <w:right w:val="single" w:sz="4" w:space="0" w:color="auto"/>
            </w:tcBorders>
            <w:shd w:val="clear" w:color="000000" w:fill="FFFFFF"/>
            <w:noWrap/>
            <w:vAlign w:val="center"/>
            <w:hideMark/>
          </w:tcPr>
          <w:p w14:paraId="7E86F49D" w14:textId="77777777" w:rsidR="00DD28A5" w:rsidRPr="00DD28A5" w:rsidRDefault="00DD28A5" w:rsidP="00AE0023">
            <w:pPr>
              <w:pStyle w:val="TableTextCentered2"/>
              <w:spacing w:before="10" w:after="10"/>
            </w:pPr>
            <w:r w:rsidRPr="00DD28A5">
              <w:t>2.1</w:t>
            </w:r>
          </w:p>
        </w:tc>
        <w:tc>
          <w:tcPr>
            <w:tcW w:w="1232" w:type="dxa"/>
            <w:tcBorders>
              <w:top w:val="nil"/>
              <w:left w:val="nil"/>
              <w:bottom w:val="nil"/>
              <w:right w:val="nil"/>
            </w:tcBorders>
            <w:shd w:val="clear" w:color="000000" w:fill="FFFFFF"/>
            <w:noWrap/>
            <w:vAlign w:val="center"/>
            <w:hideMark/>
          </w:tcPr>
          <w:p w14:paraId="1A63294B" w14:textId="77777777" w:rsidR="00DD28A5" w:rsidRPr="00DD28A5" w:rsidRDefault="00DD28A5" w:rsidP="00AE0023">
            <w:pPr>
              <w:pStyle w:val="TableTextCentered2"/>
              <w:spacing w:before="10" w:after="10"/>
            </w:pPr>
            <w:r w:rsidRPr="00DD28A5">
              <w:t>2.3</w:t>
            </w:r>
          </w:p>
        </w:tc>
        <w:tc>
          <w:tcPr>
            <w:tcW w:w="1231" w:type="dxa"/>
            <w:tcBorders>
              <w:top w:val="nil"/>
              <w:left w:val="nil"/>
              <w:bottom w:val="nil"/>
              <w:right w:val="nil"/>
            </w:tcBorders>
            <w:shd w:val="clear" w:color="000000" w:fill="FFFFFF"/>
            <w:noWrap/>
            <w:vAlign w:val="center"/>
            <w:hideMark/>
          </w:tcPr>
          <w:p w14:paraId="6933D844" w14:textId="77777777" w:rsidR="00DD28A5" w:rsidRPr="00DD28A5" w:rsidRDefault="00DD28A5" w:rsidP="00AE0023">
            <w:pPr>
              <w:pStyle w:val="TableTextCentered2"/>
              <w:spacing w:before="10" w:after="10"/>
            </w:pPr>
            <w:r w:rsidRPr="00DD28A5">
              <w:t>2.0</w:t>
            </w:r>
          </w:p>
        </w:tc>
        <w:tc>
          <w:tcPr>
            <w:tcW w:w="1232" w:type="dxa"/>
            <w:tcBorders>
              <w:top w:val="nil"/>
              <w:left w:val="nil"/>
              <w:bottom w:val="nil"/>
              <w:right w:val="nil"/>
            </w:tcBorders>
            <w:shd w:val="clear" w:color="000000" w:fill="FFFFFF"/>
            <w:noWrap/>
            <w:vAlign w:val="center"/>
            <w:hideMark/>
          </w:tcPr>
          <w:p w14:paraId="04FCA77C" w14:textId="77777777" w:rsidR="00DD28A5" w:rsidRPr="00DD28A5" w:rsidRDefault="00DD28A5" w:rsidP="00AE0023">
            <w:pPr>
              <w:pStyle w:val="TableTextCentered2"/>
              <w:spacing w:before="10" w:after="10"/>
            </w:pPr>
            <w:r w:rsidRPr="00DD28A5">
              <w:t>2.3</w:t>
            </w:r>
          </w:p>
        </w:tc>
      </w:tr>
      <w:tr w:rsidR="009F27F8" w:rsidRPr="00DD28A5" w14:paraId="48B811A8" w14:textId="77777777" w:rsidTr="007576B8">
        <w:trPr>
          <w:trHeight w:val="90"/>
        </w:trPr>
        <w:tc>
          <w:tcPr>
            <w:tcW w:w="2260" w:type="dxa"/>
            <w:tcBorders>
              <w:top w:val="nil"/>
              <w:left w:val="nil"/>
              <w:bottom w:val="nil"/>
              <w:right w:val="nil"/>
            </w:tcBorders>
            <w:shd w:val="clear" w:color="000000" w:fill="FFFFFF"/>
            <w:noWrap/>
            <w:vAlign w:val="bottom"/>
            <w:hideMark/>
          </w:tcPr>
          <w:p w14:paraId="26C6971C" w14:textId="77777777" w:rsidR="00DD28A5" w:rsidRPr="00B948AD" w:rsidRDefault="00DD28A5" w:rsidP="00AE0023">
            <w:pPr>
              <w:pStyle w:val="TableTextLeft2"/>
              <w:spacing w:before="10" w:after="10" w:line="240" w:lineRule="auto"/>
            </w:pPr>
            <w:r w:rsidRPr="00B948AD">
              <w:t>Imports</w:t>
            </w:r>
          </w:p>
        </w:tc>
        <w:tc>
          <w:tcPr>
            <w:tcW w:w="1227" w:type="dxa"/>
            <w:tcBorders>
              <w:top w:val="nil"/>
              <w:left w:val="nil"/>
              <w:bottom w:val="nil"/>
              <w:right w:val="nil"/>
            </w:tcBorders>
            <w:shd w:val="clear" w:color="000000" w:fill="FFFFFF"/>
            <w:noWrap/>
            <w:vAlign w:val="center"/>
            <w:hideMark/>
          </w:tcPr>
          <w:p w14:paraId="2B9FD448" w14:textId="77777777" w:rsidR="00DD28A5" w:rsidRPr="00B948AD" w:rsidRDefault="00DD28A5" w:rsidP="00AE0023">
            <w:pPr>
              <w:pStyle w:val="TableTextCentered2"/>
              <w:spacing w:before="10" w:after="10"/>
            </w:pPr>
            <w:r w:rsidRPr="00B948AD">
              <w:t>1.0</w:t>
            </w:r>
          </w:p>
        </w:tc>
        <w:tc>
          <w:tcPr>
            <w:tcW w:w="1232" w:type="dxa"/>
            <w:tcBorders>
              <w:top w:val="nil"/>
              <w:left w:val="nil"/>
              <w:bottom w:val="nil"/>
              <w:right w:val="nil"/>
            </w:tcBorders>
            <w:shd w:val="clear" w:color="000000" w:fill="FFFFFF"/>
            <w:noWrap/>
            <w:vAlign w:val="center"/>
            <w:hideMark/>
          </w:tcPr>
          <w:p w14:paraId="2D9F9018" w14:textId="77777777" w:rsidR="00DD28A5" w:rsidRPr="00DD28A5" w:rsidRDefault="00DD28A5" w:rsidP="00AE0023">
            <w:pPr>
              <w:pStyle w:val="TableTextCentered2"/>
              <w:spacing w:before="10" w:after="10"/>
            </w:pPr>
            <w:r w:rsidRPr="00DD28A5">
              <w:t>0.9</w:t>
            </w:r>
          </w:p>
        </w:tc>
        <w:tc>
          <w:tcPr>
            <w:tcW w:w="1231" w:type="dxa"/>
            <w:tcBorders>
              <w:top w:val="nil"/>
              <w:left w:val="nil"/>
              <w:bottom w:val="nil"/>
              <w:right w:val="single" w:sz="4" w:space="0" w:color="auto"/>
            </w:tcBorders>
            <w:shd w:val="clear" w:color="000000" w:fill="FFFFFF"/>
            <w:noWrap/>
            <w:vAlign w:val="center"/>
            <w:hideMark/>
          </w:tcPr>
          <w:p w14:paraId="5D67BC90" w14:textId="77777777" w:rsidR="00DD28A5" w:rsidRPr="00DD28A5" w:rsidRDefault="00DD28A5" w:rsidP="00AE0023">
            <w:pPr>
              <w:pStyle w:val="TableTextCentered2"/>
              <w:spacing w:before="10" w:after="10"/>
            </w:pPr>
            <w:r w:rsidRPr="00DD28A5">
              <w:t>1.0</w:t>
            </w:r>
          </w:p>
        </w:tc>
        <w:tc>
          <w:tcPr>
            <w:tcW w:w="1232" w:type="dxa"/>
            <w:tcBorders>
              <w:top w:val="nil"/>
              <w:left w:val="nil"/>
              <w:bottom w:val="nil"/>
              <w:right w:val="nil"/>
            </w:tcBorders>
            <w:shd w:val="clear" w:color="000000" w:fill="FFFFFF"/>
            <w:noWrap/>
            <w:vAlign w:val="center"/>
            <w:hideMark/>
          </w:tcPr>
          <w:p w14:paraId="6FB9C3F7"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449FCAE6" w14:textId="77777777" w:rsidR="00DD28A5" w:rsidRPr="00DD28A5" w:rsidRDefault="00DD28A5" w:rsidP="00AE0023">
            <w:pPr>
              <w:pStyle w:val="TableTextCentered2"/>
              <w:spacing w:before="10" w:after="10"/>
            </w:pPr>
            <w:r w:rsidRPr="00DD28A5">
              <w:t>0.9</w:t>
            </w:r>
          </w:p>
        </w:tc>
        <w:tc>
          <w:tcPr>
            <w:tcW w:w="1232" w:type="dxa"/>
            <w:tcBorders>
              <w:top w:val="nil"/>
              <w:left w:val="nil"/>
              <w:bottom w:val="nil"/>
              <w:right w:val="single" w:sz="4" w:space="0" w:color="auto"/>
            </w:tcBorders>
            <w:shd w:val="clear" w:color="000000" w:fill="FFFFFF"/>
            <w:noWrap/>
            <w:vAlign w:val="center"/>
            <w:hideMark/>
          </w:tcPr>
          <w:p w14:paraId="4137B03F"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107140CC" w14:textId="77777777" w:rsidR="00DD28A5" w:rsidRPr="00DD28A5" w:rsidRDefault="00DD28A5" w:rsidP="00AE0023">
            <w:pPr>
              <w:pStyle w:val="TableTextCentered2"/>
              <w:spacing w:before="10" w:after="10"/>
            </w:pPr>
            <w:r w:rsidRPr="00DD28A5">
              <w:t>1.2</w:t>
            </w:r>
          </w:p>
        </w:tc>
        <w:tc>
          <w:tcPr>
            <w:tcW w:w="1231" w:type="dxa"/>
            <w:tcBorders>
              <w:top w:val="nil"/>
              <w:left w:val="nil"/>
              <w:bottom w:val="nil"/>
              <w:right w:val="nil"/>
            </w:tcBorders>
            <w:shd w:val="clear" w:color="000000" w:fill="FFFFFF"/>
            <w:noWrap/>
            <w:vAlign w:val="center"/>
            <w:hideMark/>
          </w:tcPr>
          <w:p w14:paraId="63CF98C4" w14:textId="77777777" w:rsidR="00DD28A5" w:rsidRPr="00DD28A5" w:rsidRDefault="00DD28A5" w:rsidP="00AE0023">
            <w:pPr>
              <w:pStyle w:val="TableTextCentered2"/>
              <w:spacing w:before="10" w:after="10"/>
            </w:pPr>
            <w:r w:rsidRPr="00DD28A5">
              <w:t>1.0</w:t>
            </w:r>
          </w:p>
        </w:tc>
        <w:tc>
          <w:tcPr>
            <w:tcW w:w="1232" w:type="dxa"/>
            <w:tcBorders>
              <w:top w:val="nil"/>
              <w:left w:val="nil"/>
              <w:bottom w:val="nil"/>
              <w:right w:val="nil"/>
            </w:tcBorders>
            <w:shd w:val="clear" w:color="000000" w:fill="FFFFFF"/>
            <w:noWrap/>
            <w:vAlign w:val="center"/>
            <w:hideMark/>
          </w:tcPr>
          <w:p w14:paraId="2E247C0F" w14:textId="77777777" w:rsidR="00DD28A5" w:rsidRPr="00DD28A5" w:rsidRDefault="00DD28A5" w:rsidP="00AE0023">
            <w:pPr>
              <w:pStyle w:val="TableTextCentered2"/>
              <w:spacing w:before="10" w:after="10"/>
            </w:pPr>
            <w:r w:rsidRPr="00DD28A5">
              <w:t>1.3</w:t>
            </w:r>
          </w:p>
        </w:tc>
      </w:tr>
      <w:tr w:rsidR="009F27F8" w:rsidRPr="00DD28A5" w14:paraId="044E1C15" w14:textId="77777777" w:rsidTr="007576B8">
        <w:trPr>
          <w:trHeight w:val="149"/>
        </w:trPr>
        <w:tc>
          <w:tcPr>
            <w:tcW w:w="2260" w:type="dxa"/>
            <w:tcBorders>
              <w:top w:val="nil"/>
              <w:left w:val="nil"/>
              <w:bottom w:val="nil"/>
              <w:right w:val="nil"/>
            </w:tcBorders>
            <w:shd w:val="clear" w:color="000000" w:fill="FFFFFF"/>
            <w:noWrap/>
            <w:vAlign w:val="bottom"/>
            <w:hideMark/>
          </w:tcPr>
          <w:p w14:paraId="588A3B70" w14:textId="77777777" w:rsidR="00DD28A5" w:rsidRPr="00B948AD" w:rsidRDefault="00DD28A5" w:rsidP="00B948AD">
            <w:pPr>
              <w:pStyle w:val="TableTextLeft2"/>
              <w:spacing w:line="240" w:lineRule="auto"/>
            </w:pPr>
            <w:r w:rsidRPr="00B948AD">
              <w:t> </w:t>
            </w:r>
          </w:p>
        </w:tc>
        <w:tc>
          <w:tcPr>
            <w:tcW w:w="1227" w:type="dxa"/>
            <w:tcBorders>
              <w:top w:val="nil"/>
              <w:left w:val="nil"/>
              <w:bottom w:val="nil"/>
              <w:right w:val="nil"/>
            </w:tcBorders>
            <w:shd w:val="clear" w:color="000000" w:fill="FFFFFF"/>
            <w:noWrap/>
            <w:vAlign w:val="center"/>
            <w:hideMark/>
          </w:tcPr>
          <w:p w14:paraId="4A17169F"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72CBB0EB" w14:textId="77777777" w:rsidR="00DD28A5" w:rsidRPr="00DD28A5" w:rsidRDefault="00DD28A5" w:rsidP="00B948AD">
            <w:pPr>
              <w:pStyle w:val="TableTextCentered2"/>
            </w:pPr>
            <w:r w:rsidRPr="00DD28A5">
              <w:t> </w:t>
            </w:r>
          </w:p>
        </w:tc>
        <w:tc>
          <w:tcPr>
            <w:tcW w:w="1231" w:type="dxa"/>
            <w:tcBorders>
              <w:top w:val="nil"/>
              <w:left w:val="nil"/>
              <w:bottom w:val="nil"/>
              <w:right w:val="single" w:sz="4" w:space="0" w:color="auto"/>
            </w:tcBorders>
            <w:shd w:val="clear" w:color="000000" w:fill="FFFFFF"/>
            <w:noWrap/>
            <w:vAlign w:val="center"/>
            <w:hideMark/>
          </w:tcPr>
          <w:p w14:paraId="0B4F1B70"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74DC5919"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445303E0" w14:textId="77777777" w:rsidR="00DD28A5" w:rsidRPr="00DD28A5" w:rsidRDefault="00DD28A5" w:rsidP="00B948AD">
            <w:pPr>
              <w:pStyle w:val="TableTextCentered2"/>
            </w:pPr>
            <w:r w:rsidRPr="00DD28A5">
              <w:t> </w:t>
            </w:r>
          </w:p>
        </w:tc>
        <w:tc>
          <w:tcPr>
            <w:tcW w:w="1232" w:type="dxa"/>
            <w:tcBorders>
              <w:top w:val="nil"/>
              <w:left w:val="nil"/>
              <w:bottom w:val="nil"/>
              <w:right w:val="single" w:sz="4" w:space="0" w:color="auto"/>
            </w:tcBorders>
            <w:shd w:val="clear" w:color="000000" w:fill="FFFFFF"/>
            <w:noWrap/>
            <w:vAlign w:val="center"/>
            <w:hideMark/>
          </w:tcPr>
          <w:p w14:paraId="3FC88284"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0A43C923" w14:textId="77777777" w:rsidR="00DD28A5" w:rsidRPr="00DD28A5" w:rsidRDefault="00DD28A5" w:rsidP="00B948AD">
            <w:pPr>
              <w:pStyle w:val="TableTextCentered2"/>
            </w:pPr>
            <w:r w:rsidRPr="00DD28A5">
              <w:t> </w:t>
            </w:r>
          </w:p>
        </w:tc>
        <w:tc>
          <w:tcPr>
            <w:tcW w:w="1231" w:type="dxa"/>
            <w:tcBorders>
              <w:top w:val="nil"/>
              <w:left w:val="nil"/>
              <w:bottom w:val="nil"/>
              <w:right w:val="nil"/>
            </w:tcBorders>
            <w:shd w:val="clear" w:color="000000" w:fill="FFFFFF"/>
            <w:noWrap/>
            <w:vAlign w:val="center"/>
            <w:hideMark/>
          </w:tcPr>
          <w:p w14:paraId="65880C9E"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2F58FF7D" w14:textId="77777777" w:rsidR="00DD28A5" w:rsidRPr="00DD28A5" w:rsidRDefault="00DD28A5" w:rsidP="00B948AD">
            <w:pPr>
              <w:pStyle w:val="TableTextCentered2"/>
            </w:pPr>
            <w:r w:rsidRPr="00DD28A5">
              <w:t> </w:t>
            </w:r>
          </w:p>
        </w:tc>
      </w:tr>
      <w:tr w:rsidR="009F27F8" w:rsidRPr="00DD28A5" w14:paraId="47251CAD" w14:textId="77777777" w:rsidTr="007576B8">
        <w:trPr>
          <w:trHeight w:val="72"/>
        </w:trPr>
        <w:tc>
          <w:tcPr>
            <w:tcW w:w="2260" w:type="dxa"/>
            <w:tcBorders>
              <w:top w:val="nil"/>
              <w:left w:val="nil"/>
              <w:bottom w:val="nil"/>
              <w:right w:val="nil"/>
            </w:tcBorders>
            <w:shd w:val="clear" w:color="000000" w:fill="FFFFFF"/>
            <w:noWrap/>
            <w:vAlign w:val="bottom"/>
            <w:hideMark/>
          </w:tcPr>
          <w:p w14:paraId="4397F18C" w14:textId="77777777" w:rsidR="00DD28A5" w:rsidRPr="00B948AD" w:rsidRDefault="00DD28A5" w:rsidP="00AE0023">
            <w:pPr>
              <w:pStyle w:val="TableTextLeft2"/>
              <w:spacing w:before="10" w:after="10" w:line="240" w:lineRule="auto"/>
            </w:pPr>
            <w:r w:rsidRPr="00B948AD">
              <w:t>Employment</w:t>
            </w:r>
          </w:p>
        </w:tc>
        <w:tc>
          <w:tcPr>
            <w:tcW w:w="1227" w:type="dxa"/>
            <w:tcBorders>
              <w:top w:val="nil"/>
              <w:left w:val="nil"/>
              <w:bottom w:val="nil"/>
              <w:right w:val="nil"/>
            </w:tcBorders>
            <w:shd w:val="clear" w:color="000000" w:fill="FFFFFF"/>
            <w:noWrap/>
            <w:vAlign w:val="center"/>
            <w:hideMark/>
          </w:tcPr>
          <w:p w14:paraId="371A703C" w14:textId="77777777" w:rsidR="00DD28A5" w:rsidRPr="00DD28A5" w:rsidRDefault="00DD28A5" w:rsidP="00AE0023">
            <w:pPr>
              <w:pStyle w:val="TableTextCentered2"/>
              <w:spacing w:before="10" w:after="10"/>
            </w:pPr>
            <w:r w:rsidRPr="00DD28A5">
              <w:t>0.2</w:t>
            </w:r>
          </w:p>
        </w:tc>
        <w:tc>
          <w:tcPr>
            <w:tcW w:w="1232" w:type="dxa"/>
            <w:tcBorders>
              <w:top w:val="nil"/>
              <w:left w:val="nil"/>
              <w:bottom w:val="nil"/>
              <w:right w:val="nil"/>
            </w:tcBorders>
            <w:shd w:val="clear" w:color="000000" w:fill="FFFFFF"/>
            <w:noWrap/>
            <w:vAlign w:val="center"/>
            <w:hideMark/>
          </w:tcPr>
          <w:p w14:paraId="0C50889D" w14:textId="77777777" w:rsidR="00DD28A5" w:rsidRPr="00DD28A5" w:rsidRDefault="00DD28A5" w:rsidP="00AE0023">
            <w:pPr>
              <w:pStyle w:val="TableTextCentered2"/>
              <w:spacing w:before="10" w:after="10"/>
            </w:pPr>
            <w:r w:rsidRPr="00DD28A5">
              <w:t>0.0</w:t>
            </w:r>
          </w:p>
        </w:tc>
        <w:tc>
          <w:tcPr>
            <w:tcW w:w="1231" w:type="dxa"/>
            <w:tcBorders>
              <w:top w:val="nil"/>
              <w:left w:val="nil"/>
              <w:bottom w:val="nil"/>
              <w:right w:val="single" w:sz="4" w:space="0" w:color="auto"/>
            </w:tcBorders>
            <w:shd w:val="clear" w:color="000000" w:fill="FFFFFF"/>
            <w:noWrap/>
            <w:vAlign w:val="center"/>
            <w:hideMark/>
          </w:tcPr>
          <w:p w14:paraId="0895A836" w14:textId="77777777" w:rsidR="00DD28A5" w:rsidRPr="00DD28A5" w:rsidRDefault="00DD28A5" w:rsidP="00AE0023">
            <w:pPr>
              <w:pStyle w:val="TableTextCentered2"/>
              <w:spacing w:before="10" w:after="10"/>
            </w:pPr>
            <w:r w:rsidRPr="00DD28A5">
              <w:t>-0.1</w:t>
            </w:r>
          </w:p>
        </w:tc>
        <w:tc>
          <w:tcPr>
            <w:tcW w:w="1232" w:type="dxa"/>
            <w:tcBorders>
              <w:top w:val="nil"/>
              <w:left w:val="nil"/>
              <w:bottom w:val="nil"/>
              <w:right w:val="nil"/>
            </w:tcBorders>
            <w:shd w:val="clear" w:color="000000" w:fill="FFFFFF"/>
            <w:noWrap/>
            <w:vAlign w:val="center"/>
            <w:hideMark/>
          </w:tcPr>
          <w:p w14:paraId="7062C36E" w14:textId="77777777" w:rsidR="00DD28A5" w:rsidRPr="00DD28A5" w:rsidRDefault="00DD28A5" w:rsidP="00AE0023">
            <w:pPr>
              <w:pStyle w:val="TableTextCentered2"/>
              <w:spacing w:before="10" w:after="10"/>
            </w:pPr>
            <w:r w:rsidRPr="00DD28A5">
              <w:t>0.4</w:t>
            </w:r>
          </w:p>
        </w:tc>
        <w:tc>
          <w:tcPr>
            <w:tcW w:w="1232" w:type="dxa"/>
            <w:tcBorders>
              <w:top w:val="nil"/>
              <w:left w:val="nil"/>
              <w:bottom w:val="nil"/>
              <w:right w:val="nil"/>
            </w:tcBorders>
            <w:shd w:val="clear" w:color="000000" w:fill="FFFFFF"/>
            <w:noWrap/>
            <w:vAlign w:val="center"/>
            <w:hideMark/>
          </w:tcPr>
          <w:p w14:paraId="17F04C6C" w14:textId="77777777" w:rsidR="00DD28A5" w:rsidRPr="00DD28A5" w:rsidRDefault="00DD28A5" w:rsidP="00AE0023">
            <w:pPr>
              <w:pStyle w:val="TableTextCentered2"/>
              <w:spacing w:before="10" w:after="10"/>
            </w:pPr>
            <w:r w:rsidRPr="00DD28A5">
              <w:t>0.1</w:t>
            </w:r>
          </w:p>
        </w:tc>
        <w:tc>
          <w:tcPr>
            <w:tcW w:w="1232" w:type="dxa"/>
            <w:tcBorders>
              <w:top w:val="nil"/>
              <w:left w:val="nil"/>
              <w:bottom w:val="nil"/>
              <w:right w:val="single" w:sz="4" w:space="0" w:color="auto"/>
            </w:tcBorders>
            <w:shd w:val="clear" w:color="000000" w:fill="FFFFFF"/>
            <w:noWrap/>
            <w:vAlign w:val="center"/>
            <w:hideMark/>
          </w:tcPr>
          <w:p w14:paraId="78B08FA4" w14:textId="77777777" w:rsidR="00DD28A5" w:rsidRPr="00DD28A5" w:rsidRDefault="00DD28A5" w:rsidP="00AE0023">
            <w:pPr>
              <w:pStyle w:val="TableTextCentered2"/>
              <w:spacing w:before="10" w:after="10"/>
            </w:pPr>
            <w:r w:rsidRPr="00DD28A5">
              <w:t>0.1</w:t>
            </w:r>
          </w:p>
        </w:tc>
        <w:tc>
          <w:tcPr>
            <w:tcW w:w="1232" w:type="dxa"/>
            <w:tcBorders>
              <w:top w:val="nil"/>
              <w:left w:val="nil"/>
              <w:bottom w:val="nil"/>
              <w:right w:val="nil"/>
            </w:tcBorders>
            <w:shd w:val="clear" w:color="000000" w:fill="FFFFFF"/>
            <w:noWrap/>
            <w:vAlign w:val="center"/>
            <w:hideMark/>
          </w:tcPr>
          <w:p w14:paraId="28838090" w14:textId="77777777" w:rsidR="00DD28A5" w:rsidRPr="00DD28A5" w:rsidRDefault="00DD28A5" w:rsidP="00AE0023">
            <w:pPr>
              <w:pStyle w:val="TableTextCentered2"/>
              <w:spacing w:before="10" w:after="10"/>
            </w:pPr>
            <w:r w:rsidRPr="00DD28A5">
              <w:t>0.5</w:t>
            </w:r>
          </w:p>
        </w:tc>
        <w:tc>
          <w:tcPr>
            <w:tcW w:w="1231" w:type="dxa"/>
            <w:tcBorders>
              <w:top w:val="nil"/>
              <w:left w:val="nil"/>
              <w:bottom w:val="nil"/>
              <w:right w:val="nil"/>
            </w:tcBorders>
            <w:shd w:val="clear" w:color="000000" w:fill="FFFFFF"/>
            <w:noWrap/>
            <w:vAlign w:val="center"/>
            <w:hideMark/>
          </w:tcPr>
          <w:p w14:paraId="57E7E310" w14:textId="77777777" w:rsidR="00DD28A5" w:rsidRPr="00DD28A5" w:rsidRDefault="00DD28A5" w:rsidP="00AE0023">
            <w:pPr>
              <w:pStyle w:val="TableTextCentered2"/>
              <w:spacing w:before="10" w:after="10"/>
            </w:pPr>
            <w:r w:rsidRPr="00DD28A5">
              <w:t>0.2</w:t>
            </w:r>
          </w:p>
        </w:tc>
        <w:tc>
          <w:tcPr>
            <w:tcW w:w="1232" w:type="dxa"/>
            <w:tcBorders>
              <w:top w:val="nil"/>
              <w:left w:val="nil"/>
              <w:bottom w:val="nil"/>
              <w:right w:val="nil"/>
            </w:tcBorders>
            <w:shd w:val="clear" w:color="000000" w:fill="FFFFFF"/>
            <w:noWrap/>
            <w:vAlign w:val="center"/>
            <w:hideMark/>
          </w:tcPr>
          <w:p w14:paraId="75FEB2FA" w14:textId="77777777" w:rsidR="00DD28A5" w:rsidRPr="00DD28A5" w:rsidRDefault="00DD28A5" w:rsidP="00AE0023">
            <w:pPr>
              <w:pStyle w:val="TableTextCentered2"/>
              <w:spacing w:before="10" w:after="10"/>
            </w:pPr>
            <w:r w:rsidRPr="00DD28A5">
              <w:t>0.3</w:t>
            </w:r>
          </w:p>
        </w:tc>
      </w:tr>
      <w:tr w:rsidR="009F27F8" w:rsidRPr="00DD28A5" w14:paraId="2E6AF7C5" w14:textId="77777777" w:rsidTr="007576B8">
        <w:trPr>
          <w:trHeight w:val="142"/>
        </w:trPr>
        <w:tc>
          <w:tcPr>
            <w:tcW w:w="2260" w:type="dxa"/>
            <w:tcBorders>
              <w:top w:val="nil"/>
              <w:left w:val="nil"/>
              <w:bottom w:val="nil"/>
              <w:right w:val="nil"/>
            </w:tcBorders>
            <w:shd w:val="clear" w:color="000000" w:fill="FFFFFF"/>
            <w:noWrap/>
            <w:vAlign w:val="bottom"/>
            <w:hideMark/>
          </w:tcPr>
          <w:p w14:paraId="75C9FC6D" w14:textId="77777777" w:rsidR="00DD28A5" w:rsidRPr="00B948AD" w:rsidRDefault="00DD28A5" w:rsidP="00AE0023">
            <w:pPr>
              <w:pStyle w:val="TableTextLeft2"/>
              <w:spacing w:before="10" w:after="10" w:line="240" w:lineRule="auto"/>
            </w:pPr>
            <w:r w:rsidRPr="00B948AD">
              <w:t>Real wage (before-tax)</w:t>
            </w:r>
          </w:p>
        </w:tc>
        <w:tc>
          <w:tcPr>
            <w:tcW w:w="1227" w:type="dxa"/>
            <w:tcBorders>
              <w:top w:val="nil"/>
              <w:left w:val="nil"/>
              <w:bottom w:val="nil"/>
              <w:right w:val="nil"/>
            </w:tcBorders>
            <w:shd w:val="clear" w:color="000000" w:fill="FFFFFF"/>
            <w:noWrap/>
            <w:vAlign w:val="center"/>
            <w:hideMark/>
          </w:tcPr>
          <w:p w14:paraId="60E5CACC" w14:textId="77777777" w:rsidR="00DD28A5" w:rsidRPr="00DD28A5" w:rsidRDefault="00DD28A5" w:rsidP="00AE0023">
            <w:pPr>
              <w:pStyle w:val="TableTextCentered2"/>
              <w:spacing w:before="10" w:after="10"/>
            </w:pPr>
            <w:r w:rsidRPr="00DD28A5">
              <w:t>1.2</w:t>
            </w:r>
          </w:p>
        </w:tc>
        <w:tc>
          <w:tcPr>
            <w:tcW w:w="1232" w:type="dxa"/>
            <w:tcBorders>
              <w:top w:val="nil"/>
              <w:left w:val="nil"/>
              <w:bottom w:val="nil"/>
              <w:right w:val="nil"/>
            </w:tcBorders>
            <w:shd w:val="clear" w:color="000000" w:fill="FFFFFF"/>
            <w:noWrap/>
            <w:vAlign w:val="center"/>
            <w:hideMark/>
          </w:tcPr>
          <w:p w14:paraId="6AA1CED8" w14:textId="77777777" w:rsidR="00DD28A5" w:rsidRPr="00DD28A5" w:rsidRDefault="00DD28A5" w:rsidP="00AE0023">
            <w:pPr>
              <w:pStyle w:val="TableTextCentered2"/>
              <w:spacing w:before="10" w:after="10"/>
            </w:pPr>
            <w:r w:rsidRPr="00DD28A5">
              <w:t>1.2</w:t>
            </w:r>
          </w:p>
        </w:tc>
        <w:tc>
          <w:tcPr>
            <w:tcW w:w="1231" w:type="dxa"/>
            <w:tcBorders>
              <w:top w:val="nil"/>
              <w:left w:val="nil"/>
              <w:bottom w:val="nil"/>
              <w:right w:val="single" w:sz="4" w:space="0" w:color="auto"/>
            </w:tcBorders>
            <w:shd w:val="clear" w:color="000000" w:fill="FFFFFF"/>
            <w:noWrap/>
            <w:vAlign w:val="center"/>
            <w:hideMark/>
          </w:tcPr>
          <w:p w14:paraId="5C893365"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16859E5C"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1F18DBC8" w14:textId="77777777" w:rsidR="00DD28A5" w:rsidRPr="00DD28A5" w:rsidRDefault="00DD28A5" w:rsidP="00AE0023">
            <w:pPr>
              <w:pStyle w:val="TableTextCentered2"/>
              <w:spacing w:before="10" w:after="10"/>
            </w:pPr>
            <w:r w:rsidRPr="00DD28A5">
              <w:t>1.2</w:t>
            </w:r>
          </w:p>
        </w:tc>
        <w:tc>
          <w:tcPr>
            <w:tcW w:w="1232" w:type="dxa"/>
            <w:tcBorders>
              <w:top w:val="nil"/>
              <w:left w:val="nil"/>
              <w:bottom w:val="nil"/>
              <w:right w:val="single" w:sz="4" w:space="0" w:color="auto"/>
            </w:tcBorders>
            <w:shd w:val="clear" w:color="000000" w:fill="FFFFFF"/>
            <w:noWrap/>
            <w:vAlign w:val="center"/>
            <w:hideMark/>
          </w:tcPr>
          <w:p w14:paraId="17B44F84"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7B5B35D8" w14:textId="77777777" w:rsidR="00DD28A5" w:rsidRPr="00DD28A5" w:rsidRDefault="00DD28A5" w:rsidP="00AE0023">
            <w:pPr>
              <w:pStyle w:val="TableTextCentered2"/>
              <w:spacing w:before="10" w:after="10"/>
            </w:pPr>
            <w:r w:rsidRPr="00DD28A5">
              <w:t>1.0</w:t>
            </w:r>
          </w:p>
        </w:tc>
        <w:tc>
          <w:tcPr>
            <w:tcW w:w="1231" w:type="dxa"/>
            <w:tcBorders>
              <w:top w:val="nil"/>
              <w:left w:val="nil"/>
              <w:bottom w:val="nil"/>
              <w:right w:val="nil"/>
            </w:tcBorders>
            <w:shd w:val="clear" w:color="000000" w:fill="FFFFFF"/>
            <w:noWrap/>
            <w:vAlign w:val="center"/>
            <w:hideMark/>
          </w:tcPr>
          <w:p w14:paraId="752D96D4" w14:textId="77777777" w:rsidR="00DD28A5" w:rsidRPr="00DD28A5" w:rsidRDefault="00DD28A5" w:rsidP="00AE0023">
            <w:pPr>
              <w:pStyle w:val="TableTextCentered2"/>
              <w:spacing w:before="10" w:after="10"/>
            </w:pPr>
            <w:r w:rsidRPr="00DD28A5">
              <w:t>1.2</w:t>
            </w:r>
          </w:p>
        </w:tc>
        <w:tc>
          <w:tcPr>
            <w:tcW w:w="1232" w:type="dxa"/>
            <w:tcBorders>
              <w:top w:val="nil"/>
              <w:left w:val="nil"/>
              <w:bottom w:val="nil"/>
              <w:right w:val="nil"/>
            </w:tcBorders>
            <w:shd w:val="clear" w:color="000000" w:fill="FFFFFF"/>
            <w:noWrap/>
            <w:vAlign w:val="center"/>
            <w:hideMark/>
          </w:tcPr>
          <w:p w14:paraId="71002A7D" w14:textId="77777777" w:rsidR="00DD28A5" w:rsidRPr="00DD28A5" w:rsidRDefault="00DD28A5" w:rsidP="00AE0023">
            <w:pPr>
              <w:pStyle w:val="TableTextCentered2"/>
              <w:spacing w:before="10" w:after="10"/>
            </w:pPr>
            <w:r w:rsidRPr="00DD28A5">
              <w:t>1.0</w:t>
            </w:r>
          </w:p>
        </w:tc>
      </w:tr>
      <w:tr w:rsidR="009F27F8" w:rsidRPr="00DD28A5" w14:paraId="01D5113B" w14:textId="77777777" w:rsidTr="007576B8">
        <w:trPr>
          <w:trHeight w:val="72"/>
        </w:trPr>
        <w:tc>
          <w:tcPr>
            <w:tcW w:w="2260" w:type="dxa"/>
            <w:tcBorders>
              <w:top w:val="nil"/>
              <w:left w:val="nil"/>
              <w:bottom w:val="nil"/>
              <w:right w:val="nil"/>
            </w:tcBorders>
            <w:shd w:val="clear" w:color="000000" w:fill="FFFFFF"/>
            <w:noWrap/>
            <w:vAlign w:val="bottom"/>
            <w:hideMark/>
          </w:tcPr>
          <w:p w14:paraId="58B00BDE" w14:textId="77777777" w:rsidR="00DD28A5" w:rsidRPr="00B948AD" w:rsidRDefault="00DD28A5" w:rsidP="00AE0023">
            <w:pPr>
              <w:pStyle w:val="TableTextLeft2"/>
              <w:spacing w:before="10" w:after="10" w:line="240" w:lineRule="auto"/>
            </w:pPr>
            <w:r w:rsidRPr="00B948AD">
              <w:t>Real wage (after-tax)</w:t>
            </w:r>
          </w:p>
        </w:tc>
        <w:tc>
          <w:tcPr>
            <w:tcW w:w="1227" w:type="dxa"/>
            <w:tcBorders>
              <w:top w:val="nil"/>
              <w:left w:val="nil"/>
              <w:bottom w:val="nil"/>
              <w:right w:val="nil"/>
            </w:tcBorders>
            <w:shd w:val="clear" w:color="000000" w:fill="FFFFFF"/>
            <w:noWrap/>
            <w:vAlign w:val="center"/>
            <w:hideMark/>
          </w:tcPr>
          <w:p w14:paraId="74C4328A" w14:textId="77777777" w:rsidR="00DD28A5" w:rsidRPr="00DD28A5" w:rsidRDefault="00DD28A5" w:rsidP="00AE0023">
            <w:pPr>
              <w:pStyle w:val="TableTextCentered2"/>
              <w:spacing w:before="10" w:after="10"/>
            </w:pPr>
            <w:r w:rsidRPr="00DD28A5">
              <w:t>1.2</w:t>
            </w:r>
          </w:p>
        </w:tc>
        <w:tc>
          <w:tcPr>
            <w:tcW w:w="1232" w:type="dxa"/>
            <w:tcBorders>
              <w:top w:val="nil"/>
              <w:left w:val="nil"/>
              <w:bottom w:val="nil"/>
              <w:right w:val="nil"/>
            </w:tcBorders>
            <w:shd w:val="clear" w:color="000000" w:fill="FFFFFF"/>
            <w:noWrap/>
            <w:vAlign w:val="center"/>
            <w:hideMark/>
          </w:tcPr>
          <w:p w14:paraId="25D3D1BE" w14:textId="77777777" w:rsidR="00DD28A5" w:rsidRPr="00DD28A5" w:rsidRDefault="00DD28A5" w:rsidP="00AE0023">
            <w:pPr>
              <w:pStyle w:val="TableTextCentered2"/>
              <w:spacing w:before="10" w:after="10"/>
            </w:pPr>
            <w:r w:rsidRPr="00DD28A5">
              <w:t>0.4</w:t>
            </w:r>
          </w:p>
        </w:tc>
        <w:tc>
          <w:tcPr>
            <w:tcW w:w="1231" w:type="dxa"/>
            <w:tcBorders>
              <w:top w:val="nil"/>
              <w:left w:val="nil"/>
              <w:bottom w:val="nil"/>
              <w:right w:val="single" w:sz="4" w:space="0" w:color="auto"/>
            </w:tcBorders>
            <w:shd w:val="clear" w:color="000000" w:fill="FFFFFF"/>
            <w:noWrap/>
            <w:vAlign w:val="center"/>
            <w:hideMark/>
          </w:tcPr>
          <w:p w14:paraId="4A22385F"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1DD95FE4"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37407D54" w14:textId="77777777" w:rsidR="00DD28A5" w:rsidRPr="00DD28A5" w:rsidRDefault="00DD28A5" w:rsidP="00AE0023">
            <w:pPr>
              <w:pStyle w:val="TableTextCentered2"/>
              <w:spacing w:before="10" w:after="10"/>
            </w:pPr>
            <w:r w:rsidRPr="00DD28A5">
              <w:t>0.4</w:t>
            </w:r>
          </w:p>
        </w:tc>
        <w:tc>
          <w:tcPr>
            <w:tcW w:w="1232" w:type="dxa"/>
            <w:tcBorders>
              <w:top w:val="nil"/>
              <w:left w:val="nil"/>
              <w:bottom w:val="nil"/>
              <w:right w:val="single" w:sz="4" w:space="0" w:color="auto"/>
            </w:tcBorders>
            <w:shd w:val="clear" w:color="000000" w:fill="FFFFFF"/>
            <w:noWrap/>
            <w:vAlign w:val="center"/>
            <w:hideMark/>
          </w:tcPr>
          <w:p w14:paraId="4014CEA4" w14:textId="77777777" w:rsidR="00DD28A5" w:rsidRPr="00DD28A5" w:rsidRDefault="00DD28A5" w:rsidP="00AE0023">
            <w:pPr>
              <w:pStyle w:val="TableTextCentered2"/>
              <w:spacing w:before="10" w:after="10"/>
            </w:pPr>
            <w:r w:rsidRPr="00DD28A5">
              <w:t>1.1</w:t>
            </w:r>
          </w:p>
        </w:tc>
        <w:tc>
          <w:tcPr>
            <w:tcW w:w="1232" w:type="dxa"/>
            <w:tcBorders>
              <w:top w:val="nil"/>
              <w:left w:val="nil"/>
              <w:bottom w:val="nil"/>
              <w:right w:val="nil"/>
            </w:tcBorders>
            <w:shd w:val="clear" w:color="000000" w:fill="FFFFFF"/>
            <w:noWrap/>
            <w:vAlign w:val="center"/>
            <w:hideMark/>
          </w:tcPr>
          <w:p w14:paraId="79483C39" w14:textId="77777777" w:rsidR="00DD28A5" w:rsidRPr="00DD28A5" w:rsidRDefault="00DD28A5" w:rsidP="00AE0023">
            <w:pPr>
              <w:pStyle w:val="TableTextCentered2"/>
              <w:spacing w:before="10" w:after="10"/>
            </w:pPr>
            <w:r w:rsidRPr="00DD28A5">
              <w:t>1.0</w:t>
            </w:r>
          </w:p>
        </w:tc>
        <w:tc>
          <w:tcPr>
            <w:tcW w:w="1231" w:type="dxa"/>
            <w:tcBorders>
              <w:top w:val="nil"/>
              <w:left w:val="nil"/>
              <w:bottom w:val="nil"/>
              <w:right w:val="nil"/>
            </w:tcBorders>
            <w:shd w:val="clear" w:color="000000" w:fill="FFFFFF"/>
            <w:noWrap/>
            <w:vAlign w:val="center"/>
            <w:hideMark/>
          </w:tcPr>
          <w:p w14:paraId="633B3DF5" w14:textId="77777777" w:rsidR="00DD28A5" w:rsidRPr="00DD28A5" w:rsidRDefault="00DD28A5" w:rsidP="00AE0023">
            <w:pPr>
              <w:pStyle w:val="TableTextCentered2"/>
              <w:spacing w:before="10" w:after="10"/>
            </w:pPr>
            <w:r w:rsidRPr="00DD28A5">
              <w:t>0.4</w:t>
            </w:r>
          </w:p>
        </w:tc>
        <w:tc>
          <w:tcPr>
            <w:tcW w:w="1232" w:type="dxa"/>
            <w:tcBorders>
              <w:top w:val="nil"/>
              <w:left w:val="nil"/>
              <w:bottom w:val="nil"/>
              <w:right w:val="nil"/>
            </w:tcBorders>
            <w:shd w:val="clear" w:color="000000" w:fill="FFFFFF"/>
            <w:noWrap/>
            <w:vAlign w:val="center"/>
            <w:hideMark/>
          </w:tcPr>
          <w:p w14:paraId="72C4C561" w14:textId="77777777" w:rsidR="00DD28A5" w:rsidRPr="00DD28A5" w:rsidRDefault="00DD28A5" w:rsidP="00AE0023">
            <w:pPr>
              <w:pStyle w:val="TableTextCentered2"/>
              <w:spacing w:before="10" w:after="10"/>
            </w:pPr>
            <w:r w:rsidRPr="00DD28A5">
              <w:t>1.0</w:t>
            </w:r>
          </w:p>
        </w:tc>
      </w:tr>
      <w:tr w:rsidR="009F27F8" w:rsidRPr="00DD28A5" w14:paraId="3262247C" w14:textId="77777777" w:rsidTr="007576B8">
        <w:trPr>
          <w:trHeight w:val="120"/>
        </w:trPr>
        <w:tc>
          <w:tcPr>
            <w:tcW w:w="2260" w:type="dxa"/>
            <w:tcBorders>
              <w:top w:val="nil"/>
              <w:left w:val="nil"/>
              <w:bottom w:val="nil"/>
              <w:right w:val="nil"/>
            </w:tcBorders>
            <w:shd w:val="clear" w:color="000000" w:fill="FFFFFF"/>
            <w:noWrap/>
            <w:vAlign w:val="bottom"/>
            <w:hideMark/>
          </w:tcPr>
          <w:p w14:paraId="6602A2A1" w14:textId="77777777" w:rsidR="00DD28A5" w:rsidRPr="00B948AD" w:rsidRDefault="00DD28A5" w:rsidP="00B948AD">
            <w:pPr>
              <w:pStyle w:val="TableTextLeft2"/>
              <w:spacing w:line="240" w:lineRule="auto"/>
            </w:pPr>
            <w:r w:rsidRPr="00B948AD">
              <w:t> </w:t>
            </w:r>
          </w:p>
        </w:tc>
        <w:tc>
          <w:tcPr>
            <w:tcW w:w="1227" w:type="dxa"/>
            <w:tcBorders>
              <w:top w:val="nil"/>
              <w:left w:val="nil"/>
              <w:bottom w:val="nil"/>
              <w:right w:val="nil"/>
            </w:tcBorders>
            <w:shd w:val="clear" w:color="000000" w:fill="FFFFFF"/>
            <w:noWrap/>
            <w:vAlign w:val="center"/>
            <w:hideMark/>
          </w:tcPr>
          <w:p w14:paraId="0E25DC0D"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5D7795DE" w14:textId="77777777" w:rsidR="00DD28A5" w:rsidRPr="00DD28A5" w:rsidRDefault="00DD28A5" w:rsidP="00B948AD">
            <w:pPr>
              <w:pStyle w:val="TableTextCentered2"/>
            </w:pPr>
            <w:r w:rsidRPr="00DD28A5">
              <w:t> </w:t>
            </w:r>
          </w:p>
        </w:tc>
        <w:tc>
          <w:tcPr>
            <w:tcW w:w="1231" w:type="dxa"/>
            <w:tcBorders>
              <w:top w:val="nil"/>
              <w:left w:val="nil"/>
              <w:bottom w:val="nil"/>
              <w:right w:val="single" w:sz="4" w:space="0" w:color="auto"/>
            </w:tcBorders>
            <w:shd w:val="clear" w:color="000000" w:fill="FFFFFF"/>
            <w:noWrap/>
            <w:vAlign w:val="center"/>
            <w:hideMark/>
          </w:tcPr>
          <w:p w14:paraId="4FBD59DD"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2E2D4290"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195F4889" w14:textId="77777777" w:rsidR="00DD28A5" w:rsidRPr="00DD28A5" w:rsidRDefault="00DD28A5" w:rsidP="00B948AD">
            <w:pPr>
              <w:pStyle w:val="TableTextCentered2"/>
            </w:pPr>
            <w:r w:rsidRPr="00DD28A5">
              <w:t> </w:t>
            </w:r>
          </w:p>
        </w:tc>
        <w:tc>
          <w:tcPr>
            <w:tcW w:w="1232" w:type="dxa"/>
            <w:tcBorders>
              <w:top w:val="nil"/>
              <w:left w:val="nil"/>
              <w:bottom w:val="nil"/>
              <w:right w:val="single" w:sz="4" w:space="0" w:color="auto"/>
            </w:tcBorders>
            <w:shd w:val="clear" w:color="000000" w:fill="FFFFFF"/>
            <w:noWrap/>
            <w:vAlign w:val="center"/>
            <w:hideMark/>
          </w:tcPr>
          <w:p w14:paraId="776E686A"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61A890A2" w14:textId="77777777" w:rsidR="00DD28A5" w:rsidRPr="00DD28A5" w:rsidRDefault="00DD28A5" w:rsidP="00B948AD">
            <w:pPr>
              <w:pStyle w:val="TableTextCentered2"/>
            </w:pPr>
            <w:r w:rsidRPr="00DD28A5">
              <w:t> </w:t>
            </w:r>
          </w:p>
        </w:tc>
        <w:tc>
          <w:tcPr>
            <w:tcW w:w="1231" w:type="dxa"/>
            <w:tcBorders>
              <w:top w:val="nil"/>
              <w:left w:val="nil"/>
              <w:bottom w:val="nil"/>
              <w:right w:val="nil"/>
            </w:tcBorders>
            <w:shd w:val="clear" w:color="000000" w:fill="FFFFFF"/>
            <w:noWrap/>
            <w:vAlign w:val="center"/>
            <w:hideMark/>
          </w:tcPr>
          <w:p w14:paraId="1AC186DF" w14:textId="77777777" w:rsidR="00DD28A5" w:rsidRPr="00DD28A5" w:rsidRDefault="00DD28A5" w:rsidP="00B948AD">
            <w:pPr>
              <w:pStyle w:val="TableTextCentered2"/>
            </w:pPr>
            <w:r w:rsidRPr="00DD28A5">
              <w:t> </w:t>
            </w:r>
          </w:p>
        </w:tc>
        <w:tc>
          <w:tcPr>
            <w:tcW w:w="1232" w:type="dxa"/>
            <w:tcBorders>
              <w:top w:val="nil"/>
              <w:left w:val="nil"/>
              <w:bottom w:val="nil"/>
              <w:right w:val="nil"/>
            </w:tcBorders>
            <w:shd w:val="clear" w:color="000000" w:fill="FFFFFF"/>
            <w:noWrap/>
            <w:vAlign w:val="center"/>
            <w:hideMark/>
          </w:tcPr>
          <w:p w14:paraId="0D5FE1B2" w14:textId="77777777" w:rsidR="00DD28A5" w:rsidRPr="00DD28A5" w:rsidRDefault="00DD28A5" w:rsidP="00B948AD">
            <w:pPr>
              <w:pStyle w:val="TableTextCentered2"/>
            </w:pPr>
            <w:r w:rsidRPr="00DD28A5">
              <w:t> </w:t>
            </w:r>
          </w:p>
        </w:tc>
      </w:tr>
      <w:tr w:rsidR="00AE0023" w:rsidRPr="00DD28A5" w14:paraId="745B6985" w14:textId="77777777" w:rsidTr="007576B8">
        <w:trPr>
          <w:trHeight w:val="179"/>
        </w:trPr>
        <w:tc>
          <w:tcPr>
            <w:tcW w:w="2260" w:type="dxa"/>
            <w:tcBorders>
              <w:top w:val="nil"/>
              <w:left w:val="nil"/>
              <w:bottom w:val="single" w:sz="4" w:space="0" w:color="auto"/>
              <w:right w:val="nil"/>
            </w:tcBorders>
            <w:shd w:val="clear" w:color="000000" w:fill="FFFFFF"/>
            <w:noWrap/>
            <w:vAlign w:val="bottom"/>
            <w:hideMark/>
          </w:tcPr>
          <w:p w14:paraId="7A1E7313" w14:textId="77777777" w:rsidR="00DD28A5" w:rsidRPr="00B948AD" w:rsidRDefault="00DD28A5" w:rsidP="00AE0023">
            <w:pPr>
              <w:pStyle w:val="TableTextLeft2"/>
              <w:spacing w:before="10" w:after="10" w:line="240" w:lineRule="auto"/>
            </w:pPr>
            <w:r w:rsidRPr="00B948AD">
              <w:t>Welfare</w:t>
            </w:r>
          </w:p>
        </w:tc>
        <w:tc>
          <w:tcPr>
            <w:tcW w:w="1227" w:type="dxa"/>
            <w:tcBorders>
              <w:top w:val="nil"/>
              <w:left w:val="nil"/>
              <w:bottom w:val="single" w:sz="4" w:space="0" w:color="auto"/>
              <w:right w:val="nil"/>
            </w:tcBorders>
            <w:shd w:val="clear" w:color="000000" w:fill="FFFFFF"/>
            <w:noWrap/>
            <w:vAlign w:val="center"/>
            <w:hideMark/>
          </w:tcPr>
          <w:p w14:paraId="7D318B6C" w14:textId="77777777" w:rsidR="00DD28A5" w:rsidRPr="00DD28A5" w:rsidRDefault="00DD28A5" w:rsidP="00AE0023">
            <w:pPr>
              <w:pStyle w:val="TableTextCentered2"/>
              <w:spacing w:before="10" w:after="10"/>
            </w:pPr>
            <w:r w:rsidRPr="00DD28A5">
              <w:t>0.2</w:t>
            </w:r>
          </w:p>
        </w:tc>
        <w:tc>
          <w:tcPr>
            <w:tcW w:w="1232" w:type="dxa"/>
            <w:tcBorders>
              <w:top w:val="nil"/>
              <w:left w:val="nil"/>
              <w:bottom w:val="single" w:sz="4" w:space="0" w:color="auto"/>
              <w:right w:val="nil"/>
            </w:tcBorders>
            <w:shd w:val="clear" w:color="000000" w:fill="FFFFFF"/>
            <w:noWrap/>
            <w:vAlign w:val="center"/>
            <w:hideMark/>
          </w:tcPr>
          <w:p w14:paraId="70BEA13F" w14:textId="77777777" w:rsidR="00DD28A5" w:rsidRPr="00DD28A5" w:rsidRDefault="00DD28A5" w:rsidP="00AE0023">
            <w:pPr>
              <w:pStyle w:val="TableTextCentered2"/>
              <w:spacing w:before="10" w:after="10"/>
            </w:pPr>
            <w:r w:rsidRPr="00DD28A5">
              <w:t>0.1</w:t>
            </w:r>
          </w:p>
        </w:tc>
        <w:tc>
          <w:tcPr>
            <w:tcW w:w="1231" w:type="dxa"/>
            <w:tcBorders>
              <w:top w:val="nil"/>
              <w:left w:val="nil"/>
              <w:bottom w:val="single" w:sz="4" w:space="0" w:color="auto"/>
              <w:right w:val="single" w:sz="4" w:space="0" w:color="auto"/>
            </w:tcBorders>
            <w:shd w:val="clear" w:color="000000" w:fill="FFFFFF"/>
            <w:noWrap/>
            <w:vAlign w:val="center"/>
            <w:hideMark/>
          </w:tcPr>
          <w:p w14:paraId="5C3CE732" w14:textId="77777777" w:rsidR="00DD28A5" w:rsidRPr="00DD28A5" w:rsidRDefault="00DD28A5" w:rsidP="00AE0023">
            <w:pPr>
              <w:pStyle w:val="TableTextCentered2"/>
              <w:spacing w:before="10" w:after="10"/>
            </w:pPr>
            <w:r w:rsidRPr="00DD28A5">
              <w:t>0.7</w:t>
            </w:r>
          </w:p>
        </w:tc>
        <w:tc>
          <w:tcPr>
            <w:tcW w:w="1232" w:type="dxa"/>
            <w:tcBorders>
              <w:top w:val="nil"/>
              <w:left w:val="nil"/>
              <w:bottom w:val="single" w:sz="4" w:space="0" w:color="auto"/>
              <w:right w:val="nil"/>
            </w:tcBorders>
            <w:shd w:val="clear" w:color="000000" w:fill="FFFFFF"/>
            <w:noWrap/>
            <w:vAlign w:val="center"/>
            <w:hideMark/>
          </w:tcPr>
          <w:p w14:paraId="277E4601" w14:textId="77777777" w:rsidR="00DD28A5" w:rsidRPr="00DD28A5" w:rsidRDefault="00DD28A5" w:rsidP="00AE0023">
            <w:pPr>
              <w:pStyle w:val="TableTextCentered2"/>
              <w:spacing w:before="10" w:after="10"/>
            </w:pPr>
            <w:r w:rsidRPr="00DD28A5">
              <w:t>0.2</w:t>
            </w:r>
          </w:p>
        </w:tc>
        <w:tc>
          <w:tcPr>
            <w:tcW w:w="1232" w:type="dxa"/>
            <w:tcBorders>
              <w:top w:val="nil"/>
              <w:left w:val="nil"/>
              <w:bottom w:val="single" w:sz="4" w:space="0" w:color="auto"/>
              <w:right w:val="nil"/>
            </w:tcBorders>
            <w:shd w:val="clear" w:color="000000" w:fill="FFFFFF"/>
            <w:noWrap/>
            <w:vAlign w:val="center"/>
            <w:hideMark/>
          </w:tcPr>
          <w:p w14:paraId="325049DD" w14:textId="77777777" w:rsidR="00DD28A5" w:rsidRPr="00DD28A5" w:rsidRDefault="00DD28A5" w:rsidP="00AE0023">
            <w:pPr>
              <w:pStyle w:val="TableTextCentered2"/>
              <w:spacing w:before="10" w:after="10"/>
            </w:pPr>
            <w:r w:rsidRPr="00DD28A5">
              <w:t>0.1</w:t>
            </w:r>
          </w:p>
        </w:tc>
        <w:tc>
          <w:tcPr>
            <w:tcW w:w="1232" w:type="dxa"/>
            <w:tcBorders>
              <w:top w:val="nil"/>
              <w:left w:val="nil"/>
              <w:bottom w:val="single" w:sz="4" w:space="0" w:color="auto"/>
              <w:right w:val="single" w:sz="4" w:space="0" w:color="auto"/>
            </w:tcBorders>
            <w:shd w:val="clear" w:color="000000" w:fill="FFFFFF"/>
            <w:noWrap/>
            <w:vAlign w:val="center"/>
            <w:hideMark/>
          </w:tcPr>
          <w:p w14:paraId="4D2E7149" w14:textId="77777777" w:rsidR="00DD28A5" w:rsidRPr="00DD28A5" w:rsidRDefault="00DD28A5" w:rsidP="00AE0023">
            <w:pPr>
              <w:pStyle w:val="TableTextCentered2"/>
              <w:spacing w:before="10" w:after="10"/>
            </w:pPr>
            <w:r w:rsidRPr="00DD28A5">
              <w:t>0.7</w:t>
            </w:r>
          </w:p>
        </w:tc>
        <w:tc>
          <w:tcPr>
            <w:tcW w:w="1232" w:type="dxa"/>
            <w:tcBorders>
              <w:top w:val="nil"/>
              <w:left w:val="nil"/>
              <w:bottom w:val="single" w:sz="4" w:space="0" w:color="auto"/>
              <w:right w:val="nil"/>
            </w:tcBorders>
            <w:shd w:val="clear" w:color="000000" w:fill="FFFFFF"/>
            <w:noWrap/>
            <w:vAlign w:val="center"/>
            <w:hideMark/>
          </w:tcPr>
          <w:p w14:paraId="09BCDABC" w14:textId="77777777" w:rsidR="00DD28A5" w:rsidRPr="00DD28A5" w:rsidRDefault="00DD28A5" w:rsidP="00AE0023">
            <w:pPr>
              <w:pStyle w:val="TableTextCentered2"/>
              <w:spacing w:before="10" w:after="10"/>
            </w:pPr>
            <w:r w:rsidRPr="00DD28A5">
              <w:t>0.3</w:t>
            </w:r>
          </w:p>
        </w:tc>
        <w:tc>
          <w:tcPr>
            <w:tcW w:w="1231" w:type="dxa"/>
            <w:tcBorders>
              <w:top w:val="nil"/>
              <w:left w:val="nil"/>
              <w:bottom w:val="single" w:sz="4" w:space="0" w:color="auto"/>
              <w:right w:val="nil"/>
            </w:tcBorders>
            <w:shd w:val="clear" w:color="000000" w:fill="FFFFFF"/>
            <w:noWrap/>
            <w:vAlign w:val="center"/>
            <w:hideMark/>
          </w:tcPr>
          <w:p w14:paraId="2D201047" w14:textId="77777777" w:rsidR="00DD28A5" w:rsidRPr="00DD28A5" w:rsidRDefault="00DD28A5" w:rsidP="00AE0023">
            <w:pPr>
              <w:pStyle w:val="TableTextCentered2"/>
              <w:spacing w:before="10" w:after="10"/>
            </w:pPr>
            <w:r w:rsidRPr="00DD28A5">
              <w:t>0.2</w:t>
            </w:r>
          </w:p>
        </w:tc>
        <w:tc>
          <w:tcPr>
            <w:tcW w:w="1232" w:type="dxa"/>
            <w:tcBorders>
              <w:top w:val="nil"/>
              <w:left w:val="nil"/>
              <w:bottom w:val="single" w:sz="4" w:space="0" w:color="auto"/>
              <w:right w:val="nil"/>
            </w:tcBorders>
            <w:shd w:val="clear" w:color="000000" w:fill="FFFFFF"/>
            <w:noWrap/>
            <w:vAlign w:val="center"/>
            <w:hideMark/>
          </w:tcPr>
          <w:p w14:paraId="421D2D30" w14:textId="77777777" w:rsidR="00DD28A5" w:rsidRPr="00DD28A5" w:rsidRDefault="00DD28A5" w:rsidP="00AE0023">
            <w:pPr>
              <w:pStyle w:val="TableTextCentered2"/>
              <w:spacing w:before="10" w:after="10"/>
            </w:pPr>
            <w:r w:rsidRPr="00DD28A5">
              <w:t>0.7</w:t>
            </w:r>
          </w:p>
        </w:tc>
      </w:tr>
    </w:tbl>
    <w:p w14:paraId="70FBC6B2" w14:textId="77777777" w:rsidR="00B948AD" w:rsidRDefault="00B948AD" w:rsidP="00B948AD">
      <w:pPr>
        <w:pStyle w:val="SingleParagraph"/>
      </w:pPr>
    </w:p>
    <w:p w14:paraId="71EC0069" w14:textId="77777777" w:rsidR="00DD28A5" w:rsidRDefault="00DD28A5" w:rsidP="000733CF">
      <w:pPr>
        <w:pStyle w:val="TableMainHeading"/>
        <w:jc w:val="center"/>
      </w:pPr>
      <w:r w:rsidRPr="00A12683">
        <w:t xml:space="preserve">Table </w:t>
      </w:r>
      <w:r w:rsidR="005A7277">
        <w:fldChar w:fldCharType="begin"/>
      </w:r>
      <w:r w:rsidR="005A7277">
        <w:instrText xml:space="preserve"> SEQ Table \* ARABIC </w:instrText>
      </w:r>
      <w:r w:rsidR="005A7277">
        <w:fldChar w:fldCharType="separate"/>
      </w:r>
      <w:r w:rsidR="00C97912">
        <w:rPr>
          <w:noProof/>
        </w:rPr>
        <w:t>4</w:t>
      </w:r>
      <w:r w:rsidR="005A7277">
        <w:rPr>
          <w:noProof/>
        </w:rPr>
        <w:fldChar w:fldCharType="end"/>
      </w:r>
      <w:r w:rsidRPr="00A12683">
        <w:t xml:space="preserve">: </w:t>
      </w:r>
      <w:r w:rsidRPr="00A264A6">
        <w:t>Sensitivity analysis – Share of factor income earned by fixed factors</w:t>
      </w:r>
    </w:p>
    <w:tbl>
      <w:tblPr>
        <w:tblW w:w="13341" w:type="dxa"/>
        <w:tblInd w:w="93" w:type="dxa"/>
        <w:tblLook w:val="04A0" w:firstRow="1" w:lastRow="0" w:firstColumn="1" w:lastColumn="0" w:noHBand="0" w:noVBand="1"/>
      </w:tblPr>
      <w:tblGrid>
        <w:gridCol w:w="2260"/>
        <w:gridCol w:w="1227"/>
        <w:gridCol w:w="1232"/>
        <w:gridCol w:w="1231"/>
        <w:gridCol w:w="1232"/>
        <w:gridCol w:w="1232"/>
        <w:gridCol w:w="1232"/>
        <w:gridCol w:w="1232"/>
        <w:gridCol w:w="1231"/>
        <w:gridCol w:w="1232"/>
      </w:tblGrid>
      <w:tr w:rsidR="00DD28A5" w:rsidRPr="00DD28A5" w14:paraId="22155E32" w14:textId="77777777" w:rsidTr="007576B8">
        <w:trPr>
          <w:trHeight w:val="140"/>
        </w:trPr>
        <w:tc>
          <w:tcPr>
            <w:tcW w:w="2260" w:type="dxa"/>
            <w:tcBorders>
              <w:top w:val="single" w:sz="4" w:space="0" w:color="auto"/>
              <w:left w:val="nil"/>
              <w:bottom w:val="nil"/>
              <w:right w:val="nil"/>
            </w:tcBorders>
            <w:shd w:val="clear" w:color="000000" w:fill="FFFFFF"/>
            <w:noWrap/>
            <w:vAlign w:val="bottom"/>
            <w:hideMark/>
          </w:tcPr>
          <w:p w14:paraId="05D8A7F8" w14:textId="77777777" w:rsidR="00DD28A5" w:rsidRPr="00DD28A5" w:rsidRDefault="00DD28A5" w:rsidP="00E838B2">
            <w:pPr>
              <w:spacing w:after="0" w:line="240" w:lineRule="auto"/>
              <w:contextualSpacing/>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3690" w:type="dxa"/>
            <w:gridSpan w:val="3"/>
            <w:tcBorders>
              <w:top w:val="single" w:sz="4" w:space="0" w:color="auto"/>
              <w:left w:val="nil"/>
              <w:bottom w:val="nil"/>
              <w:right w:val="single" w:sz="4" w:space="0" w:color="000000"/>
            </w:tcBorders>
            <w:shd w:val="clear" w:color="000000" w:fill="FFFFFF"/>
            <w:noWrap/>
            <w:vAlign w:val="bottom"/>
            <w:hideMark/>
          </w:tcPr>
          <w:p w14:paraId="63B09741" w14:textId="77777777" w:rsidR="00DD28A5" w:rsidRPr="00BA45D5" w:rsidRDefault="00DD28A5" w:rsidP="007576B8">
            <w:pPr>
              <w:pStyle w:val="TableColumnHeadingCentred2a"/>
            </w:pPr>
            <w:r w:rsidRPr="00BA45D5">
              <w:t xml:space="preserve">Low </w:t>
            </w:r>
            <w:r w:rsidR="00E838B2" w:rsidRPr="00BA45D5">
              <w:t>share</w:t>
            </w:r>
            <w:r w:rsidRPr="00BA45D5">
              <w:t xml:space="preserve"> (</w:t>
            </w:r>
            <w:r w:rsidR="00A94150" w:rsidRPr="00BA45D5">
              <w:t>base case</w:t>
            </w:r>
            <w:r w:rsidR="00E838B2" w:rsidRPr="00BA45D5">
              <w:t>x0.5</w:t>
            </w:r>
            <w:r w:rsidRPr="00BA45D5">
              <w:t>)</w:t>
            </w:r>
          </w:p>
        </w:tc>
        <w:tc>
          <w:tcPr>
            <w:tcW w:w="3696" w:type="dxa"/>
            <w:gridSpan w:val="3"/>
            <w:tcBorders>
              <w:top w:val="single" w:sz="4" w:space="0" w:color="auto"/>
              <w:left w:val="nil"/>
              <w:bottom w:val="nil"/>
              <w:right w:val="single" w:sz="4" w:space="0" w:color="000000"/>
            </w:tcBorders>
            <w:shd w:val="clear" w:color="000000" w:fill="FFFFFF"/>
            <w:noWrap/>
            <w:vAlign w:val="bottom"/>
            <w:hideMark/>
          </w:tcPr>
          <w:p w14:paraId="08A7815E" w14:textId="77777777" w:rsidR="00DD28A5" w:rsidRPr="00DD28A5" w:rsidRDefault="00E838B2" w:rsidP="007576B8">
            <w:pPr>
              <w:pStyle w:val="TableColumnHeadingCentred2a"/>
              <w:rPr>
                <w:rFonts w:eastAsia="Times New Roman" w:cs="Times New Roman"/>
                <w:bCs/>
                <w:color w:val="000000"/>
                <w:sz w:val="18"/>
                <w:szCs w:val="18"/>
              </w:rPr>
            </w:pPr>
            <w:r>
              <w:rPr>
                <w:rFonts w:eastAsia="Times New Roman" w:cs="Times New Roman"/>
                <w:bCs/>
                <w:color w:val="000000"/>
                <w:sz w:val="18"/>
                <w:szCs w:val="18"/>
              </w:rPr>
              <w:t>Base case</w:t>
            </w:r>
          </w:p>
        </w:tc>
        <w:tc>
          <w:tcPr>
            <w:tcW w:w="3695" w:type="dxa"/>
            <w:gridSpan w:val="3"/>
            <w:tcBorders>
              <w:top w:val="single" w:sz="4" w:space="0" w:color="auto"/>
              <w:left w:val="nil"/>
              <w:bottom w:val="nil"/>
              <w:right w:val="nil"/>
            </w:tcBorders>
            <w:shd w:val="clear" w:color="000000" w:fill="FFFFFF"/>
            <w:noWrap/>
            <w:vAlign w:val="bottom"/>
            <w:hideMark/>
          </w:tcPr>
          <w:p w14:paraId="1D1AA414" w14:textId="77777777" w:rsidR="00DD28A5" w:rsidRPr="00DD28A5" w:rsidRDefault="00DD28A5" w:rsidP="007576B8">
            <w:pPr>
              <w:pStyle w:val="TableColumnHeadingCentred2a"/>
              <w:rPr>
                <w:rFonts w:eastAsia="Times New Roman" w:cs="Times New Roman"/>
                <w:bCs/>
                <w:color w:val="000000"/>
                <w:sz w:val="18"/>
                <w:szCs w:val="18"/>
              </w:rPr>
            </w:pPr>
            <w:r w:rsidRPr="00DD28A5">
              <w:rPr>
                <w:rFonts w:eastAsia="Times New Roman" w:cs="Times New Roman"/>
                <w:bCs/>
                <w:color w:val="000000"/>
                <w:sz w:val="18"/>
                <w:szCs w:val="18"/>
              </w:rPr>
              <w:t xml:space="preserve">High </w:t>
            </w:r>
            <w:r w:rsidR="00E838B2">
              <w:rPr>
                <w:rFonts w:eastAsia="Times New Roman" w:cs="Times New Roman"/>
                <w:bCs/>
                <w:color w:val="000000"/>
                <w:sz w:val="18"/>
                <w:szCs w:val="18"/>
              </w:rPr>
              <w:t>share</w:t>
            </w:r>
            <w:r w:rsidRPr="00DD28A5">
              <w:rPr>
                <w:rFonts w:eastAsia="Times New Roman" w:cs="Times New Roman"/>
                <w:bCs/>
                <w:color w:val="000000"/>
                <w:sz w:val="18"/>
                <w:szCs w:val="18"/>
              </w:rPr>
              <w:t xml:space="preserve"> (</w:t>
            </w:r>
            <w:r w:rsidR="00A94150">
              <w:rPr>
                <w:rFonts w:eastAsia="Times New Roman" w:cs="Times New Roman"/>
                <w:bCs/>
                <w:color w:val="000000"/>
                <w:sz w:val="18"/>
                <w:szCs w:val="18"/>
              </w:rPr>
              <w:t>base case</w:t>
            </w:r>
            <w:r w:rsidR="00E838B2">
              <w:rPr>
                <w:rFonts w:eastAsia="Times New Roman" w:cs="Times New Roman"/>
                <w:bCs/>
                <w:color w:val="000000"/>
                <w:sz w:val="18"/>
                <w:szCs w:val="18"/>
              </w:rPr>
              <w:t>x1.5</w:t>
            </w:r>
            <w:r w:rsidRPr="00DD28A5">
              <w:rPr>
                <w:rFonts w:eastAsia="Times New Roman" w:cs="Times New Roman"/>
                <w:bCs/>
                <w:color w:val="000000"/>
                <w:sz w:val="18"/>
                <w:szCs w:val="18"/>
              </w:rPr>
              <w:t>)</w:t>
            </w:r>
          </w:p>
        </w:tc>
      </w:tr>
      <w:tr w:rsidR="007576B8" w:rsidRPr="00DD28A5" w14:paraId="1EB14352" w14:textId="77777777" w:rsidTr="007576B8">
        <w:trPr>
          <w:trHeight w:val="480"/>
        </w:trPr>
        <w:tc>
          <w:tcPr>
            <w:tcW w:w="2260" w:type="dxa"/>
            <w:tcBorders>
              <w:top w:val="nil"/>
              <w:left w:val="nil"/>
              <w:bottom w:val="single" w:sz="4" w:space="0" w:color="auto"/>
              <w:right w:val="nil"/>
            </w:tcBorders>
            <w:shd w:val="clear" w:color="000000" w:fill="FFFFFF"/>
            <w:noWrap/>
            <w:vAlign w:val="bottom"/>
            <w:hideMark/>
          </w:tcPr>
          <w:p w14:paraId="28CB7038" w14:textId="77777777" w:rsidR="00DD28A5" w:rsidRPr="00DD28A5" w:rsidRDefault="00DD28A5" w:rsidP="00E838B2">
            <w:pPr>
              <w:spacing w:after="0" w:line="240" w:lineRule="auto"/>
              <w:contextualSpacing/>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1227" w:type="dxa"/>
            <w:tcBorders>
              <w:top w:val="nil"/>
              <w:left w:val="nil"/>
              <w:bottom w:val="single" w:sz="4" w:space="0" w:color="auto"/>
              <w:right w:val="nil"/>
            </w:tcBorders>
            <w:shd w:val="clear" w:color="000000" w:fill="FFFFFF"/>
            <w:vAlign w:val="center"/>
            <w:hideMark/>
          </w:tcPr>
          <w:p w14:paraId="1F9CD5D5" w14:textId="77777777" w:rsidR="00DD28A5" w:rsidRPr="00BA45D5" w:rsidRDefault="00DD28A5" w:rsidP="00BA45D5">
            <w:pPr>
              <w:pStyle w:val="TableColumnHeadingCentred2"/>
            </w:pPr>
            <w:r w:rsidRPr="00BA45D5">
              <w:t>Lump-sum</w:t>
            </w:r>
          </w:p>
        </w:tc>
        <w:tc>
          <w:tcPr>
            <w:tcW w:w="1232" w:type="dxa"/>
            <w:tcBorders>
              <w:top w:val="nil"/>
              <w:left w:val="nil"/>
              <w:bottom w:val="single" w:sz="4" w:space="0" w:color="auto"/>
              <w:right w:val="nil"/>
            </w:tcBorders>
            <w:shd w:val="clear" w:color="000000" w:fill="FFFFFF"/>
            <w:vAlign w:val="center"/>
            <w:hideMark/>
          </w:tcPr>
          <w:p w14:paraId="5EC41CC7" w14:textId="77777777" w:rsidR="00DD28A5" w:rsidRPr="00BA45D5" w:rsidRDefault="00DD28A5" w:rsidP="00BA45D5">
            <w:pPr>
              <w:pStyle w:val="TableColumnHeadingCentred2"/>
            </w:pPr>
            <w:r w:rsidRPr="00BA45D5">
              <w:t>PIT</w:t>
            </w:r>
          </w:p>
        </w:tc>
        <w:tc>
          <w:tcPr>
            <w:tcW w:w="1231" w:type="dxa"/>
            <w:tcBorders>
              <w:top w:val="nil"/>
              <w:left w:val="nil"/>
              <w:bottom w:val="single" w:sz="4" w:space="0" w:color="auto"/>
              <w:right w:val="single" w:sz="4" w:space="0" w:color="auto"/>
            </w:tcBorders>
            <w:shd w:val="clear" w:color="000000" w:fill="FFFFFF"/>
            <w:vAlign w:val="center"/>
            <w:hideMark/>
          </w:tcPr>
          <w:p w14:paraId="2490D450" w14:textId="434F4504" w:rsidR="00DD28A5" w:rsidRPr="00BA45D5" w:rsidRDefault="007576B8" w:rsidP="00BA45D5">
            <w:pPr>
              <w:pStyle w:val="TableColumnHeadingCentred2"/>
            </w:pPr>
            <w:r w:rsidRPr="00DD28A5">
              <w:t>Gov</w:t>
            </w:r>
            <w:r>
              <w:t xml:space="preserve">ernment </w:t>
            </w:r>
            <w:r w:rsidR="00DD28A5" w:rsidRPr="00BA45D5">
              <w:t>spending</w:t>
            </w:r>
          </w:p>
        </w:tc>
        <w:tc>
          <w:tcPr>
            <w:tcW w:w="1232" w:type="dxa"/>
            <w:tcBorders>
              <w:top w:val="nil"/>
              <w:left w:val="nil"/>
              <w:bottom w:val="single" w:sz="4" w:space="0" w:color="auto"/>
              <w:right w:val="nil"/>
            </w:tcBorders>
            <w:shd w:val="clear" w:color="000000" w:fill="FFFFFF"/>
            <w:vAlign w:val="center"/>
            <w:hideMark/>
          </w:tcPr>
          <w:p w14:paraId="632DC89E" w14:textId="77777777" w:rsidR="00DD28A5" w:rsidRPr="00BA45D5" w:rsidRDefault="00DD28A5" w:rsidP="00BA45D5">
            <w:pPr>
              <w:pStyle w:val="TableColumnHeadingCentred2"/>
            </w:pPr>
            <w:r w:rsidRPr="00BA45D5">
              <w:t>Lump-sum</w:t>
            </w:r>
          </w:p>
        </w:tc>
        <w:tc>
          <w:tcPr>
            <w:tcW w:w="1232" w:type="dxa"/>
            <w:tcBorders>
              <w:top w:val="nil"/>
              <w:left w:val="nil"/>
              <w:bottom w:val="single" w:sz="4" w:space="0" w:color="auto"/>
              <w:right w:val="nil"/>
            </w:tcBorders>
            <w:shd w:val="clear" w:color="000000" w:fill="FFFFFF"/>
            <w:vAlign w:val="center"/>
            <w:hideMark/>
          </w:tcPr>
          <w:p w14:paraId="6E764125" w14:textId="77777777" w:rsidR="00DD28A5" w:rsidRPr="00BA45D5" w:rsidRDefault="00DD28A5" w:rsidP="00BA45D5">
            <w:pPr>
              <w:pStyle w:val="TableColumnHeadingCentred2"/>
            </w:pPr>
            <w:r w:rsidRPr="00BA45D5">
              <w:t>PIT</w:t>
            </w:r>
          </w:p>
        </w:tc>
        <w:tc>
          <w:tcPr>
            <w:tcW w:w="1232" w:type="dxa"/>
            <w:tcBorders>
              <w:top w:val="nil"/>
              <w:left w:val="nil"/>
              <w:bottom w:val="single" w:sz="4" w:space="0" w:color="auto"/>
              <w:right w:val="single" w:sz="4" w:space="0" w:color="auto"/>
            </w:tcBorders>
            <w:shd w:val="clear" w:color="000000" w:fill="FFFFFF"/>
            <w:vAlign w:val="center"/>
            <w:hideMark/>
          </w:tcPr>
          <w:p w14:paraId="49AE09EC" w14:textId="6E0C30A6" w:rsidR="00DD28A5" w:rsidRPr="00BA45D5" w:rsidRDefault="007576B8" w:rsidP="00BA45D5">
            <w:pPr>
              <w:pStyle w:val="TableColumnHeadingCentred2"/>
            </w:pPr>
            <w:r w:rsidRPr="00DD28A5">
              <w:t>Gov</w:t>
            </w:r>
            <w:r>
              <w:t xml:space="preserve">ernment </w:t>
            </w:r>
            <w:r w:rsidR="00DD28A5" w:rsidRPr="00BA45D5">
              <w:t>spending</w:t>
            </w:r>
          </w:p>
        </w:tc>
        <w:tc>
          <w:tcPr>
            <w:tcW w:w="1232" w:type="dxa"/>
            <w:tcBorders>
              <w:top w:val="nil"/>
              <w:left w:val="nil"/>
              <w:bottom w:val="single" w:sz="4" w:space="0" w:color="auto"/>
              <w:right w:val="nil"/>
            </w:tcBorders>
            <w:shd w:val="clear" w:color="000000" w:fill="FFFFFF"/>
            <w:vAlign w:val="center"/>
            <w:hideMark/>
          </w:tcPr>
          <w:p w14:paraId="34BF88B6" w14:textId="77777777" w:rsidR="00DD28A5" w:rsidRPr="00BA45D5" w:rsidRDefault="00DD28A5" w:rsidP="00BA45D5">
            <w:pPr>
              <w:pStyle w:val="TableColumnHeadingCentred2"/>
            </w:pPr>
            <w:r w:rsidRPr="00BA45D5">
              <w:t>Lump-sum</w:t>
            </w:r>
          </w:p>
        </w:tc>
        <w:tc>
          <w:tcPr>
            <w:tcW w:w="1231" w:type="dxa"/>
            <w:tcBorders>
              <w:top w:val="nil"/>
              <w:left w:val="nil"/>
              <w:bottom w:val="single" w:sz="4" w:space="0" w:color="auto"/>
              <w:right w:val="nil"/>
            </w:tcBorders>
            <w:shd w:val="clear" w:color="000000" w:fill="FFFFFF"/>
            <w:vAlign w:val="center"/>
            <w:hideMark/>
          </w:tcPr>
          <w:p w14:paraId="32EC9020" w14:textId="77777777" w:rsidR="00DD28A5" w:rsidRPr="00BA45D5" w:rsidRDefault="00DD28A5" w:rsidP="00BA45D5">
            <w:pPr>
              <w:pStyle w:val="TableColumnHeadingCentred2"/>
            </w:pPr>
            <w:r w:rsidRPr="00BA45D5">
              <w:t>PIT</w:t>
            </w:r>
          </w:p>
        </w:tc>
        <w:tc>
          <w:tcPr>
            <w:tcW w:w="1232" w:type="dxa"/>
            <w:tcBorders>
              <w:top w:val="nil"/>
              <w:left w:val="nil"/>
              <w:bottom w:val="single" w:sz="4" w:space="0" w:color="auto"/>
              <w:right w:val="nil"/>
            </w:tcBorders>
            <w:shd w:val="clear" w:color="000000" w:fill="FFFFFF"/>
            <w:vAlign w:val="center"/>
            <w:hideMark/>
          </w:tcPr>
          <w:p w14:paraId="3861E594" w14:textId="7ED35BE6" w:rsidR="00DD28A5" w:rsidRPr="00BA45D5" w:rsidRDefault="007576B8" w:rsidP="00BA45D5">
            <w:pPr>
              <w:pStyle w:val="TableColumnHeadingCentred2"/>
            </w:pPr>
            <w:r w:rsidRPr="00DD28A5">
              <w:t>Gov</w:t>
            </w:r>
            <w:r>
              <w:t xml:space="preserve">ernment </w:t>
            </w:r>
            <w:r w:rsidR="00DD28A5" w:rsidRPr="00BA45D5">
              <w:t>spending</w:t>
            </w:r>
          </w:p>
        </w:tc>
      </w:tr>
      <w:tr w:rsidR="007576B8" w:rsidRPr="00DD28A5" w14:paraId="004BFF20" w14:textId="77777777" w:rsidTr="007576B8">
        <w:trPr>
          <w:trHeight w:val="135"/>
        </w:trPr>
        <w:tc>
          <w:tcPr>
            <w:tcW w:w="2260" w:type="dxa"/>
            <w:tcBorders>
              <w:top w:val="nil"/>
              <w:left w:val="nil"/>
              <w:bottom w:val="nil"/>
              <w:right w:val="nil"/>
            </w:tcBorders>
            <w:shd w:val="clear" w:color="000000" w:fill="FFFFFF"/>
            <w:noWrap/>
            <w:vAlign w:val="bottom"/>
            <w:hideMark/>
          </w:tcPr>
          <w:p w14:paraId="1170717D" w14:textId="77777777" w:rsidR="00242011" w:rsidRPr="00242011" w:rsidRDefault="00242011" w:rsidP="00AE0023">
            <w:pPr>
              <w:pStyle w:val="TableTextLeft2"/>
              <w:spacing w:before="10" w:after="10" w:line="240" w:lineRule="auto"/>
            </w:pPr>
            <w:r w:rsidRPr="00242011">
              <w:t>Real GDP</w:t>
            </w:r>
          </w:p>
        </w:tc>
        <w:tc>
          <w:tcPr>
            <w:tcW w:w="1227" w:type="dxa"/>
            <w:tcBorders>
              <w:top w:val="nil"/>
              <w:left w:val="nil"/>
              <w:bottom w:val="nil"/>
              <w:right w:val="nil"/>
            </w:tcBorders>
            <w:shd w:val="clear" w:color="000000" w:fill="FFFFFF"/>
            <w:noWrap/>
            <w:vAlign w:val="center"/>
            <w:hideMark/>
          </w:tcPr>
          <w:p w14:paraId="21BE93F1" w14:textId="77777777" w:rsidR="00242011" w:rsidRPr="00242011" w:rsidRDefault="00242011" w:rsidP="00AE0023">
            <w:pPr>
              <w:pStyle w:val="TableTextCentered2"/>
              <w:spacing w:before="10" w:after="10"/>
            </w:pPr>
            <w:r w:rsidRPr="00242011">
              <w:t>1.6</w:t>
            </w:r>
          </w:p>
        </w:tc>
        <w:tc>
          <w:tcPr>
            <w:tcW w:w="1232" w:type="dxa"/>
            <w:tcBorders>
              <w:top w:val="nil"/>
              <w:left w:val="nil"/>
              <w:bottom w:val="nil"/>
              <w:right w:val="nil"/>
            </w:tcBorders>
            <w:shd w:val="clear" w:color="000000" w:fill="FFFFFF"/>
            <w:noWrap/>
            <w:vAlign w:val="center"/>
            <w:hideMark/>
          </w:tcPr>
          <w:p w14:paraId="273E3BA0" w14:textId="77777777" w:rsidR="00242011" w:rsidRPr="00242011" w:rsidRDefault="00242011" w:rsidP="00AE0023">
            <w:pPr>
              <w:pStyle w:val="TableTextCentered2"/>
              <w:spacing w:before="10" w:after="10"/>
            </w:pPr>
            <w:r w:rsidRPr="00242011">
              <w:t>1.3</w:t>
            </w:r>
          </w:p>
        </w:tc>
        <w:tc>
          <w:tcPr>
            <w:tcW w:w="1231" w:type="dxa"/>
            <w:tcBorders>
              <w:top w:val="nil"/>
              <w:left w:val="nil"/>
              <w:bottom w:val="nil"/>
              <w:right w:val="single" w:sz="4" w:space="0" w:color="auto"/>
            </w:tcBorders>
            <w:shd w:val="clear" w:color="000000" w:fill="FFFFFF"/>
            <w:noWrap/>
            <w:vAlign w:val="center"/>
            <w:hideMark/>
          </w:tcPr>
          <w:p w14:paraId="19823003" w14:textId="77777777" w:rsidR="00242011" w:rsidRPr="00242011" w:rsidRDefault="00242011" w:rsidP="00AE0023">
            <w:pPr>
              <w:pStyle w:val="TableTextCentered2"/>
              <w:spacing w:before="10" w:after="10"/>
            </w:pPr>
            <w:r w:rsidRPr="00242011">
              <w:t>1.5</w:t>
            </w:r>
          </w:p>
        </w:tc>
        <w:tc>
          <w:tcPr>
            <w:tcW w:w="1232" w:type="dxa"/>
            <w:tcBorders>
              <w:top w:val="nil"/>
              <w:left w:val="nil"/>
              <w:bottom w:val="nil"/>
              <w:right w:val="nil"/>
            </w:tcBorders>
            <w:shd w:val="clear" w:color="000000" w:fill="FFFFFF"/>
            <w:noWrap/>
            <w:vAlign w:val="center"/>
            <w:hideMark/>
          </w:tcPr>
          <w:p w14:paraId="3278901F" w14:textId="77777777" w:rsidR="00242011" w:rsidRPr="00242011" w:rsidRDefault="00242011" w:rsidP="00AE0023">
            <w:pPr>
              <w:pStyle w:val="TableTextCentered2"/>
              <w:spacing w:before="10" w:after="10"/>
            </w:pPr>
            <w:r w:rsidRPr="00242011">
              <w:t>1.2</w:t>
            </w:r>
          </w:p>
        </w:tc>
        <w:tc>
          <w:tcPr>
            <w:tcW w:w="1232" w:type="dxa"/>
            <w:tcBorders>
              <w:top w:val="nil"/>
              <w:left w:val="nil"/>
              <w:bottom w:val="nil"/>
              <w:right w:val="nil"/>
            </w:tcBorders>
            <w:shd w:val="clear" w:color="000000" w:fill="FFFFFF"/>
            <w:noWrap/>
            <w:vAlign w:val="center"/>
            <w:hideMark/>
          </w:tcPr>
          <w:p w14:paraId="563DD578" w14:textId="77777777" w:rsidR="00242011" w:rsidRPr="00242011" w:rsidRDefault="00242011" w:rsidP="00AE0023">
            <w:pPr>
              <w:pStyle w:val="TableTextCentered2"/>
              <w:spacing w:before="10" w:after="10"/>
            </w:pPr>
            <w:r w:rsidRPr="00242011">
              <w:t>1.0</w:t>
            </w:r>
          </w:p>
        </w:tc>
        <w:tc>
          <w:tcPr>
            <w:tcW w:w="1232" w:type="dxa"/>
            <w:tcBorders>
              <w:top w:val="nil"/>
              <w:left w:val="nil"/>
              <w:bottom w:val="nil"/>
              <w:right w:val="single" w:sz="4" w:space="0" w:color="auto"/>
            </w:tcBorders>
            <w:shd w:val="clear" w:color="000000" w:fill="FFFFFF"/>
            <w:noWrap/>
            <w:vAlign w:val="center"/>
            <w:hideMark/>
          </w:tcPr>
          <w:p w14:paraId="1D333F20"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520982FE" w14:textId="77777777" w:rsidR="00242011" w:rsidRPr="00242011" w:rsidRDefault="00242011" w:rsidP="00AE0023">
            <w:pPr>
              <w:pStyle w:val="TableTextCentered2"/>
              <w:spacing w:before="10" w:after="10"/>
            </w:pPr>
            <w:r w:rsidRPr="00242011">
              <w:t>0.9</w:t>
            </w:r>
          </w:p>
        </w:tc>
        <w:tc>
          <w:tcPr>
            <w:tcW w:w="1231" w:type="dxa"/>
            <w:tcBorders>
              <w:top w:val="nil"/>
              <w:left w:val="nil"/>
              <w:bottom w:val="nil"/>
              <w:right w:val="nil"/>
            </w:tcBorders>
            <w:shd w:val="clear" w:color="000000" w:fill="FFFFFF"/>
            <w:noWrap/>
            <w:vAlign w:val="center"/>
            <w:hideMark/>
          </w:tcPr>
          <w:p w14:paraId="51F33858" w14:textId="77777777" w:rsidR="00242011" w:rsidRPr="00242011" w:rsidRDefault="00242011" w:rsidP="00AE0023">
            <w:pPr>
              <w:pStyle w:val="TableTextCentered2"/>
              <w:spacing w:before="10" w:after="10"/>
            </w:pPr>
            <w:r w:rsidRPr="00242011">
              <w:t>0.7</w:t>
            </w:r>
          </w:p>
        </w:tc>
        <w:tc>
          <w:tcPr>
            <w:tcW w:w="1232" w:type="dxa"/>
            <w:tcBorders>
              <w:top w:val="nil"/>
              <w:left w:val="nil"/>
              <w:bottom w:val="nil"/>
              <w:right w:val="nil"/>
            </w:tcBorders>
            <w:shd w:val="clear" w:color="000000" w:fill="FFFFFF"/>
            <w:noWrap/>
            <w:vAlign w:val="center"/>
            <w:hideMark/>
          </w:tcPr>
          <w:p w14:paraId="7AC55B49" w14:textId="77777777" w:rsidR="00242011" w:rsidRPr="00242011" w:rsidRDefault="00242011" w:rsidP="00AE0023">
            <w:pPr>
              <w:pStyle w:val="TableTextCentered2"/>
              <w:spacing w:before="10" w:after="10"/>
            </w:pPr>
            <w:r w:rsidRPr="00242011">
              <w:t>0.8</w:t>
            </w:r>
          </w:p>
        </w:tc>
      </w:tr>
      <w:tr w:rsidR="007576B8" w:rsidRPr="00DD28A5" w14:paraId="2FB7C88A" w14:textId="77777777" w:rsidTr="007576B8">
        <w:trPr>
          <w:trHeight w:val="163"/>
        </w:trPr>
        <w:tc>
          <w:tcPr>
            <w:tcW w:w="2260" w:type="dxa"/>
            <w:tcBorders>
              <w:top w:val="nil"/>
              <w:left w:val="nil"/>
              <w:bottom w:val="nil"/>
              <w:right w:val="nil"/>
            </w:tcBorders>
            <w:shd w:val="clear" w:color="000000" w:fill="FFFFFF"/>
            <w:noWrap/>
            <w:vAlign w:val="bottom"/>
            <w:hideMark/>
          </w:tcPr>
          <w:p w14:paraId="7E872EFC" w14:textId="77777777" w:rsidR="00242011" w:rsidRPr="00242011" w:rsidRDefault="00242011" w:rsidP="00AE0023">
            <w:pPr>
              <w:pStyle w:val="TableTextLeft2"/>
              <w:spacing w:before="10" w:after="10" w:line="240" w:lineRule="auto"/>
            </w:pPr>
            <w:r w:rsidRPr="00242011">
              <w:t>Real GNI (GNE deflator)</w:t>
            </w:r>
          </w:p>
        </w:tc>
        <w:tc>
          <w:tcPr>
            <w:tcW w:w="1227" w:type="dxa"/>
            <w:tcBorders>
              <w:top w:val="nil"/>
              <w:left w:val="nil"/>
              <w:bottom w:val="nil"/>
              <w:right w:val="nil"/>
            </w:tcBorders>
            <w:shd w:val="clear" w:color="000000" w:fill="FFFFFF"/>
            <w:noWrap/>
            <w:vAlign w:val="center"/>
            <w:hideMark/>
          </w:tcPr>
          <w:p w14:paraId="23227AE0" w14:textId="77777777" w:rsidR="00242011" w:rsidRPr="00242011" w:rsidRDefault="00242011" w:rsidP="00AE0023">
            <w:pPr>
              <w:pStyle w:val="TableTextCentered2"/>
              <w:spacing w:before="10" w:after="10"/>
            </w:pPr>
            <w:r w:rsidRPr="00242011">
              <w:t>1.0</w:t>
            </w:r>
          </w:p>
        </w:tc>
        <w:tc>
          <w:tcPr>
            <w:tcW w:w="1232" w:type="dxa"/>
            <w:tcBorders>
              <w:top w:val="nil"/>
              <w:left w:val="nil"/>
              <w:bottom w:val="nil"/>
              <w:right w:val="nil"/>
            </w:tcBorders>
            <w:shd w:val="clear" w:color="000000" w:fill="FFFFFF"/>
            <w:noWrap/>
            <w:vAlign w:val="center"/>
            <w:hideMark/>
          </w:tcPr>
          <w:p w14:paraId="7CD0B8DD" w14:textId="77777777" w:rsidR="00242011" w:rsidRPr="00242011" w:rsidRDefault="00242011" w:rsidP="00AE0023">
            <w:pPr>
              <w:pStyle w:val="TableTextCentered2"/>
              <w:spacing w:before="10" w:after="10"/>
            </w:pPr>
            <w:r w:rsidRPr="00242011">
              <w:t>0.8</w:t>
            </w:r>
          </w:p>
        </w:tc>
        <w:tc>
          <w:tcPr>
            <w:tcW w:w="1231" w:type="dxa"/>
            <w:tcBorders>
              <w:top w:val="nil"/>
              <w:left w:val="nil"/>
              <w:bottom w:val="nil"/>
              <w:right w:val="single" w:sz="4" w:space="0" w:color="auto"/>
            </w:tcBorders>
            <w:shd w:val="clear" w:color="000000" w:fill="FFFFFF"/>
            <w:noWrap/>
            <w:vAlign w:val="center"/>
            <w:hideMark/>
          </w:tcPr>
          <w:p w14:paraId="6E510027" w14:textId="77777777" w:rsidR="00242011" w:rsidRPr="00242011" w:rsidRDefault="00242011" w:rsidP="00AE0023">
            <w:pPr>
              <w:pStyle w:val="TableTextCentered2"/>
              <w:spacing w:before="10" w:after="10"/>
            </w:pPr>
            <w:r w:rsidRPr="00242011">
              <w:t>0.9</w:t>
            </w:r>
          </w:p>
        </w:tc>
        <w:tc>
          <w:tcPr>
            <w:tcW w:w="1232" w:type="dxa"/>
            <w:tcBorders>
              <w:top w:val="nil"/>
              <w:left w:val="nil"/>
              <w:bottom w:val="nil"/>
              <w:right w:val="nil"/>
            </w:tcBorders>
            <w:shd w:val="clear" w:color="000000" w:fill="FFFFFF"/>
            <w:noWrap/>
            <w:vAlign w:val="center"/>
            <w:hideMark/>
          </w:tcPr>
          <w:p w14:paraId="347FBA66" w14:textId="77777777" w:rsidR="00242011" w:rsidRPr="00242011" w:rsidRDefault="00242011" w:rsidP="00AE0023">
            <w:pPr>
              <w:pStyle w:val="TableTextCentered2"/>
              <w:spacing w:before="10" w:after="10"/>
            </w:pPr>
            <w:r w:rsidRPr="00242011">
              <w:t>0.8</w:t>
            </w:r>
          </w:p>
        </w:tc>
        <w:tc>
          <w:tcPr>
            <w:tcW w:w="1232" w:type="dxa"/>
            <w:tcBorders>
              <w:top w:val="nil"/>
              <w:left w:val="nil"/>
              <w:bottom w:val="nil"/>
              <w:right w:val="nil"/>
            </w:tcBorders>
            <w:shd w:val="clear" w:color="000000" w:fill="FFFFFF"/>
            <w:noWrap/>
            <w:vAlign w:val="center"/>
            <w:hideMark/>
          </w:tcPr>
          <w:p w14:paraId="231EB9FE" w14:textId="77777777" w:rsidR="00242011" w:rsidRPr="00242011" w:rsidRDefault="00242011" w:rsidP="00AE0023">
            <w:pPr>
              <w:pStyle w:val="TableTextCentered2"/>
              <w:spacing w:before="10" w:after="10"/>
            </w:pPr>
            <w:r w:rsidRPr="00242011">
              <w:t>0.6</w:t>
            </w:r>
          </w:p>
        </w:tc>
        <w:tc>
          <w:tcPr>
            <w:tcW w:w="1232" w:type="dxa"/>
            <w:tcBorders>
              <w:top w:val="nil"/>
              <w:left w:val="nil"/>
              <w:bottom w:val="nil"/>
              <w:right w:val="single" w:sz="4" w:space="0" w:color="auto"/>
            </w:tcBorders>
            <w:shd w:val="clear" w:color="000000" w:fill="FFFFFF"/>
            <w:noWrap/>
            <w:vAlign w:val="center"/>
            <w:hideMark/>
          </w:tcPr>
          <w:p w14:paraId="6CD1FE11" w14:textId="77777777" w:rsidR="00242011" w:rsidRPr="00242011" w:rsidRDefault="00242011" w:rsidP="00AE0023">
            <w:pPr>
              <w:pStyle w:val="TableTextCentered2"/>
              <w:spacing w:before="10" w:after="10"/>
            </w:pPr>
            <w:r w:rsidRPr="00242011">
              <w:t>0.7</w:t>
            </w:r>
          </w:p>
        </w:tc>
        <w:tc>
          <w:tcPr>
            <w:tcW w:w="1232" w:type="dxa"/>
            <w:tcBorders>
              <w:top w:val="nil"/>
              <w:left w:val="nil"/>
              <w:bottom w:val="nil"/>
              <w:right w:val="nil"/>
            </w:tcBorders>
            <w:shd w:val="clear" w:color="000000" w:fill="FFFFFF"/>
            <w:noWrap/>
            <w:vAlign w:val="center"/>
            <w:hideMark/>
          </w:tcPr>
          <w:p w14:paraId="4F0CC63D" w14:textId="77777777" w:rsidR="00242011" w:rsidRPr="00242011" w:rsidRDefault="00242011" w:rsidP="00AE0023">
            <w:pPr>
              <w:pStyle w:val="TableTextCentered2"/>
              <w:spacing w:before="10" w:after="10"/>
            </w:pPr>
            <w:r w:rsidRPr="00242011">
              <w:t>0.6</w:t>
            </w:r>
          </w:p>
        </w:tc>
        <w:tc>
          <w:tcPr>
            <w:tcW w:w="1231" w:type="dxa"/>
            <w:tcBorders>
              <w:top w:val="nil"/>
              <w:left w:val="nil"/>
              <w:bottom w:val="nil"/>
              <w:right w:val="nil"/>
            </w:tcBorders>
            <w:shd w:val="clear" w:color="000000" w:fill="FFFFFF"/>
            <w:noWrap/>
            <w:vAlign w:val="center"/>
            <w:hideMark/>
          </w:tcPr>
          <w:p w14:paraId="381DF9F0" w14:textId="77777777" w:rsidR="00242011" w:rsidRPr="00242011" w:rsidRDefault="00242011" w:rsidP="00AE0023">
            <w:pPr>
              <w:pStyle w:val="TableTextCentered2"/>
              <w:spacing w:before="10" w:after="10"/>
            </w:pPr>
            <w:r w:rsidRPr="00242011">
              <w:t>0.4</w:t>
            </w:r>
          </w:p>
        </w:tc>
        <w:tc>
          <w:tcPr>
            <w:tcW w:w="1232" w:type="dxa"/>
            <w:tcBorders>
              <w:top w:val="nil"/>
              <w:left w:val="nil"/>
              <w:bottom w:val="nil"/>
              <w:right w:val="nil"/>
            </w:tcBorders>
            <w:shd w:val="clear" w:color="000000" w:fill="FFFFFF"/>
            <w:noWrap/>
            <w:vAlign w:val="center"/>
            <w:hideMark/>
          </w:tcPr>
          <w:p w14:paraId="710A359D" w14:textId="77777777" w:rsidR="00242011" w:rsidRPr="00242011" w:rsidRDefault="00242011" w:rsidP="00AE0023">
            <w:pPr>
              <w:pStyle w:val="TableTextCentered2"/>
              <w:spacing w:before="10" w:after="10"/>
            </w:pPr>
            <w:r w:rsidRPr="00242011">
              <w:t>0.5</w:t>
            </w:r>
          </w:p>
        </w:tc>
      </w:tr>
      <w:tr w:rsidR="007576B8" w:rsidRPr="00DD28A5" w14:paraId="22595FBA" w14:textId="77777777" w:rsidTr="007576B8">
        <w:trPr>
          <w:trHeight w:val="124"/>
        </w:trPr>
        <w:tc>
          <w:tcPr>
            <w:tcW w:w="2260" w:type="dxa"/>
            <w:tcBorders>
              <w:top w:val="nil"/>
              <w:left w:val="nil"/>
              <w:bottom w:val="nil"/>
              <w:right w:val="nil"/>
            </w:tcBorders>
            <w:shd w:val="clear" w:color="000000" w:fill="FFFFFF"/>
            <w:noWrap/>
            <w:vAlign w:val="bottom"/>
            <w:hideMark/>
          </w:tcPr>
          <w:p w14:paraId="38951D64" w14:textId="77777777" w:rsidR="00242011" w:rsidRPr="00242011" w:rsidRDefault="00242011" w:rsidP="00BA45D5">
            <w:pPr>
              <w:pStyle w:val="TableTextLeft2"/>
              <w:spacing w:line="240" w:lineRule="auto"/>
            </w:pPr>
            <w:r w:rsidRPr="00242011">
              <w:t> </w:t>
            </w:r>
          </w:p>
        </w:tc>
        <w:tc>
          <w:tcPr>
            <w:tcW w:w="1227" w:type="dxa"/>
            <w:tcBorders>
              <w:top w:val="nil"/>
              <w:left w:val="nil"/>
              <w:bottom w:val="nil"/>
              <w:right w:val="nil"/>
            </w:tcBorders>
            <w:shd w:val="clear" w:color="000000" w:fill="FFFFFF"/>
            <w:noWrap/>
            <w:vAlign w:val="center"/>
            <w:hideMark/>
          </w:tcPr>
          <w:p w14:paraId="4B955534"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3AF2777E" w14:textId="77777777" w:rsidR="00242011" w:rsidRPr="00242011" w:rsidRDefault="00242011" w:rsidP="00BA45D5">
            <w:pPr>
              <w:pStyle w:val="TableTextCentered2"/>
            </w:pPr>
            <w:r w:rsidRPr="00242011">
              <w:t> </w:t>
            </w:r>
          </w:p>
        </w:tc>
        <w:tc>
          <w:tcPr>
            <w:tcW w:w="1231" w:type="dxa"/>
            <w:tcBorders>
              <w:top w:val="nil"/>
              <w:left w:val="nil"/>
              <w:bottom w:val="nil"/>
              <w:right w:val="single" w:sz="4" w:space="0" w:color="auto"/>
            </w:tcBorders>
            <w:shd w:val="clear" w:color="000000" w:fill="FFFFFF"/>
            <w:noWrap/>
            <w:vAlign w:val="center"/>
            <w:hideMark/>
          </w:tcPr>
          <w:p w14:paraId="02DF012E"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403D0479"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7FE169BA" w14:textId="77777777" w:rsidR="00242011" w:rsidRPr="00242011" w:rsidRDefault="00242011" w:rsidP="00BA45D5">
            <w:pPr>
              <w:pStyle w:val="TableTextCentered2"/>
            </w:pPr>
            <w:r w:rsidRPr="00242011">
              <w:t> </w:t>
            </w:r>
          </w:p>
        </w:tc>
        <w:tc>
          <w:tcPr>
            <w:tcW w:w="1232" w:type="dxa"/>
            <w:tcBorders>
              <w:top w:val="nil"/>
              <w:left w:val="nil"/>
              <w:bottom w:val="nil"/>
              <w:right w:val="single" w:sz="4" w:space="0" w:color="auto"/>
            </w:tcBorders>
            <w:shd w:val="clear" w:color="000000" w:fill="FFFFFF"/>
            <w:noWrap/>
            <w:vAlign w:val="center"/>
            <w:hideMark/>
          </w:tcPr>
          <w:p w14:paraId="05A1F843"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31BDE733" w14:textId="77777777" w:rsidR="00242011" w:rsidRPr="00242011" w:rsidRDefault="00242011" w:rsidP="00BA45D5">
            <w:pPr>
              <w:pStyle w:val="TableTextCentered2"/>
            </w:pPr>
            <w:r w:rsidRPr="00242011">
              <w:t> </w:t>
            </w:r>
          </w:p>
        </w:tc>
        <w:tc>
          <w:tcPr>
            <w:tcW w:w="1231" w:type="dxa"/>
            <w:tcBorders>
              <w:top w:val="nil"/>
              <w:left w:val="nil"/>
              <w:bottom w:val="nil"/>
              <w:right w:val="nil"/>
            </w:tcBorders>
            <w:shd w:val="clear" w:color="000000" w:fill="FFFFFF"/>
            <w:noWrap/>
            <w:vAlign w:val="center"/>
            <w:hideMark/>
          </w:tcPr>
          <w:p w14:paraId="5D5B6698"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167BB19C" w14:textId="77777777" w:rsidR="00242011" w:rsidRPr="00242011" w:rsidRDefault="00242011" w:rsidP="00BA45D5">
            <w:pPr>
              <w:pStyle w:val="TableTextCentered2"/>
            </w:pPr>
            <w:r w:rsidRPr="00242011">
              <w:t> </w:t>
            </w:r>
          </w:p>
        </w:tc>
      </w:tr>
      <w:tr w:rsidR="007576B8" w:rsidRPr="00DD28A5" w14:paraId="16E9C9B9" w14:textId="77777777" w:rsidTr="007576B8">
        <w:trPr>
          <w:trHeight w:val="183"/>
        </w:trPr>
        <w:tc>
          <w:tcPr>
            <w:tcW w:w="2260" w:type="dxa"/>
            <w:tcBorders>
              <w:top w:val="nil"/>
              <w:left w:val="nil"/>
              <w:bottom w:val="nil"/>
              <w:right w:val="nil"/>
            </w:tcBorders>
            <w:shd w:val="clear" w:color="000000" w:fill="FFFFFF"/>
            <w:noWrap/>
            <w:vAlign w:val="bottom"/>
            <w:hideMark/>
          </w:tcPr>
          <w:p w14:paraId="59BA22EF" w14:textId="77777777" w:rsidR="00242011" w:rsidRPr="00242011" w:rsidRDefault="00242011" w:rsidP="00AE0023">
            <w:pPr>
              <w:pStyle w:val="TableTextLeft2"/>
              <w:spacing w:before="10" w:after="10" w:line="240" w:lineRule="auto"/>
            </w:pPr>
            <w:r w:rsidRPr="00242011">
              <w:t>Consumption</w:t>
            </w:r>
          </w:p>
        </w:tc>
        <w:tc>
          <w:tcPr>
            <w:tcW w:w="1227" w:type="dxa"/>
            <w:tcBorders>
              <w:top w:val="nil"/>
              <w:left w:val="nil"/>
              <w:bottom w:val="nil"/>
              <w:right w:val="nil"/>
            </w:tcBorders>
            <w:shd w:val="clear" w:color="000000" w:fill="FFFFFF"/>
            <w:noWrap/>
            <w:vAlign w:val="center"/>
            <w:hideMark/>
          </w:tcPr>
          <w:p w14:paraId="54DB05C9" w14:textId="77777777" w:rsidR="00242011" w:rsidRPr="00242011" w:rsidRDefault="00242011" w:rsidP="00AE0023">
            <w:pPr>
              <w:pStyle w:val="TableTextCentered2"/>
              <w:spacing w:before="10" w:after="10"/>
            </w:pPr>
            <w:r w:rsidRPr="00242011">
              <w:t>0.8</w:t>
            </w:r>
          </w:p>
        </w:tc>
        <w:tc>
          <w:tcPr>
            <w:tcW w:w="1232" w:type="dxa"/>
            <w:tcBorders>
              <w:top w:val="nil"/>
              <w:left w:val="nil"/>
              <w:bottom w:val="nil"/>
              <w:right w:val="nil"/>
            </w:tcBorders>
            <w:shd w:val="clear" w:color="000000" w:fill="FFFFFF"/>
            <w:noWrap/>
            <w:vAlign w:val="center"/>
            <w:hideMark/>
          </w:tcPr>
          <w:p w14:paraId="7179DD7D" w14:textId="77777777" w:rsidR="00242011" w:rsidRPr="00242011" w:rsidRDefault="00242011" w:rsidP="00AE0023">
            <w:pPr>
              <w:pStyle w:val="TableTextCentered2"/>
              <w:spacing w:before="10" w:after="10"/>
            </w:pPr>
            <w:r w:rsidRPr="00242011">
              <w:t>0.5</w:t>
            </w:r>
          </w:p>
        </w:tc>
        <w:tc>
          <w:tcPr>
            <w:tcW w:w="1231" w:type="dxa"/>
            <w:tcBorders>
              <w:top w:val="nil"/>
              <w:left w:val="nil"/>
              <w:bottom w:val="nil"/>
              <w:right w:val="single" w:sz="4" w:space="0" w:color="auto"/>
            </w:tcBorders>
            <w:shd w:val="clear" w:color="000000" w:fill="FFFFFF"/>
            <w:noWrap/>
            <w:vAlign w:val="center"/>
            <w:hideMark/>
          </w:tcPr>
          <w:p w14:paraId="6B32ECB5" w14:textId="77777777" w:rsidR="00242011" w:rsidRPr="00242011" w:rsidRDefault="00242011" w:rsidP="00AE0023">
            <w:pPr>
              <w:pStyle w:val="TableTextCentered2"/>
              <w:spacing w:before="10" w:after="10"/>
            </w:pPr>
            <w:r w:rsidRPr="00242011">
              <w:t>1.2</w:t>
            </w:r>
          </w:p>
        </w:tc>
        <w:tc>
          <w:tcPr>
            <w:tcW w:w="1232" w:type="dxa"/>
            <w:tcBorders>
              <w:top w:val="nil"/>
              <w:left w:val="nil"/>
              <w:bottom w:val="nil"/>
              <w:right w:val="nil"/>
            </w:tcBorders>
            <w:shd w:val="clear" w:color="000000" w:fill="FFFFFF"/>
            <w:noWrap/>
            <w:vAlign w:val="center"/>
            <w:hideMark/>
          </w:tcPr>
          <w:p w14:paraId="1BAFD5F7" w14:textId="77777777" w:rsidR="00242011" w:rsidRPr="00242011" w:rsidRDefault="00242011" w:rsidP="00AE0023">
            <w:pPr>
              <w:pStyle w:val="TableTextCentered2"/>
              <w:spacing w:before="10" w:after="10"/>
            </w:pPr>
            <w:r w:rsidRPr="00242011">
              <w:t>0.6</w:t>
            </w:r>
          </w:p>
        </w:tc>
        <w:tc>
          <w:tcPr>
            <w:tcW w:w="1232" w:type="dxa"/>
            <w:tcBorders>
              <w:top w:val="nil"/>
              <w:left w:val="nil"/>
              <w:bottom w:val="nil"/>
              <w:right w:val="nil"/>
            </w:tcBorders>
            <w:shd w:val="clear" w:color="000000" w:fill="FFFFFF"/>
            <w:noWrap/>
            <w:vAlign w:val="center"/>
            <w:hideMark/>
          </w:tcPr>
          <w:p w14:paraId="43B02219" w14:textId="77777777" w:rsidR="00242011" w:rsidRPr="00242011" w:rsidRDefault="00242011" w:rsidP="00AE0023">
            <w:pPr>
              <w:pStyle w:val="TableTextCentered2"/>
              <w:spacing w:before="10" w:after="10"/>
            </w:pPr>
            <w:r w:rsidRPr="00242011">
              <w:t>0.3</w:t>
            </w:r>
          </w:p>
        </w:tc>
        <w:tc>
          <w:tcPr>
            <w:tcW w:w="1232" w:type="dxa"/>
            <w:tcBorders>
              <w:top w:val="nil"/>
              <w:left w:val="nil"/>
              <w:bottom w:val="nil"/>
              <w:right w:val="single" w:sz="4" w:space="0" w:color="auto"/>
            </w:tcBorders>
            <w:shd w:val="clear" w:color="000000" w:fill="FFFFFF"/>
            <w:noWrap/>
            <w:vAlign w:val="center"/>
            <w:hideMark/>
          </w:tcPr>
          <w:p w14:paraId="5718E9DB" w14:textId="77777777" w:rsidR="00242011" w:rsidRPr="00242011" w:rsidRDefault="00242011" w:rsidP="00AE0023">
            <w:pPr>
              <w:pStyle w:val="TableTextCentered2"/>
              <w:spacing w:before="10" w:after="10"/>
            </w:pPr>
            <w:r w:rsidRPr="00242011">
              <w:t>1.0</w:t>
            </w:r>
          </w:p>
        </w:tc>
        <w:tc>
          <w:tcPr>
            <w:tcW w:w="1232" w:type="dxa"/>
            <w:tcBorders>
              <w:top w:val="nil"/>
              <w:left w:val="nil"/>
              <w:bottom w:val="nil"/>
              <w:right w:val="nil"/>
            </w:tcBorders>
            <w:shd w:val="clear" w:color="000000" w:fill="FFFFFF"/>
            <w:noWrap/>
            <w:vAlign w:val="center"/>
            <w:hideMark/>
          </w:tcPr>
          <w:p w14:paraId="71D0490D" w14:textId="77777777" w:rsidR="00242011" w:rsidRPr="00242011" w:rsidRDefault="00242011" w:rsidP="00AE0023">
            <w:pPr>
              <w:pStyle w:val="TableTextCentered2"/>
              <w:spacing w:before="10" w:after="10"/>
            </w:pPr>
            <w:r w:rsidRPr="00242011">
              <w:t>0.4</w:t>
            </w:r>
          </w:p>
        </w:tc>
        <w:tc>
          <w:tcPr>
            <w:tcW w:w="1231" w:type="dxa"/>
            <w:tcBorders>
              <w:top w:val="nil"/>
              <w:left w:val="nil"/>
              <w:bottom w:val="nil"/>
              <w:right w:val="nil"/>
            </w:tcBorders>
            <w:shd w:val="clear" w:color="000000" w:fill="FFFFFF"/>
            <w:noWrap/>
            <w:vAlign w:val="center"/>
            <w:hideMark/>
          </w:tcPr>
          <w:p w14:paraId="5E8F7766" w14:textId="77777777" w:rsidR="00242011" w:rsidRPr="00242011" w:rsidRDefault="00242011" w:rsidP="00AE0023">
            <w:pPr>
              <w:pStyle w:val="TableTextCentered2"/>
              <w:spacing w:before="10" w:after="10"/>
            </w:pPr>
            <w:r w:rsidRPr="00242011">
              <w:t>0.1</w:t>
            </w:r>
          </w:p>
        </w:tc>
        <w:tc>
          <w:tcPr>
            <w:tcW w:w="1232" w:type="dxa"/>
            <w:tcBorders>
              <w:top w:val="nil"/>
              <w:left w:val="nil"/>
              <w:bottom w:val="nil"/>
              <w:right w:val="nil"/>
            </w:tcBorders>
            <w:shd w:val="clear" w:color="000000" w:fill="FFFFFF"/>
            <w:noWrap/>
            <w:vAlign w:val="center"/>
            <w:hideMark/>
          </w:tcPr>
          <w:p w14:paraId="40E471AD" w14:textId="77777777" w:rsidR="00242011" w:rsidRPr="00242011" w:rsidRDefault="00242011" w:rsidP="00AE0023">
            <w:pPr>
              <w:pStyle w:val="TableTextCentered2"/>
              <w:spacing w:before="10" w:after="10"/>
            </w:pPr>
            <w:r w:rsidRPr="00242011">
              <w:t>0.9</w:t>
            </w:r>
          </w:p>
        </w:tc>
      </w:tr>
      <w:tr w:rsidR="007576B8" w:rsidRPr="00DD28A5" w14:paraId="1E04FC98" w14:textId="77777777" w:rsidTr="007576B8">
        <w:trPr>
          <w:trHeight w:val="102"/>
        </w:trPr>
        <w:tc>
          <w:tcPr>
            <w:tcW w:w="2260" w:type="dxa"/>
            <w:tcBorders>
              <w:top w:val="nil"/>
              <w:left w:val="nil"/>
              <w:bottom w:val="nil"/>
              <w:right w:val="nil"/>
            </w:tcBorders>
            <w:shd w:val="clear" w:color="000000" w:fill="FFFFFF"/>
            <w:noWrap/>
            <w:vAlign w:val="bottom"/>
            <w:hideMark/>
          </w:tcPr>
          <w:p w14:paraId="21EC89D0" w14:textId="77777777" w:rsidR="00242011" w:rsidRPr="00242011" w:rsidRDefault="00242011" w:rsidP="00AE0023">
            <w:pPr>
              <w:pStyle w:val="TableTextLeft2"/>
              <w:spacing w:before="10" w:after="10" w:line="240" w:lineRule="auto"/>
            </w:pPr>
            <w:r w:rsidRPr="00242011">
              <w:t>Govt. spending</w:t>
            </w:r>
          </w:p>
        </w:tc>
        <w:tc>
          <w:tcPr>
            <w:tcW w:w="1227" w:type="dxa"/>
            <w:tcBorders>
              <w:top w:val="nil"/>
              <w:left w:val="nil"/>
              <w:bottom w:val="nil"/>
              <w:right w:val="nil"/>
            </w:tcBorders>
            <w:shd w:val="clear" w:color="000000" w:fill="FFFFFF"/>
            <w:noWrap/>
            <w:vAlign w:val="center"/>
            <w:hideMark/>
          </w:tcPr>
          <w:p w14:paraId="0A6FAE9B" w14:textId="77777777" w:rsidR="00242011" w:rsidRPr="00242011" w:rsidRDefault="00242011" w:rsidP="00AE0023">
            <w:pPr>
              <w:pStyle w:val="TableTextCentered2"/>
              <w:spacing w:before="10" w:after="10"/>
            </w:pPr>
            <w:r w:rsidRPr="00242011">
              <w:t>0.0</w:t>
            </w:r>
          </w:p>
        </w:tc>
        <w:tc>
          <w:tcPr>
            <w:tcW w:w="1232" w:type="dxa"/>
            <w:tcBorders>
              <w:top w:val="nil"/>
              <w:left w:val="nil"/>
              <w:bottom w:val="nil"/>
              <w:right w:val="nil"/>
            </w:tcBorders>
            <w:shd w:val="clear" w:color="000000" w:fill="FFFFFF"/>
            <w:noWrap/>
            <w:vAlign w:val="center"/>
            <w:hideMark/>
          </w:tcPr>
          <w:p w14:paraId="798A3311" w14:textId="77777777" w:rsidR="00242011" w:rsidRPr="00242011" w:rsidRDefault="00242011" w:rsidP="00AE0023">
            <w:pPr>
              <w:pStyle w:val="TableTextCentered2"/>
              <w:spacing w:before="10" w:after="10"/>
            </w:pPr>
            <w:r w:rsidRPr="00242011">
              <w:t>0.0</w:t>
            </w:r>
          </w:p>
        </w:tc>
        <w:tc>
          <w:tcPr>
            <w:tcW w:w="1231" w:type="dxa"/>
            <w:tcBorders>
              <w:top w:val="nil"/>
              <w:left w:val="nil"/>
              <w:bottom w:val="nil"/>
              <w:right w:val="single" w:sz="4" w:space="0" w:color="auto"/>
            </w:tcBorders>
            <w:shd w:val="clear" w:color="000000" w:fill="FFFFFF"/>
            <w:noWrap/>
            <w:vAlign w:val="center"/>
            <w:hideMark/>
          </w:tcPr>
          <w:p w14:paraId="45D60D4F" w14:textId="77777777" w:rsidR="00242011" w:rsidRPr="00242011" w:rsidRDefault="00242011" w:rsidP="00AE0023">
            <w:pPr>
              <w:pStyle w:val="TableTextCentered2"/>
              <w:spacing w:before="10" w:after="10"/>
            </w:pPr>
            <w:r w:rsidRPr="00242011">
              <w:t>-1.5</w:t>
            </w:r>
          </w:p>
        </w:tc>
        <w:tc>
          <w:tcPr>
            <w:tcW w:w="1232" w:type="dxa"/>
            <w:tcBorders>
              <w:top w:val="nil"/>
              <w:left w:val="nil"/>
              <w:bottom w:val="nil"/>
              <w:right w:val="nil"/>
            </w:tcBorders>
            <w:shd w:val="clear" w:color="000000" w:fill="FFFFFF"/>
            <w:noWrap/>
            <w:vAlign w:val="center"/>
            <w:hideMark/>
          </w:tcPr>
          <w:p w14:paraId="3FC96C63" w14:textId="77777777" w:rsidR="00242011" w:rsidRPr="00242011" w:rsidRDefault="00242011" w:rsidP="00AE0023">
            <w:pPr>
              <w:pStyle w:val="TableTextCentered2"/>
              <w:spacing w:before="10" w:after="10"/>
            </w:pPr>
            <w:r w:rsidRPr="00242011">
              <w:t>0.0</w:t>
            </w:r>
          </w:p>
        </w:tc>
        <w:tc>
          <w:tcPr>
            <w:tcW w:w="1232" w:type="dxa"/>
            <w:tcBorders>
              <w:top w:val="nil"/>
              <w:left w:val="nil"/>
              <w:bottom w:val="nil"/>
              <w:right w:val="nil"/>
            </w:tcBorders>
            <w:shd w:val="clear" w:color="000000" w:fill="FFFFFF"/>
            <w:noWrap/>
            <w:vAlign w:val="center"/>
            <w:hideMark/>
          </w:tcPr>
          <w:p w14:paraId="2D4FDFE4" w14:textId="77777777" w:rsidR="00242011" w:rsidRPr="00242011" w:rsidRDefault="00242011" w:rsidP="00AE0023">
            <w:pPr>
              <w:pStyle w:val="TableTextCentered2"/>
              <w:spacing w:before="10" w:after="10"/>
            </w:pPr>
            <w:r w:rsidRPr="00242011">
              <w:t>0.0</w:t>
            </w:r>
          </w:p>
        </w:tc>
        <w:tc>
          <w:tcPr>
            <w:tcW w:w="1232" w:type="dxa"/>
            <w:tcBorders>
              <w:top w:val="nil"/>
              <w:left w:val="nil"/>
              <w:bottom w:val="nil"/>
              <w:right w:val="single" w:sz="4" w:space="0" w:color="auto"/>
            </w:tcBorders>
            <w:shd w:val="clear" w:color="000000" w:fill="FFFFFF"/>
            <w:noWrap/>
            <w:vAlign w:val="center"/>
            <w:hideMark/>
          </w:tcPr>
          <w:p w14:paraId="6C4D0411" w14:textId="77777777" w:rsidR="00242011" w:rsidRPr="00242011" w:rsidRDefault="00242011" w:rsidP="00AE0023">
            <w:pPr>
              <w:pStyle w:val="TableTextCentered2"/>
              <w:spacing w:before="10" w:after="10"/>
            </w:pPr>
            <w:r w:rsidRPr="00242011">
              <w:t>-1.7</w:t>
            </w:r>
          </w:p>
        </w:tc>
        <w:tc>
          <w:tcPr>
            <w:tcW w:w="1232" w:type="dxa"/>
            <w:tcBorders>
              <w:top w:val="nil"/>
              <w:left w:val="nil"/>
              <w:bottom w:val="nil"/>
              <w:right w:val="nil"/>
            </w:tcBorders>
            <w:shd w:val="clear" w:color="000000" w:fill="FFFFFF"/>
            <w:noWrap/>
            <w:vAlign w:val="center"/>
            <w:hideMark/>
          </w:tcPr>
          <w:p w14:paraId="61A20300" w14:textId="77777777" w:rsidR="00242011" w:rsidRPr="00242011" w:rsidRDefault="00242011" w:rsidP="00AE0023">
            <w:pPr>
              <w:pStyle w:val="TableTextCentered2"/>
              <w:spacing w:before="10" w:after="10"/>
            </w:pPr>
            <w:r w:rsidRPr="00242011">
              <w:t>0.0</w:t>
            </w:r>
          </w:p>
        </w:tc>
        <w:tc>
          <w:tcPr>
            <w:tcW w:w="1231" w:type="dxa"/>
            <w:tcBorders>
              <w:top w:val="nil"/>
              <w:left w:val="nil"/>
              <w:bottom w:val="nil"/>
              <w:right w:val="nil"/>
            </w:tcBorders>
            <w:shd w:val="clear" w:color="000000" w:fill="FFFFFF"/>
            <w:noWrap/>
            <w:vAlign w:val="center"/>
            <w:hideMark/>
          </w:tcPr>
          <w:p w14:paraId="1F59F663" w14:textId="77777777" w:rsidR="00242011" w:rsidRPr="00242011" w:rsidRDefault="00242011" w:rsidP="00AE0023">
            <w:pPr>
              <w:pStyle w:val="TableTextCentered2"/>
              <w:spacing w:before="10" w:after="10"/>
            </w:pPr>
            <w:r w:rsidRPr="00242011">
              <w:t>0.0</w:t>
            </w:r>
          </w:p>
        </w:tc>
        <w:tc>
          <w:tcPr>
            <w:tcW w:w="1232" w:type="dxa"/>
            <w:tcBorders>
              <w:top w:val="nil"/>
              <w:left w:val="nil"/>
              <w:bottom w:val="nil"/>
              <w:right w:val="nil"/>
            </w:tcBorders>
            <w:shd w:val="clear" w:color="000000" w:fill="FFFFFF"/>
            <w:noWrap/>
            <w:vAlign w:val="center"/>
            <w:hideMark/>
          </w:tcPr>
          <w:p w14:paraId="594DF035" w14:textId="77777777" w:rsidR="00242011" w:rsidRPr="00242011" w:rsidRDefault="00242011" w:rsidP="00AE0023">
            <w:pPr>
              <w:pStyle w:val="TableTextCentered2"/>
              <w:spacing w:before="10" w:after="10"/>
            </w:pPr>
            <w:r w:rsidRPr="00242011">
              <w:t>-1.9</w:t>
            </w:r>
          </w:p>
        </w:tc>
      </w:tr>
      <w:tr w:rsidR="007576B8" w:rsidRPr="00DD28A5" w14:paraId="3E481954" w14:textId="77777777" w:rsidTr="007576B8">
        <w:trPr>
          <w:trHeight w:val="162"/>
        </w:trPr>
        <w:tc>
          <w:tcPr>
            <w:tcW w:w="2260" w:type="dxa"/>
            <w:tcBorders>
              <w:top w:val="nil"/>
              <w:left w:val="nil"/>
              <w:bottom w:val="nil"/>
              <w:right w:val="nil"/>
            </w:tcBorders>
            <w:shd w:val="clear" w:color="000000" w:fill="FFFFFF"/>
            <w:noWrap/>
            <w:vAlign w:val="bottom"/>
            <w:hideMark/>
          </w:tcPr>
          <w:p w14:paraId="405B16CE" w14:textId="77777777" w:rsidR="00242011" w:rsidRPr="00242011" w:rsidRDefault="00242011" w:rsidP="00AE0023">
            <w:pPr>
              <w:pStyle w:val="TableTextLeft2"/>
              <w:spacing w:before="10" w:after="10" w:line="240" w:lineRule="auto"/>
            </w:pPr>
            <w:r w:rsidRPr="00242011">
              <w:t>Investment</w:t>
            </w:r>
          </w:p>
        </w:tc>
        <w:tc>
          <w:tcPr>
            <w:tcW w:w="1227" w:type="dxa"/>
            <w:tcBorders>
              <w:top w:val="nil"/>
              <w:left w:val="nil"/>
              <w:bottom w:val="nil"/>
              <w:right w:val="nil"/>
            </w:tcBorders>
            <w:shd w:val="clear" w:color="000000" w:fill="FFFFFF"/>
            <w:noWrap/>
            <w:vAlign w:val="center"/>
            <w:hideMark/>
          </w:tcPr>
          <w:p w14:paraId="0186B089" w14:textId="77777777" w:rsidR="00242011" w:rsidRPr="00242011" w:rsidRDefault="00242011" w:rsidP="00AE0023">
            <w:pPr>
              <w:pStyle w:val="TableTextCentered2"/>
              <w:spacing w:before="10" w:after="10"/>
            </w:pPr>
            <w:r w:rsidRPr="00242011">
              <w:t>3.4</w:t>
            </w:r>
          </w:p>
        </w:tc>
        <w:tc>
          <w:tcPr>
            <w:tcW w:w="1232" w:type="dxa"/>
            <w:tcBorders>
              <w:top w:val="nil"/>
              <w:left w:val="nil"/>
              <w:bottom w:val="nil"/>
              <w:right w:val="nil"/>
            </w:tcBorders>
            <w:shd w:val="clear" w:color="000000" w:fill="FFFFFF"/>
            <w:noWrap/>
            <w:vAlign w:val="center"/>
            <w:hideMark/>
          </w:tcPr>
          <w:p w14:paraId="272F2720" w14:textId="77777777" w:rsidR="00242011" w:rsidRPr="00242011" w:rsidRDefault="00242011" w:rsidP="00AE0023">
            <w:pPr>
              <w:pStyle w:val="TableTextCentered2"/>
              <w:spacing w:before="10" w:after="10"/>
            </w:pPr>
            <w:r w:rsidRPr="00242011">
              <w:t>3.2</w:t>
            </w:r>
          </w:p>
        </w:tc>
        <w:tc>
          <w:tcPr>
            <w:tcW w:w="1231" w:type="dxa"/>
            <w:tcBorders>
              <w:top w:val="nil"/>
              <w:left w:val="nil"/>
              <w:bottom w:val="nil"/>
              <w:right w:val="single" w:sz="4" w:space="0" w:color="auto"/>
            </w:tcBorders>
            <w:shd w:val="clear" w:color="000000" w:fill="FFFFFF"/>
            <w:noWrap/>
            <w:vAlign w:val="center"/>
            <w:hideMark/>
          </w:tcPr>
          <w:p w14:paraId="56FCC8AC" w14:textId="77777777" w:rsidR="00242011" w:rsidRPr="00242011" w:rsidRDefault="00242011" w:rsidP="00AE0023">
            <w:pPr>
              <w:pStyle w:val="TableTextCentered2"/>
              <w:spacing w:before="10" w:after="10"/>
            </w:pPr>
            <w:r w:rsidRPr="00242011">
              <w:t>3.5</w:t>
            </w:r>
          </w:p>
        </w:tc>
        <w:tc>
          <w:tcPr>
            <w:tcW w:w="1232" w:type="dxa"/>
            <w:tcBorders>
              <w:top w:val="nil"/>
              <w:left w:val="nil"/>
              <w:bottom w:val="nil"/>
              <w:right w:val="nil"/>
            </w:tcBorders>
            <w:shd w:val="clear" w:color="000000" w:fill="FFFFFF"/>
            <w:noWrap/>
            <w:vAlign w:val="center"/>
            <w:hideMark/>
          </w:tcPr>
          <w:p w14:paraId="3AAB4FDB" w14:textId="77777777" w:rsidR="00242011" w:rsidRPr="00242011" w:rsidRDefault="00242011" w:rsidP="00AE0023">
            <w:pPr>
              <w:pStyle w:val="TableTextCentered2"/>
              <w:spacing w:before="10" w:after="10"/>
            </w:pPr>
            <w:r w:rsidRPr="00242011">
              <w:t>2.8</w:t>
            </w:r>
          </w:p>
        </w:tc>
        <w:tc>
          <w:tcPr>
            <w:tcW w:w="1232" w:type="dxa"/>
            <w:tcBorders>
              <w:top w:val="nil"/>
              <w:left w:val="nil"/>
              <w:bottom w:val="nil"/>
              <w:right w:val="nil"/>
            </w:tcBorders>
            <w:shd w:val="clear" w:color="000000" w:fill="FFFFFF"/>
            <w:noWrap/>
            <w:vAlign w:val="center"/>
            <w:hideMark/>
          </w:tcPr>
          <w:p w14:paraId="59234CDD" w14:textId="77777777" w:rsidR="00242011" w:rsidRPr="00242011" w:rsidRDefault="00242011" w:rsidP="00AE0023">
            <w:pPr>
              <w:pStyle w:val="TableTextCentered2"/>
              <w:spacing w:before="10" w:after="10"/>
            </w:pPr>
            <w:r w:rsidRPr="00242011">
              <w:t>2.6</w:t>
            </w:r>
          </w:p>
        </w:tc>
        <w:tc>
          <w:tcPr>
            <w:tcW w:w="1232" w:type="dxa"/>
            <w:tcBorders>
              <w:top w:val="nil"/>
              <w:left w:val="nil"/>
              <w:bottom w:val="nil"/>
              <w:right w:val="single" w:sz="4" w:space="0" w:color="auto"/>
            </w:tcBorders>
            <w:shd w:val="clear" w:color="000000" w:fill="FFFFFF"/>
            <w:noWrap/>
            <w:vAlign w:val="center"/>
            <w:hideMark/>
          </w:tcPr>
          <w:p w14:paraId="3A489EFD" w14:textId="77777777" w:rsidR="00242011" w:rsidRPr="00242011" w:rsidRDefault="00242011" w:rsidP="00AE0023">
            <w:pPr>
              <w:pStyle w:val="TableTextCentered2"/>
              <w:spacing w:before="10" w:after="10"/>
            </w:pPr>
            <w:r w:rsidRPr="00242011">
              <w:t>2.9</w:t>
            </w:r>
          </w:p>
        </w:tc>
        <w:tc>
          <w:tcPr>
            <w:tcW w:w="1232" w:type="dxa"/>
            <w:tcBorders>
              <w:top w:val="nil"/>
              <w:left w:val="nil"/>
              <w:bottom w:val="nil"/>
              <w:right w:val="nil"/>
            </w:tcBorders>
            <w:shd w:val="clear" w:color="000000" w:fill="FFFFFF"/>
            <w:noWrap/>
            <w:vAlign w:val="center"/>
            <w:hideMark/>
          </w:tcPr>
          <w:p w14:paraId="0F082E8C" w14:textId="77777777" w:rsidR="00242011" w:rsidRPr="00242011" w:rsidRDefault="00242011" w:rsidP="00AE0023">
            <w:pPr>
              <w:pStyle w:val="TableTextCentered2"/>
              <w:spacing w:before="10" w:after="10"/>
            </w:pPr>
            <w:r w:rsidRPr="00242011">
              <w:t>2.3</w:t>
            </w:r>
          </w:p>
        </w:tc>
        <w:tc>
          <w:tcPr>
            <w:tcW w:w="1231" w:type="dxa"/>
            <w:tcBorders>
              <w:top w:val="nil"/>
              <w:left w:val="nil"/>
              <w:bottom w:val="nil"/>
              <w:right w:val="nil"/>
            </w:tcBorders>
            <w:shd w:val="clear" w:color="000000" w:fill="FFFFFF"/>
            <w:noWrap/>
            <w:vAlign w:val="center"/>
            <w:hideMark/>
          </w:tcPr>
          <w:p w14:paraId="47EE7425" w14:textId="77777777" w:rsidR="00242011" w:rsidRPr="00242011" w:rsidRDefault="00242011" w:rsidP="00AE0023">
            <w:pPr>
              <w:pStyle w:val="TableTextCentered2"/>
              <w:spacing w:before="10" w:after="10"/>
            </w:pPr>
            <w:r w:rsidRPr="00242011">
              <w:t>2.1</w:t>
            </w:r>
          </w:p>
        </w:tc>
        <w:tc>
          <w:tcPr>
            <w:tcW w:w="1232" w:type="dxa"/>
            <w:tcBorders>
              <w:top w:val="nil"/>
              <w:left w:val="nil"/>
              <w:bottom w:val="nil"/>
              <w:right w:val="nil"/>
            </w:tcBorders>
            <w:shd w:val="clear" w:color="000000" w:fill="FFFFFF"/>
            <w:noWrap/>
            <w:vAlign w:val="center"/>
            <w:hideMark/>
          </w:tcPr>
          <w:p w14:paraId="21EA8DA1" w14:textId="77777777" w:rsidR="00242011" w:rsidRPr="00242011" w:rsidRDefault="00242011" w:rsidP="00AE0023">
            <w:pPr>
              <w:pStyle w:val="TableTextCentered2"/>
              <w:spacing w:before="10" w:after="10"/>
            </w:pPr>
            <w:r w:rsidRPr="00242011">
              <w:t>2.4</w:t>
            </w:r>
          </w:p>
        </w:tc>
      </w:tr>
      <w:tr w:rsidR="007576B8" w:rsidRPr="00DD28A5" w14:paraId="2FFF1908" w14:textId="77777777" w:rsidTr="007576B8">
        <w:trPr>
          <w:trHeight w:val="79"/>
        </w:trPr>
        <w:tc>
          <w:tcPr>
            <w:tcW w:w="2260" w:type="dxa"/>
            <w:tcBorders>
              <w:top w:val="nil"/>
              <w:left w:val="nil"/>
              <w:bottom w:val="nil"/>
              <w:right w:val="nil"/>
            </w:tcBorders>
            <w:shd w:val="clear" w:color="000000" w:fill="FFFFFF"/>
            <w:noWrap/>
            <w:vAlign w:val="bottom"/>
            <w:hideMark/>
          </w:tcPr>
          <w:p w14:paraId="6F007C10" w14:textId="77777777" w:rsidR="00242011" w:rsidRPr="00242011" w:rsidRDefault="00242011" w:rsidP="00AE0023">
            <w:pPr>
              <w:pStyle w:val="TableTextLeft2"/>
              <w:spacing w:before="10" w:after="10" w:line="240" w:lineRule="auto"/>
            </w:pPr>
            <w:r w:rsidRPr="00242011">
              <w:t>Exports</w:t>
            </w:r>
          </w:p>
        </w:tc>
        <w:tc>
          <w:tcPr>
            <w:tcW w:w="1227" w:type="dxa"/>
            <w:tcBorders>
              <w:top w:val="nil"/>
              <w:left w:val="nil"/>
              <w:bottom w:val="nil"/>
              <w:right w:val="nil"/>
            </w:tcBorders>
            <w:shd w:val="clear" w:color="000000" w:fill="FFFFFF"/>
            <w:noWrap/>
            <w:vAlign w:val="center"/>
            <w:hideMark/>
          </w:tcPr>
          <w:p w14:paraId="00A455C5" w14:textId="77777777" w:rsidR="00242011" w:rsidRPr="00242011" w:rsidRDefault="00242011" w:rsidP="00AE0023">
            <w:pPr>
              <w:pStyle w:val="TableTextCentered2"/>
              <w:spacing w:before="10" w:after="10"/>
            </w:pPr>
            <w:r w:rsidRPr="00242011">
              <w:t>3.0</w:t>
            </w:r>
          </w:p>
        </w:tc>
        <w:tc>
          <w:tcPr>
            <w:tcW w:w="1232" w:type="dxa"/>
            <w:tcBorders>
              <w:top w:val="nil"/>
              <w:left w:val="nil"/>
              <w:bottom w:val="nil"/>
              <w:right w:val="nil"/>
            </w:tcBorders>
            <w:shd w:val="clear" w:color="000000" w:fill="FFFFFF"/>
            <w:noWrap/>
            <w:vAlign w:val="center"/>
            <w:hideMark/>
          </w:tcPr>
          <w:p w14:paraId="3B7B25E2" w14:textId="77777777" w:rsidR="00242011" w:rsidRPr="00242011" w:rsidRDefault="00242011" w:rsidP="00AE0023">
            <w:pPr>
              <w:pStyle w:val="TableTextCentered2"/>
              <w:spacing w:before="10" w:after="10"/>
            </w:pPr>
            <w:r w:rsidRPr="00242011">
              <w:t>2.8</w:t>
            </w:r>
          </w:p>
        </w:tc>
        <w:tc>
          <w:tcPr>
            <w:tcW w:w="1231" w:type="dxa"/>
            <w:tcBorders>
              <w:top w:val="nil"/>
              <w:left w:val="nil"/>
              <w:bottom w:val="nil"/>
              <w:right w:val="single" w:sz="4" w:space="0" w:color="auto"/>
            </w:tcBorders>
            <w:shd w:val="clear" w:color="000000" w:fill="FFFFFF"/>
            <w:noWrap/>
            <w:vAlign w:val="center"/>
            <w:hideMark/>
          </w:tcPr>
          <w:p w14:paraId="7E69153B" w14:textId="77777777" w:rsidR="00242011" w:rsidRPr="00242011" w:rsidRDefault="00242011" w:rsidP="00AE0023">
            <w:pPr>
              <w:pStyle w:val="TableTextCentered2"/>
              <w:spacing w:before="10" w:after="10"/>
            </w:pPr>
            <w:r w:rsidRPr="00242011">
              <w:t>3.0</w:t>
            </w:r>
          </w:p>
        </w:tc>
        <w:tc>
          <w:tcPr>
            <w:tcW w:w="1232" w:type="dxa"/>
            <w:tcBorders>
              <w:top w:val="nil"/>
              <w:left w:val="nil"/>
              <w:bottom w:val="nil"/>
              <w:right w:val="nil"/>
            </w:tcBorders>
            <w:shd w:val="clear" w:color="000000" w:fill="FFFFFF"/>
            <w:noWrap/>
            <w:vAlign w:val="center"/>
            <w:hideMark/>
          </w:tcPr>
          <w:p w14:paraId="206084B4" w14:textId="77777777" w:rsidR="00242011" w:rsidRPr="00242011" w:rsidRDefault="00242011" w:rsidP="00AE0023">
            <w:pPr>
              <w:pStyle w:val="TableTextCentered2"/>
              <w:spacing w:before="10" w:after="10"/>
            </w:pPr>
            <w:r w:rsidRPr="00242011">
              <w:t>2.2</w:t>
            </w:r>
          </w:p>
        </w:tc>
        <w:tc>
          <w:tcPr>
            <w:tcW w:w="1232" w:type="dxa"/>
            <w:tcBorders>
              <w:top w:val="nil"/>
              <w:left w:val="nil"/>
              <w:bottom w:val="nil"/>
              <w:right w:val="nil"/>
            </w:tcBorders>
            <w:shd w:val="clear" w:color="000000" w:fill="FFFFFF"/>
            <w:noWrap/>
            <w:vAlign w:val="center"/>
            <w:hideMark/>
          </w:tcPr>
          <w:p w14:paraId="31CFA211" w14:textId="77777777" w:rsidR="00242011" w:rsidRPr="00242011" w:rsidRDefault="00242011" w:rsidP="00AE0023">
            <w:pPr>
              <w:pStyle w:val="TableTextCentered2"/>
              <w:spacing w:before="10" w:after="10"/>
            </w:pPr>
            <w:r w:rsidRPr="00242011">
              <w:t>2.0</w:t>
            </w:r>
          </w:p>
        </w:tc>
        <w:tc>
          <w:tcPr>
            <w:tcW w:w="1232" w:type="dxa"/>
            <w:tcBorders>
              <w:top w:val="nil"/>
              <w:left w:val="nil"/>
              <w:bottom w:val="nil"/>
              <w:right w:val="single" w:sz="4" w:space="0" w:color="auto"/>
            </w:tcBorders>
            <w:shd w:val="clear" w:color="000000" w:fill="FFFFFF"/>
            <w:noWrap/>
            <w:vAlign w:val="center"/>
            <w:hideMark/>
          </w:tcPr>
          <w:p w14:paraId="05893441" w14:textId="77777777" w:rsidR="00242011" w:rsidRPr="00242011" w:rsidRDefault="00242011" w:rsidP="00AE0023">
            <w:pPr>
              <w:pStyle w:val="TableTextCentered2"/>
              <w:spacing w:before="10" w:after="10"/>
            </w:pPr>
            <w:r w:rsidRPr="00242011">
              <w:t>2.1</w:t>
            </w:r>
          </w:p>
        </w:tc>
        <w:tc>
          <w:tcPr>
            <w:tcW w:w="1232" w:type="dxa"/>
            <w:tcBorders>
              <w:top w:val="nil"/>
              <w:left w:val="nil"/>
              <w:bottom w:val="nil"/>
              <w:right w:val="nil"/>
            </w:tcBorders>
            <w:shd w:val="clear" w:color="000000" w:fill="FFFFFF"/>
            <w:noWrap/>
            <w:vAlign w:val="center"/>
            <w:hideMark/>
          </w:tcPr>
          <w:p w14:paraId="7BA65F6D" w14:textId="77777777" w:rsidR="00242011" w:rsidRPr="00242011" w:rsidRDefault="00242011" w:rsidP="00AE0023">
            <w:pPr>
              <w:pStyle w:val="TableTextCentered2"/>
              <w:spacing w:before="10" w:after="10"/>
            </w:pPr>
            <w:r w:rsidRPr="00242011">
              <w:t>1.6</w:t>
            </w:r>
          </w:p>
        </w:tc>
        <w:tc>
          <w:tcPr>
            <w:tcW w:w="1231" w:type="dxa"/>
            <w:tcBorders>
              <w:top w:val="nil"/>
              <w:left w:val="nil"/>
              <w:bottom w:val="nil"/>
              <w:right w:val="nil"/>
            </w:tcBorders>
            <w:shd w:val="clear" w:color="000000" w:fill="FFFFFF"/>
            <w:noWrap/>
            <w:vAlign w:val="center"/>
            <w:hideMark/>
          </w:tcPr>
          <w:p w14:paraId="38A7D32E" w14:textId="77777777" w:rsidR="00242011" w:rsidRPr="00242011" w:rsidRDefault="00242011" w:rsidP="00AE0023">
            <w:pPr>
              <w:pStyle w:val="TableTextCentered2"/>
              <w:spacing w:before="10" w:after="10"/>
            </w:pPr>
            <w:r w:rsidRPr="00242011">
              <w:t>1.4</w:t>
            </w:r>
          </w:p>
        </w:tc>
        <w:tc>
          <w:tcPr>
            <w:tcW w:w="1232" w:type="dxa"/>
            <w:tcBorders>
              <w:top w:val="nil"/>
              <w:left w:val="nil"/>
              <w:bottom w:val="nil"/>
              <w:right w:val="nil"/>
            </w:tcBorders>
            <w:shd w:val="clear" w:color="000000" w:fill="FFFFFF"/>
            <w:noWrap/>
            <w:vAlign w:val="center"/>
            <w:hideMark/>
          </w:tcPr>
          <w:p w14:paraId="195D6BD9" w14:textId="77777777" w:rsidR="00242011" w:rsidRPr="00242011" w:rsidRDefault="00242011" w:rsidP="00AE0023">
            <w:pPr>
              <w:pStyle w:val="TableTextCentered2"/>
              <w:spacing w:before="10" w:after="10"/>
            </w:pPr>
            <w:r w:rsidRPr="00242011">
              <w:t>1.5</w:t>
            </w:r>
          </w:p>
        </w:tc>
      </w:tr>
      <w:tr w:rsidR="007576B8" w:rsidRPr="00DD28A5" w14:paraId="73752D10" w14:textId="77777777" w:rsidTr="007576B8">
        <w:trPr>
          <w:trHeight w:val="154"/>
        </w:trPr>
        <w:tc>
          <w:tcPr>
            <w:tcW w:w="2260" w:type="dxa"/>
            <w:tcBorders>
              <w:top w:val="nil"/>
              <w:left w:val="nil"/>
              <w:bottom w:val="nil"/>
              <w:right w:val="nil"/>
            </w:tcBorders>
            <w:shd w:val="clear" w:color="000000" w:fill="FFFFFF"/>
            <w:noWrap/>
            <w:vAlign w:val="bottom"/>
            <w:hideMark/>
          </w:tcPr>
          <w:p w14:paraId="68702065" w14:textId="77777777" w:rsidR="00242011" w:rsidRPr="00242011" w:rsidRDefault="00242011" w:rsidP="00AE0023">
            <w:pPr>
              <w:pStyle w:val="TableTextLeft2"/>
              <w:spacing w:before="10" w:after="10" w:line="240" w:lineRule="auto"/>
            </w:pPr>
            <w:r w:rsidRPr="00242011">
              <w:t>Imports</w:t>
            </w:r>
          </w:p>
        </w:tc>
        <w:tc>
          <w:tcPr>
            <w:tcW w:w="1227" w:type="dxa"/>
            <w:tcBorders>
              <w:top w:val="nil"/>
              <w:left w:val="nil"/>
              <w:bottom w:val="nil"/>
              <w:right w:val="nil"/>
            </w:tcBorders>
            <w:shd w:val="clear" w:color="000000" w:fill="FFFFFF"/>
            <w:noWrap/>
            <w:vAlign w:val="center"/>
            <w:hideMark/>
          </w:tcPr>
          <w:p w14:paraId="3097B063" w14:textId="77777777" w:rsidR="00242011" w:rsidRPr="00242011" w:rsidRDefault="00242011" w:rsidP="00AE0023">
            <w:pPr>
              <w:pStyle w:val="TableTextCentered2"/>
              <w:spacing w:before="10" w:after="10"/>
            </w:pPr>
            <w:r w:rsidRPr="00242011">
              <w:t>1.6</w:t>
            </w:r>
          </w:p>
        </w:tc>
        <w:tc>
          <w:tcPr>
            <w:tcW w:w="1232" w:type="dxa"/>
            <w:tcBorders>
              <w:top w:val="nil"/>
              <w:left w:val="nil"/>
              <w:bottom w:val="nil"/>
              <w:right w:val="nil"/>
            </w:tcBorders>
            <w:shd w:val="clear" w:color="000000" w:fill="FFFFFF"/>
            <w:noWrap/>
            <w:vAlign w:val="center"/>
            <w:hideMark/>
          </w:tcPr>
          <w:p w14:paraId="46569CCF" w14:textId="77777777" w:rsidR="00242011" w:rsidRPr="00242011" w:rsidRDefault="00242011" w:rsidP="00AE0023">
            <w:pPr>
              <w:pStyle w:val="TableTextCentered2"/>
              <w:spacing w:before="10" w:after="10"/>
            </w:pPr>
            <w:r w:rsidRPr="00242011">
              <w:t>1.4</w:t>
            </w:r>
          </w:p>
        </w:tc>
        <w:tc>
          <w:tcPr>
            <w:tcW w:w="1231" w:type="dxa"/>
            <w:tcBorders>
              <w:top w:val="nil"/>
              <w:left w:val="nil"/>
              <w:bottom w:val="nil"/>
              <w:right w:val="single" w:sz="4" w:space="0" w:color="auto"/>
            </w:tcBorders>
            <w:shd w:val="clear" w:color="000000" w:fill="FFFFFF"/>
            <w:noWrap/>
            <w:vAlign w:val="center"/>
            <w:hideMark/>
          </w:tcPr>
          <w:p w14:paraId="03CA78AF" w14:textId="77777777" w:rsidR="00242011" w:rsidRPr="00242011" w:rsidRDefault="00242011" w:rsidP="00AE0023">
            <w:pPr>
              <w:pStyle w:val="TableTextCentered2"/>
              <w:spacing w:before="10" w:after="10"/>
            </w:pPr>
            <w:r w:rsidRPr="00242011">
              <w:t>1.6</w:t>
            </w:r>
          </w:p>
        </w:tc>
        <w:tc>
          <w:tcPr>
            <w:tcW w:w="1232" w:type="dxa"/>
            <w:tcBorders>
              <w:top w:val="nil"/>
              <w:left w:val="nil"/>
              <w:bottom w:val="nil"/>
              <w:right w:val="nil"/>
            </w:tcBorders>
            <w:shd w:val="clear" w:color="000000" w:fill="FFFFFF"/>
            <w:noWrap/>
            <w:vAlign w:val="center"/>
            <w:hideMark/>
          </w:tcPr>
          <w:p w14:paraId="09848FFE"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3D94C283" w14:textId="77777777" w:rsidR="00242011" w:rsidRPr="00242011" w:rsidRDefault="00242011" w:rsidP="00AE0023">
            <w:pPr>
              <w:pStyle w:val="TableTextCentered2"/>
              <w:spacing w:before="10" w:after="10"/>
            </w:pPr>
            <w:r w:rsidRPr="00242011">
              <w:t>0.9</w:t>
            </w:r>
          </w:p>
        </w:tc>
        <w:tc>
          <w:tcPr>
            <w:tcW w:w="1232" w:type="dxa"/>
            <w:tcBorders>
              <w:top w:val="nil"/>
              <w:left w:val="nil"/>
              <w:bottom w:val="nil"/>
              <w:right w:val="single" w:sz="4" w:space="0" w:color="auto"/>
            </w:tcBorders>
            <w:shd w:val="clear" w:color="000000" w:fill="FFFFFF"/>
            <w:noWrap/>
            <w:vAlign w:val="center"/>
            <w:hideMark/>
          </w:tcPr>
          <w:p w14:paraId="0EF7011F"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34F2BA75" w14:textId="77777777" w:rsidR="00242011" w:rsidRPr="00242011" w:rsidRDefault="00242011" w:rsidP="00AE0023">
            <w:pPr>
              <w:pStyle w:val="TableTextCentered2"/>
              <w:spacing w:before="10" w:after="10"/>
            </w:pPr>
            <w:r w:rsidRPr="00242011">
              <w:t>0.8</w:t>
            </w:r>
          </w:p>
        </w:tc>
        <w:tc>
          <w:tcPr>
            <w:tcW w:w="1231" w:type="dxa"/>
            <w:tcBorders>
              <w:top w:val="nil"/>
              <w:left w:val="nil"/>
              <w:bottom w:val="nil"/>
              <w:right w:val="nil"/>
            </w:tcBorders>
            <w:shd w:val="clear" w:color="000000" w:fill="FFFFFF"/>
            <w:noWrap/>
            <w:vAlign w:val="center"/>
            <w:hideMark/>
          </w:tcPr>
          <w:p w14:paraId="5EE7FD2F" w14:textId="77777777" w:rsidR="00242011" w:rsidRPr="00242011" w:rsidRDefault="00242011" w:rsidP="00AE0023">
            <w:pPr>
              <w:pStyle w:val="TableTextCentered2"/>
              <w:spacing w:before="10" w:after="10"/>
            </w:pPr>
            <w:r w:rsidRPr="00242011">
              <w:t>0.6</w:t>
            </w:r>
          </w:p>
        </w:tc>
        <w:tc>
          <w:tcPr>
            <w:tcW w:w="1232" w:type="dxa"/>
            <w:tcBorders>
              <w:top w:val="nil"/>
              <w:left w:val="nil"/>
              <w:bottom w:val="nil"/>
              <w:right w:val="nil"/>
            </w:tcBorders>
            <w:shd w:val="clear" w:color="000000" w:fill="FFFFFF"/>
            <w:noWrap/>
            <w:vAlign w:val="center"/>
            <w:hideMark/>
          </w:tcPr>
          <w:p w14:paraId="04E8D662" w14:textId="77777777" w:rsidR="00242011" w:rsidRPr="00242011" w:rsidRDefault="00242011" w:rsidP="00AE0023">
            <w:pPr>
              <w:pStyle w:val="TableTextCentered2"/>
              <w:spacing w:before="10" w:after="10"/>
            </w:pPr>
            <w:r w:rsidRPr="00242011">
              <w:t>0.8</w:t>
            </w:r>
          </w:p>
        </w:tc>
      </w:tr>
      <w:tr w:rsidR="007576B8" w:rsidRPr="00DD28A5" w14:paraId="691F6AF9" w14:textId="77777777" w:rsidTr="007576B8">
        <w:trPr>
          <w:trHeight w:val="102"/>
        </w:trPr>
        <w:tc>
          <w:tcPr>
            <w:tcW w:w="2260" w:type="dxa"/>
            <w:tcBorders>
              <w:top w:val="nil"/>
              <w:left w:val="nil"/>
              <w:bottom w:val="nil"/>
              <w:right w:val="nil"/>
            </w:tcBorders>
            <w:shd w:val="clear" w:color="000000" w:fill="FFFFFF"/>
            <w:noWrap/>
            <w:vAlign w:val="bottom"/>
            <w:hideMark/>
          </w:tcPr>
          <w:p w14:paraId="714EB93E" w14:textId="77777777" w:rsidR="00242011" w:rsidRPr="00242011" w:rsidRDefault="00242011" w:rsidP="00BA45D5">
            <w:pPr>
              <w:pStyle w:val="TableTextLeft2"/>
              <w:spacing w:line="240" w:lineRule="auto"/>
            </w:pPr>
            <w:r w:rsidRPr="00242011">
              <w:t> </w:t>
            </w:r>
          </w:p>
        </w:tc>
        <w:tc>
          <w:tcPr>
            <w:tcW w:w="1227" w:type="dxa"/>
            <w:tcBorders>
              <w:top w:val="nil"/>
              <w:left w:val="nil"/>
              <w:bottom w:val="nil"/>
              <w:right w:val="nil"/>
            </w:tcBorders>
            <w:shd w:val="clear" w:color="000000" w:fill="FFFFFF"/>
            <w:noWrap/>
            <w:vAlign w:val="center"/>
            <w:hideMark/>
          </w:tcPr>
          <w:p w14:paraId="74257815"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5C7CA182" w14:textId="77777777" w:rsidR="00242011" w:rsidRPr="00242011" w:rsidRDefault="00242011" w:rsidP="00BA45D5">
            <w:pPr>
              <w:pStyle w:val="TableTextCentered2"/>
            </w:pPr>
            <w:r w:rsidRPr="00242011">
              <w:t> </w:t>
            </w:r>
          </w:p>
        </w:tc>
        <w:tc>
          <w:tcPr>
            <w:tcW w:w="1231" w:type="dxa"/>
            <w:tcBorders>
              <w:top w:val="nil"/>
              <w:left w:val="nil"/>
              <w:bottom w:val="nil"/>
              <w:right w:val="single" w:sz="4" w:space="0" w:color="auto"/>
            </w:tcBorders>
            <w:shd w:val="clear" w:color="000000" w:fill="FFFFFF"/>
            <w:noWrap/>
            <w:vAlign w:val="center"/>
            <w:hideMark/>
          </w:tcPr>
          <w:p w14:paraId="344CD703"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02E15F51"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1B125602" w14:textId="77777777" w:rsidR="00242011" w:rsidRPr="00242011" w:rsidRDefault="00242011" w:rsidP="00BA45D5">
            <w:pPr>
              <w:pStyle w:val="TableTextCentered2"/>
            </w:pPr>
            <w:r w:rsidRPr="00242011">
              <w:t> </w:t>
            </w:r>
          </w:p>
        </w:tc>
        <w:tc>
          <w:tcPr>
            <w:tcW w:w="1232" w:type="dxa"/>
            <w:tcBorders>
              <w:top w:val="nil"/>
              <w:left w:val="nil"/>
              <w:bottom w:val="nil"/>
              <w:right w:val="single" w:sz="4" w:space="0" w:color="auto"/>
            </w:tcBorders>
            <w:shd w:val="clear" w:color="000000" w:fill="FFFFFF"/>
            <w:noWrap/>
            <w:vAlign w:val="center"/>
            <w:hideMark/>
          </w:tcPr>
          <w:p w14:paraId="297A4B52"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53A842EF" w14:textId="77777777" w:rsidR="00242011" w:rsidRPr="00242011" w:rsidRDefault="00242011" w:rsidP="00BA45D5">
            <w:pPr>
              <w:pStyle w:val="TableTextCentered2"/>
            </w:pPr>
            <w:r w:rsidRPr="00242011">
              <w:t> </w:t>
            </w:r>
          </w:p>
        </w:tc>
        <w:tc>
          <w:tcPr>
            <w:tcW w:w="1231" w:type="dxa"/>
            <w:tcBorders>
              <w:top w:val="nil"/>
              <w:left w:val="nil"/>
              <w:bottom w:val="nil"/>
              <w:right w:val="nil"/>
            </w:tcBorders>
            <w:shd w:val="clear" w:color="000000" w:fill="FFFFFF"/>
            <w:noWrap/>
            <w:vAlign w:val="center"/>
            <w:hideMark/>
          </w:tcPr>
          <w:p w14:paraId="791CA2DD"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5AA0E288" w14:textId="77777777" w:rsidR="00242011" w:rsidRPr="00242011" w:rsidRDefault="00242011" w:rsidP="00BA45D5">
            <w:pPr>
              <w:pStyle w:val="TableTextCentered2"/>
            </w:pPr>
            <w:r w:rsidRPr="00242011">
              <w:t> </w:t>
            </w:r>
          </w:p>
        </w:tc>
      </w:tr>
      <w:tr w:rsidR="007576B8" w:rsidRPr="00DD28A5" w14:paraId="3A2B6643" w14:textId="77777777" w:rsidTr="007576B8">
        <w:trPr>
          <w:trHeight w:val="240"/>
        </w:trPr>
        <w:tc>
          <w:tcPr>
            <w:tcW w:w="2260" w:type="dxa"/>
            <w:tcBorders>
              <w:top w:val="nil"/>
              <w:left w:val="nil"/>
              <w:bottom w:val="nil"/>
              <w:right w:val="nil"/>
            </w:tcBorders>
            <w:shd w:val="clear" w:color="000000" w:fill="FFFFFF"/>
            <w:noWrap/>
            <w:vAlign w:val="bottom"/>
            <w:hideMark/>
          </w:tcPr>
          <w:p w14:paraId="7557BE0D" w14:textId="77777777" w:rsidR="00242011" w:rsidRPr="00242011" w:rsidRDefault="00242011" w:rsidP="00AE0023">
            <w:pPr>
              <w:pStyle w:val="TableTextLeft2"/>
              <w:spacing w:before="10" w:after="10" w:line="240" w:lineRule="auto"/>
            </w:pPr>
            <w:r w:rsidRPr="00242011">
              <w:t>Employment</w:t>
            </w:r>
          </w:p>
        </w:tc>
        <w:tc>
          <w:tcPr>
            <w:tcW w:w="1227" w:type="dxa"/>
            <w:tcBorders>
              <w:top w:val="nil"/>
              <w:left w:val="nil"/>
              <w:bottom w:val="nil"/>
              <w:right w:val="nil"/>
            </w:tcBorders>
            <w:shd w:val="clear" w:color="000000" w:fill="FFFFFF"/>
            <w:noWrap/>
            <w:vAlign w:val="center"/>
            <w:hideMark/>
          </w:tcPr>
          <w:p w14:paraId="4222F2A2" w14:textId="77777777" w:rsidR="00242011" w:rsidRPr="00242011" w:rsidRDefault="00242011" w:rsidP="00AE0023">
            <w:pPr>
              <w:pStyle w:val="TableTextCentered2"/>
              <w:spacing w:before="10" w:after="10"/>
            </w:pPr>
            <w:r w:rsidRPr="00242011">
              <w:t>0.4</w:t>
            </w:r>
          </w:p>
        </w:tc>
        <w:tc>
          <w:tcPr>
            <w:tcW w:w="1232" w:type="dxa"/>
            <w:tcBorders>
              <w:top w:val="nil"/>
              <w:left w:val="nil"/>
              <w:bottom w:val="nil"/>
              <w:right w:val="nil"/>
            </w:tcBorders>
            <w:shd w:val="clear" w:color="000000" w:fill="FFFFFF"/>
            <w:noWrap/>
            <w:vAlign w:val="center"/>
            <w:hideMark/>
          </w:tcPr>
          <w:p w14:paraId="51C2F8B5" w14:textId="77777777" w:rsidR="00242011" w:rsidRPr="00242011" w:rsidRDefault="00242011" w:rsidP="00AE0023">
            <w:pPr>
              <w:pStyle w:val="TableTextCentered2"/>
              <w:spacing w:before="10" w:after="10"/>
            </w:pPr>
            <w:r w:rsidRPr="00242011">
              <w:t>0.2</w:t>
            </w:r>
          </w:p>
        </w:tc>
        <w:tc>
          <w:tcPr>
            <w:tcW w:w="1231" w:type="dxa"/>
            <w:tcBorders>
              <w:top w:val="nil"/>
              <w:left w:val="nil"/>
              <w:bottom w:val="nil"/>
              <w:right w:val="single" w:sz="4" w:space="0" w:color="auto"/>
            </w:tcBorders>
            <w:shd w:val="clear" w:color="000000" w:fill="FFFFFF"/>
            <w:noWrap/>
            <w:vAlign w:val="center"/>
            <w:hideMark/>
          </w:tcPr>
          <w:p w14:paraId="3FCC1903" w14:textId="77777777" w:rsidR="00242011" w:rsidRPr="00242011" w:rsidRDefault="00242011" w:rsidP="00AE0023">
            <w:pPr>
              <w:pStyle w:val="TableTextCentered2"/>
              <w:spacing w:before="10" w:after="10"/>
            </w:pPr>
            <w:r w:rsidRPr="00242011">
              <w:t>0.2</w:t>
            </w:r>
          </w:p>
        </w:tc>
        <w:tc>
          <w:tcPr>
            <w:tcW w:w="1232" w:type="dxa"/>
            <w:tcBorders>
              <w:top w:val="nil"/>
              <w:left w:val="nil"/>
              <w:bottom w:val="nil"/>
              <w:right w:val="nil"/>
            </w:tcBorders>
            <w:shd w:val="clear" w:color="000000" w:fill="FFFFFF"/>
            <w:noWrap/>
            <w:vAlign w:val="center"/>
            <w:hideMark/>
          </w:tcPr>
          <w:p w14:paraId="13E85917" w14:textId="77777777" w:rsidR="00242011" w:rsidRPr="00242011" w:rsidRDefault="00242011" w:rsidP="00AE0023">
            <w:pPr>
              <w:pStyle w:val="TableTextCentered2"/>
              <w:spacing w:before="10" w:after="10"/>
            </w:pPr>
            <w:r w:rsidRPr="00242011">
              <w:t>0.4</w:t>
            </w:r>
          </w:p>
        </w:tc>
        <w:tc>
          <w:tcPr>
            <w:tcW w:w="1232" w:type="dxa"/>
            <w:tcBorders>
              <w:top w:val="nil"/>
              <w:left w:val="nil"/>
              <w:bottom w:val="nil"/>
              <w:right w:val="nil"/>
            </w:tcBorders>
            <w:shd w:val="clear" w:color="000000" w:fill="FFFFFF"/>
            <w:noWrap/>
            <w:vAlign w:val="center"/>
            <w:hideMark/>
          </w:tcPr>
          <w:p w14:paraId="53AE8864" w14:textId="77777777" w:rsidR="00242011" w:rsidRPr="00242011" w:rsidRDefault="00242011" w:rsidP="00AE0023">
            <w:pPr>
              <w:pStyle w:val="TableTextCentered2"/>
              <w:spacing w:before="10" w:after="10"/>
            </w:pPr>
            <w:r w:rsidRPr="00242011">
              <w:t>0.1</w:t>
            </w:r>
          </w:p>
        </w:tc>
        <w:tc>
          <w:tcPr>
            <w:tcW w:w="1232" w:type="dxa"/>
            <w:tcBorders>
              <w:top w:val="nil"/>
              <w:left w:val="nil"/>
              <w:bottom w:val="nil"/>
              <w:right w:val="single" w:sz="4" w:space="0" w:color="auto"/>
            </w:tcBorders>
            <w:shd w:val="clear" w:color="000000" w:fill="FFFFFF"/>
            <w:noWrap/>
            <w:vAlign w:val="center"/>
            <w:hideMark/>
          </w:tcPr>
          <w:p w14:paraId="69B357A4" w14:textId="77777777" w:rsidR="00242011" w:rsidRPr="00242011" w:rsidRDefault="00242011" w:rsidP="00AE0023">
            <w:pPr>
              <w:pStyle w:val="TableTextCentered2"/>
              <w:spacing w:before="10" w:after="10"/>
            </w:pPr>
            <w:r w:rsidRPr="00242011">
              <w:t>0.1</w:t>
            </w:r>
          </w:p>
        </w:tc>
        <w:tc>
          <w:tcPr>
            <w:tcW w:w="1232" w:type="dxa"/>
            <w:tcBorders>
              <w:top w:val="nil"/>
              <w:left w:val="nil"/>
              <w:bottom w:val="nil"/>
              <w:right w:val="nil"/>
            </w:tcBorders>
            <w:shd w:val="clear" w:color="000000" w:fill="FFFFFF"/>
            <w:noWrap/>
            <w:vAlign w:val="center"/>
            <w:hideMark/>
          </w:tcPr>
          <w:p w14:paraId="20361D53" w14:textId="77777777" w:rsidR="00242011" w:rsidRPr="00242011" w:rsidRDefault="00242011" w:rsidP="00AE0023">
            <w:pPr>
              <w:pStyle w:val="TableTextCentered2"/>
              <w:spacing w:before="10" w:after="10"/>
            </w:pPr>
            <w:r w:rsidRPr="00242011">
              <w:t>0.3</w:t>
            </w:r>
          </w:p>
        </w:tc>
        <w:tc>
          <w:tcPr>
            <w:tcW w:w="1231" w:type="dxa"/>
            <w:tcBorders>
              <w:top w:val="nil"/>
              <w:left w:val="nil"/>
              <w:bottom w:val="nil"/>
              <w:right w:val="nil"/>
            </w:tcBorders>
            <w:shd w:val="clear" w:color="000000" w:fill="FFFFFF"/>
            <w:noWrap/>
            <w:vAlign w:val="center"/>
            <w:hideMark/>
          </w:tcPr>
          <w:p w14:paraId="570FBE76" w14:textId="77777777" w:rsidR="00242011" w:rsidRPr="00242011" w:rsidRDefault="00242011" w:rsidP="00AE0023">
            <w:pPr>
              <w:pStyle w:val="TableTextCentered2"/>
              <w:spacing w:before="10" w:after="10"/>
            </w:pPr>
            <w:r w:rsidRPr="00242011">
              <w:t>0.0</w:t>
            </w:r>
          </w:p>
        </w:tc>
        <w:tc>
          <w:tcPr>
            <w:tcW w:w="1232" w:type="dxa"/>
            <w:tcBorders>
              <w:top w:val="nil"/>
              <w:left w:val="nil"/>
              <w:bottom w:val="nil"/>
              <w:right w:val="nil"/>
            </w:tcBorders>
            <w:shd w:val="clear" w:color="000000" w:fill="FFFFFF"/>
            <w:noWrap/>
            <w:vAlign w:val="center"/>
            <w:hideMark/>
          </w:tcPr>
          <w:p w14:paraId="120A8F62" w14:textId="77777777" w:rsidR="00242011" w:rsidRPr="00242011" w:rsidRDefault="00242011" w:rsidP="00AE0023">
            <w:pPr>
              <w:pStyle w:val="TableTextCentered2"/>
              <w:spacing w:before="10" w:after="10"/>
            </w:pPr>
            <w:r w:rsidRPr="00242011">
              <w:t>0.0</w:t>
            </w:r>
          </w:p>
        </w:tc>
      </w:tr>
      <w:tr w:rsidR="007576B8" w:rsidRPr="00DD28A5" w14:paraId="1367A924" w14:textId="77777777" w:rsidTr="007576B8">
        <w:trPr>
          <w:trHeight w:val="240"/>
        </w:trPr>
        <w:tc>
          <w:tcPr>
            <w:tcW w:w="2260" w:type="dxa"/>
            <w:tcBorders>
              <w:top w:val="nil"/>
              <w:left w:val="nil"/>
              <w:bottom w:val="nil"/>
              <w:right w:val="nil"/>
            </w:tcBorders>
            <w:shd w:val="clear" w:color="000000" w:fill="FFFFFF"/>
            <w:noWrap/>
            <w:vAlign w:val="bottom"/>
            <w:hideMark/>
          </w:tcPr>
          <w:p w14:paraId="2DFEF301" w14:textId="77777777" w:rsidR="00242011" w:rsidRPr="00242011" w:rsidRDefault="00242011" w:rsidP="00AE0023">
            <w:pPr>
              <w:pStyle w:val="TableTextLeft2"/>
              <w:spacing w:before="10" w:after="10" w:line="240" w:lineRule="auto"/>
            </w:pPr>
            <w:r w:rsidRPr="00242011">
              <w:t>Real wage (before-tax)</w:t>
            </w:r>
          </w:p>
        </w:tc>
        <w:tc>
          <w:tcPr>
            <w:tcW w:w="1227" w:type="dxa"/>
            <w:tcBorders>
              <w:top w:val="nil"/>
              <w:left w:val="nil"/>
              <w:bottom w:val="nil"/>
              <w:right w:val="nil"/>
            </w:tcBorders>
            <w:shd w:val="clear" w:color="000000" w:fill="FFFFFF"/>
            <w:noWrap/>
            <w:vAlign w:val="center"/>
            <w:hideMark/>
          </w:tcPr>
          <w:p w14:paraId="28BD3EF6" w14:textId="77777777" w:rsidR="00242011" w:rsidRPr="00242011" w:rsidRDefault="00242011" w:rsidP="00AE0023">
            <w:pPr>
              <w:pStyle w:val="TableTextCentered2"/>
              <w:spacing w:before="10" w:after="10"/>
            </w:pPr>
            <w:r w:rsidRPr="00242011">
              <w:t>1.4</w:t>
            </w:r>
          </w:p>
        </w:tc>
        <w:tc>
          <w:tcPr>
            <w:tcW w:w="1232" w:type="dxa"/>
            <w:tcBorders>
              <w:top w:val="nil"/>
              <w:left w:val="nil"/>
              <w:bottom w:val="nil"/>
              <w:right w:val="nil"/>
            </w:tcBorders>
            <w:shd w:val="clear" w:color="000000" w:fill="FFFFFF"/>
            <w:noWrap/>
            <w:vAlign w:val="center"/>
            <w:hideMark/>
          </w:tcPr>
          <w:p w14:paraId="7F2535C9" w14:textId="77777777" w:rsidR="00242011" w:rsidRPr="00242011" w:rsidRDefault="00242011" w:rsidP="00AE0023">
            <w:pPr>
              <w:pStyle w:val="TableTextCentered2"/>
              <w:spacing w:before="10" w:after="10"/>
            </w:pPr>
            <w:r w:rsidRPr="00242011">
              <w:t>1.5</w:t>
            </w:r>
          </w:p>
        </w:tc>
        <w:tc>
          <w:tcPr>
            <w:tcW w:w="1231" w:type="dxa"/>
            <w:tcBorders>
              <w:top w:val="nil"/>
              <w:left w:val="nil"/>
              <w:bottom w:val="nil"/>
              <w:right w:val="single" w:sz="4" w:space="0" w:color="auto"/>
            </w:tcBorders>
            <w:shd w:val="clear" w:color="000000" w:fill="FFFFFF"/>
            <w:noWrap/>
            <w:vAlign w:val="center"/>
            <w:hideMark/>
          </w:tcPr>
          <w:p w14:paraId="518D58BA" w14:textId="77777777" w:rsidR="00242011" w:rsidRPr="00242011" w:rsidRDefault="00242011" w:rsidP="00AE0023">
            <w:pPr>
              <w:pStyle w:val="TableTextCentered2"/>
              <w:spacing w:before="10" w:after="10"/>
            </w:pPr>
            <w:r w:rsidRPr="00242011">
              <w:t>1.4</w:t>
            </w:r>
          </w:p>
        </w:tc>
        <w:tc>
          <w:tcPr>
            <w:tcW w:w="1232" w:type="dxa"/>
            <w:tcBorders>
              <w:top w:val="nil"/>
              <w:left w:val="nil"/>
              <w:bottom w:val="nil"/>
              <w:right w:val="nil"/>
            </w:tcBorders>
            <w:shd w:val="clear" w:color="000000" w:fill="FFFFFF"/>
            <w:noWrap/>
            <w:vAlign w:val="center"/>
            <w:hideMark/>
          </w:tcPr>
          <w:p w14:paraId="3691C963"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11E7B16F" w14:textId="77777777" w:rsidR="00242011" w:rsidRPr="00242011" w:rsidRDefault="00242011" w:rsidP="00AE0023">
            <w:pPr>
              <w:pStyle w:val="TableTextCentered2"/>
              <w:spacing w:before="10" w:after="10"/>
            </w:pPr>
            <w:r w:rsidRPr="00242011">
              <w:t>1.2</w:t>
            </w:r>
          </w:p>
        </w:tc>
        <w:tc>
          <w:tcPr>
            <w:tcW w:w="1232" w:type="dxa"/>
            <w:tcBorders>
              <w:top w:val="nil"/>
              <w:left w:val="nil"/>
              <w:bottom w:val="nil"/>
              <w:right w:val="single" w:sz="4" w:space="0" w:color="auto"/>
            </w:tcBorders>
            <w:shd w:val="clear" w:color="000000" w:fill="FFFFFF"/>
            <w:noWrap/>
            <w:vAlign w:val="center"/>
            <w:hideMark/>
          </w:tcPr>
          <w:p w14:paraId="008EBA55"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7E8EFB88" w14:textId="77777777" w:rsidR="00242011" w:rsidRPr="00242011" w:rsidRDefault="00242011" w:rsidP="00AE0023">
            <w:pPr>
              <w:pStyle w:val="TableTextCentered2"/>
              <w:spacing w:before="10" w:after="10"/>
            </w:pPr>
            <w:r w:rsidRPr="00242011">
              <w:t>0.9</w:t>
            </w:r>
          </w:p>
        </w:tc>
        <w:tc>
          <w:tcPr>
            <w:tcW w:w="1231" w:type="dxa"/>
            <w:tcBorders>
              <w:top w:val="nil"/>
              <w:left w:val="nil"/>
              <w:bottom w:val="nil"/>
              <w:right w:val="nil"/>
            </w:tcBorders>
            <w:shd w:val="clear" w:color="000000" w:fill="FFFFFF"/>
            <w:noWrap/>
            <w:vAlign w:val="center"/>
            <w:hideMark/>
          </w:tcPr>
          <w:p w14:paraId="4E549A80" w14:textId="77777777" w:rsidR="00242011" w:rsidRPr="00242011" w:rsidRDefault="00242011" w:rsidP="00AE0023">
            <w:pPr>
              <w:pStyle w:val="TableTextCentered2"/>
              <w:spacing w:before="10" w:after="10"/>
            </w:pPr>
            <w:r w:rsidRPr="00242011">
              <w:t>1.0</w:t>
            </w:r>
          </w:p>
        </w:tc>
        <w:tc>
          <w:tcPr>
            <w:tcW w:w="1232" w:type="dxa"/>
            <w:tcBorders>
              <w:top w:val="nil"/>
              <w:left w:val="nil"/>
              <w:bottom w:val="nil"/>
              <w:right w:val="nil"/>
            </w:tcBorders>
            <w:shd w:val="clear" w:color="000000" w:fill="FFFFFF"/>
            <w:noWrap/>
            <w:vAlign w:val="center"/>
            <w:hideMark/>
          </w:tcPr>
          <w:p w14:paraId="1EB7FCBD" w14:textId="77777777" w:rsidR="00242011" w:rsidRPr="00242011" w:rsidRDefault="00242011" w:rsidP="00AE0023">
            <w:pPr>
              <w:pStyle w:val="TableTextCentered2"/>
              <w:spacing w:before="10" w:after="10"/>
            </w:pPr>
            <w:r w:rsidRPr="00242011">
              <w:t>0.8</w:t>
            </w:r>
          </w:p>
        </w:tc>
      </w:tr>
      <w:tr w:rsidR="007576B8" w:rsidRPr="00DD28A5" w14:paraId="41E5241A" w14:textId="77777777" w:rsidTr="007576B8">
        <w:trPr>
          <w:trHeight w:val="240"/>
        </w:trPr>
        <w:tc>
          <w:tcPr>
            <w:tcW w:w="2260" w:type="dxa"/>
            <w:tcBorders>
              <w:top w:val="nil"/>
              <w:left w:val="nil"/>
              <w:bottom w:val="nil"/>
              <w:right w:val="nil"/>
            </w:tcBorders>
            <w:shd w:val="clear" w:color="000000" w:fill="FFFFFF"/>
            <w:noWrap/>
            <w:vAlign w:val="bottom"/>
            <w:hideMark/>
          </w:tcPr>
          <w:p w14:paraId="0AD092B0" w14:textId="77777777" w:rsidR="00242011" w:rsidRPr="00242011" w:rsidRDefault="00242011" w:rsidP="00AE0023">
            <w:pPr>
              <w:pStyle w:val="TableTextLeft2"/>
              <w:spacing w:before="10" w:after="10" w:line="240" w:lineRule="auto"/>
            </w:pPr>
            <w:r w:rsidRPr="00242011">
              <w:t>Real wage (after-tax)</w:t>
            </w:r>
          </w:p>
        </w:tc>
        <w:tc>
          <w:tcPr>
            <w:tcW w:w="1227" w:type="dxa"/>
            <w:tcBorders>
              <w:top w:val="nil"/>
              <w:left w:val="nil"/>
              <w:bottom w:val="nil"/>
              <w:right w:val="nil"/>
            </w:tcBorders>
            <w:shd w:val="clear" w:color="000000" w:fill="FFFFFF"/>
            <w:noWrap/>
            <w:vAlign w:val="center"/>
            <w:hideMark/>
          </w:tcPr>
          <w:p w14:paraId="7E981DC9" w14:textId="77777777" w:rsidR="00242011" w:rsidRPr="00242011" w:rsidRDefault="00242011" w:rsidP="00AE0023">
            <w:pPr>
              <w:pStyle w:val="TableTextCentered2"/>
              <w:spacing w:before="10" w:after="10"/>
            </w:pPr>
            <w:r w:rsidRPr="00242011">
              <w:t>1.4</w:t>
            </w:r>
          </w:p>
        </w:tc>
        <w:tc>
          <w:tcPr>
            <w:tcW w:w="1232" w:type="dxa"/>
            <w:tcBorders>
              <w:top w:val="nil"/>
              <w:left w:val="nil"/>
              <w:bottom w:val="nil"/>
              <w:right w:val="nil"/>
            </w:tcBorders>
            <w:shd w:val="clear" w:color="000000" w:fill="FFFFFF"/>
            <w:noWrap/>
            <w:vAlign w:val="center"/>
            <w:hideMark/>
          </w:tcPr>
          <w:p w14:paraId="2CBB9C89" w14:textId="77777777" w:rsidR="00242011" w:rsidRPr="00242011" w:rsidRDefault="00242011" w:rsidP="00AE0023">
            <w:pPr>
              <w:pStyle w:val="TableTextCentered2"/>
              <w:spacing w:before="10" w:after="10"/>
            </w:pPr>
            <w:r w:rsidRPr="00242011">
              <w:t>0.8</w:t>
            </w:r>
          </w:p>
        </w:tc>
        <w:tc>
          <w:tcPr>
            <w:tcW w:w="1231" w:type="dxa"/>
            <w:tcBorders>
              <w:top w:val="nil"/>
              <w:left w:val="nil"/>
              <w:bottom w:val="nil"/>
              <w:right w:val="single" w:sz="4" w:space="0" w:color="auto"/>
            </w:tcBorders>
            <w:shd w:val="clear" w:color="000000" w:fill="FFFFFF"/>
            <w:noWrap/>
            <w:vAlign w:val="center"/>
            <w:hideMark/>
          </w:tcPr>
          <w:p w14:paraId="3470F8A1" w14:textId="77777777" w:rsidR="00242011" w:rsidRPr="00242011" w:rsidRDefault="00242011" w:rsidP="00AE0023">
            <w:pPr>
              <w:pStyle w:val="TableTextCentered2"/>
              <w:spacing w:before="10" w:after="10"/>
            </w:pPr>
            <w:r w:rsidRPr="00242011">
              <w:t>1.4</w:t>
            </w:r>
          </w:p>
        </w:tc>
        <w:tc>
          <w:tcPr>
            <w:tcW w:w="1232" w:type="dxa"/>
            <w:tcBorders>
              <w:top w:val="nil"/>
              <w:left w:val="nil"/>
              <w:bottom w:val="nil"/>
              <w:right w:val="nil"/>
            </w:tcBorders>
            <w:shd w:val="clear" w:color="000000" w:fill="FFFFFF"/>
            <w:noWrap/>
            <w:vAlign w:val="center"/>
            <w:hideMark/>
          </w:tcPr>
          <w:p w14:paraId="6CFF0F8D"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100496FA" w14:textId="77777777" w:rsidR="00242011" w:rsidRPr="00242011" w:rsidRDefault="00242011" w:rsidP="00AE0023">
            <w:pPr>
              <w:pStyle w:val="TableTextCentered2"/>
              <w:spacing w:before="10" w:after="10"/>
            </w:pPr>
            <w:r w:rsidRPr="00242011">
              <w:t>0.4</w:t>
            </w:r>
          </w:p>
        </w:tc>
        <w:tc>
          <w:tcPr>
            <w:tcW w:w="1232" w:type="dxa"/>
            <w:tcBorders>
              <w:top w:val="nil"/>
              <w:left w:val="nil"/>
              <w:bottom w:val="nil"/>
              <w:right w:val="single" w:sz="4" w:space="0" w:color="auto"/>
            </w:tcBorders>
            <w:shd w:val="clear" w:color="000000" w:fill="FFFFFF"/>
            <w:noWrap/>
            <w:vAlign w:val="center"/>
            <w:hideMark/>
          </w:tcPr>
          <w:p w14:paraId="1B20A6F3" w14:textId="77777777" w:rsidR="00242011" w:rsidRPr="00242011" w:rsidRDefault="00242011" w:rsidP="00AE0023">
            <w:pPr>
              <w:pStyle w:val="TableTextCentered2"/>
              <w:spacing w:before="10" w:after="10"/>
            </w:pPr>
            <w:r w:rsidRPr="00242011">
              <w:t>1.1</w:t>
            </w:r>
          </w:p>
        </w:tc>
        <w:tc>
          <w:tcPr>
            <w:tcW w:w="1232" w:type="dxa"/>
            <w:tcBorders>
              <w:top w:val="nil"/>
              <w:left w:val="nil"/>
              <w:bottom w:val="nil"/>
              <w:right w:val="nil"/>
            </w:tcBorders>
            <w:shd w:val="clear" w:color="000000" w:fill="FFFFFF"/>
            <w:noWrap/>
            <w:vAlign w:val="center"/>
            <w:hideMark/>
          </w:tcPr>
          <w:p w14:paraId="4EB17F9C" w14:textId="77777777" w:rsidR="00242011" w:rsidRPr="00242011" w:rsidRDefault="00242011" w:rsidP="00AE0023">
            <w:pPr>
              <w:pStyle w:val="TableTextCentered2"/>
              <w:spacing w:before="10" w:after="10"/>
            </w:pPr>
            <w:r w:rsidRPr="00242011">
              <w:t>0.9</w:t>
            </w:r>
          </w:p>
        </w:tc>
        <w:tc>
          <w:tcPr>
            <w:tcW w:w="1231" w:type="dxa"/>
            <w:tcBorders>
              <w:top w:val="nil"/>
              <w:left w:val="nil"/>
              <w:bottom w:val="nil"/>
              <w:right w:val="nil"/>
            </w:tcBorders>
            <w:shd w:val="clear" w:color="000000" w:fill="FFFFFF"/>
            <w:noWrap/>
            <w:vAlign w:val="center"/>
            <w:hideMark/>
          </w:tcPr>
          <w:p w14:paraId="0A795A84" w14:textId="77777777" w:rsidR="00242011" w:rsidRPr="00242011" w:rsidRDefault="00242011" w:rsidP="00AE0023">
            <w:pPr>
              <w:pStyle w:val="TableTextCentered2"/>
              <w:spacing w:before="10" w:after="10"/>
            </w:pPr>
            <w:r w:rsidRPr="00242011">
              <w:t>0.1</w:t>
            </w:r>
          </w:p>
        </w:tc>
        <w:tc>
          <w:tcPr>
            <w:tcW w:w="1232" w:type="dxa"/>
            <w:tcBorders>
              <w:top w:val="nil"/>
              <w:left w:val="nil"/>
              <w:bottom w:val="nil"/>
              <w:right w:val="nil"/>
            </w:tcBorders>
            <w:shd w:val="clear" w:color="000000" w:fill="FFFFFF"/>
            <w:noWrap/>
            <w:vAlign w:val="center"/>
            <w:hideMark/>
          </w:tcPr>
          <w:p w14:paraId="6C92416F" w14:textId="77777777" w:rsidR="00242011" w:rsidRPr="00242011" w:rsidRDefault="00242011" w:rsidP="00AE0023">
            <w:pPr>
              <w:pStyle w:val="TableTextCentered2"/>
              <w:spacing w:before="10" w:after="10"/>
            </w:pPr>
            <w:r w:rsidRPr="00242011">
              <w:t>0.8</w:t>
            </w:r>
          </w:p>
        </w:tc>
      </w:tr>
      <w:tr w:rsidR="007576B8" w:rsidRPr="00DD28A5" w14:paraId="0DA72DC0" w14:textId="77777777" w:rsidTr="007576B8">
        <w:trPr>
          <w:trHeight w:val="102"/>
        </w:trPr>
        <w:tc>
          <w:tcPr>
            <w:tcW w:w="2260" w:type="dxa"/>
            <w:tcBorders>
              <w:top w:val="nil"/>
              <w:left w:val="nil"/>
              <w:bottom w:val="nil"/>
              <w:right w:val="nil"/>
            </w:tcBorders>
            <w:shd w:val="clear" w:color="000000" w:fill="FFFFFF"/>
            <w:noWrap/>
            <w:vAlign w:val="bottom"/>
            <w:hideMark/>
          </w:tcPr>
          <w:p w14:paraId="0EA6DF20" w14:textId="77777777" w:rsidR="00242011" w:rsidRPr="00242011" w:rsidRDefault="00242011" w:rsidP="00BA45D5">
            <w:pPr>
              <w:pStyle w:val="TableTextLeft2"/>
              <w:spacing w:line="240" w:lineRule="auto"/>
            </w:pPr>
            <w:r w:rsidRPr="00242011">
              <w:t> </w:t>
            </w:r>
          </w:p>
        </w:tc>
        <w:tc>
          <w:tcPr>
            <w:tcW w:w="1227" w:type="dxa"/>
            <w:tcBorders>
              <w:top w:val="nil"/>
              <w:left w:val="nil"/>
              <w:bottom w:val="nil"/>
              <w:right w:val="nil"/>
            </w:tcBorders>
            <w:shd w:val="clear" w:color="000000" w:fill="FFFFFF"/>
            <w:noWrap/>
            <w:vAlign w:val="center"/>
            <w:hideMark/>
          </w:tcPr>
          <w:p w14:paraId="32CA94C2"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20B9B0EB" w14:textId="77777777" w:rsidR="00242011" w:rsidRPr="00242011" w:rsidRDefault="00242011" w:rsidP="00BA45D5">
            <w:pPr>
              <w:pStyle w:val="TableTextCentered2"/>
            </w:pPr>
            <w:r w:rsidRPr="00242011">
              <w:t> </w:t>
            </w:r>
          </w:p>
        </w:tc>
        <w:tc>
          <w:tcPr>
            <w:tcW w:w="1231" w:type="dxa"/>
            <w:tcBorders>
              <w:top w:val="nil"/>
              <w:left w:val="nil"/>
              <w:bottom w:val="nil"/>
              <w:right w:val="single" w:sz="4" w:space="0" w:color="auto"/>
            </w:tcBorders>
            <w:shd w:val="clear" w:color="000000" w:fill="FFFFFF"/>
            <w:noWrap/>
            <w:vAlign w:val="center"/>
            <w:hideMark/>
          </w:tcPr>
          <w:p w14:paraId="0EC4E411"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326E1899"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44B276CE" w14:textId="77777777" w:rsidR="00242011" w:rsidRPr="00242011" w:rsidRDefault="00242011" w:rsidP="00BA45D5">
            <w:pPr>
              <w:pStyle w:val="TableTextCentered2"/>
            </w:pPr>
            <w:r w:rsidRPr="00242011">
              <w:t> </w:t>
            </w:r>
          </w:p>
        </w:tc>
        <w:tc>
          <w:tcPr>
            <w:tcW w:w="1232" w:type="dxa"/>
            <w:tcBorders>
              <w:top w:val="nil"/>
              <w:left w:val="nil"/>
              <w:bottom w:val="nil"/>
              <w:right w:val="single" w:sz="4" w:space="0" w:color="auto"/>
            </w:tcBorders>
            <w:shd w:val="clear" w:color="000000" w:fill="FFFFFF"/>
            <w:noWrap/>
            <w:vAlign w:val="center"/>
            <w:hideMark/>
          </w:tcPr>
          <w:p w14:paraId="0D8492C8"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31FFC33F" w14:textId="77777777" w:rsidR="00242011" w:rsidRPr="00242011" w:rsidRDefault="00242011" w:rsidP="00BA45D5">
            <w:pPr>
              <w:pStyle w:val="TableTextCentered2"/>
            </w:pPr>
            <w:r w:rsidRPr="00242011">
              <w:t> </w:t>
            </w:r>
          </w:p>
        </w:tc>
        <w:tc>
          <w:tcPr>
            <w:tcW w:w="1231" w:type="dxa"/>
            <w:tcBorders>
              <w:top w:val="nil"/>
              <w:left w:val="nil"/>
              <w:bottom w:val="nil"/>
              <w:right w:val="nil"/>
            </w:tcBorders>
            <w:shd w:val="clear" w:color="000000" w:fill="FFFFFF"/>
            <w:noWrap/>
            <w:vAlign w:val="center"/>
            <w:hideMark/>
          </w:tcPr>
          <w:p w14:paraId="3BF21164" w14:textId="77777777" w:rsidR="00242011" w:rsidRPr="00242011" w:rsidRDefault="00242011" w:rsidP="00BA45D5">
            <w:pPr>
              <w:pStyle w:val="TableTextCentered2"/>
            </w:pPr>
            <w:r w:rsidRPr="00242011">
              <w:t> </w:t>
            </w:r>
          </w:p>
        </w:tc>
        <w:tc>
          <w:tcPr>
            <w:tcW w:w="1232" w:type="dxa"/>
            <w:tcBorders>
              <w:top w:val="nil"/>
              <w:left w:val="nil"/>
              <w:bottom w:val="nil"/>
              <w:right w:val="nil"/>
            </w:tcBorders>
            <w:shd w:val="clear" w:color="000000" w:fill="FFFFFF"/>
            <w:noWrap/>
            <w:vAlign w:val="center"/>
            <w:hideMark/>
          </w:tcPr>
          <w:p w14:paraId="50920A6F" w14:textId="77777777" w:rsidR="00242011" w:rsidRPr="00242011" w:rsidRDefault="00242011" w:rsidP="00BA45D5">
            <w:pPr>
              <w:pStyle w:val="TableTextCentered2"/>
            </w:pPr>
            <w:r w:rsidRPr="00242011">
              <w:t> </w:t>
            </w:r>
          </w:p>
        </w:tc>
      </w:tr>
      <w:tr w:rsidR="007576B8" w:rsidRPr="00DD28A5" w14:paraId="1736BF7E" w14:textId="77777777" w:rsidTr="007576B8">
        <w:trPr>
          <w:trHeight w:val="240"/>
        </w:trPr>
        <w:tc>
          <w:tcPr>
            <w:tcW w:w="2260" w:type="dxa"/>
            <w:tcBorders>
              <w:top w:val="nil"/>
              <w:left w:val="nil"/>
              <w:bottom w:val="single" w:sz="4" w:space="0" w:color="auto"/>
              <w:right w:val="nil"/>
            </w:tcBorders>
            <w:shd w:val="clear" w:color="000000" w:fill="FFFFFF"/>
            <w:noWrap/>
            <w:vAlign w:val="bottom"/>
            <w:hideMark/>
          </w:tcPr>
          <w:p w14:paraId="6192E807" w14:textId="77777777" w:rsidR="00242011" w:rsidRPr="00242011" w:rsidRDefault="00242011" w:rsidP="00AE0023">
            <w:pPr>
              <w:pStyle w:val="TableTextLeft2"/>
              <w:spacing w:before="10" w:after="10" w:line="240" w:lineRule="auto"/>
            </w:pPr>
            <w:r w:rsidRPr="00242011">
              <w:t>Welfare</w:t>
            </w:r>
          </w:p>
        </w:tc>
        <w:tc>
          <w:tcPr>
            <w:tcW w:w="1227" w:type="dxa"/>
            <w:tcBorders>
              <w:top w:val="nil"/>
              <w:left w:val="nil"/>
              <w:bottom w:val="single" w:sz="4" w:space="0" w:color="auto"/>
              <w:right w:val="nil"/>
            </w:tcBorders>
            <w:shd w:val="clear" w:color="000000" w:fill="FFFFFF"/>
            <w:noWrap/>
            <w:vAlign w:val="center"/>
            <w:hideMark/>
          </w:tcPr>
          <w:p w14:paraId="5BDC471B" w14:textId="77777777" w:rsidR="00242011" w:rsidRPr="00242011" w:rsidRDefault="00242011" w:rsidP="00AE0023">
            <w:pPr>
              <w:pStyle w:val="TableTextCentered2"/>
              <w:spacing w:before="10" w:after="10"/>
            </w:pPr>
            <w:r w:rsidRPr="00242011">
              <w:t>0.3</w:t>
            </w:r>
          </w:p>
        </w:tc>
        <w:tc>
          <w:tcPr>
            <w:tcW w:w="1232" w:type="dxa"/>
            <w:tcBorders>
              <w:top w:val="nil"/>
              <w:left w:val="nil"/>
              <w:bottom w:val="single" w:sz="4" w:space="0" w:color="auto"/>
              <w:right w:val="nil"/>
            </w:tcBorders>
            <w:shd w:val="clear" w:color="000000" w:fill="FFFFFF"/>
            <w:noWrap/>
            <w:vAlign w:val="center"/>
            <w:hideMark/>
          </w:tcPr>
          <w:p w14:paraId="2CA0CC99" w14:textId="77777777" w:rsidR="00242011" w:rsidRPr="00242011" w:rsidRDefault="00242011" w:rsidP="00AE0023">
            <w:pPr>
              <w:pStyle w:val="TableTextCentered2"/>
              <w:spacing w:before="10" w:after="10"/>
            </w:pPr>
            <w:r w:rsidRPr="00242011">
              <w:t>0.3</w:t>
            </w:r>
          </w:p>
        </w:tc>
        <w:tc>
          <w:tcPr>
            <w:tcW w:w="1231" w:type="dxa"/>
            <w:tcBorders>
              <w:top w:val="nil"/>
              <w:left w:val="nil"/>
              <w:bottom w:val="single" w:sz="4" w:space="0" w:color="auto"/>
              <w:right w:val="single" w:sz="4" w:space="0" w:color="auto"/>
            </w:tcBorders>
            <w:shd w:val="clear" w:color="000000" w:fill="FFFFFF"/>
            <w:noWrap/>
            <w:vAlign w:val="center"/>
            <w:hideMark/>
          </w:tcPr>
          <w:p w14:paraId="2FD5D1BD" w14:textId="77777777" w:rsidR="00242011" w:rsidRPr="00242011" w:rsidRDefault="00242011" w:rsidP="00AE0023">
            <w:pPr>
              <w:pStyle w:val="TableTextCentered2"/>
              <w:spacing w:before="10" w:after="10"/>
            </w:pPr>
            <w:r w:rsidRPr="00242011">
              <w:t>0.7</w:t>
            </w:r>
          </w:p>
        </w:tc>
        <w:tc>
          <w:tcPr>
            <w:tcW w:w="1232" w:type="dxa"/>
            <w:tcBorders>
              <w:top w:val="nil"/>
              <w:left w:val="nil"/>
              <w:bottom w:val="single" w:sz="4" w:space="0" w:color="auto"/>
              <w:right w:val="nil"/>
            </w:tcBorders>
            <w:shd w:val="clear" w:color="000000" w:fill="FFFFFF"/>
            <w:noWrap/>
            <w:vAlign w:val="center"/>
            <w:hideMark/>
          </w:tcPr>
          <w:p w14:paraId="38DC166E" w14:textId="77777777" w:rsidR="00242011" w:rsidRPr="00242011" w:rsidRDefault="00242011" w:rsidP="00AE0023">
            <w:pPr>
              <w:pStyle w:val="TableTextCentered2"/>
              <w:spacing w:before="10" w:after="10"/>
            </w:pPr>
            <w:r w:rsidRPr="00242011">
              <w:t>0.2</w:t>
            </w:r>
          </w:p>
        </w:tc>
        <w:tc>
          <w:tcPr>
            <w:tcW w:w="1232" w:type="dxa"/>
            <w:tcBorders>
              <w:top w:val="nil"/>
              <w:left w:val="nil"/>
              <w:bottom w:val="single" w:sz="4" w:space="0" w:color="auto"/>
              <w:right w:val="nil"/>
            </w:tcBorders>
            <w:shd w:val="clear" w:color="000000" w:fill="FFFFFF"/>
            <w:noWrap/>
            <w:vAlign w:val="center"/>
            <w:hideMark/>
          </w:tcPr>
          <w:p w14:paraId="6E553A79" w14:textId="77777777" w:rsidR="00242011" w:rsidRPr="00242011" w:rsidRDefault="00242011" w:rsidP="00AE0023">
            <w:pPr>
              <w:pStyle w:val="TableTextCentered2"/>
              <w:spacing w:before="10" w:after="10"/>
            </w:pPr>
            <w:r w:rsidRPr="00242011">
              <w:t>0.1</w:t>
            </w:r>
          </w:p>
        </w:tc>
        <w:tc>
          <w:tcPr>
            <w:tcW w:w="1232" w:type="dxa"/>
            <w:tcBorders>
              <w:top w:val="nil"/>
              <w:left w:val="nil"/>
              <w:bottom w:val="single" w:sz="4" w:space="0" w:color="auto"/>
              <w:right w:val="single" w:sz="4" w:space="0" w:color="auto"/>
            </w:tcBorders>
            <w:shd w:val="clear" w:color="000000" w:fill="FFFFFF"/>
            <w:noWrap/>
            <w:vAlign w:val="center"/>
            <w:hideMark/>
          </w:tcPr>
          <w:p w14:paraId="56B11CDB" w14:textId="77777777" w:rsidR="00242011" w:rsidRPr="00242011" w:rsidRDefault="00242011" w:rsidP="00AE0023">
            <w:pPr>
              <w:pStyle w:val="TableTextCentered2"/>
              <w:spacing w:before="10" w:after="10"/>
            </w:pPr>
            <w:r w:rsidRPr="00242011">
              <w:t>0.7</w:t>
            </w:r>
          </w:p>
        </w:tc>
        <w:tc>
          <w:tcPr>
            <w:tcW w:w="1232" w:type="dxa"/>
            <w:tcBorders>
              <w:top w:val="nil"/>
              <w:left w:val="nil"/>
              <w:bottom w:val="single" w:sz="4" w:space="0" w:color="auto"/>
              <w:right w:val="nil"/>
            </w:tcBorders>
            <w:shd w:val="clear" w:color="000000" w:fill="FFFFFF"/>
            <w:noWrap/>
            <w:vAlign w:val="center"/>
            <w:hideMark/>
          </w:tcPr>
          <w:p w14:paraId="63ACE2C9" w14:textId="77777777" w:rsidR="00242011" w:rsidRPr="00242011" w:rsidRDefault="00242011" w:rsidP="00AE0023">
            <w:pPr>
              <w:pStyle w:val="TableTextCentered2"/>
              <w:spacing w:before="10" w:after="10"/>
            </w:pPr>
            <w:r w:rsidRPr="00242011">
              <w:t>0.1</w:t>
            </w:r>
          </w:p>
        </w:tc>
        <w:tc>
          <w:tcPr>
            <w:tcW w:w="1231" w:type="dxa"/>
            <w:tcBorders>
              <w:top w:val="nil"/>
              <w:left w:val="nil"/>
              <w:bottom w:val="single" w:sz="4" w:space="0" w:color="auto"/>
              <w:right w:val="nil"/>
            </w:tcBorders>
            <w:shd w:val="clear" w:color="000000" w:fill="FFFFFF"/>
            <w:noWrap/>
            <w:vAlign w:val="center"/>
            <w:hideMark/>
          </w:tcPr>
          <w:p w14:paraId="7A852211" w14:textId="77777777" w:rsidR="00242011" w:rsidRPr="00242011" w:rsidRDefault="00242011" w:rsidP="00AE0023">
            <w:pPr>
              <w:pStyle w:val="TableTextCentered2"/>
              <w:spacing w:before="10" w:after="10"/>
            </w:pPr>
            <w:r w:rsidRPr="00242011">
              <w:t>0.1</w:t>
            </w:r>
          </w:p>
        </w:tc>
        <w:tc>
          <w:tcPr>
            <w:tcW w:w="1232" w:type="dxa"/>
            <w:tcBorders>
              <w:top w:val="nil"/>
              <w:left w:val="nil"/>
              <w:bottom w:val="single" w:sz="4" w:space="0" w:color="auto"/>
              <w:right w:val="nil"/>
            </w:tcBorders>
            <w:shd w:val="clear" w:color="000000" w:fill="FFFFFF"/>
            <w:noWrap/>
            <w:vAlign w:val="center"/>
            <w:hideMark/>
          </w:tcPr>
          <w:p w14:paraId="6078D957" w14:textId="77777777" w:rsidR="00242011" w:rsidRPr="00242011" w:rsidRDefault="00242011" w:rsidP="00AE0023">
            <w:pPr>
              <w:pStyle w:val="TableTextCentered2"/>
              <w:spacing w:before="10" w:after="10"/>
            </w:pPr>
            <w:r w:rsidRPr="00242011">
              <w:t>0.6</w:t>
            </w:r>
          </w:p>
        </w:tc>
      </w:tr>
    </w:tbl>
    <w:p w14:paraId="2301837A" w14:textId="77777777" w:rsidR="00BA45D5" w:rsidRPr="00BA45D5" w:rsidRDefault="00BA45D5" w:rsidP="00BA45D5">
      <w:pPr>
        <w:pStyle w:val="Zero"/>
      </w:pPr>
    </w:p>
    <w:p w14:paraId="681670F0" w14:textId="77777777" w:rsidR="00BA45D5" w:rsidRPr="00BA45D5" w:rsidRDefault="00BA45D5" w:rsidP="00BA45D5">
      <w:pPr>
        <w:pStyle w:val="Zero"/>
      </w:pPr>
      <w:r w:rsidRPr="00BA45D5">
        <w:br w:type="page"/>
      </w:r>
    </w:p>
    <w:p w14:paraId="2A5CF2EE" w14:textId="0C1DA382" w:rsidR="00E838B2" w:rsidRDefault="00E838B2" w:rsidP="000733CF">
      <w:pPr>
        <w:pStyle w:val="TableMainHeading"/>
        <w:jc w:val="center"/>
      </w:pPr>
      <w:r w:rsidRPr="00A12683">
        <w:lastRenderedPageBreak/>
        <w:t xml:space="preserve">Table </w:t>
      </w:r>
      <w:r w:rsidR="005A7277">
        <w:fldChar w:fldCharType="begin"/>
      </w:r>
      <w:r w:rsidR="005A7277">
        <w:instrText xml:space="preserve"> SEQ Table \* ARABIC </w:instrText>
      </w:r>
      <w:r w:rsidR="005A7277">
        <w:fldChar w:fldCharType="separate"/>
      </w:r>
      <w:r w:rsidR="00C97912">
        <w:rPr>
          <w:noProof/>
        </w:rPr>
        <w:t>5</w:t>
      </w:r>
      <w:r w:rsidR="005A7277">
        <w:rPr>
          <w:noProof/>
        </w:rPr>
        <w:fldChar w:fldCharType="end"/>
      </w:r>
      <w:r w:rsidRPr="00A12683">
        <w:t xml:space="preserve">: </w:t>
      </w:r>
      <w:r w:rsidRPr="00A264A6">
        <w:t>Sensitivity analysis – Share of foreign ownership</w:t>
      </w:r>
    </w:p>
    <w:tbl>
      <w:tblPr>
        <w:tblW w:w="13341" w:type="dxa"/>
        <w:tblInd w:w="93" w:type="dxa"/>
        <w:tblLook w:val="04A0" w:firstRow="1" w:lastRow="0" w:firstColumn="1" w:lastColumn="0" w:noHBand="0" w:noVBand="1"/>
      </w:tblPr>
      <w:tblGrid>
        <w:gridCol w:w="2255"/>
        <w:gridCol w:w="1232"/>
        <w:gridCol w:w="1232"/>
        <w:gridCol w:w="1231"/>
        <w:gridCol w:w="1232"/>
        <w:gridCol w:w="1232"/>
        <w:gridCol w:w="1232"/>
        <w:gridCol w:w="1232"/>
        <w:gridCol w:w="1231"/>
        <w:gridCol w:w="1232"/>
      </w:tblGrid>
      <w:tr w:rsidR="00E838B2" w:rsidRPr="00DD28A5" w14:paraId="42E039E6" w14:textId="77777777" w:rsidTr="00F875D2">
        <w:trPr>
          <w:trHeight w:val="147"/>
        </w:trPr>
        <w:tc>
          <w:tcPr>
            <w:tcW w:w="2255" w:type="dxa"/>
            <w:tcBorders>
              <w:top w:val="single" w:sz="4" w:space="0" w:color="auto"/>
              <w:left w:val="nil"/>
              <w:bottom w:val="nil"/>
              <w:right w:val="nil"/>
            </w:tcBorders>
            <w:shd w:val="clear" w:color="000000" w:fill="FFFFFF"/>
            <w:noWrap/>
            <w:vAlign w:val="bottom"/>
            <w:hideMark/>
          </w:tcPr>
          <w:p w14:paraId="4AE06A1B" w14:textId="77777777" w:rsidR="00E838B2" w:rsidRPr="00DD28A5" w:rsidRDefault="00E838B2" w:rsidP="00F875D2">
            <w:pPr>
              <w:pStyle w:val="TableColumnHeadingCentred2a"/>
            </w:pPr>
            <w:r w:rsidRPr="00DD28A5">
              <w:t> </w:t>
            </w:r>
          </w:p>
        </w:tc>
        <w:tc>
          <w:tcPr>
            <w:tcW w:w="3695" w:type="dxa"/>
            <w:gridSpan w:val="3"/>
            <w:tcBorders>
              <w:top w:val="single" w:sz="4" w:space="0" w:color="auto"/>
              <w:left w:val="nil"/>
              <w:bottom w:val="nil"/>
              <w:right w:val="single" w:sz="4" w:space="0" w:color="000000"/>
            </w:tcBorders>
            <w:shd w:val="clear" w:color="000000" w:fill="FFFFFF"/>
            <w:noWrap/>
            <w:vAlign w:val="bottom"/>
            <w:hideMark/>
          </w:tcPr>
          <w:p w14:paraId="1E5358E4" w14:textId="77777777" w:rsidR="00E838B2" w:rsidRPr="00DD28A5" w:rsidRDefault="00E838B2" w:rsidP="00F875D2">
            <w:pPr>
              <w:pStyle w:val="TableColumnHeadingCentred2a"/>
              <w:rPr>
                <w:bCs/>
              </w:rPr>
            </w:pPr>
            <w:r w:rsidRPr="00DD28A5">
              <w:rPr>
                <w:bCs/>
              </w:rPr>
              <w:t xml:space="preserve">Low </w:t>
            </w:r>
            <w:r w:rsidR="00242011">
              <w:rPr>
                <w:bCs/>
              </w:rPr>
              <w:t>share</w:t>
            </w:r>
            <w:r w:rsidRPr="00DD28A5">
              <w:rPr>
                <w:bCs/>
              </w:rPr>
              <w:t xml:space="preserve"> (</w:t>
            </w:r>
            <w:r w:rsidR="00A94150">
              <w:rPr>
                <w:bCs/>
              </w:rPr>
              <w:t>base case</w:t>
            </w:r>
            <w:r w:rsidR="00242011">
              <w:rPr>
                <w:bCs/>
              </w:rPr>
              <w:t>x0.5</w:t>
            </w:r>
            <w:r w:rsidRPr="00DD28A5">
              <w:rPr>
                <w:bCs/>
              </w:rPr>
              <w:t>)</w:t>
            </w:r>
          </w:p>
        </w:tc>
        <w:tc>
          <w:tcPr>
            <w:tcW w:w="3696" w:type="dxa"/>
            <w:gridSpan w:val="3"/>
            <w:tcBorders>
              <w:top w:val="single" w:sz="4" w:space="0" w:color="auto"/>
              <w:left w:val="nil"/>
              <w:bottom w:val="nil"/>
              <w:right w:val="single" w:sz="4" w:space="0" w:color="000000"/>
            </w:tcBorders>
            <w:shd w:val="clear" w:color="000000" w:fill="FFFFFF"/>
            <w:noWrap/>
            <w:vAlign w:val="bottom"/>
            <w:hideMark/>
          </w:tcPr>
          <w:p w14:paraId="7E85D673" w14:textId="77777777" w:rsidR="00E838B2" w:rsidRPr="00DD28A5" w:rsidRDefault="00E838B2" w:rsidP="00F875D2">
            <w:pPr>
              <w:pStyle w:val="TableColumnHeadingCentred2a"/>
              <w:rPr>
                <w:bCs/>
              </w:rPr>
            </w:pPr>
            <w:r w:rsidRPr="00DD28A5">
              <w:rPr>
                <w:bCs/>
              </w:rPr>
              <w:t xml:space="preserve">Base case </w:t>
            </w:r>
          </w:p>
        </w:tc>
        <w:tc>
          <w:tcPr>
            <w:tcW w:w="3695" w:type="dxa"/>
            <w:gridSpan w:val="3"/>
            <w:tcBorders>
              <w:top w:val="single" w:sz="4" w:space="0" w:color="auto"/>
              <w:left w:val="nil"/>
              <w:bottom w:val="nil"/>
              <w:right w:val="nil"/>
            </w:tcBorders>
            <w:shd w:val="clear" w:color="000000" w:fill="FFFFFF"/>
            <w:noWrap/>
            <w:vAlign w:val="bottom"/>
            <w:hideMark/>
          </w:tcPr>
          <w:p w14:paraId="6F80FFBF" w14:textId="77777777" w:rsidR="00E838B2" w:rsidRPr="00DD28A5" w:rsidRDefault="00E838B2" w:rsidP="00F875D2">
            <w:pPr>
              <w:pStyle w:val="TableColumnHeadingCentred2a"/>
              <w:rPr>
                <w:bCs/>
              </w:rPr>
            </w:pPr>
            <w:r w:rsidRPr="00DD28A5">
              <w:rPr>
                <w:bCs/>
              </w:rPr>
              <w:t xml:space="preserve">High </w:t>
            </w:r>
            <w:r w:rsidR="00242011">
              <w:rPr>
                <w:bCs/>
              </w:rPr>
              <w:t>share</w:t>
            </w:r>
            <w:r w:rsidRPr="00DD28A5">
              <w:rPr>
                <w:bCs/>
              </w:rPr>
              <w:t xml:space="preserve"> (</w:t>
            </w:r>
            <w:r w:rsidR="00A94150">
              <w:rPr>
                <w:bCs/>
              </w:rPr>
              <w:t>base case</w:t>
            </w:r>
            <w:r w:rsidR="00242011">
              <w:rPr>
                <w:bCs/>
              </w:rPr>
              <w:t>x1.5</w:t>
            </w:r>
            <w:r w:rsidRPr="00DD28A5">
              <w:rPr>
                <w:bCs/>
              </w:rPr>
              <w:t>)</w:t>
            </w:r>
          </w:p>
        </w:tc>
      </w:tr>
      <w:tr w:rsidR="00E838B2" w:rsidRPr="00DD28A5" w14:paraId="5477B861" w14:textId="77777777" w:rsidTr="00F875D2">
        <w:trPr>
          <w:trHeight w:val="246"/>
        </w:trPr>
        <w:tc>
          <w:tcPr>
            <w:tcW w:w="2255" w:type="dxa"/>
            <w:tcBorders>
              <w:top w:val="nil"/>
              <w:left w:val="nil"/>
              <w:bottom w:val="single" w:sz="4" w:space="0" w:color="auto"/>
              <w:right w:val="nil"/>
            </w:tcBorders>
            <w:shd w:val="clear" w:color="000000" w:fill="FFFFFF"/>
            <w:noWrap/>
            <w:vAlign w:val="bottom"/>
            <w:hideMark/>
          </w:tcPr>
          <w:p w14:paraId="2F19FB9B" w14:textId="77777777" w:rsidR="00E838B2" w:rsidRPr="00DD28A5" w:rsidRDefault="00E838B2" w:rsidP="00F875D2">
            <w:pPr>
              <w:pStyle w:val="TableColumnHeadingCentred2"/>
            </w:pPr>
            <w:r w:rsidRPr="00DD28A5">
              <w:t> </w:t>
            </w:r>
          </w:p>
        </w:tc>
        <w:tc>
          <w:tcPr>
            <w:tcW w:w="1232" w:type="dxa"/>
            <w:tcBorders>
              <w:top w:val="nil"/>
              <w:left w:val="nil"/>
              <w:bottom w:val="single" w:sz="4" w:space="0" w:color="auto"/>
              <w:right w:val="nil"/>
            </w:tcBorders>
            <w:shd w:val="clear" w:color="000000" w:fill="FFFFFF"/>
            <w:vAlign w:val="center"/>
            <w:hideMark/>
          </w:tcPr>
          <w:p w14:paraId="12D634FD"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3EBB92EB" w14:textId="77777777" w:rsidR="00E838B2" w:rsidRPr="00DD28A5" w:rsidRDefault="00E838B2" w:rsidP="00F875D2">
            <w:pPr>
              <w:pStyle w:val="TableColumnHeadingCentred2"/>
            </w:pPr>
            <w:r w:rsidRPr="00DD28A5">
              <w:t>PIT</w:t>
            </w:r>
          </w:p>
        </w:tc>
        <w:tc>
          <w:tcPr>
            <w:tcW w:w="1231" w:type="dxa"/>
            <w:tcBorders>
              <w:top w:val="nil"/>
              <w:left w:val="nil"/>
              <w:bottom w:val="single" w:sz="4" w:space="0" w:color="auto"/>
              <w:right w:val="single" w:sz="4" w:space="0" w:color="auto"/>
            </w:tcBorders>
            <w:shd w:val="clear" w:color="000000" w:fill="FFFFFF"/>
            <w:vAlign w:val="center"/>
            <w:hideMark/>
          </w:tcPr>
          <w:p w14:paraId="3D002660" w14:textId="555208F6" w:rsidR="00E838B2" w:rsidRPr="00DD28A5" w:rsidRDefault="00F875D2" w:rsidP="00F875D2">
            <w:pPr>
              <w:pStyle w:val="TableColumnHeadingCentred2"/>
            </w:pPr>
            <w:r w:rsidRPr="00DD28A5">
              <w:t>Gov</w:t>
            </w:r>
            <w:r>
              <w:t xml:space="preserve">ernment </w:t>
            </w:r>
            <w:r w:rsidRPr="00BA45D5">
              <w:t>spending</w:t>
            </w:r>
          </w:p>
        </w:tc>
        <w:tc>
          <w:tcPr>
            <w:tcW w:w="1232" w:type="dxa"/>
            <w:tcBorders>
              <w:top w:val="nil"/>
              <w:left w:val="nil"/>
              <w:bottom w:val="single" w:sz="4" w:space="0" w:color="auto"/>
              <w:right w:val="nil"/>
            </w:tcBorders>
            <w:shd w:val="clear" w:color="000000" w:fill="FFFFFF"/>
            <w:vAlign w:val="center"/>
            <w:hideMark/>
          </w:tcPr>
          <w:p w14:paraId="49CD0505"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594669FB" w14:textId="77777777" w:rsidR="00E838B2" w:rsidRPr="00DD28A5" w:rsidRDefault="00E838B2" w:rsidP="00F875D2">
            <w:pPr>
              <w:pStyle w:val="TableColumnHeadingCentred2"/>
            </w:pPr>
            <w:r w:rsidRPr="00DD28A5">
              <w:t>PIT</w:t>
            </w:r>
          </w:p>
        </w:tc>
        <w:tc>
          <w:tcPr>
            <w:tcW w:w="1232" w:type="dxa"/>
            <w:tcBorders>
              <w:top w:val="nil"/>
              <w:left w:val="nil"/>
              <w:bottom w:val="single" w:sz="4" w:space="0" w:color="auto"/>
              <w:right w:val="single" w:sz="4" w:space="0" w:color="auto"/>
            </w:tcBorders>
            <w:shd w:val="clear" w:color="000000" w:fill="FFFFFF"/>
            <w:vAlign w:val="center"/>
            <w:hideMark/>
          </w:tcPr>
          <w:p w14:paraId="7D5CA1DD" w14:textId="7ECDF9F4" w:rsidR="00E838B2" w:rsidRPr="00DD28A5" w:rsidRDefault="00F875D2" w:rsidP="00F875D2">
            <w:pPr>
              <w:pStyle w:val="TableColumnHeadingCentred2"/>
            </w:pPr>
            <w:r w:rsidRPr="00DD28A5">
              <w:t>Gov</w:t>
            </w:r>
            <w:r>
              <w:t xml:space="preserve">ernment </w:t>
            </w:r>
            <w:r w:rsidRPr="00BA45D5">
              <w:t>spending</w:t>
            </w:r>
          </w:p>
        </w:tc>
        <w:tc>
          <w:tcPr>
            <w:tcW w:w="1232" w:type="dxa"/>
            <w:tcBorders>
              <w:top w:val="nil"/>
              <w:left w:val="nil"/>
              <w:bottom w:val="single" w:sz="4" w:space="0" w:color="auto"/>
              <w:right w:val="nil"/>
            </w:tcBorders>
            <w:shd w:val="clear" w:color="000000" w:fill="FFFFFF"/>
            <w:vAlign w:val="center"/>
            <w:hideMark/>
          </w:tcPr>
          <w:p w14:paraId="65BA99C3" w14:textId="77777777" w:rsidR="00E838B2" w:rsidRPr="00DD28A5" w:rsidRDefault="00E838B2" w:rsidP="00F875D2">
            <w:pPr>
              <w:pStyle w:val="TableColumnHeadingCentred2"/>
            </w:pPr>
            <w:r w:rsidRPr="00DD28A5">
              <w:t>Lump-sum</w:t>
            </w:r>
          </w:p>
        </w:tc>
        <w:tc>
          <w:tcPr>
            <w:tcW w:w="1231" w:type="dxa"/>
            <w:tcBorders>
              <w:top w:val="nil"/>
              <w:left w:val="nil"/>
              <w:bottom w:val="single" w:sz="4" w:space="0" w:color="auto"/>
              <w:right w:val="nil"/>
            </w:tcBorders>
            <w:shd w:val="clear" w:color="000000" w:fill="FFFFFF"/>
            <w:vAlign w:val="center"/>
            <w:hideMark/>
          </w:tcPr>
          <w:p w14:paraId="42A9BF0F" w14:textId="77777777" w:rsidR="00E838B2" w:rsidRPr="00DD28A5" w:rsidRDefault="00E838B2" w:rsidP="00F875D2">
            <w:pPr>
              <w:pStyle w:val="TableColumnHeadingCentred2"/>
            </w:pPr>
            <w:r w:rsidRPr="00DD28A5">
              <w:t>PIT</w:t>
            </w:r>
          </w:p>
        </w:tc>
        <w:tc>
          <w:tcPr>
            <w:tcW w:w="1232" w:type="dxa"/>
            <w:tcBorders>
              <w:top w:val="nil"/>
              <w:left w:val="nil"/>
              <w:bottom w:val="single" w:sz="4" w:space="0" w:color="auto"/>
              <w:right w:val="nil"/>
            </w:tcBorders>
            <w:shd w:val="clear" w:color="000000" w:fill="FFFFFF"/>
            <w:vAlign w:val="center"/>
            <w:hideMark/>
          </w:tcPr>
          <w:p w14:paraId="05136789" w14:textId="63F417CC" w:rsidR="00E838B2" w:rsidRPr="00DD28A5" w:rsidRDefault="00F875D2" w:rsidP="00F875D2">
            <w:pPr>
              <w:pStyle w:val="TableColumnHeadingCentred2"/>
            </w:pPr>
            <w:r w:rsidRPr="00DD28A5">
              <w:t>Gov</w:t>
            </w:r>
            <w:r>
              <w:t xml:space="preserve">ernment </w:t>
            </w:r>
            <w:r w:rsidRPr="00BA45D5">
              <w:t>spending</w:t>
            </w:r>
          </w:p>
        </w:tc>
      </w:tr>
      <w:tr w:rsidR="00242011" w:rsidRPr="00DD28A5" w14:paraId="646631A8" w14:textId="77777777" w:rsidTr="00F875D2">
        <w:trPr>
          <w:trHeight w:val="130"/>
        </w:trPr>
        <w:tc>
          <w:tcPr>
            <w:tcW w:w="2255" w:type="dxa"/>
            <w:tcBorders>
              <w:top w:val="nil"/>
              <w:left w:val="nil"/>
              <w:bottom w:val="nil"/>
              <w:right w:val="nil"/>
            </w:tcBorders>
            <w:shd w:val="clear" w:color="000000" w:fill="FFFFFF"/>
            <w:noWrap/>
            <w:vAlign w:val="bottom"/>
            <w:hideMark/>
          </w:tcPr>
          <w:p w14:paraId="0FE93144" w14:textId="77777777" w:rsidR="00242011" w:rsidRDefault="00242011" w:rsidP="00AE0023">
            <w:pPr>
              <w:pStyle w:val="TableTextLeft2"/>
              <w:spacing w:before="10" w:after="10" w:line="240" w:lineRule="auto"/>
            </w:pPr>
            <w:r>
              <w:t>Real GDP</w:t>
            </w:r>
          </w:p>
        </w:tc>
        <w:tc>
          <w:tcPr>
            <w:tcW w:w="1232" w:type="dxa"/>
            <w:tcBorders>
              <w:top w:val="nil"/>
              <w:left w:val="nil"/>
              <w:bottom w:val="nil"/>
              <w:right w:val="nil"/>
            </w:tcBorders>
            <w:shd w:val="clear" w:color="000000" w:fill="FFFFFF"/>
            <w:noWrap/>
            <w:vAlign w:val="center"/>
            <w:hideMark/>
          </w:tcPr>
          <w:p w14:paraId="0013B0E2"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2" w:type="dxa"/>
            <w:tcBorders>
              <w:top w:val="nil"/>
              <w:left w:val="nil"/>
              <w:bottom w:val="nil"/>
              <w:right w:val="nil"/>
            </w:tcBorders>
            <w:shd w:val="clear" w:color="000000" w:fill="FFFFFF"/>
            <w:noWrap/>
            <w:vAlign w:val="center"/>
            <w:hideMark/>
          </w:tcPr>
          <w:p w14:paraId="0E7583E7" w14:textId="77777777" w:rsidR="00242011" w:rsidRDefault="00242011" w:rsidP="00AE0023">
            <w:pPr>
              <w:spacing w:before="10" w:after="10" w:line="240" w:lineRule="auto"/>
              <w:contextualSpacing/>
              <w:jc w:val="center"/>
              <w:rPr>
                <w:color w:val="000000"/>
                <w:sz w:val="18"/>
                <w:szCs w:val="18"/>
              </w:rPr>
            </w:pPr>
            <w:r>
              <w:rPr>
                <w:color w:val="000000"/>
                <w:sz w:val="18"/>
                <w:szCs w:val="18"/>
              </w:rPr>
              <w:t>1.0</w:t>
            </w:r>
          </w:p>
        </w:tc>
        <w:tc>
          <w:tcPr>
            <w:tcW w:w="1231" w:type="dxa"/>
            <w:tcBorders>
              <w:top w:val="nil"/>
              <w:left w:val="nil"/>
              <w:bottom w:val="nil"/>
              <w:right w:val="single" w:sz="4" w:space="0" w:color="auto"/>
            </w:tcBorders>
            <w:shd w:val="clear" w:color="000000" w:fill="FFFFFF"/>
            <w:noWrap/>
            <w:vAlign w:val="center"/>
            <w:hideMark/>
          </w:tcPr>
          <w:p w14:paraId="4D51F86E"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5CB46E57"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2" w:type="dxa"/>
            <w:tcBorders>
              <w:top w:val="nil"/>
              <w:left w:val="nil"/>
              <w:bottom w:val="nil"/>
              <w:right w:val="nil"/>
            </w:tcBorders>
            <w:shd w:val="clear" w:color="000000" w:fill="FFFFFF"/>
            <w:noWrap/>
            <w:vAlign w:val="center"/>
            <w:hideMark/>
          </w:tcPr>
          <w:p w14:paraId="10F9FA31" w14:textId="77777777" w:rsidR="00242011" w:rsidRDefault="00242011" w:rsidP="00AE0023">
            <w:pPr>
              <w:spacing w:before="10" w:after="10" w:line="240" w:lineRule="auto"/>
              <w:contextualSpacing/>
              <w:jc w:val="center"/>
              <w:rPr>
                <w:color w:val="000000"/>
                <w:sz w:val="18"/>
                <w:szCs w:val="18"/>
              </w:rPr>
            </w:pPr>
            <w:r>
              <w:rPr>
                <w:color w:val="000000"/>
                <w:sz w:val="18"/>
                <w:szCs w:val="18"/>
              </w:rPr>
              <w:t>1.0</w:t>
            </w:r>
          </w:p>
        </w:tc>
        <w:tc>
          <w:tcPr>
            <w:tcW w:w="1232" w:type="dxa"/>
            <w:tcBorders>
              <w:top w:val="nil"/>
              <w:left w:val="nil"/>
              <w:bottom w:val="nil"/>
              <w:right w:val="single" w:sz="4" w:space="0" w:color="auto"/>
            </w:tcBorders>
            <w:shd w:val="clear" w:color="000000" w:fill="FFFFFF"/>
            <w:noWrap/>
            <w:vAlign w:val="center"/>
            <w:hideMark/>
          </w:tcPr>
          <w:p w14:paraId="60FFE392"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53CA339A"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1" w:type="dxa"/>
            <w:tcBorders>
              <w:top w:val="nil"/>
              <w:left w:val="nil"/>
              <w:bottom w:val="nil"/>
              <w:right w:val="nil"/>
            </w:tcBorders>
            <w:shd w:val="clear" w:color="000000" w:fill="FFFFFF"/>
            <w:noWrap/>
            <w:vAlign w:val="center"/>
            <w:hideMark/>
          </w:tcPr>
          <w:p w14:paraId="0F2A7370" w14:textId="77777777" w:rsidR="00242011" w:rsidRDefault="00242011" w:rsidP="00AE0023">
            <w:pPr>
              <w:spacing w:before="10" w:after="10" w:line="240" w:lineRule="auto"/>
              <w:contextualSpacing/>
              <w:jc w:val="center"/>
              <w:rPr>
                <w:color w:val="000000"/>
                <w:sz w:val="18"/>
                <w:szCs w:val="18"/>
              </w:rPr>
            </w:pPr>
            <w:r>
              <w:rPr>
                <w:color w:val="000000"/>
                <w:sz w:val="18"/>
                <w:szCs w:val="18"/>
              </w:rPr>
              <w:t>1.0</w:t>
            </w:r>
          </w:p>
        </w:tc>
        <w:tc>
          <w:tcPr>
            <w:tcW w:w="1232" w:type="dxa"/>
            <w:tcBorders>
              <w:top w:val="nil"/>
              <w:left w:val="nil"/>
              <w:bottom w:val="nil"/>
              <w:right w:val="nil"/>
            </w:tcBorders>
            <w:shd w:val="clear" w:color="000000" w:fill="FFFFFF"/>
            <w:noWrap/>
            <w:vAlign w:val="center"/>
            <w:hideMark/>
          </w:tcPr>
          <w:p w14:paraId="6A9B5704"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r>
      <w:tr w:rsidR="00242011" w:rsidRPr="00DD28A5" w14:paraId="7951CA06" w14:textId="77777777" w:rsidTr="00F875D2">
        <w:trPr>
          <w:trHeight w:val="172"/>
        </w:trPr>
        <w:tc>
          <w:tcPr>
            <w:tcW w:w="2255" w:type="dxa"/>
            <w:tcBorders>
              <w:top w:val="nil"/>
              <w:left w:val="nil"/>
              <w:bottom w:val="nil"/>
              <w:right w:val="nil"/>
            </w:tcBorders>
            <w:shd w:val="clear" w:color="000000" w:fill="FFFFFF"/>
            <w:noWrap/>
            <w:vAlign w:val="bottom"/>
            <w:hideMark/>
          </w:tcPr>
          <w:p w14:paraId="3F8BE7E0" w14:textId="77777777" w:rsidR="00242011" w:rsidRDefault="00242011" w:rsidP="00AE0023">
            <w:pPr>
              <w:pStyle w:val="TableTextLeft2"/>
              <w:spacing w:before="10" w:after="10" w:line="240" w:lineRule="auto"/>
            </w:pPr>
            <w:r>
              <w:t>Real GNI (GNE deflator)</w:t>
            </w:r>
          </w:p>
        </w:tc>
        <w:tc>
          <w:tcPr>
            <w:tcW w:w="1232" w:type="dxa"/>
            <w:tcBorders>
              <w:top w:val="nil"/>
              <w:left w:val="nil"/>
              <w:bottom w:val="nil"/>
              <w:right w:val="nil"/>
            </w:tcBorders>
            <w:shd w:val="clear" w:color="000000" w:fill="FFFFFF"/>
            <w:noWrap/>
            <w:vAlign w:val="center"/>
            <w:hideMark/>
          </w:tcPr>
          <w:p w14:paraId="754B6127" w14:textId="77777777" w:rsidR="00242011" w:rsidRDefault="00242011" w:rsidP="00AE0023">
            <w:pPr>
              <w:spacing w:before="10" w:after="10" w:line="240" w:lineRule="auto"/>
              <w:contextualSpacing/>
              <w:jc w:val="center"/>
              <w:rPr>
                <w:color w:val="000000"/>
                <w:sz w:val="18"/>
                <w:szCs w:val="18"/>
              </w:rPr>
            </w:pPr>
            <w:r>
              <w:rPr>
                <w:color w:val="000000"/>
                <w:sz w:val="18"/>
                <w:szCs w:val="18"/>
              </w:rPr>
              <w:t>0.8</w:t>
            </w:r>
          </w:p>
        </w:tc>
        <w:tc>
          <w:tcPr>
            <w:tcW w:w="1232" w:type="dxa"/>
            <w:tcBorders>
              <w:top w:val="nil"/>
              <w:left w:val="nil"/>
              <w:bottom w:val="nil"/>
              <w:right w:val="nil"/>
            </w:tcBorders>
            <w:shd w:val="clear" w:color="000000" w:fill="FFFFFF"/>
            <w:noWrap/>
            <w:vAlign w:val="center"/>
            <w:hideMark/>
          </w:tcPr>
          <w:p w14:paraId="67DAFAC5" w14:textId="77777777" w:rsidR="00242011" w:rsidRDefault="00242011" w:rsidP="00AE0023">
            <w:pPr>
              <w:spacing w:before="10" w:after="10" w:line="240" w:lineRule="auto"/>
              <w:contextualSpacing/>
              <w:jc w:val="center"/>
              <w:rPr>
                <w:color w:val="000000"/>
                <w:sz w:val="18"/>
                <w:szCs w:val="18"/>
              </w:rPr>
            </w:pPr>
            <w:r>
              <w:rPr>
                <w:color w:val="000000"/>
                <w:sz w:val="18"/>
                <w:szCs w:val="18"/>
              </w:rPr>
              <w:t>0.6</w:t>
            </w:r>
          </w:p>
        </w:tc>
        <w:tc>
          <w:tcPr>
            <w:tcW w:w="1231" w:type="dxa"/>
            <w:tcBorders>
              <w:top w:val="nil"/>
              <w:left w:val="nil"/>
              <w:bottom w:val="nil"/>
              <w:right w:val="single" w:sz="4" w:space="0" w:color="auto"/>
            </w:tcBorders>
            <w:shd w:val="clear" w:color="000000" w:fill="FFFFFF"/>
            <w:noWrap/>
            <w:vAlign w:val="center"/>
            <w:hideMark/>
          </w:tcPr>
          <w:p w14:paraId="56D33D18" w14:textId="77777777" w:rsidR="00242011" w:rsidRDefault="00242011" w:rsidP="00AE0023">
            <w:pPr>
              <w:spacing w:before="10" w:after="10" w:line="240" w:lineRule="auto"/>
              <w:contextualSpacing/>
              <w:jc w:val="center"/>
              <w:rPr>
                <w:color w:val="000000"/>
                <w:sz w:val="18"/>
                <w:szCs w:val="18"/>
              </w:rPr>
            </w:pPr>
            <w:r>
              <w:rPr>
                <w:color w:val="000000"/>
                <w:sz w:val="18"/>
                <w:szCs w:val="18"/>
              </w:rPr>
              <w:t>0.7</w:t>
            </w:r>
          </w:p>
        </w:tc>
        <w:tc>
          <w:tcPr>
            <w:tcW w:w="1232" w:type="dxa"/>
            <w:tcBorders>
              <w:top w:val="nil"/>
              <w:left w:val="nil"/>
              <w:bottom w:val="nil"/>
              <w:right w:val="nil"/>
            </w:tcBorders>
            <w:shd w:val="clear" w:color="000000" w:fill="FFFFFF"/>
            <w:noWrap/>
            <w:vAlign w:val="center"/>
            <w:hideMark/>
          </w:tcPr>
          <w:p w14:paraId="00DBA048" w14:textId="77777777" w:rsidR="00242011" w:rsidRDefault="00242011" w:rsidP="00AE0023">
            <w:pPr>
              <w:spacing w:before="10" w:after="10" w:line="240" w:lineRule="auto"/>
              <w:contextualSpacing/>
              <w:jc w:val="center"/>
              <w:rPr>
                <w:color w:val="000000"/>
                <w:sz w:val="18"/>
                <w:szCs w:val="18"/>
              </w:rPr>
            </w:pPr>
            <w:r>
              <w:rPr>
                <w:color w:val="000000"/>
                <w:sz w:val="18"/>
                <w:szCs w:val="18"/>
              </w:rPr>
              <w:t>0.8</w:t>
            </w:r>
          </w:p>
        </w:tc>
        <w:tc>
          <w:tcPr>
            <w:tcW w:w="1232" w:type="dxa"/>
            <w:tcBorders>
              <w:top w:val="nil"/>
              <w:left w:val="nil"/>
              <w:bottom w:val="nil"/>
              <w:right w:val="nil"/>
            </w:tcBorders>
            <w:shd w:val="clear" w:color="000000" w:fill="FFFFFF"/>
            <w:noWrap/>
            <w:vAlign w:val="center"/>
            <w:hideMark/>
          </w:tcPr>
          <w:p w14:paraId="04A0A67A" w14:textId="77777777" w:rsidR="00242011" w:rsidRDefault="00242011" w:rsidP="00AE0023">
            <w:pPr>
              <w:spacing w:before="10" w:after="10" w:line="240" w:lineRule="auto"/>
              <w:contextualSpacing/>
              <w:jc w:val="center"/>
              <w:rPr>
                <w:color w:val="000000"/>
                <w:sz w:val="18"/>
                <w:szCs w:val="18"/>
              </w:rPr>
            </w:pPr>
            <w:r>
              <w:rPr>
                <w:color w:val="000000"/>
                <w:sz w:val="18"/>
                <w:szCs w:val="18"/>
              </w:rPr>
              <w:t>0.6</w:t>
            </w:r>
          </w:p>
        </w:tc>
        <w:tc>
          <w:tcPr>
            <w:tcW w:w="1232" w:type="dxa"/>
            <w:tcBorders>
              <w:top w:val="nil"/>
              <w:left w:val="nil"/>
              <w:bottom w:val="nil"/>
              <w:right w:val="single" w:sz="4" w:space="0" w:color="auto"/>
            </w:tcBorders>
            <w:shd w:val="clear" w:color="000000" w:fill="FFFFFF"/>
            <w:noWrap/>
            <w:vAlign w:val="center"/>
            <w:hideMark/>
          </w:tcPr>
          <w:p w14:paraId="221F5244" w14:textId="77777777" w:rsidR="00242011" w:rsidRDefault="00242011" w:rsidP="00AE0023">
            <w:pPr>
              <w:spacing w:before="10" w:after="10" w:line="240" w:lineRule="auto"/>
              <w:contextualSpacing/>
              <w:jc w:val="center"/>
              <w:rPr>
                <w:color w:val="000000"/>
                <w:sz w:val="18"/>
                <w:szCs w:val="18"/>
              </w:rPr>
            </w:pPr>
            <w:r>
              <w:rPr>
                <w:color w:val="000000"/>
                <w:sz w:val="18"/>
                <w:szCs w:val="18"/>
              </w:rPr>
              <w:t>0.7</w:t>
            </w:r>
          </w:p>
        </w:tc>
        <w:tc>
          <w:tcPr>
            <w:tcW w:w="1232" w:type="dxa"/>
            <w:tcBorders>
              <w:top w:val="nil"/>
              <w:left w:val="nil"/>
              <w:bottom w:val="nil"/>
              <w:right w:val="nil"/>
            </w:tcBorders>
            <w:shd w:val="clear" w:color="000000" w:fill="FFFFFF"/>
            <w:noWrap/>
            <w:vAlign w:val="center"/>
            <w:hideMark/>
          </w:tcPr>
          <w:p w14:paraId="26A3C5AC" w14:textId="77777777" w:rsidR="00242011" w:rsidRDefault="00242011" w:rsidP="00AE0023">
            <w:pPr>
              <w:spacing w:before="10" w:after="10" w:line="240" w:lineRule="auto"/>
              <w:contextualSpacing/>
              <w:jc w:val="center"/>
              <w:rPr>
                <w:color w:val="000000"/>
                <w:sz w:val="18"/>
                <w:szCs w:val="18"/>
              </w:rPr>
            </w:pPr>
            <w:r>
              <w:rPr>
                <w:color w:val="000000"/>
                <w:sz w:val="18"/>
                <w:szCs w:val="18"/>
              </w:rPr>
              <w:t>0.8</w:t>
            </w:r>
          </w:p>
        </w:tc>
        <w:tc>
          <w:tcPr>
            <w:tcW w:w="1231" w:type="dxa"/>
            <w:tcBorders>
              <w:top w:val="nil"/>
              <w:left w:val="nil"/>
              <w:bottom w:val="nil"/>
              <w:right w:val="nil"/>
            </w:tcBorders>
            <w:shd w:val="clear" w:color="000000" w:fill="FFFFFF"/>
            <w:noWrap/>
            <w:vAlign w:val="center"/>
            <w:hideMark/>
          </w:tcPr>
          <w:p w14:paraId="73E313D6" w14:textId="77777777" w:rsidR="00242011" w:rsidRDefault="00242011" w:rsidP="00AE0023">
            <w:pPr>
              <w:spacing w:before="10" w:after="10" w:line="240" w:lineRule="auto"/>
              <w:contextualSpacing/>
              <w:jc w:val="center"/>
              <w:rPr>
                <w:color w:val="000000"/>
                <w:sz w:val="18"/>
                <w:szCs w:val="18"/>
              </w:rPr>
            </w:pPr>
            <w:r>
              <w:rPr>
                <w:color w:val="000000"/>
                <w:sz w:val="18"/>
                <w:szCs w:val="18"/>
              </w:rPr>
              <w:t>0.5</w:t>
            </w:r>
          </w:p>
        </w:tc>
        <w:tc>
          <w:tcPr>
            <w:tcW w:w="1232" w:type="dxa"/>
            <w:tcBorders>
              <w:top w:val="nil"/>
              <w:left w:val="nil"/>
              <w:bottom w:val="nil"/>
              <w:right w:val="nil"/>
            </w:tcBorders>
            <w:shd w:val="clear" w:color="000000" w:fill="FFFFFF"/>
            <w:noWrap/>
            <w:vAlign w:val="center"/>
            <w:hideMark/>
          </w:tcPr>
          <w:p w14:paraId="697CF1B6" w14:textId="77777777" w:rsidR="00242011" w:rsidRDefault="00242011" w:rsidP="00AE0023">
            <w:pPr>
              <w:spacing w:before="10" w:after="10" w:line="240" w:lineRule="auto"/>
              <w:contextualSpacing/>
              <w:jc w:val="center"/>
              <w:rPr>
                <w:color w:val="000000"/>
                <w:sz w:val="18"/>
                <w:szCs w:val="18"/>
              </w:rPr>
            </w:pPr>
            <w:r>
              <w:rPr>
                <w:color w:val="000000"/>
                <w:sz w:val="18"/>
                <w:szCs w:val="18"/>
              </w:rPr>
              <w:t>0.7</w:t>
            </w:r>
          </w:p>
        </w:tc>
      </w:tr>
      <w:tr w:rsidR="00242011" w:rsidRPr="00DD28A5" w14:paraId="0BC05AC1" w14:textId="77777777" w:rsidTr="00F875D2">
        <w:trPr>
          <w:trHeight w:val="131"/>
        </w:trPr>
        <w:tc>
          <w:tcPr>
            <w:tcW w:w="2255" w:type="dxa"/>
            <w:tcBorders>
              <w:top w:val="nil"/>
              <w:left w:val="nil"/>
              <w:bottom w:val="nil"/>
              <w:right w:val="nil"/>
            </w:tcBorders>
            <w:shd w:val="clear" w:color="000000" w:fill="FFFFFF"/>
            <w:noWrap/>
            <w:vAlign w:val="bottom"/>
            <w:hideMark/>
          </w:tcPr>
          <w:p w14:paraId="51C0527F" w14:textId="77777777" w:rsidR="00242011" w:rsidRDefault="00242011" w:rsidP="00F875D2">
            <w:pPr>
              <w:pStyle w:val="TableTextLeft2"/>
              <w:spacing w:line="240" w:lineRule="auto"/>
            </w:pPr>
            <w:r>
              <w:t> </w:t>
            </w:r>
          </w:p>
        </w:tc>
        <w:tc>
          <w:tcPr>
            <w:tcW w:w="1232" w:type="dxa"/>
            <w:tcBorders>
              <w:top w:val="nil"/>
              <w:left w:val="nil"/>
              <w:bottom w:val="nil"/>
              <w:right w:val="nil"/>
            </w:tcBorders>
            <w:shd w:val="clear" w:color="000000" w:fill="FFFFFF"/>
            <w:noWrap/>
            <w:vAlign w:val="center"/>
            <w:hideMark/>
          </w:tcPr>
          <w:p w14:paraId="5A29B7D0"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0D7D9310"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1" w:type="dxa"/>
            <w:tcBorders>
              <w:top w:val="nil"/>
              <w:left w:val="nil"/>
              <w:bottom w:val="nil"/>
              <w:right w:val="single" w:sz="4" w:space="0" w:color="auto"/>
            </w:tcBorders>
            <w:shd w:val="clear" w:color="000000" w:fill="FFFFFF"/>
            <w:noWrap/>
            <w:vAlign w:val="center"/>
            <w:hideMark/>
          </w:tcPr>
          <w:p w14:paraId="257F80E4"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27806786"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0410381B"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single" w:sz="4" w:space="0" w:color="auto"/>
            </w:tcBorders>
            <w:shd w:val="clear" w:color="000000" w:fill="FFFFFF"/>
            <w:noWrap/>
            <w:vAlign w:val="center"/>
            <w:hideMark/>
          </w:tcPr>
          <w:p w14:paraId="7D450EAA"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5D508C10"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1" w:type="dxa"/>
            <w:tcBorders>
              <w:top w:val="nil"/>
              <w:left w:val="nil"/>
              <w:bottom w:val="nil"/>
              <w:right w:val="nil"/>
            </w:tcBorders>
            <w:shd w:val="clear" w:color="000000" w:fill="FFFFFF"/>
            <w:noWrap/>
            <w:vAlign w:val="center"/>
            <w:hideMark/>
          </w:tcPr>
          <w:p w14:paraId="761A28D6"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649D9094" w14:textId="77777777" w:rsidR="00242011" w:rsidRDefault="00242011" w:rsidP="00F875D2">
            <w:pPr>
              <w:spacing w:line="240" w:lineRule="auto"/>
              <w:contextualSpacing/>
              <w:jc w:val="center"/>
              <w:rPr>
                <w:color w:val="000000"/>
                <w:sz w:val="18"/>
                <w:szCs w:val="18"/>
              </w:rPr>
            </w:pPr>
            <w:r>
              <w:rPr>
                <w:color w:val="000000"/>
                <w:sz w:val="18"/>
                <w:szCs w:val="18"/>
              </w:rPr>
              <w:t> </w:t>
            </w:r>
          </w:p>
        </w:tc>
      </w:tr>
      <w:tr w:rsidR="00242011" w:rsidRPr="00DD28A5" w14:paraId="3C314DDC" w14:textId="77777777" w:rsidTr="00F875D2">
        <w:trPr>
          <w:trHeight w:val="191"/>
        </w:trPr>
        <w:tc>
          <w:tcPr>
            <w:tcW w:w="2255" w:type="dxa"/>
            <w:tcBorders>
              <w:top w:val="nil"/>
              <w:left w:val="nil"/>
              <w:bottom w:val="nil"/>
              <w:right w:val="nil"/>
            </w:tcBorders>
            <w:shd w:val="clear" w:color="000000" w:fill="FFFFFF"/>
            <w:noWrap/>
            <w:vAlign w:val="bottom"/>
            <w:hideMark/>
          </w:tcPr>
          <w:p w14:paraId="6D66618C" w14:textId="77777777" w:rsidR="00242011" w:rsidRDefault="00242011" w:rsidP="00AE0023">
            <w:pPr>
              <w:pStyle w:val="TableTextLeft2"/>
              <w:spacing w:before="10" w:after="10" w:line="240" w:lineRule="auto"/>
            </w:pPr>
            <w:r>
              <w:t>Consumption</w:t>
            </w:r>
          </w:p>
        </w:tc>
        <w:tc>
          <w:tcPr>
            <w:tcW w:w="1232" w:type="dxa"/>
            <w:tcBorders>
              <w:top w:val="nil"/>
              <w:left w:val="nil"/>
              <w:bottom w:val="nil"/>
              <w:right w:val="nil"/>
            </w:tcBorders>
            <w:shd w:val="clear" w:color="000000" w:fill="FFFFFF"/>
            <w:noWrap/>
            <w:vAlign w:val="center"/>
            <w:hideMark/>
          </w:tcPr>
          <w:p w14:paraId="0BB923FC" w14:textId="77777777" w:rsidR="00242011" w:rsidRDefault="00242011" w:rsidP="00AE0023">
            <w:pPr>
              <w:spacing w:before="10" w:after="10" w:line="240" w:lineRule="auto"/>
              <w:contextualSpacing/>
              <w:jc w:val="center"/>
              <w:rPr>
                <w:color w:val="000000"/>
                <w:sz w:val="18"/>
                <w:szCs w:val="18"/>
              </w:rPr>
            </w:pPr>
            <w:r>
              <w:rPr>
                <w:color w:val="000000"/>
                <w:sz w:val="18"/>
                <w:szCs w:val="18"/>
              </w:rPr>
              <w:t>0.6</w:t>
            </w:r>
          </w:p>
        </w:tc>
        <w:tc>
          <w:tcPr>
            <w:tcW w:w="1232" w:type="dxa"/>
            <w:tcBorders>
              <w:top w:val="nil"/>
              <w:left w:val="nil"/>
              <w:bottom w:val="nil"/>
              <w:right w:val="nil"/>
            </w:tcBorders>
            <w:shd w:val="clear" w:color="000000" w:fill="FFFFFF"/>
            <w:noWrap/>
            <w:vAlign w:val="center"/>
            <w:hideMark/>
          </w:tcPr>
          <w:p w14:paraId="58A63238" w14:textId="77777777" w:rsidR="00242011" w:rsidRDefault="00242011" w:rsidP="00AE0023">
            <w:pPr>
              <w:spacing w:before="10" w:after="10" w:line="240" w:lineRule="auto"/>
              <w:contextualSpacing/>
              <w:jc w:val="center"/>
              <w:rPr>
                <w:color w:val="000000"/>
                <w:sz w:val="18"/>
                <w:szCs w:val="18"/>
              </w:rPr>
            </w:pPr>
            <w:r>
              <w:rPr>
                <w:color w:val="000000"/>
                <w:sz w:val="18"/>
                <w:szCs w:val="18"/>
              </w:rPr>
              <w:t>0.3</w:t>
            </w:r>
          </w:p>
        </w:tc>
        <w:tc>
          <w:tcPr>
            <w:tcW w:w="1231" w:type="dxa"/>
            <w:tcBorders>
              <w:top w:val="nil"/>
              <w:left w:val="nil"/>
              <w:bottom w:val="nil"/>
              <w:right w:val="single" w:sz="4" w:space="0" w:color="auto"/>
            </w:tcBorders>
            <w:shd w:val="clear" w:color="000000" w:fill="FFFFFF"/>
            <w:noWrap/>
            <w:vAlign w:val="center"/>
            <w:hideMark/>
          </w:tcPr>
          <w:p w14:paraId="7AE1669B"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342A4777" w14:textId="77777777" w:rsidR="00242011" w:rsidRDefault="00242011" w:rsidP="00AE0023">
            <w:pPr>
              <w:spacing w:before="10" w:after="10" w:line="240" w:lineRule="auto"/>
              <w:contextualSpacing/>
              <w:jc w:val="center"/>
              <w:rPr>
                <w:color w:val="000000"/>
                <w:sz w:val="18"/>
                <w:szCs w:val="18"/>
              </w:rPr>
            </w:pPr>
            <w:r>
              <w:rPr>
                <w:color w:val="000000"/>
                <w:sz w:val="18"/>
                <w:szCs w:val="18"/>
              </w:rPr>
              <w:t>0.6</w:t>
            </w:r>
          </w:p>
        </w:tc>
        <w:tc>
          <w:tcPr>
            <w:tcW w:w="1232" w:type="dxa"/>
            <w:tcBorders>
              <w:top w:val="nil"/>
              <w:left w:val="nil"/>
              <w:bottom w:val="nil"/>
              <w:right w:val="nil"/>
            </w:tcBorders>
            <w:shd w:val="clear" w:color="000000" w:fill="FFFFFF"/>
            <w:noWrap/>
            <w:vAlign w:val="center"/>
            <w:hideMark/>
          </w:tcPr>
          <w:p w14:paraId="55045D25" w14:textId="77777777" w:rsidR="00242011" w:rsidRDefault="00242011" w:rsidP="00AE0023">
            <w:pPr>
              <w:spacing w:before="10" w:after="10" w:line="240" w:lineRule="auto"/>
              <w:contextualSpacing/>
              <w:jc w:val="center"/>
              <w:rPr>
                <w:color w:val="000000"/>
                <w:sz w:val="18"/>
                <w:szCs w:val="18"/>
              </w:rPr>
            </w:pPr>
            <w:r>
              <w:rPr>
                <w:color w:val="000000"/>
                <w:sz w:val="18"/>
                <w:szCs w:val="18"/>
              </w:rPr>
              <w:t>0.3</w:t>
            </w:r>
          </w:p>
        </w:tc>
        <w:tc>
          <w:tcPr>
            <w:tcW w:w="1232" w:type="dxa"/>
            <w:tcBorders>
              <w:top w:val="nil"/>
              <w:left w:val="nil"/>
              <w:bottom w:val="nil"/>
              <w:right w:val="single" w:sz="4" w:space="0" w:color="auto"/>
            </w:tcBorders>
            <w:shd w:val="clear" w:color="000000" w:fill="FFFFFF"/>
            <w:noWrap/>
            <w:vAlign w:val="center"/>
            <w:hideMark/>
          </w:tcPr>
          <w:p w14:paraId="23764822" w14:textId="77777777" w:rsidR="00242011" w:rsidRDefault="00242011" w:rsidP="00AE0023">
            <w:pPr>
              <w:spacing w:before="10" w:after="10" w:line="240" w:lineRule="auto"/>
              <w:contextualSpacing/>
              <w:jc w:val="center"/>
              <w:rPr>
                <w:color w:val="000000"/>
                <w:sz w:val="18"/>
                <w:szCs w:val="18"/>
              </w:rPr>
            </w:pPr>
            <w:r>
              <w:rPr>
                <w:color w:val="000000"/>
                <w:sz w:val="18"/>
                <w:szCs w:val="18"/>
              </w:rPr>
              <w:t>1.0</w:t>
            </w:r>
          </w:p>
        </w:tc>
        <w:tc>
          <w:tcPr>
            <w:tcW w:w="1232" w:type="dxa"/>
            <w:tcBorders>
              <w:top w:val="nil"/>
              <w:left w:val="nil"/>
              <w:bottom w:val="nil"/>
              <w:right w:val="nil"/>
            </w:tcBorders>
            <w:shd w:val="clear" w:color="000000" w:fill="FFFFFF"/>
            <w:noWrap/>
            <w:vAlign w:val="center"/>
            <w:hideMark/>
          </w:tcPr>
          <w:p w14:paraId="0BBA0537" w14:textId="77777777" w:rsidR="00242011" w:rsidRDefault="00242011" w:rsidP="00AE0023">
            <w:pPr>
              <w:spacing w:before="10" w:after="10" w:line="240" w:lineRule="auto"/>
              <w:contextualSpacing/>
              <w:jc w:val="center"/>
              <w:rPr>
                <w:color w:val="000000"/>
                <w:sz w:val="18"/>
                <w:szCs w:val="18"/>
              </w:rPr>
            </w:pPr>
            <w:r>
              <w:rPr>
                <w:color w:val="000000"/>
                <w:sz w:val="18"/>
                <w:szCs w:val="18"/>
              </w:rPr>
              <w:t>0.5</w:t>
            </w:r>
          </w:p>
        </w:tc>
        <w:tc>
          <w:tcPr>
            <w:tcW w:w="1231" w:type="dxa"/>
            <w:tcBorders>
              <w:top w:val="nil"/>
              <w:left w:val="nil"/>
              <w:bottom w:val="nil"/>
              <w:right w:val="nil"/>
            </w:tcBorders>
            <w:shd w:val="clear" w:color="000000" w:fill="FFFFFF"/>
            <w:noWrap/>
            <w:vAlign w:val="center"/>
            <w:hideMark/>
          </w:tcPr>
          <w:p w14:paraId="7A66BFAE" w14:textId="77777777" w:rsidR="00242011" w:rsidRDefault="00242011" w:rsidP="00AE0023">
            <w:pPr>
              <w:spacing w:before="10" w:after="10" w:line="240" w:lineRule="auto"/>
              <w:contextualSpacing/>
              <w:jc w:val="center"/>
              <w:rPr>
                <w:color w:val="000000"/>
                <w:sz w:val="18"/>
                <w:szCs w:val="18"/>
              </w:rPr>
            </w:pPr>
            <w:r>
              <w:rPr>
                <w:color w:val="000000"/>
                <w:sz w:val="18"/>
                <w:szCs w:val="18"/>
              </w:rPr>
              <w:t>0.2</w:t>
            </w:r>
          </w:p>
        </w:tc>
        <w:tc>
          <w:tcPr>
            <w:tcW w:w="1232" w:type="dxa"/>
            <w:tcBorders>
              <w:top w:val="nil"/>
              <w:left w:val="nil"/>
              <w:bottom w:val="nil"/>
              <w:right w:val="nil"/>
            </w:tcBorders>
            <w:shd w:val="clear" w:color="000000" w:fill="FFFFFF"/>
            <w:noWrap/>
            <w:vAlign w:val="center"/>
            <w:hideMark/>
          </w:tcPr>
          <w:p w14:paraId="52D478F6" w14:textId="77777777" w:rsidR="00242011" w:rsidRDefault="00242011" w:rsidP="00AE0023">
            <w:pPr>
              <w:spacing w:before="10" w:after="10" w:line="240" w:lineRule="auto"/>
              <w:contextualSpacing/>
              <w:jc w:val="center"/>
              <w:rPr>
                <w:color w:val="000000"/>
                <w:sz w:val="18"/>
                <w:szCs w:val="18"/>
              </w:rPr>
            </w:pPr>
            <w:r>
              <w:rPr>
                <w:color w:val="000000"/>
                <w:sz w:val="18"/>
                <w:szCs w:val="18"/>
              </w:rPr>
              <w:t>1.0</w:t>
            </w:r>
          </w:p>
        </w:tc>
      </w:tr>
      <w:tr w:rsidR="00242011" w:rsidRPr="00DD28A5" w14:paraId="686A9C52" w14:textId="77777777" w:rsidTr="00F875D2">
        <w:trPr>
          <w:trHeight w:val="110"/>
        </w:trPr>
        <w:tc>
          <w:tcPr>
            <w:tcW w:w="2255" w:type="dxa"/>
            <w:tcBorders>
              <w:top w:val="nil"/>
              <w:left w:val="nil"/>
              <w:bottom w:val="nil"/>
              <w:right w:val="nil"/>
            </w:tcBorders>
            <w:shd w:val="clear" w:color="000000" w:fill="FFFFFF"/>
            <w:noWrap/>
            <w:vAlign w:val="bottom"/>
            <w:hideMark/>
          </w:tcPr>
          <w:p w14:paraId="4A84B841" w14:textId="77777777" w:rsidR="00242011" w:rsidRDefault="00242011" w:rsidP="00AE0023">
            <w:pPr>
              <w:pStyle w:val="TableTextLeft2"/>
              <w:spacing w:before="10" w:after="10" w:line="240" w:lineRule="auto"/>
            </w:pPr>
            <w:r>
              <w:t>Govt. spending</w:t>
            </w:r>
          </w:p>
        </w:tc>
        <w:tc>
          <w:tcPr>
            <w:tcW w:w="1232" w:type="dxa"/>
            <w:tcBorders>
              <w:top w:val="nil"/>
              <w:left w:val="nil"/>
              <w:bottom w:val="nil"/>
              <w:right w:val="nil"/>
            </w:tcBorders>
            <w:shd w:val="clear" w:color="000000" w:fill="FFFFFF"/>
            <w:noWrap/>
            <w:vAlign w:val="center"/>
            <w:hideMark/>
          </w:tcPr>
          <w:p w14:paraId="609D6C74" w14:textId="77777777" w:rsidR="00242011" w:rsidRDefault="00242011" w:rsidP="00AE0023">
            <w:pPr>
              <w:spacing w:before="10" w:after="10" w:line="240" w:lineRule="auto"/>
              <w:contextualSpacing/>
              <w:jc w:val="center"/>
              <w:rPr>
                <w:color w:val="000000"/>
                <w:sz w:val="18"/>
                <w:szCs w:val="18"/>
              </w:rPr>
            </w:pPr>
            <w:r>
              <w:rPr>
                <w:color w:val="000000"/>
                <w:sz w:val="18"/>
                <w:szCs w:val="18"/>
              </w:rPr>
              <w:t>0.0</w:t>
            </w:r>
          </w:p>
        </w:tc>
        <w:tc>
          <w:tcPr>
            <w:tcW w:w="1232" w:type="dxa"/>
            <w:tcBorders>
              <w:top w:val="nil"/>
              <w:left w:val="nil"/>
              <w:bottom w:val="nil"/>
              <w:right w:val="nil"/>
            </w:tcBorders>
            <w:shd w:val="clear" w:color="000000" w:fill="FFFFFF"/>
            <w:noWrap/>
            <w:vAlign w:val="center"/>
            <w:hideMark/>
          </w:tcPr>
          <w:p w14:paraId="12568BFD" w14:textId="77777777" w:rsidR="00242011" w:rsidRDefault="00242011" w:rsidP="00AE0023">
            <w:pPr>
              <w:spacing w:before="10" w:after="10" w:line="240" w:lineRule="auto"/>
              <w:contextualSpacing/>
              <w:jc w:val="center"/>
              <w:rPr>
                <w:color w:val="000000"/>
                <w:sz w:val="18"/>
                <w:szCs w:val="18"/>
              </w:rPr>
            </w:pPr>
            <w:r>
              <w:rPr>
                <w:color w:val="000000"/>
                <w:sz w:val="18"/>
                <w:szCs w:val="18"/>
              </w:rPr>
              <w:t>0.0</w:t>
            </w:r>
          </w:p>
        </w:tc>
        <w:tc>
          <w:tcPr>
            <w:tcW w:w="1231" w:type="dxa"/>
            <w:tcBorders>
              <w:top w:val="nil"/>
              <w:left w:val="nil"/>
              <w:bottom w:val="nil"/>
              <w:right w:val="single" w:sz="4" w:space="0" w:color="auto"/>
            </w:tcBorders>
            <w:shd w:val="clear" w:color="000000" w:fill="FFFFFF"/>
            <w:noWrap/>
            <w:vAlign w:val="center"/>
            <w:hideMark/>
          </w:tcPr>
          <w:p w14:paraId="1D452754" w14:textId="77777777" w:rsidR="00242011" w:rsidRDefault="00242011" w:rsidP="00AE0023">
            <w:pPr>
              <w:spacing w:before="10" w:after="10" w:line="240" w:lineRule="auto"/>
              <w:contextualSpacing/>
              <w:jc w:val="center"/>
              <w:rPr>
                <w:color w:val="000000"/>
                <w:sz w:val="18"/>
                <w:szCs w:val="18"/>
              </w:rPr>
            </w:pPr>
            <w:r>
              <w:rPr>
                <w:color w:val="000000"/>
                <w:sz w:val="18"/>
                <w:szCs w:val="18"/>
              </w:rPr>
              <w:t>-1.7</w:t>
            </w:r>
          </w:p>
        </w:tc>
        <w:tc>
          <w:tcPr>
            <w:tcW w:w="1232" w:type="dxa"/>
            <w:tcBorders>
              <w:top w:val="nil"/>
              <w:left w:val="nil"/>
              <w:bottom w:val="nil"/>
              <w:right w:val="nil"/>
            </w:tcBorders>
            <w:shd w:val="clear" w:color="000000" w:fill="FFFFFF"/>
            <w:noWrap/>
            <w:vAlign w:val="center"/>
            <w:hideMark/>
          </w:tcPr>
          <w:p w14:paraId="010280C2" w14:textId="77777777" w:rsidR="00242011" w:rsidRDefault="00242011" w:rsidP="00AE0023">
            <w:pPr>
              <w:spacing w:before="10" w:after="10" w:line="240" w:lineRule="auto"/>
              <w:contextualSpacing/>
              <w:jc w:val="center"/>
              <w:rPr>
                <w:color w:val="000000"/>
                <w:sz w:val="18"/>
                <w:szCs w:val="18"/>
              </w:rPr>
            </w:pPr>
            <w:r>
              <w:rPr>
                <w:color w:val="000000"/>
                <w:sz w:val="18"/>
                <w:szCs w:val="18"/>
              </w:rPr>
              <w:t>0.0</w:t>
            </w:r>
          </w:p>
        </w:tc>
        <w:tc>
          <w:tcPr>
            <w:tcW w:w="1232" w:type="dxa"/>
            <w:tcBorders>
              <w:top w:val="nil"/>
              <w:left w:val="nil"/>
              <w:bottom w:val="nil"/>
              <w:right w:val="nil"/>
            </w:tcBorders>
            <w:shd w:val="clear" w:color="000000" w:fill="FFFFFF"/>
            <w:noWrap/>
            <w:vAlign w:val="center"/>
            <w:hideMark/>
          </w:tcPr>
          <w:p w14:paraId="581251A4" w14:textId="77777777" w:rsidR="00242011" w:rsidRDefault="00242011" w:rsidP="00AE0023">
            <w:pPr>
              <w:spacing w:before="10" w:after="10" w:line="240" w:lineRule="auto"/>
              <w:contextualSpacing/>
              <w:jc w:val="center"/>
              <w:rPr>
                <w:color w:val="000000"/>
                <w:sz w:val="18"/>
                <w:szCs w:val="18"/>
              </w:rPr>
            </w:pPr>
            <w:r>
              <w:rPr>
                <w:color w:val="000000"/>
                <w:sz w:val="18"/>
                <w:szCs w:val="18"/>
              </w:rPr>
              <w:t>0.0</w:t>
            </w:r>
          </w:p>
        </w:tc>
        <w:tc>
          <w:tcPr>
            <w:tcW w:w="1232" w:type="dxa"/>
            <w:tcBorders>
              <w:top w:val="nil"/>
              <w:left w:val="nil"/>
              <w:bottom w:val="nil"/>
              <w:right w:val="single" w:sz="4" w:space="0" w:color="auto"/>
            </w:tcBorders>
            <w:shd w:val="clear" w:color="000000" w:fill="FFFFFF"/>
            <w:noWrap/>
            <w:vAlign w:val="center"/>
            <w:hideMark/>
          </w:tcPr>
          <w:p w14:paraId="51D2DF23" w14:textId="77777777" w:rsidR="00242011" w:rsidRDefault="00242011" w:rsidP="00AE0023">
            <w:pPr>
              <w:spacing w:before="10" w:after="10" w:line="240" w:lineRule="auto"/>
              <w:contextualSpacing/>
              <w:jc w:val="center"/>
              <w:rPr>
                <w:color w:val="000000"/>
                <w:sz w:val="18"/>
                <w:szCs w:val="18"/>
              </w:rPr>
            </w:pPr>
            <w:r>
              <w:rPr>
                <w:color w:val="000000"/>
                <w:sz w:val="18"/>
                <w:szCs w:val="18"/>
              </w:rPr>
              <w:t>-1.7</w:t>
            </w:r>
          </w:p>
        </w:tc>
        <w:tc>
          <w:tcPr>
            <w:tcW w:w="1232" w:type="dxa"/>
            <w:tcBorders>
              <w:top w:val="nil"/>
              <w:left w:val="nil"/>
              <w:bottom w:val="nil"/>
              <w:right w:val="nil"/>
            </w:tcBorders>
            <w:shd w:val="clear" w:color="000000" w:fill="FFFFFF"/>
            <w:noWrap/>
            <w:vAlign w:val="center"/>
            <w:hideMark/>
          </w:tcPr>
          <w:p w14:paraId="21C72FDD" w14:textId="77777777" w:rsidR="00242011" w:rsidRDefault="00242011" w:rsidP="00AE0023">
            <w:pPr>
              <w:spacing w:before="10" w:after="10" w:line="240" w:lineRule="auto"/>
              <w:contextualSpacing/>
              <w:jc w:val="center"/>
              <w:rPr>
                <w:color w:val="000000"/>
                <w:sz w:val="18"/>
                <w:szCs w:val="18"/>
              </w:rPr>
            </w:pPr>
            <w:r>
              <w:rPr>
                <w:color w:val="000000"/>
                <w:sz w:val="18"/>
                <w:szCs w:val="18"/>
              </w:rPr>
              <w:t>0.0</w:t>
            </w:r>
          </w:p>
        </w:tc>
        <w:tc>
          <w:tcPr>
            <w:tcW w:w="1231" w:type="dxa"/>
            <w:tcBorders>
              <w:top w:val="nil"/>
              <w:left w:val="nil"/>
              <w:bottom w:val="nil"/>
              <w:right w:val="nil"/>
            </w:tcBorders>
            <w:shd w:val="clear" w:color="000000" w:fill="FFFFFF"/>
            <w:noWrap/>
            <w:vAlign w:val="center"/>
            <w:hideMark/>
          </w:tcPr>
          <w:p w14:paraId="7183E535" w14:textId="77777777" w:rsidR="00242011" w:rsidRDefault="00242011" w:rsidP="00AE0023">
            <w:pPr>
              <w:spacing w:before="10" w:after="10" w:line="240" w:lineRule="auto"/>
              <w:contextualSpacing/>
              <w:jc w:val="center"/>
              <w:rPr>
                <w:color w:val="000000"/>
                <w:sz w:val="18"/>
                <w:szCs w:val="18"/>
              </w:rPr>
            </w:pPr>
            <w:r>
              <w:rPr>
                <w:color w:val="000000"/>
                <w:sz w:val="18"/>
                <w:szCs w:val="18"/>
              </w:rPr>
              <w:t>0.0</w:t>
            </w:r>
          </w:p>
        </w:tc>
        <w:tc>
          <w:tcPr>
            <w:tcW w:w="1232" w:type="dxa"/>
            <w:tcBorders>
              <w:top w:val="nil"/>
              <w:left w:val="nil"/>
              <w:bottom w:val="nil"/>
              <w:right w:val="nil"/>
            </w:tcBorders>
            <w:shd w:val="clear" w:color="000000" w:fill="FFFFFF"/>
            <w:noWrap/>
            <w:vAlign w:val="center"/>
            <w:hideMark/>
          </w:tcPr>
          <w:p w14:paraId="6BFD1DBC" w14:textId="77777777" w:rsidR="00242011" w:rsidRDefault="00242011" w:rsidP="00AE0023">
            <w:pPr>
              <w:spacing w:before="10" w:after="10" w:line="240" w:lineRule="auto"/>
              <w:contextualSpacing/>
              <w:jc w:val="center"/>
              <w:rPr>
                <w:color w:val="000000"/>
                <w:sz w:val="18"/>
                <w:szCs w:val="18"/>
              </w:rPr>
            </w:pPr>
            <w:r>
              <w:rPr>
                <w:color w:val="000000"/>
                <w:sz w:val="18"/>
                <w:szCs w:val="18"/>
              </w:rPr>
              <w:t>-1.8</w:t>
            </w:r>
          </w:p>
        </w:tc>
      </w:tr>
      <w:tr w:rsidR="00242011" w:rsidRPr="00DD28A5" w14:paraId="4E6C2D41" w14:textId="77777777" w:rsidTr="00F875D2">
        <w:trPr>
          <w:trHeight w:val="183"/>
        </w:trPr>
        <w:tc>
          <w:tcPr>
            <w:tcW w:w="2255" w:type="dxa"/>
            <w:tcBorders>
              <w:top w:val="nil"/>
              <w:left w:val="nil"/>
              <w:bottom w:val="nil"/>
              <w:right w:val="nil"/>
            </w:tcBorders>
            <w:shd w:val="clear" w:color="000000" w:fill="FFFFFF"/>
            <w:noWrap/>
            <w:vAlign w:val="bottom"/>
            <w:hideMark/>
          </w:tcPr>
          <w:p w14:paraId="5CFBECB3" w14:textId="77777777" w:rsidR="00242011" w:rsidRDefault="00242011" w:rsidP="00AE0023">
            <w:pPr>
              <w:pStyle w:val="TableTextLeft2"/>
              <w:spacing w:before="10" w:after="10" w:line="240" w:lineRule="auto"/>
            </w:pPr>
            <w:r>
              <w:t>Investment</w:t>
            </w:r>
          </w:p>
        </w:tc>
        <w:tc>
          <w:tcPr>
            <w:tcW w:w="1232" w:type="dxa"/>
            <w:tcBorders>
              <w:top w:val="nil"/>
              <w:left w:val="nil"/>
              <w:bottom w:val="nil"/>
              <w:right w:val="nil"/>
            </w:tcBorders>
            <w:shd w:val="clear" w:color="000000" w:fill="FFFFFF"/>
            <w:noWrap/>
            <w:vAlign w:val="center"/>
            <w:hideMark/>
          </w:tcPr>
          <w:p w14:paraId="47B472FB" w14:textId="77777777" w:rsidR="00242011" w:rsidRDefault="00242011" w:rsidP="00AE0023">
            <w:pPr>
              <w:spacing w:before="10" w:after="10" w:line="240" w:lineRule="auto"/>
              <w:contextualSpacing/>
              <w:jc w:val="center"/>
              <w:rPr>
                <w:color w:val="000000"/>
                <w:sz w:val="18"/>
                <w:szCs w:val="18"/>
              </w:rPr>
            </w:pPr>
            <w:r>
              <w:rPr>
                <w:color w:val="000000"/>
                <w:sz w:val="18"/>
                <w:szCs w:val="18"/>
              </w:rPr>
              <w:t>2.8</w:t>
            </w:r>
          </w:p>
        </w:tc>
        <w:tc>
          <w:tcPr>
            <w:tcW w:w="1232" w:type="dxa"/>
            <w:tcBorders>
              <w:top w:val="nil"/>
              <w:left w:val="nil"/>
              <w:bottom w:val="nil"/>
              <w:right w:val="nil"/>
            </w:tcBorders>
            <w:shd w:val="clear" w:color="000000" w:fill="FFFFFF"/>
            <w:noWrap/>
            <w:vAlign w:val="center"/>
            <w:hideMark/>
          </w:tcPr>
          <w:p w14:paraId="70ABECDC" w14:textId="77777777" w:rsidR="00242011" w:rsidRDefault="00242011" w:rsidP="00AE0023">
            <w:pPr>
              <w:spacing w:before="10" w:after="10" w:line="240" w:lineRule="auto"/>
              <w:contextualSpacing/>
              <w:jc w:val="center"/>
              <w:rPr>
                <w:color w:val="000000"/>
                <w:sz w:val="18"/>
                <w:szCs w:val="18"/>
              </w:rPr>
            </w:pPr>
            <w:r>
              <w:rPr>
                <w:color w:val="000000"/>
                <w:sz w:val="18"/>
                <w:szCs w:val="18"/>
              </w:rPr>
              <w:t>2.6</w:t>
            </w:r>
          </w:p>
        </w:tc>
        <w:tc>
          <w:tcPr>
            <w:tcW w:w="1231" w:type="dxa"/>
            <w:tcBorders>
              <w:top w:val="nil"/>
              <w:left w:val="nil"/>
              <w:bottom w:val="nil"/>
              <w:right w:val="single" w:sz="4" w:space="0" w:color="auto"/>
            </w:tcBorders>
            <w:shd w:val="clear" w:color="000000" w:fill="FFFFFF"/>
            <w:noWrap/>
            <w:vAlign w:val="center"/>
            <w:hideMark/>
          </w:tcPr>
          <w:p w14:paraId="0EAAA06C" w14:textId="77777777" w:rsidR="00242011" w:rsidRDefault="00242011" w:rsidP="00AE0023">
            <w:pPr>
              <w:spacing w:before="10" w:after="10" w:line="240" w:lineRule="auto"/>
              <w:contextualSpacing/>
              <w:jc w:val="center"/>
              <w:rPr>
                <w:color w:val="000000"/>
                <w:sz w:val="18"/>
                <w:szCs w:val="18"/>
              </w:rPr>
            </w:pPr>
            <w:r>
              <w:rPr>
                <w:color w:val="000000"/>
                <w:sz w:val="18"/>
                <w:szCs w:val="18"/>
              </w:rPr>
              <w:t>2.9</w:t>
            </w:r>
          </w:p>
        </w:tc>
        <w:tc>
          <w:tcPr>
            <w:tcW w:w="1232" w:type="dxa"/>
            <w:tcBorders>
              <w:top w:val="nil"/>
              <w:left w:val="nil"/>
              <w:bottom w:val="nil"/>
              <w:right w:val="nil"/>
            </w:tcBorders>
            <w:shd w:val="clear" w:color="000000" w:fill="FFFFFF"/>
            <w:noWrap/>
            <w:vAlign w:val="center"/>
            <w:hideMark/>
          </w:tcPr>
          <w:p w14:paraId="42D9034F" w14:textId="77777777" w:rsidR="00242011" w:rsidRDefault="00242011" w:rsidP="00AE0023">
            <w:pPr>
              <w:spacing w:before="10" w:after="10" w:line="240" w:lineRule="auto"/>
              <w:contextualSpacing/>
              <w:jc w:val="center"/>
              <w:rPr>
                <w:color w:val="000000"/>
                <w:sz w:val="18"/>
                <w:szCs w:val="18"/>
              </w:rPr>
            </w:pPr>
            <w:r>
              <w:rPr>
                <w:color w:val="000000"/>
                <w:sz w:val="18"/>
                <w:szCs w:val="18"/>
              </w:rPr>
              <w:t>2.8</w:t>
            </w:r>
          </w:p>
        </w:tc>
        <w:tc>
          <w:tcPr>
            <w:tcW w:w="1232" w:type="dxa"/>
            <w:tcBorders>
              <w:top w:val="nil"/>
              <w:left w:val="nil"/>
              <w:bottom w:val="nil"/>
              <w:right w:val="nil"/>
            </w:tcBorders>
            <w:shd w:val="clear" w:color="000000" w:fill="FFFFFF"/>
            <w:noWrap/>
            <w:vAlign w:val="center"/>
            <w:hideMark/>
          </w:tcPr>
          <w:p w14:paraId="1A60D0C2" w14:textId="77777777" w:rsidR="00242011" w:rsidRDefault="00242011" w:rsidP="00AE0023">
            <w:pPr>
              <w:spacing w:before="10" w:after="10" w:line="240" w:lineRule="auto"/>
              <w:contextualSpacing/>
              <w:jc w:val="center"/>
              <w:rPr>
                <w:color w:val="000000"/>
                <w:sz w:val="18"/>
                <w:szCs w:val="18"/>
              </w:rPr>
            </w:pPr>
            <w:r>
              <w:rPr>
                <w:color w:val="000000"/>
                <w:sz w:val="18"/>
                <w:szCs w:val="18"/>
              </w:rPr>
              <w:t>2.6</w:t>
            </w:r>
          </w:p>
        </w:tc>
        <w:tc>
          <w:tcPr>
            <w:tcW w:w="1232" w:type="dxa"/>
            <w:tcBorders>
              <w:top w:val="nil"/>
              <w:left w:val="nil"/>
              <w:bottom w:val="nil"/>
              <w:right w:val="single" w:sz="4" w:space="0" w:color="auto"/>
            </w:tcBorders>
            <w:shd w:val="clear" w:color="000000" w:fill="FFFFFF"/>
            <w:noWrap/>
            <w:vAlign w:val="center"/>
            <w:hideMark/>
          </w:tcPr>
          <w:p w14:paraId="0F355AE7" w14:textId="77777777" w:rsidR="00242011" w:rsidRDefault="00242011" w:rsidP="00AE0023">
            <w:pPr>
              <w:spacing w:before="10" w:after="10" w:line="240" w:lineRule="auto"/>
              <w:contextualSpacing/>
              <w:jc w:val="center"/>
              <w:rPr>
                <w:color w:val="000000"/>
                <w:sz w:val="18"/>
                <w:szCs w:val="18"/>
              </w:rPr>
            </w:pPr>
            <w:r>
              <w:rPr>
                <w:color w:val="000000"/>
                <w:sz w:val="18"/>
                <w:szCs w:val="18"/>
              </w:rPr>
              <w:t>2.9</w:t>
            </w:r>
          </w:p>
        </w:tc>
        <w:tc>
          <w:tcPr>
            <w:tcW w:w="1232" w:type="dxa"/>
            <w:tcBorders>
              <w:top w:val="nil"/>
              <w:left w:val="nil"/>
              <w:bottom w:val="nil"/>
              <w:right w:val="nil"/>
            </w:tcBorders>
            <w:shd w:val="clear" w:color="000000" w:fill="FFFFFF"/>
            <w:noWrap/>
            <w:vAlign w:val="center"/>
            <w:hideMark/>
          </w:tcPr>
          <w:p w14:paraId="0CECFAC8" w14:textId="77777777" w:rsidR="00242011" w:rsidRDefault="00242011" w:rsidP="00AE0023">
            <w:pPr>
              <w:spacing w:before="10" w:after="10" w:line="240" w:lineRule="auto"/>
              <w:contextualSpacing/>
              <w:jc w:val="center"/>
              <w:rPr>
                <w:color w:val="000000"/>
                <w:sz w:val="18"/>
                <w:szCs w:val="18"/>
              </w:rPr>
            </w:pPr>
            <w:r>
              <w:rPr>
                <w:color w:val="000000"/>
                <w:sz w:val="18"/>
                <w:szCs w:val="18"/>
              </w:rPr>
              <w:t>2.8</w:t>
            </w:r>
          </w:p>
        </w:tc>
        <w:tc>
          <w:tcPr>
            <w:tcW w:w="1231" w:type="dxa"/>
            <w:tcBorders>
              <w:top w:val="nil"/>
              <w:left w:val="nil"/>
              <w:bottom w:val="nil"/>
              <w:right w:val="nil"/>
            </w:tcBorders>
            <w:shd w:val="clear" w:color="000000" w:fill="FFFFFF"/>
            <w:noWrap/>
            <w:vAlign w:val="center"/>
            <w:hideMark/>
          </w:tcPr>
          <w:p w14:paraId="7A5D7A3C" w14:textId="77777777" w:rsidR="00242011" w:rsidRDefault="00242011" w:rsidP="00AE0023">
            <w:pPr>
              <w:spacing w:before="10" w:after="10" w:line="240" w:lineRule="auto"/>
              <w:contextualSpacing/>
              <w:jc w:val="center"/>
              <w:rPr>
                <w:color w:val="000000"/>
                <w:sz w:val="18"/>
                <w:szCs w:val="18"/>
              </w:rPr>
            </w:pPr>
            <w:r>
              <w:rPr>
                <w:color w:val="000000"/>
                <w:sz w:val="18"/>
                <w:szCs w:val="18"/>
              </w:rPr>
              <w:t>2.6</w:t>
            </w:r>
          </w:p>
        </w:tc>
        <w:tc>
          <w:tcPr>
            <w:tcW w:w="1232" w:type="dxa"/>
            <w:tcBorders>
              <w:top w:val="nil"/>
              <w:left w:val="nil"/>
              <w:bottom w:val="nil"/>
              <w:right w:val="nil"/>
            </w:tcBorders>
            <w:shd w:val="clear" w:color="000000" w:fill="FFFFFF"/>
            <w:noWrap/>
            <w:vAlign w:val="center"/>
            <w:hideMark/>
          </w:tcPr>
          <w:p w14:paraId="6F2736BF" w14:textId="77777777" w:rsidR="00242011" w:rsidRDefault="00242011" w:rsidP="00AE0023">
            <w:pPr>
              <w:spacing w:before="10" w:after="10" w:line="240" w:lineRule="auto"/>
              <w:contextualSpacing/>
              <w:jc w:val="center"/>
              <w:rPr>
                <w:color w:val="000000"/>
                <w:sz w:val="18"/>
                <w:szCs w:val="18"/>
              </w:rPr>
            </w:pPr>
            <w:r>
              <w:rPr>
                <w:color w:val="000000"/>
                <w:sz w:val="18"/>
                <w:szCs w:val="18"/>
              </w:rPr>
              <w:t>2.9</w:t>
            </w:r>
          </w:p>
        </w:tc>
      </w:tr>
      <w:tr w:rsidR="00242011" w:rsidRPr="00DD28A5" w14:paraId="295C1905" w14:textId="77777777" w:rsidTr="00F875D2">
        <w:trPr>
          <w:trHeight w:val="102"/>
        </w:trPr>
        <w:tc>
          <w:tcPr>
            <w:tcW w:w="2255" w:type="dxa"/>
            <w:tcBorders>
              <w:top w:val="nil"/>
              <w:left w:val="nil"/>
              <w:bottom w:val="nil"/>
              <w:right w:val="nil"/>
            </w:tcBorders>
            <w:shd w:val="clear" w:color="000000" w:fill="FFFFFF"/>
            <w:noWrap/>
            <w:vAlign w:val="bottom"/>
            <w:hideMark/>
          </w:tcPr>
          <w:p w14:paraId="2710F7CC" w14:textId="77777777" w:rsidR="00242011" w:rsidRDefault="00242011" w:rsidP="00AE0023">
            <w:pPr>
              <w:pStyle w:val="TableTextLeft2"/>
              <w:spacing w:before="10" w:after="10" w:line="240" w:lineRule="auto"/>
            </w:pPr>
            <w:r>
              <w:t>Exports</w:t>
            </w:r>
          </w:p>
        </w:tc>
        <w:tc>
          <w:tcPr>
            <w:tcW w:w="1232" w:type="dxa"/>
            <w:tcBorders>
              <w:top w:val="nil"/>
              <w:left w:val="nil"/>
              <w:bottom w:val="nil"/>
              <w:right w:val="nil"/>
            </w:tcBorders>
            <w:shd w:val="clear" w:color="000000" w:fill="FFFFFF"/>
            <w:noWrap/>
            <w:vAlign w:val="center"/>
            <w:hideMark/>
          </w:tcPr>
          <w:p w14:paraId="50FF1723" w14:textId="77777777" w:rsidR="00242011" w:rsidRDefault="00242011" w:rsidP="00AE0023">
            <w:pPr>
              <w:spacing w:before="10" w:after="10" w:line="240" w:lineRule="auto"/>
              <w:contextualSpacing/>
              <w:jc w:val="center"/>
              <w:rPr>
                <w:color w:val="000000"/>
                <w:sz w:val="18"/>
                <w:szCs w:val="18"/>
              </w:rPr>
            </w:pPr>
            <w:r>
              <w:rPr>
                <w:color w:val="000000"/>
                <w:sz w:val="18"/>
                <w:szCs w:val="18"/>
              </w:rPr>
              <w:t>2.1</w:t>
            </w:r>
          </w:p>
        </w:tc>
        <w:tc>
          <w:tcPr>
            <w:tcW w:w="1232" w:type="dxa"/>
            <w:tcBorders>
              <w:top w:val="nil"/>
              <w:left w:val="nil"/>
              <w:bottom w:val="nil"/>
              <w:right w:val="nil"/>
            </w:tcBorders>
            <w:shd w:val="clear" w:color="000000" w:fill="FFFFFF"/>
            <w:noWrap/>
            <w:vAlign w:val="center"/>
            <w:hideMark/>
          </w:tcPr>
          <w:p w14:paraId="6527853C" w14:textId="77777777" w:rsidR="00242011" w:rsidRDefault="00242011" w:rsidP="00AE0023">
            <w:pPr>
              <w:spacing w:before="10" w:after="10" w:line="240" w:lineRule="auto"/>
              <w:contextualSpacing/>
              <w:jc w:val="center"/>
              <w:rPr>
                <w:color w:val="000000"/>
                <w:sz w:val="18"/>
                <w:szCs w:val="18"/>
              </w:rPr>
            </w:pPr>
            <w:r>
              <w:rPr>
                <w:color w:val="000000"/>
                <w:sz w:val="18"/>
                <w:szCs w:val="18"/>
              </w:rPr>
              <w:t>1.9</w:t>
            </w:r>
          </w:p>
        </w:tc>
        <w:tc>
          <w:tcPr>
            <w:tcW w:w="1231" w:type="dxa"/>
            <w:tcBorders>
              <w:top w:val="nil"/>
              <w:left w:val="nil"/>
              <w:bottom w:val="nil"/>
              <w:right w:val="single" w:sz="4" w:space="0" w:color="auto"/>
            </w:tcBorders>
            <w:shd w:val="clear" w:color="000000" w:fill="FFFFFF"/>
            <w:noWrap/>
            <w:vAlign w:val="center"/>
            <w:hideMark/>
          </w:tcPr>
          <w:p w14:paraId="382F41BD" w14:textId="77777777" w:rsidR="00242011" w:rsidRDefault="00242011" w:rsidP="00AE0023">
            <w:pPr>
              <w:spacing w:before="10" w:after="10" w:line="240" w:lineRule="auto"/>
              <w:contextualSpacing/>
              <w:jc w:val="center"/>
              <w:rPr>
                <w:color w:val="000000"/>
                <w:sz w:val="18"/>
                <w:szCs w:val="18"/>
              </w:rPr>
            </w:pPr>
            <w:r>
              <w:rPr>
                <w:color w:val="000000"/>
                <w:sz w:val="18"/>
                <w:szCs w:val="18"/>
              </w:rPr>
              <w:t>2.1</w:t>
            </w:r>
          </w:p>
        </w:tc>
        <w:tc>
          <w:tcPr>
            <w:tcW w:w="1232" w:type="dxa"/>
            <w:tcBorders>
              <w:top w:val="nil"/>
              <w:left w:val="nil"/>
              <w:bottom w:val="nil"/>
              <w:right w:val="nil"/>
            </w:tcBorders>
            <w:shd w:val="clear" w:color="000000" w:fill="FFFFFF"/>
            <w:noWrap/>
            <w:vAlign w:val="center"/>
            <w:hideMark/>
          </w:tcPr>
          <w:p w14:paraId="07F9BB91" w14:textId="77777777" w:rsidR="00242011" w:rsidRDefault="00242011" w:rsidP="00AE0023">
            <w:pPr>
              <w:spacing w:before="10" w:after="10" w:line="240" w:lineRule="auto"/>
              <w:contextualSpacing/>
              <w:jc w:val="center"/>
              <w:rPr>
                <w:color w:val="000000"/>
                <w:sz w:val="18"/>
                <w:szCs w:val="18"/>
              </w:rPr>
            </w:pPr>
            <w:r>
              <w:rPr>
                <w:color w:val="000000"/>
                <w:sz w:val="18"/>
                <w:szCs w:val="18"/>
              </w:rPr>
              <w:t>2.2</w:t>
            </w:r>
          </w:p>
        </w:tc>
        <w:tc>
          <w:tcPr>
            <w:tcW w:w="1232" w:type="dxa"/>
            <w:tcBorders>
              <w:top w:val="nil"/>
              <w:left w:val="nil"/>
              <w:bottom w:val="nil"/>
              <w:right w:val="nil"/>
            </w:tcBorders>
            <w:shd w:val="clear" w:color="000000" w:fill="FFFFFF"/>
            <w:noWrap/>
            <w:vAlign w:val="center"/>
            <w:hideMark/>
          </w:tcPr>
          <w:p w14:paraId="129D5D3B" w14:textId="77777777" w:rsidR="00242011" w:rsidRDefault="00242011" w:rsidP="00AE0023">
            <w:pPr>
              <w:spacing w:before="10" w:after="10" w:line="240" w:lineRule="auto"/>
              <w:contextualSpacing/>
              <w:jc w:val="center"/>
              <w:rPr>
                <w:color w:val="000000"/>
                <w:sz w:val="18"/>
                <w:szCs w:val="18"/>
              </w:rPr>
            </w:pPr>
            <w:r>
              <w:rPr>
                <w:color w:val="000000"/>
                <w:sz w:val="18"/>
                <w:szCs w:val="18"/>
              </w:rPr>
              <w:t>2.0</w:t>
            </w:r>
          </w:p>
        </w:tc>
        <w:tc>
          <w:tcPr>
            <w:tcW w:w="1232" w:type="dxa"/>
            <w:tcBorders>
              <w:top w:val="nil"/>
              <w:left w:val="nil"/>
              <w:bottom w:val="nil"/>
              <w:right w:val="single" w:sz="4" w:space="0" w:color="auto"/>
            </w:tcBorders>
            <w:shd w:val="clear" w:color="000000" w:fill="FFFFFF"/>
            <w:noWrap/>
            <w:vAlign w:val="center"/>
            <w:hideMark/>
          </w:tcPr>
          <w:p w14:paraId="3A0E52B6" w14:textId="77777777" w:rsidR="00242011" w:rsidRDefault="00242011" w:rsidP="00AE0023">
            <w:pPr>
              <w:spacing w:before="10" w:after="10" w:line="240" w:lineRule="auto"/>
              <w:contextualSpacing/>
              <w:jc w:val="center"/>
              <w:rPr>
                <w:color w:val="000000"/>
                <w:sz w:val="18"/>
                <w:szCs w:val="18"/>
              </w:rPr>
            </w:pPr>
            <w:r>
              <w:rPr>
                <w:color w:val="000000"/>
                <w:sz w:val="18"/>
                <w:szCs w:val="18"/>
              </w:rPr>
              <w:t>2.1</w:t>
            </w:r>
          </w:p>
        </w:tc>
        <w:tc>
          <w:tcPr>
            <w:tcW w:w="1232" w:type="dxa"/>
            <w:tcBorders>
              <w:top w:val="nil"/>
              <w:left w:val="nil"/>
              <w:bottom w:val="nil"/>
              <w:right w:val="nil"/>
            </w:tcBorders>
            <w:shd w:val="clear" w:color="000000" w:fill="FFFFFF"/>
            <w:noWrap/>
            <w:vAlign w:val="center"/>
            <w:hideMark/>
          </w:tcPr>
          <w:p w14:paraId="5287E563" w14:textId="77777777" w:rsidR="00242011" w:rsidRDefault="00242011" w:rsidP="00AE0023">
            <w:pPr>
              <w:spacing w:before="10" w:after="10" w:line="240" w:lineRule="auto"/>
              <w:contextualSpacing/>
              <w:jc w:val="center"/>
              <w:rPr>
                <w:color w:val="000000"/>
                <w:sz w:val="18"/>
                <w:szCs w:val="18"/>
              </w:rPr>
            </w:pPr>
            <w:r>
              <w:rPr>
                <w:color w:val="000000"/>
                <w:sz w:val="18"/>
                <w:szCs w:val="18"/>
              </w:rPr>
              <w:t>2.3</w:t>
            </w:r>
          </w:p>
        </w:tc>
        <w:tc>
          <w:tcPr>
            <w:tcW w:w="1231" w:type="dxa"/>
            <w:tcBorders>
              <w:top w:val="nil"/>
              <w:left w:val="nil"/>
              <w:bottom w:val="nil"/>
              <w:right w:val="nil"/>
            </w:tcBorders>
            <w:shd w:val="clear" w:color="000000" w:fill="FFFFFF"/>
            <w:noWrap/>
            <w:vAlign w:val="center"/>
            <w:hideMark/>
          </w:tcPr>
          <w:p w14:paraId="4277D591" w14:textId="77777777" w:rsidR="00242011" w:rsidRDefault="00242011" w:rsidP="00AE0023">
            <w:pPr>
              <w:spacing w:before="10" w:after="10" w:line="240" w:lineRule="auto"/>
              <w:contextualSpacing/>
              <w:jc w:val="center"/>
              <w:rPr>
                <w:color w:val="000000"/>
                <w:sz w:val="18"/>
                <w:szCs w:val="18"/>
              </w:rPr>
            </w:pPr>
            <w:r>
              <w:rPr>
                <w:color w:val="000000"/>
                <w:sz w:val="18"/>
                <w:szCs w:val="18"/>
              </w:rPr>
              <w:t>2.0</w:t>
            </w:r>
          </w:p>
        </w:tc>
        <w:tc>
          <w:tcPr>
            <w:tcW w:w="1232" w:type="dxa"/>
            <w:tcBorders>
              <w:top w:val="nil"/>
              <w:left w:val="nil"/>
              <w:bottom w:val="nil"/>
              <w:right w:val="nil"/>
            </w:tcBorders>
            <w:shd w:val="clear" w:color="000000" w:fill="FFFFFF"/>
            <w:noWrap/>
            <w:vAlign w:val="center"/>
            <w:hideMark/>
          </w:tcPr>
          <w:p w14:paraId="0A48E3E9" w14:textId="77777777" w:rsidR="00242011" w:rsidRDefault="00242011" w:rsidP="00AE0023">
            <w:pPr>
              <w:spacing w:before="10" w:after="10" w:line="240" w:lineRule="auto"/>
              <w:contextualSpacing/>
              <w:jc w:val="center"/>
              <w:rPr>
                <w:color w:val="000000"/>
                <w:sz w:val="18"/>
                <w:szCs w:val="18"/>
              </w:rPr>
            </w:pPr>
            <w:r>
              <w:rPr>
                <w:color w:val="000000"/>
                <w:sz w:val="18"/>
                <w:szCs w:val="18"/>
              </w:rPr>
              <w:t>2.2</w:t>
            </w:r>
          </w:p>
        </w:tc>
      </w:tr>
      <w:tr w:rsidR="00242011" w:rsidRPr="00DD28A5" w14:paraId="62DF2C38" w14:textId="77777777" w:rsidTr="00F875D2">
        <w:trPr>
          <w:trHeight w:val="162"/>
        </w:trPr>
        <w:tc>
          <w:tcPr>
            <w:tcW w:w="2255" w:type="dxa"/>
            <w:tcBorders>
              <w:top w:val="nil"/>
              <w:left w:val="nil"/>
              <w:bottom w:val="nil"/>
              <w:right w:val="nil"/>
            </w:tcBorders>
            <w:shd w:val="clear" w:color="000000" w:fill="FFFFFF"/>
            <w:noWrap/>
            <w:vAlign w:val="bottom"/>
            <w:hideMark/>
          </w:tcPr>
          <w:p w14:paraId="4D389135" w14:textId="77777777" w:rsidR="00242011" w:rsidRDefault="00242011" w:rsidP="00AE0023">
            <w:pPr>
              <w:pStyle w:val="TableTextLeft2"/>
              <w:spacing w:before="10" w:after="10" w:line="240" w:lineRule="auto"/>
            </w:pPr>
            <w:r>
              <w:t>Imports</w:t>
            </w:r>
          </w:p>
        </w:tc>
        <w:tc>
          <w:tcPr>
            <w:tcW w:w="1232" w:type="dxa"/>
            <w:tcBorders>
              <w:top w:val="nil"/>
              <w:left w:val="nil"/>
              <w:bottom w:val="nil"/>
              <w:right w:val="nil"/>
            </w:tcBorders>
            <w:shd w:val="clear" w:color="000000" w:fill="FFFFFF"/>
            <w:noWrap/>
            <w:vAlign w:val="center"/>
            <w:hideMark/>
          </w:tcPr>
          <w:p w14:paraId="0E278788"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2" w:type="dxa"/>
            <w:tcBorders>
              <w:top w:val="nil"/>
              <w:left w:val="nil"/>
              <w:bottom w:val="nil"/>
              <w:right w:val="nil"/>
            </w:tcBorders>
            <w:shd w:val="clear" w:color="000000" w:fill="FFFFFF"/>
            <w:noWrap/>
            <w:vAlign w:val="center"/>
            <w:hideMark/>
          </w:tcPr>
          <w:p w14:paraId="1D8727C0" w14:textId="77777777" w:rsidR="00242011" w:rsidRDefault="00242011" w:rsidP="00AE0023">
            <w:pPr>
              <w:spacing w:before="10" w:after="10" w:line="240" w:lineRule="auto"/>
              <w:contextualSpacing/>
              <w:jc w:val="center"/>
              <w:rPr>
                <w:color w:val="000000"/>
                <w:sz w:val="18"/>
                <w:szCs w:val="18"/>
              </w:rPr>
            </w:pPr>
            <w:r>
              <w:rPr>
                <w:color w:val="000000"/>
                <w:sz w:val="18"/>
                <w:szCs w:val="18"/>
              </w:rPr>
              <w:t>1.0</w:t>
            </w:r>
          </w:p>
        </w:tc>
        <w:tc>
          <w:tcPr>
            <w:tcW w:w="1231" w:type="dxa"/>
            <w:tcBorders>
              <w:top w:val="nil"/>
              <w:left w:val="nil"/>
              <w:bottom w:val="nil"/>
              <w:right w:val="single" w:sz="4" w:space="0" w:color="auto"/>
            </w:tcBorders>
            <w:shd w:val="clear" w:color="000000" w:fill="FFFFFF"/>
            <w:noWrap/>
            <w:vAlign w:val="center"/>
            <w:hideMark/>
          </w:tcPr>
          <w:p w14:paraId="650CC531"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2" w:type="dxa"/>
            <w:tcBorders>
              <w:top w:val="nil"/>
              <w:left w:val="nil"/>
              <w:bottom w:val="nil"/>
              <w:right w:val="nil"/>
            </w:tcBorders>
            <w:shd w:val="clear" w:color="000000" w:fill="FFFFFF"/>
            <w:noWrap/>
            <w:vAlign w:val="center"/>
            <w:hideMark/>
          </w:tcPr>
          <w:p w14:paraId="35F5DDD7"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344C504E" w14:textId="77777777" w:rsidR="00242011" w:rsidRDefault="00242011" w:rsidP="00AE0023">
            <w:pPr>
              <w:spacing w:before="10" w:after="10" w:line="240" w:lineRule="auto"/>
              <w:contextualSpacing/>
              <w:jc w:val="center"/>
              <w:rPr>
                <w:color w:val="000000"/>
                <w:sz w:val="18"/>
                <w:szCs w:val="18"/>
              </w:rPr>
            </w:pPr>
            <w:r>
              <w:rPr>
                <w:color w:val="000000"/>
                <w:sz w:val="18"/>
                <w:szCs w:val="18"/>
              </w:rPr>
              <w:t>0.9</w:t>
            </w:r>
          </w:p>
        </w:tc>
        <w:tc>
          <w:tcPr>
            <w:tcW w:w="1232" w:type="dxa"/>
            <w:tcBorders>
              <w:top w:val="nil"/>
              <w:left w:val="nil"/>
              <w:bottom w:val="nil"/>
              <w:right w:val="single" w:sz="4" w:space="0" w:color="auto"/>
            </w:tcBorders>
            <w:shd w:val="clear" w:color="000000" w:fill="FFFFFF"/>
            <w:noWrap/>
            <w:vAlign w:val="center"/>
            <w:hideMark/>
          </w:tcPr>
          <w:p w14:paraId="6EB199F3"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2E6BE269"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1" w:type="dxa"/>
            <w:tcBorders>
              <w:top w:val="nil"/>
              <w:left w:val="nil"/>
              <w:bottom w:val="nil"/>
              <w:right w:val="nil"/>
            </w:tcBorders>
            <w:shd w:val="clear" w:color="000000" w:fill="FFFFFF"/>
            <w:noWrap/>
            <w:vAlign w:val="center"/>
            <w:hideMark/>
          </w:tcPr>
          <w:p w14:paraId="7BD9959B" w14:textId="77777777" w:rsidR="00242011" w:rsidRDefault="00242011" w:rsidP="00AE0023">
            <w:pPr>
              <w:spacing w:before="10" w:after="10" w:line="240" w:lineRule="auto"/>
              <w:contextualSpacing/>
              <w:jc w:val="center"/>
              <w:rPr>
                <w:color w:val="000000"/>
                <w:sz w:val="18"/>
                <w:szCs w:val="18"/>
              </w:rPr>
            </w:pPr>
            <w:r>
              <w:rPr>
                <w:color w:val="000000"/>
                <w:sz w:val="18"/>
                <w:szCs w:val="18"/>
              </w:rPr>
              <w:t>0.9</w:t>
            </w:r>
          </w:p>
        </w:tc>
        <w:tc>
          <w:tcPr>
            <w:tcW w:w="1232" w:type="dxa"/>
            <w:tcBorders>
              <w:top w:val="nil"/>
              <w:left w:val="nil"/>
              <w:bottom w:val="nil"/>
              <w:right w:val="nil"/>
            </w:tcBorders>
            <w:shd w:val="clear" w:color="000000" w:fill="FFFFFF"/>
            <w:noWrap/>
            <w:vAlign w:val="center"/>
            <w:hideMark/>
          </w:tcPr>
          <w:p w14:paraId="654D55BD"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r>
      <w:tr w:rsidR="00242011" w:rsidRPr="00DD28A5" w14:paraId="7FCFC315" w14:textId="77777777" w:rsidTr="00F875D2">
        <w:trPr>
          <w:trHeight w:val="79"/>
        </w:trPr>
        <w:tc>
          <w:tcPr>
            <w:tcW w:w="2255" w:type="dxa"/>
            <w:tcBorders>
              <w:top w:val="nil"/>
              <w:left w:val="nil"/>
              <w:bottom w:val="nil"/>
              <w:right w:val="nil"/>
            </w:tcBorders>
            <w:shd w:val="clear" w:color="000000" w:fill="FFFFFF"/>
            <w:noWrap/>
            <w:vAlign w:val="bottom"/>
            <w:hideMark/>
          </w:tcPr>
          <w:p w14:paraId="26B04426" w14:textId="77777777" w:rsidR="00242011" w:rsidRDefault="00242011" w:rsidP="00F875D2">
            <w:pPr>
              <w:pStyle w:val="TableTextLeft2"/>
              <w:spacing w:line="240" w:lineRule="auto"/>
            </w:pPr>
            <w:r>
              <w:t> </w:t>
            </w:r>
          </w:p>
        </w:tc>
        <w:tc>
          <w:tcPr>
            <w:tcW w:w="1232" w:type="dxa"/>
            <w:tcBorders>
              <w:top w:val="nil"/>
              <w:left w:val="nil"/>
              <w:bottom w:val="nil"/>
              <w:right w:val="nil"/>
            </w:tcBorders>
            <w:shd w:val="clear" w:color="000000" w:fill="FFFFFF"/>
            <w:noWrap/>
            <w:vAlign w:val="center"/>
            <w:hideMark/>
          </w:tcPr>
          <w:p w14:paraId="53333D8B"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6FCCF23B"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1" w:type="dxa"/>
            <w:tcBorders>
              <w:top w:val="nil"/>
              <w:left w:val="nil"/>
              <w:bottom w:val="nil"/>
              <w:right w:val="single" w:sz="4" w:space="0" w:color="auto"/>
            </w:tcBorders>
            <w:shd w:val="clear" w:color="000000" w:fill="FFFFFF"/>
            <w:noWrap/>
            <w:vAlign w:val="center"/>
            <w:hideMark/>
          </w:tcPr>
          <w:p w14:paraId="2475C17D"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548C9C38"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3151F8F2"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single" w:sz="4" w:space="0" w:color="auto"/>
            </w:tcBorders>
            <w:shd w:val="clear" w:color="000000" w:fill="FFFFFF"/>
            <w:noWrap/>
            <w:vAlign w:val="center"/>
            <w:hideMark/>
          </w:tcPr>
          <w:p w14:paraId="30C82545"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094A9B3E"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1" w:type="dxa"/>
            <w:tcBorders>
              <w:top w:val="nil"/>
              <w:left w:val="nil"/>
              <w:bottom w:val="nil"/>
              <w:right w:val="nil"/>
            </w:tcBorders>
            <w:shd w:val="clear" w:color="000000" w:fill="FFFFFF"/>
            <w:noWrap/>
            <w:vAlign w:val="center"/>
            <w:hideMark/>
          </w:tcPr>
          <w:p w14:paraId="0E323E77"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389323C3" w14:textId="77777777" w:rsidR="00242011" w:rsidRDefault="00242011" w:rsidP="00F875D2">
            <w:pPr>
              <w:spacing w:line="240" w:lineRule="auto"/>
              <w:contextualSpacing/>
              <w:jc w:val="center"/>
              <w:rPr>
                <w:color w:val="000000"/>
                <w:sz w:val="18"/>
                <w:szCs w:val="18"/>
              </w:rPr>
            </w:pPr>
            <w:r>
              <w:rPr>
                <w:color w:val="000000"/>
                <w:sz w:val="18"/>
                <w:szCs w:val="18"/>
              </w:rPr>
              <w:t> </w:t>
            </w:r>
          </w:p>
        </w:tc>
      </w:tr>
      <w:tr w:rsidR="00242011" w:rsidRPr="00DD28A5" w14:paraId="05C9AF9C" w14:textId="77777777" w:rsidTr="00F875D2">
        <w:trPr>
          <w:trHeight w:val="154"/>
        </w:trPr>
        <w:tc>
          <w:tcPr>
            <w:tcW w:w="2255" w:type="dxa"/>
            <w:tcBorders>
              <w:top w:val="nil"/>
              <w:left w:val="nil"/>
              <w:bottom w:val="nil"/>
              <w:right w:val="nil"/>
            </w:tcBorders>
            <w:shd w:val="clear" w:color="000000" w:fill="FFFFFF"/>
            <w:noWrap/>
            <w:vAlign w:val="bottom"/>
            <w:hideMark/>
          </w:tcPr>
          <w:p w14:paraId="607BF543" w14:textId="77777777" w:rsidR="00242011" w:rsidRDefault="00242011" w:rsidP="00AE0023">
            <w:pPr>
              <w:pStyle w:val="TableTextLeft2"/>
              <w:spacing w:before="10" w:after="10" w:line="240" w:lineRule="auto"/>
            </w:pPr>
            <w:r>
              <w:t>Employment</w:t>
            </w:r>
          </w:p>
        </w:tc>
        <w:tc>
          <w:tcPr>
            <w:tcW w:w="1232" w:type="dxa"/>
            <w:tcBorders>
              <w:top w:val="nil"/>
              <w:left w:val="nil"/>
              <w:bottom w:val="nil"/>
              <w:right w:val="nil"/>
            </w:tcBorders>
            <w:shd w:val="clear" w:color="000000" w:fill="FFFFFF"/>
            <w:noWrap/>
            <w:vAlign w:val="center"/>
            <w:hideMark/>
          </w:tcPr>
          <w:p w14:paraId="0E7CF61E" w14:textId="77777777" w:rsidR="00242011" w:rsidRDefault="00242011" w:rsidP="00AE0023">
            <w:pPr>
              <w:spacing w:before="10" w:after="10" w:line="240" w:lineRule="auto"/>
              <w:contextualSpacing/>
              <w:jc w:val="center"/>
              <w:rPr>
                <w:color w:val="000000"/>
                <w:sz w:val="18"/>
                <w:szCs w:val="18"/>
              </w:rPr>
            </w:pPr>
            <w:r>
              <w:rPr>
                <w:color w:val="000000"/>
                <w:sz w:val="18"/>
                <w:szCs w:val="18"/>
              </w:rPr>
              <w:t>0.4</w:t>
            </w:r>
          </w:p>
        </w:tc>
        <w:tc>
          <w:tcPr>
            <w:tcW w:w="1232" w:type="dxa"/>
            <w:tcBorders>
              <w:top w:val="nil"/>
              <w:left w:val="nil"/>
              <w:bottom w:val="nil"/>
              <w:right w:val="nil"/>
            </w:tcBorders>
            <w:shd w:val="clear" w:color="000000" w:fill="FFFFFF"/>
            <w:noWrap/>
            <w:vAlign w:val="center"/>
            <w:hideMark/>
          </w:tcPr>
          <w:p w14:paraId="6AFA8A27"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1" w:type="dxa"/>
            <w:tcBorders>
              <w:top w:val="nil"/>
              <w:left w:val="nil"/>
              <w:bottom w:val="nil"/>
              <w:right w:val="single" w:sz="4" w:space="0" w:color="auto"/>
            </w:tcBorders>
            <w:shd w:val="clear" w:color="000000" w:fill="FFFFFF"/>
            <w:noWrap/>
            <w:vAlign w:val="center"/>
            <w:hideMark/>
          </w:tcPr>
          <w:p w14:paraId="2892EF48"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2" w:type="dxa"/>
            <w:tcBorders>
              <w:top w:val="nil"/>
              <w:left w:val="nil"/>
              <w:bottom w:val="nil"/>
              <w:right w:val="nil"/>
            </w:tcBorders>
            <w:shd w:val="clear" w:color="000000" w:fill="FFFFFF"/>
            <w:noWrap/>
            <w:vAlign w:val="center"/>
            <w:hideMark/>
          </w:tcPr>
          <w:p w14:paraId="27F27367" w14:textId="77777777" w:rsidR="00242011" w:rsidRDefault="00242011" w:rsidP="00AE0023">
            <w:pPr>
              <w:spacing w:before="10" w:after="10" w:line="240" w:lineRule="auto"/>
              <w:contextualSpacing/>
              <w:jc w:val="center"/>
              <w:rPr>
                <w:color w:val="000000"/>
                <w:sz w:val="18"/>
                <w:szCs w:val="18"/>
              </w:rPr>
            </w:pPr>
            <w:r>
              <w:rPr>
                <w:color w:val="000000"/>
                <w:sz w:val="18"/>
                <w:szCs w:val="18"/>
              </w:rPr>
              <w:t>0.4</w:t>
            </w:r>
          </w:p>
        </w:tc>
        <w:tc>
          <w:tcPr>
            <w:tcW w:w="1232" w:type="dxa"/>
            <w:tcBorders>
              <w:top w:val="nil"/>
              <w:left w:val="nil"/>
              <w:bottom w:val="nil"/>
              <w:right w:val="nil"/>
            </w:tcBorders>
            <w:shd w:val="clear" w:color="000000" w:fill="FFFFFF"/>
            <w:noWrap/>
            <w:vAlign w:val="center"/>
            <w:hideMark/>
          </w:tcPr>
          <w:p w14:paraId="1B41EC85"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2" w:type="dxa"/>
            <w:tcBorders>
              <w:top w:val="nil"/>
              <w:left w:val="nil"/>
              <w:bottom w:val="nil"/>
              <w:right w:val="single" w:sz="4" w:space="0" w:color="auto"/>
            </w:tcBorders>
            <w:shd w:val="clear" w:color="000000" w:fill="FFFFFF"/>
            <w:noWrap/>
            <w:vAlign w:val="center"/>
            <w:hideMark/>
          </w:tcPr>
          <w:p w14:paraId="4B1B6356"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2" w:type="dxa"/>
            <w:tcBorders>
              <w:top w:val="nil"/>
              <w:left w:val="nil"/>
              <w:bottom w:val="nil"/>
              <w:right w:val="nil"/>
            </w:tcBorders>
            <w:shd w:val="clear" w:color="000000" w:fill="FFFFFF"/>
            <w:noWrap/>
            <w:vAlign w:val="center"/>
            <w:hideMark/>
          </w:tcPr>
          <w:p w14:paraId="74BEBCD8" w14:textId="77777777" w:rsidR="00242011" w:rsidRDefault="00242011" w:rsidP="00AE0023">
            <w:pPr>
              <w:spacing w:before="10" w:after="10" w:line="240" w:lineRule="auto"/>
              <w:contextualSpacing/>
              <w:jc w:val="center"/>
              <w:rPr>
                <w:color w:val="000000"/>
                <w:sz w:val="18"/>
                <w:szCs w:val="18"/>
              </w:rPr>
            </w:pPr>
            <w:r>
              <w:rPr>
                <w:color w:val="000000"/>
                <w:sz w:val="18"/>
                <w:szCs w:val="18"/>
              </w:rPr>
              <w:t>0.4</w:t>
            </w:r>
          </w:p>
        </w:tc>
        <w:tc>
          <w:tcPr>
            <w:tcW w:w="1231" w:type="dxa"/>
            <w:tcBorders>
              <w:top w:val="nil"/>
              <w:left w:val="nil"/>
              <w:bottom w:val="nil"/>
              <w:right w:val="nil"/>
            </w:tcBorders>
            <w:shd w:val="clear" w:color="000000" w:fill="FFFFFF"/>
            <w:noWrap/>
            <w:vAlign w:val="center"/>
            <w:hideMark/>
          </w:tcPr>
          <w:p w14:paraId="545FAC2B"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2" w:type="dxa"/>
            <w:tcBorders>
              <w:top w:val="nil"/>
              <w:left w:val="nil"/>
              <w:bottom w:val="nil"/>
              <w:right w:val="nil"/>
            </w:tcBorders>
            <w:shd w:val="clear" w:color="000000" w:fill="FFFFFF"/>
            <w:noWrap/>
            <w:vAlign w:val="center"/>
            <w:hideMark/>
          </w:tcPr>
          <w:p w14:paraId="755CD7A4"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r>
      <w:tr w:rsidR="00242011" w:rsidRPr="00DD28A5" w14:paraId="6742ACBF" w14:textId="77777777" w:rsidTr="00F875D2">
        <w:trPr>
          <w:trHeight w:val="72"/>
        </w:trPr>
        <w:tc>
          <w:tcPr>
            <w:tcW w:w="2255" w:type="dxa"/>
            <w:tcBorders>
              <w:top w:val="nil"/>
              <w:left w:val="nil"/>
              <w:bottom w:val="nil"/>
              <w:right w:val="nil"/>
            </w:tcBorders>
            <w:shd w:val="clear" w:color="000000" w:fill="FFFFFF"/>
            <w:noWrap/>
            <w:vAlign w:val="bottom"/>
            <w:hideMark/>
          </w:tcPr>
          <w:p w14:paraId="25629EE8" w14:textId="77777777" w:rsidR="00242011" w:rsidRDefault="00242011" w:rsidP="00AE0023">
            <w:pPr>
              <w:pStyle w:val="TableTextLeft2"/>
              <w:spacing w:before="10" w:after="10" w:line="240" w:lineRule="auto"/>
            </w:pPr>
            <w:r>
              <w:t>Real wage (before-tax)</w:t>
            </w:r>
          </w:p>
        </w:tc>
        <w:tc>
          <w:tcPr>
            <w:tcW w:w="1232" w:type="dxa"/>
            <w:tcBorders>
              <w:top w:val="nil"/>
              <w:left w:val="nil"/>
              <w:bottom w:val="nil"/>
              <w:right w:val="nil"/>
            </w:tcBorders>
            <w:shd w:val="clear" w:color="000000" w:fill="FFFFFF"/>
            <w:noWrap/>
            <w:vAlign w:val="center"/>
            <w:hideMark/>
          </w:tcPr>
          <w:p w14:paraId="5376FCB4"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16C957BD"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1" w:type="dxa"/>
            <w:tcBorders>
              <w:top w:val="nil"/>
              <w:left w:val="nil"/>
              <w:bottom w:val="nil"/>
              <w:right w:val="single" w:sz="4" w:space="0" w:color="auto"/>
            </w:tcBorders>
            <w:shd w:val="clear" w:color="000000" w:fill="FFFFFF"/>
            <w:noWrap/>
            <w:vAlign w:val="center"/>
            <w:hideMark/>
          </w:tcPr>
          <w:p w14:paraId="4537B90A"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05C28423"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1253DB7B"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2" w:type="dxa"/>
            <w:tcBorders>
              <w:top w:val="nil"/>
              <w:left w:val="nil"/>
              <w:bottom w:val="nil"/>
              <w:right w:val="single" w:sz="4" w:space="0" w:color="auto"/>
            </w:tcBorders>
            <w:shd w:val="clear" w:color="000000" w:fill="FFFFFF"/>
            <w:noWrap/>
            <w:vAlign w:val="center"/>
            <w:hideMark/>
          </w:tcPr>
          <w:p w14:paraId="3617A9F8"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44E04FFB"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1" w:type="dxa"/>
            <w:tcBorders>
              <w:top w:val="nil"/>
              <w:left w:val="nil"/>
              <w:bottom w:val="nil"/>
              <w:right w:val="nil"/>
            </w:tcBorders>
            <w:shd w:val="clear" w:color="000000" w:fill="FFFFFF"/>
            <w:noWrap/>
            <w:vAlign w:val="center"/>
            <w:hideMark/>
          </w:tcPr>
          <w:p w14:paraId="6C69358F" w14:textId="77777777" w:rsidR="00242011" w:rsidRDefault="00242011" w:rsidP="00AE0023">
            <w:pPr>
              <w:spacing w:before="10" w:after="10" w:line="240" w:lineRule="auto"/>
              <w:contextualSpacing/>
              <w:jc w:val="center"/>
              <w:rPr>
                <w:color w:val="000000"/>
                <w:sz w:val="18"/>
                <w:szCs w:val="18"/>
              </w:rPr>
            </w:pPr>
            <w:r>
              <w:rPr>
                <w:color w:val="000000"/>
                <w:sz w:val="18"/>
                <w:szCs w:val="18"/>
              </w:rPr>
              <w:t>1.2</w:t>
            </w:r>
          </w:p>
        </w:tc>
        <w:tc>
          <w:tcPr>
            <w:tcW w:w="1232" w:type="dxa"/>
            <w:tcBorders>
              <w:top w:val="nil"/>
              <w:left w:val="nil"/>
              <w:bottom w:val="nil"/>
              <w:right w:val="nil"/>
            </w:tcBorders>
            <w:shd w:val="clear" w:color="000000" w:fill="FFFFFF"/>
            <w:noWrap/>
            <w:vAlign w:val="center"/>
            <w:hideMark/>
          </w:tcPr>
          <w:p w14:paraId="1B38A5F0"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r>
      <w:tr w:rsidR="00242011" w:rsidRPr="00DD28A5" w14:paraId="6177BD42" w14:textId="77777777" w:rsidTr="007576B8">
        <w:trPr>
          <w:trHeight w:val="240"/>
        </w:trPr>
        <w:tc>
          <w:tcPr>
            <w:tcW w:w="2255" w:type="dxa"/>
            <w:tcBorders>
              <w:top w:val="nil"/>
              <w:left w:val="nil"/>
              <w:bottom w:val="nil"/>
              <w:right w:val="nil"/>
            </w:tcBorders>
            <w:shd w:val="clear" w:color="000000" w:fill="FFFFFF"/>
            <w:noWrap/>
            <w:vAlign w:val="bottom"/>
            <w:hideMark/>
          </w:tcPr>
          <w:p w14:paraId="03E9FCF3" w14:textId="77777777" w:rsidR="00242011" w:rsidRDefault="00242011" w:rsidP="00AE0023">
            <w:pPr>
              <w:pStyle w:val="TableTextLeft2"/>
              <w:spacing w:before="10" w:after="10" w:line="240" w:lineRule="auto"/>
            </w:pPr>
            <w:r>
              <w:t>Real wage (after-tax)</w:t>
            </w:r>
          </w:p>
        </w:tc>
        <w:tc>
          <w:tcPr>
            <w:tcW w:w="1232" w:type="dxa"/>
            <w:tcBorders>
              <w:top w:val="nil"/>
              <w:left w:val="nil"/>
              <w:bottom w:val="nil"/>
              <w:right w:val="nil"/>
            </w:tcBorders>
            <w:shd w:val="clear" w:color="000000" w:fill="FFFFFF"/>
            <w:noWrap/>
            <w:vAlign w:val="center"/>
            <w:hideMark/>
          </w:tcPr>
          <w:p w14:paraId="4299966C"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192C8427" w14:textId="77777777" w:rsidR="00242011" w:rsidRDefault="00242011" w:rsidP="00AE0023">
            <w:pPr>
              <w:spacing w:before="10" w:after="10" w:line="240" w:lineRule="auto"/>
              <w:contextualSpacing/>
              <w:jc w:val="center"/>
              <w:rPr>
                <w:color w:val="000000"/>
                <w:sz w:val="18"/>
                <w:szCs w:val="18"/>
              </w:rPr>
            </w:pPr>
            <w:r>
              <w:rPr>
                <w:color w:val="000000"/>
                <w:sz w:val="18"/>
                <w:szCs w:val="18"/>
              </w:rPr>
              <w:t>0.4</w:t>
            </w:r>
          </w:p>
        </w:tc>
        <w:tc>
          <w:tcPr>
            <w:tcW w:w="1231" w:type="dxa"/>
            <w:tcBorders>
              <w:top w:val="nil"/>
              <w:left w:val="nil"/>
              <w:bottom w:val="nil"/>
              <w:right w:val="single" w:sz="4" w:space="0" w:color="auto"/>
            </w:tcBorders>
            <w:shd w:val="clear" w:color="000000" w:fill="FFFFFF"/>
            <w:noWrap/>
            <w:vAlign w:val="center"/>
            <w:hideMark/>
          </w:tcPr>
          <w:p w14:paraId="5BD69A9E"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52F6800E"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559B7F10" w14:textId="77777777" w:rsidR="00242011" w:rsidRDefault="00242011" w:rsidP="00AE0023">
            <w:pPr>
              <w:spacing w:before="10" w:after="10" w:line="240" w:lineRule="auto"/>
              <w:contextualSpacing/>
              <w:jc w:val="center"/>
              <w:rPr>
                <w:color w:val="000000"/>
                <w:sz w:val="18"/>
                <w:szCs w:val="18"/>
              </w:rPr>
            </w:pPr>
            <w:r>
              <w:rPr>
                <w:color w:val="000000"/>
                <w:sz w:val="18"/>
                <w:szCs w:val="18"/>
              </w:rPr>
              <w:t>0.4</w:t>
            </w:r>
          </w:p>
        </w:tc>
        <w:tc>
          <w:tcPr>
            <w:tcW w:w="1232" w:type="dxa"/>
            <w:tcBorders>
              <w:top w:val="nil"/>
              <w:left w:val="nil"/>
              <w:bottom w:val="nil"/>
              <w:right w:val="single" w:sz="4" w:space="0" w:color="auto"/>
            </w:tcBorders>
            <w:shd w:val="clear" w:color="000000" w:fill="FFFFFF"/>
            <w:noWrap/>
            <w:vAlign w:val="center"/>
            <w:hideMark/>
          </w:tcPr>
          <w:p w14:paraId="49666AD2"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2" w:type="dxa"/>
            <w:tcBorders>
              <w:top w:val="nil"/>
              <w:left w:val="nil"/>
              <w:bottom w:val="nil"/>
              <w:right w:val="nil"/>
            </w:tcBorders>
            <w:shd w:val="clear" w:color="000000" w:fill="FFFFFF"/>
            <w:noWrap/>
            <w:vAlign w:val="center"/>
            <w:hideMark/>
          </w:tcPr>
          <w:p w14:paraId="791CC43D"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c>
          <w:tcPr>
            <w:tcW w:w="1231" w:type="dxa"/>
            <w:tcBorders>
              <w:top w:val="nil"/>
              <w:left w:val="nil"/>
              <w:bottom w:val="nil"/>
              <w:right w:val="nil"/>
            </w:tcBorders>
            <w:shd w:val="clear" w:color="000000" w:fill="FFFFFF"/>
            <w:noWrap/>
            <w:vAlign w:val="center"/>
            <w:hideMark/>
          </w:tcPr>
          <w:p w14:paraId="5FA16313" w14:textId="77777777" w:rsidR="00242011" w:rsidRDefault="00242011" w:rsidP="00AE0023">
            <w:pPr>
              <w:spacing w:before="10" w:after="10" w:line="240" w:lineRule="auto"/>
              <w:contextualSpacing/>
              <w:jc w:val="center"/>
              <w:rPr>
                <w:color w:val="000000"/>
                <w:sz w:val="18"/>
                <w:szCs w:val="18"/>
              </w:rPr>
            </w:pPr>
            <w:r>
              <w:rPr>
                <w:color w:val="000000"/>
                <w:sz w:val="18"/>
                <w:szCs w:val="18"/>
              </w:rPr>
              <w:t>0.3</w:t>
            </w:r>
          </w:p>
        </w:tc>
        <w:tc>
          <w:tcPr>
            <w:tcW w:w="1232" w:type="dxa"/>
            <w:tcBorders>
              <w:top w:val="nil"/>
              <w:left w:val="nil"/>
              <w:bottom w:val="nil"/>
              <w:right w:val="nil"/>
            </w:tcBorders>
            <w:shd w:val="clear" w:color="000000" w:fill="FFFFFF"/>
            <w:noWrap/>
            <w:vAlign w:val="center"/>
            <w:hideMark/>
          </w:tcPr>
          <w:p w14:paraId="4D62C6F7" w14:textId="77777777" w:rsidR="00242011" w:rsidRDefault="00242011" w:rsidP="00AE0023">
            <w:pPr>
              <w:spacing w:before="10" w:after="10" w:line="240" w:lineRule="auto"/>
              <w:contextualSpacing/>
              <w:jc w:val="center"/>
              <w:rPr>
                <w:color w:val="000000"/>
                <w:sz w:val="18"/>
                <w:szCs w:val="18"/>
              </w:rPr>
            </w:pPr>
            <w:r>
              <w:rPr>
                <w:color w:val="000000"/>
                <w:sz w:val="18"/>
                <w:szCs w:val="18"/>
              </w:rPr>
              <w:t>1.1</w:t>
            </w:r>
          </w:p>
        </w:tc>
      </w:tr>
      <w:tr w:rsidR="00242011" w:rsidRPr="00DD28A5" w14:paraId="6B6289DA" w14:textId="77777777" w:rsidTr="007576B8">
        <w:trPr>
          <w:trHeight w:val="102"/>
        </w:trPr>
        <w:tc>
          <w:tcPr>
            <w:tcW w:w="2255" w:type="dxa"/>
            <w:tcBorders>
              <w:top w:val="nil"/>
              <w:left w:val="nil"/>
              <w:bottom w:val="nil"/>
              <w:right w:val="nil"/>
            </w:tcBorders>
            <w:shd w:val="clear" w:color="000000" w:fill="FFFFFF"/>
            <w:noWrap/>
            <w:vAlign w:val="bottom"/>
            <w:hideMark/>
          </w:tcPr>
          <w:p w14:paraId="49A46A69" w14:textId="77777777" w:rsidR="00242011" w:rsidRDefault="00242011" w:rsidP="00F875D2">
            <w:pPr>
              <w:pStyle w:val="TableTextLeft2"/>
              <w:spacing w:line="240" w:lineRule="auto"/>
            </w:pPr>
            <w:r>
              <w:t> </w:t>
            </w:r>
          </w:p>
        </w:tc>
        <w:tc>
          <w:tcPr>
            <w:tcW w:w="1232" w:type="dxa"/>
            <w:tcBorders>
              <w:top w:val="nil"/>
              <w:left w:val="nil"/>
              <w:bottom w:val="nil"/>
              <w:right w:val="nil"/>
            </w:tcBorders>
            <w:shd w:val="clear" w:color="000000" w:fill="FFFFFF"/>
            <w:noWrap/>
            <w:vAlign w:val="center"/>
            <w:hideMark/>
          </w:tcPr>
          <w:p w14:paraId="43932B64"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7FF46EB8"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1" w:type="dxa"/>
            <w:tcBorders>
              <w:top w:val="nil"/>
              <w:left w:val="nil"/>
              <w:bottom w:val="nil"/>
              <w:right w:val="single" w:sz="4" w:space="0" w:color="auto"/>
            </w:tcBorders>
            <w:shd w:val="clear" w:color="000000" w:fill="FFFFFF"/>
            <w:noWrap/>
            <w:vAlign w:val="center"/>
            <w:hideMark/>
          </w:tcPr>
          <w:p w14:paraId="5F488F6A"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7DB2B809"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4C4B2C00"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single" w:sz="4" w:space="0" w:color="auto"/>
            </w:tcBorders>
            <w:shd w:val="clear" w:color="000000" w:fill="FFFFFF"/>
            <w:noWrap/>
            <w:vAlign w:val="center"/>
            <w:hideMark/>
          </w:tcPr>
          <w:p w14:paraId="7AE3EA11"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149787DD"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1" w:type="dxa"/>
            <w:tcBorders>
              <w:top w:val="nil"/>
              <w:left w:val="nil"/>
              <w:bottom w:val="nil"/>
              <w:right w:val="nil"/>
            </w:tcBorders>
            <w:shd w:val="clear" w:color="000000" w:fill="FFFFFF"/>
            <w:noWrap/>
            <w:vAlign w:val="center"/>
            <w:hideMark/>
          </w:tcPr>
          <w:p w14:paraId="1443DC2A" w14:textId="77777777" w:rsidR="00242011" w:rsidRDefault="00242011" w:rsidP="00F875D2">
            <w:pPr>
              <w:spacing w:line="240" w:lineRule="auto"/>
              <w:contextualSpacing/>
              <w:jc w:val="center"/>
              <w:rPr>
                <w:color w:val="000000"/>
                <w:sz w:val="18"/>
                <w:szCs w:val="18"/>
              </w:rPr>
            </w:pPr>
            <w:r>
              <w:rPr>
                <w:color w:val="000000"/>
                <w:sz w:val="18"/>
                <w:szCs w:val="18"/>
              </w:rPr>
              <w:t> </w:t>
            </w:r>
          </w:p>
        </w:tc>
        <w:tc>
          <w:tcPr>
            <w:tcW w:w="1232" w:type="dxa"/>
            <w:tcBorders>
              <w:top w:val="nil"/>
              <w:left w:val="nil"/>
              <w:bottom w:val="nil"/>
              <w:right w:val="nil"/>
            </w:tcBorders>
            <w:shd w:val="clear" w:color="000000" w:fill="FFFFFF"/>
            <w:noWrap/>
            <w:vAlign w:val="center"/>
            <w:hideMark/>
          </w:tcPr>
          <w:p w14:paraId="0A61F78D" w14:textId="77777777" w:rsidR="00242011" w:rsidRDefault="00242011" w:rsidP="00F875D2">
            <w:pPr>
              <w:spacing w:line="240" w:lineRule="auto"/>
              <w:contextualSpacing/>
              <w:jc w:val="center"/>
              <w:rPr>
                <w:color w:val="000000"/>
                <w:sz w:val="18"/>
                <w:szCs w:val="18"/>
              </w:rPr>
            </w:pPr>
            <w:r>
              <w:rPr>
                <w:color w:val="000000"/>
                <w:sz w:val="18"/>
                <w:szCs w:val="18"/>
              </w:rPr>
              <w:t> </w:t>
            </w:r>
          </w:p>
        </w:tc>
      </w:tr>
      <w:tr w:rsidR="00242011" w:rsidRPr="00DD28A5" w14:paraId="1D5C6A7A" w14:textId="77777777" w:rsidTr="00F875D2">
        <w:trPr>
          <w:trHeight w:val="95"/>
        </w:trPr>
        <w:tc>
          <w:tcPr>
            <w:tcW w:w="2255" w:type="dxa"/>
            <w:tcBorders>
              <w:top w:val="nil"/>
              <w:left w:val="nil"/>
              <w:bottom w:val="single" w:sz="4" w:space="0" w:color="auto"/>
              <w:right w:val="nil"/>
            </w:tcBorders>
            <w:shd w:val="clear" w:color="000000" w:fill="FFFFFF"/>
            <w:noWrap/>
            <w:vAlign w:val="bottom"/>
            <w:hideMark/>
          </w:tcPr>
          <w:p w14:paraId="3E4F61C9" w14:textId="77777777" w:rsidR="00242011" w:rsidRDefault="00242011" w:rsidP="00AE0023">
            <w:pPr>
              <w:pStyle w:val="TableTextLeft2"/>
              <w:spacing w:before="10" w:after="10" w:line="240" w:lineRule="auto"/>
            </w:pPr>
            <w:r>
              <w:t>Welfare</w:t>
            </w:r>
          </w:p>
        </w:tc>
        <w:tc>
          <w:tcPr>
            <w:tcW w:w="1232" w:type="dxa"/>
            <w:tcBorders>
              <w:top w:val="nil"/>
              <w:left w:val="nil"/>
              <w:bottom w:val="single" w:sz="4" w:space="0" w:color="auto"/>
              <w:right w:val="nil"/>
            </w:tcBorders>
            <w:shd w:val="clear" w:color="000000" w:fill="FFFFFF"/>
            <w:noWrap/>
            <w:vAlign w:val="center"/>
            <w:hideMark/>
          </w:tcPr>
          <w:p w14:paraId="066743F3" w14:textId="77777777" w:rsidR="00242011" w:rsidRDefault="00242011" w:rsidP="00AE0023">
            <w:pPr>
              <w:spacing w:before="10" w:after="10" w:line="240" w:lineRule="auto"/>
              <w:contextualSpacing/>
              <w:jc w:val="center"/>
              <w:rPr>
                <w:color w:val="000000"/>
                <w:sz w:val="18"/>
                <w:szCs w:val="18"/>
              </w:rPr>
            </w:pPr>
            <w:r>
              <w:rPr>
                <w:color w:val="000000"/>
                <w:sz w:val="18"/>
                <w:szCs w:val="18"/>
              </w:rPr>
              <w:t>0.3</w:t>
            </w:r>
          </w:p>
        </w:tc>
        <w:tc>
          <w:tcPr>
            <w:tcW w:w="1232" w:type="dxa"/>
            <w:tcBorders>
              <w:top w:val="nil"/>
              <w:left w:val="nil"/>
              <w:bottom w:val="single" w:sz="4" w:space="0" w:color="auto"/>
              <w:right w:val="nil"/>
            </w:tcBorders>
            <w:shd w:val="clear" w:color="000000" w:fill="FFFFFF"/>
            <w:noWrap/>
            <w:vAlign w:val="center"/>
            <w:hideMark/>
          </w:tcPr>
          <w:p w14:paraId="42A67248" w14:textId="77777777" w:rsidR="00242011" w:rsidRDefault="00242011" w:rsidP="00AE0023">
            <w:pPr>
              <w:spacing w:before="10" w:after="10" w:line="240" w:lineRule="auto"/>
              <w:contextualSpacing/>
              <w:jc w:val="center"/>
              <w:rPr>
                <w:color w:val="000000"/>
                <w:sz w:val="18"/>
                <w:szCs w:val="18"/>
              </w:rPr>
            </w:pPr>
            <w:r>
              <w:rPr>
                <w:color w:val="000000"/>
                <w:sz w:val="18"/>
                <w:szCs w:val="18"/>
              </w:rPr>
              <w:t>0.2</w:t>
            </w:r>
          </w:p>
        </w:tc>
        <w:tc>
          <w:tcPr>
            <w:tcW w:w="1231" w:type="dxa"/>
            <w:tcBorders>
              <w:top w:val="nil"/>
              <w:left w:val="nil"/>
              <w:bottom w:val="single" w:sz="4" w:space="0" w:color="auto"/>
              <w:right w:val="single" w:sz="4" w:space="0" w:color="auto"/>
            </w:tcBorders>
            <w:shd w:val="clear" w:color="000000" w:fill="FFFFFF"/>
            <w:noWrap/>
            <w:vAlign w:val="center"/>
            <w:hideMark/>
          </w:tcPr>
          <w:p w14:paraId="067B060F" w14:textId="77777777" w:rsidR="00242011" w:rsidRDefault="00242011" w:rsidP="00AE0023">
            <w:pPr>
              <w:spacing w:before="10" w:after="10" w:line="240" w:lineRule="auto"/>
              <w:contextualSpacing/>
              <w:jc w:val="center"/>
              <w:rPr>
                <w:color w:val="000000"/>
                <w:sz w:val="18"/>
                <w:szCs w:val="18"/>
              </w:rPr>
            </w:pPr>
            <w:r>
              <w:rPr>
                <w:color w:val="000000"/>
                <w:sz w:val="18"/>
                <w:szCs w:val="18"/>
              </w:rPr>
              <w:t>0.7</w:t>
            </w:r>
          </w:p>
        </w:tc>
        <w:tc>
          <w:tcPr>
            <w:tcW w:w="1232" w:type="dxa"/>
            <w:tcBorders>
              <w:top w:val="nil"/>
              <w:left w:val="nil"/>
              <w:bottom w:val="single" w:sz="4" w:space="0" w:color="auto"/>
              <w:right w:val="nil"/>
            </w:tcBorders>
            <w:shd w:val="clear" w:color="000000" w:fill="FFFFFF"/>
            <w:noWrap/>
            <w:vAlign w:val="center"/>
            <w:hideMark/>
          </w:tcPr>
          <w:p w14:paraId="38A40F05" w14:textId="77777777" w:rsidR="00242011" w:rsidRDefault="00242011" w:rsidP="00AE0023">
            <w:pPr>
              <w:spacing w:before="10" w:after="10" w:line="240" w:lineRule="auto"/>
              <w:contextualSpacing/>
              <w:jc w:val="center"/>
              <w:rPr>
                <w:color w:val="000000"/>
                <w:sz w:val="18"/>
                <w:szCs w:val="18"/>
              </w:rPr>
            </w:pPr>
            <w:r>
              <w:rPr>
                <w:color w:val="000000"/>
                <w:sz w:val="18"/>
                <w:szCs w:val="18"/>
              </w:rPr>
              <w:t>0.2</w:t>
            </w:r>
          </w:p>
        </w:tc>
        <w:tc>
          <w:tcPr>
            <w:tcW w:w="1232" w:type="dxa"/>
            <w:tcBorders>
              <w:top w:val="nil"/>
              <w:left w:val="nil"/>
              <w:bottom w:val="single" w:sz="4" w:space="0" w:color="auto"/>
              <w:right w:val="nil"/>
            </w:tcBorders>
            <w:shd w:val="clear" w:color="000000" w:fill="FFFFFF"/>
            <w:noWrap/>
            <w:vAlign w:val="center"/>
            <w:hideMark/>
          </w:tcPr>
          <w:p w14:paraId="08E0F4AF"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2" w:type="dxa"/>
            <w:tcBorders>
              <w:top w:val="nil"/>
              <w:left w:val="nil"/>
              <w:bottom w:val="single" w:sz="4" w:space="0" w:color="auto"/>
              <w:right w:val="single" w:sz="4" w:space="0" w:color="auto"/>
            </w:tcBorders>
            <w:shd w:val="clear" w:color="000000" w:fill="FFFFFF"/>
            <w:noWrap/>
            <w:vAlign w:val="center"/>
            <w:hideMark/>
          </w:tcPr>
          <w:p w14:paraId="39178417" w14:textId="77777777" w:rsidR="00242011" w:rsidRDefault="00242011" w:rsidP="00AE0023">
            <w:pPr>
              <w:spacing w:before="10" w:after="10" w:line="240" w:lineRule="auto"/>
              <w:contextualSpacing/>
              <w:jc w:val="center"/>
              <w:rPr>
                <w:color w:val="000000"/>
                <w:sz w:val="18"/>
                <w:szCs w:val="18"/>
              </w:rPr>
            </w:pPr>
            <w:r>
              <w:rPr>
                <w:color w:val="000000"/>
                <w:sz w:val="18"/>
                <w:szCs w:val="18"/>
              </w:rPr>
              <w:t>0.7</w:t>
            </w:r>
          </w:p>
        </w:tc>
        <w:tc>
          <w:tcPr>
            <w:tcW w:w="1232" w:type="dxa"/>
            <w:tcBorders>
              <w:top w:val="nil"/>
              <w:left w:val="nil"/>
              <w:bottom w:val="single" w:sz="4" w:space="0" w:color="auto"/>
              <w:right w:val="nil"/>
            </w:tcBorders>
            <w:shd w:val="clear" w:color="000000" w:fill="FFFFFF"/>
            <w:noWrap/>
            <w:vAlign w:val="center"/>
            <w:hideMark/>
          </w:tcPr>
          <w:p w14:paraId="563327C4" w14:textId="77777777" w:rsidR="00242011" w:rsidRDefault="00242011" w:rsidP="00AE0023">
            <w:pPr>
              <w:spacing w:before="10" w:after="10" w:line="240" w:lineRule="auto"/>
              <w:contextualSpacing/>
              <w:jc w:val="center"/>
              <w:rPr>
                <w:color w:val="000000"/>
                <w:sz w:val="18"/>
                <w:szCs w:val="18"/>
              </w:rPr>
            </w:pPr>
            <w:r>
              <w:rPr>
                <w:color w:val="000000"/>
                <w:sz w:val="18"/>
                <w:szCs w:val="18"/>
              </w:rPr>
              <w:t>0.2</w:t>
            </w:r>
          </w:p>
        </w:tc>
        <w:tc>
          <w:tcPr>
            <w:tcW w:w="1231" w:type="dxa"/>
            <w:tcBorders>
              <w:top w:val="nil"/>
              <w:left w:val="nil"/>
              <w:bottom w:val="single" w:sz="4" w:space="0" w:color="auto"/>
              <w:right w:val="nil"/>
            </w:tcBorders>
            <w:shd w:val="clear" w:color="000000" w:fill="FFFFFF"/>
            <w:noWrap/>
            <w:vAlign w:val="center"/>
            <w:hideMark/>
          </w:tcPr>
          <w:p w14:paraId="03897A00" w14:textId="77777777" w:rsidR="00242011" w:rsidRDefault="00242011" w:rsidP="00AE0023">
            <w:pPr>
              <w:spacing w:before="10" w:after="10" w:line="240" w:lineRule="auto"/>
              <w:contextualSpacing/>
              <w:jc w:val="center"/>
              <w:rPr>
                <w:color w:val="000000"/>
                <w:sz w:val="18"/>
                <w:szCs w:val="18"/>
              </w:rPr>
            </w:pPr>
            <w:r>
              <w:rPr>
                <w:color w:val="000000"/>
                <w:sz w:val="18"/>
                <w:szCs w:val="18"/>
              </w:rPr>
              <w:t>0.1</w:t>
            </w:r>
          </w:p>
        </w:tc>
        <w:tc>
          <w:tcPr>
            <w:tcW w:w="1232" w:type="dxa"/>
            <w:tcBorders>
              <w:top w:val="nil"/>
              <w:left w:val="nil"/>
              <w:bottom w:val="single" w:sz="4" w:space="0" w:color="auto"/>
              <w:right w:val="nil"/>
            </w:tcBorders>
            <w:shd w:val="clear" w:color="000000" w:fill="FFFFFF"/>
            <w:noWrap/>
            <w:vAlign w:val="center"/>
            <w:hideMark/>
          </w:tcPr>
          <w:p w14:paraId="4C1A05C6" w14:textId="77777777" w:rsidR="00242011" w:rsidRDefault="00242011" w:rsidP="00AE0023">
            <w:pPr>
              <w:spacing w:before="10" w:after="10" w:line="240" w:lineRule="auto"/>
              <w:contextualSpacing/>
              <w:jc w:val="center"/>
              <w:rPr>
                <w:color w:val="000000"/>
                <w:sz w:val="18"/>
                <w:szCs w:val="18"/>
              </w:rPr>
            </w:pPr>
            <w:r>
              <w:rPr>
                <w:color w:val="000000"/>
                <w:sz w:val="18"/>
                <w:szCs w:val="18"/>
              </w:rPr>
              <w:t>0.6</w:t>
            </w:r>
          </w:p>
        </w:tc>
      </w:tr>
    </w:tbl>
    <w:p w14:paraId="7F163649" w14:textId="77777777" w:rsidR="007576B8" w:rsidRDefault="007576B8" w:rsidP="007576B8">
      <w:pPr>
        <w:pStyle w:val="SingleParagraph"/>
      </w:pPr>
    </w:p>
    <w:p w14:paraId="7D6D9339" w14:textId="77777777" w:rsidR="00E838B2" w:rsidRDefault="00E838B2" w:rsidP="000733CF">
      <w:pPr>
        <w:pStyle w:val="TableMainHeading"/>
        <w:jc w:val="center"/>
      </w:pPr>
      <w:r w:rsidRPr="00A12683">
        <w:t xml:space="preserve">Table </w:t>
      </w:r>
      <w:r w:rsidR="005A7277">
        <w:fldChar w:fldCharType="begin"/>
      </w:r>
      <w:r w:rsidR="005A7277">
        <w:instrText xml:space="preserve"> SEQ Table \* ARABIC </w:instrText>
      </w:r>
      <w:r w:rsidR="005A7277">
        <w:fldChar w:fldCharType="separate"/>
      </w:r>
      <w:r w:rsidR="00C97912">
        <w:rPr>
          <w:noProof/>
        </w:rPr>
        <w:t>6</w:t>
      </w:r>
      <w:r w:rsidR="005A7277">
        <w:rPr>
          <w:noProof/>
        </w:rPr>
        <w:fldChar w:fldCharType="end"/>
      </w:r>
      <w:r w:rsidRPr="00A12683">
        <w:t xml:space="preserve">: </w:t>
      </w:r>
      <w:r w:rsidRPr="00A264A6">
        <w:rPr>
          <w:szCs w:val="22"/>
        </w:rPr>
        <w:t>Sensitivity analysis</w:t>
      </w:r>
      <w:r w:rsidR="00242011">
        <w:rPr>
          <w:szCs w:val="22"/>
        </w:rPr>
        <w:t xml:space="preserve"> </w:t>
      </w:r>
      <w:r w:rsidRPr="009B528D">
        <w:t>– Capital mobility</w:t>
      </w:r>
    </w:p>
    <w:tbl>
      <w:tblPr>
        <w:tblW w:w="9673" w:type="dxa"/>
        <w:jc w:val="center"/>
        <w:tblInd w:w="94" w:type="dxa"/>
        <w:tblLook w:val="04A0" w:firstRow="1" w:lastRow="0" w:firstColumn="1" w:lastColumn="0" w:noHBand="0" w:noVBand="1"/>
      </w:tblPr>
      <w:tblGrid>
        <w:gridCol w:w="2254"/>
        <w:gridCol w:w="1232"/>
        <w:gridCol w:w="1232"/>
        <w:gridCol w:w="1231"/>
        <w:gridCol w:w="1232"/>
        <w:gridCol w:w="1232"/>
        <w:gridCol w:w="1260"/>
      </w:tblGrid>
      <w:tr w:rsidR="00E838B2" w:rsidRPr="00DD28A5" w14:paraId="3B8891A6" w14:textId="77777777" w:rsidTr="000733CF">
        <w:trPr>
          <w:trHeight w:val="126"/>
          <w:jc w:val="center"/>
        </w:trPr>
        <w:tc>
          <w:tcPr>
            <w:tcW w:w="2254" w:type="dxa"/>
            <w:tcBorders>
              <w:top w:val="single" w:sz="4" w:space="0" w:color="auto"/>
              <w:left w:val="nil"/>
              <w:bottom w:val="nil"/>
              <w:right w:val="nil"/>
            </w:tcBorders>
            <w:shd w:val="clear" w:color="000000" w:fill="FFFFFF"/>
            <w:noWrap/>
            <w:vAlign w:val="bottom"/>
            <w:hideMark/>
          </w:tcPr>
          <w:p w14:paraId="6FB5E7CB" w14:textId="77777777" w:rsidR="00E838B2" w:rsidRPr="00DD28A5" w:rsidRDefault="00E838B2" w:rsidP="00F875D2">
            <w:pPr>
              <w:spacing w:after="0" w:line="240" w:lineRule="auto"/>
              <w:contextualSpacing/>
              <w:jc w:val="center"/>
              <w:rPr>
                <w:rFonts w:eastAsia="Times New Roman" w:cs="Times New Roman"/>
                <w:color w:val="000000"/>
                <w:sz w:val="18"/>
                <w:szCs w:val="18"/>
                <w:lang w:eastAsia="en-AU"/>
              </w:rPr>
            </w:pPr>
          </w:p>
        </w:tc>
        <w:tc>
          <w:tcPr>
            <w:tcW w:w="3695" w:type="dxa"/>
            <w:gridSpan w:val="3"/>
            <w:tcBorders>
              <w:top w:val="single" w:sz="4" w:space="0" w:color="auto"/>
              <w:left w:val="nil"/>
              <w:bottom w:val="nil"/>
              <w:right w:val="single" w:sz="4" w:space="0" w:color="000000"/>
            </w:tcBorders>
            <w:shd w:val="clear" w:color="000000" w:fill="FFFFFF"/>
            <w:noWrap/>
            <w:vAlign w:val="bottom"/>
            <w:hideMark/>
          </w:tcPr>
          <w:p w14:paraId="308A3AC7" w14:textId="77777777" w:rsidR="00E838B2" w:rsidRPr="00DD28A5" w:rsidRDefault="00242011" w:rsidP="00F875D2">
            <w:pPr>
              <w:pStyle w:val="TableColumnHeadingCentred2a"/>
            </w:pPr>
            <w:r>
              <w:t>Perfect capital mobility</w:t>
            </w:r>
            <w:r w:rsidR="00F4205D">
              <w:t xml:space="preserve"> (base case)</w:t>
            </w:r>
          </w:p>
        </w:tc>
        <w:tc>
          <w:tcPr>
            <w:tcW w:w="3724" w:type="dxa"/>
            <w:gridSpan w:val="3"/>
            <w:tcBorders>
              <w:top w:val="single" w:sz="4" w:space="0" w:color="auto"/>
              <w:left w:val="nil"/>
              <w:bottom w:val="nil"/>
              <w:right w:val="nil"/>
            </w:tcBorders>
            <w:shd w:val="clear" w:color="000000" w:fill="FFFFFF"/>
            <w:noWrap/>
            <w:vAlign w:val="bottom"/>
            <w:hideMark/>
          </w:tcPr>
          <w:p w14:paraId="41FDAAA7" w14:textId="77777777" w:rsidR="00E838B2" w:rsidRPr="00DD28A5" w:rsidRDefault="00242011" w:rsidP="00F875D2">
            <w:pPr>
              <w:pStyle w:val="TableColumnHeadingCentred2a"/>
            </w:pPr>
            <w:r>
              <w:t>Imperfect capital mobility</w:t>
            </w:r>
          </w:p>
        </w:tc>
      </w:tr>
      <w:tr w:rsidR="00E838B2" w:rsidRPr="00DD28A5" w14:paraId="71C36720" w14:textId="77777777" w:rsidTr="000733CF">
        <w:trPr>
          <w:trHeight w:val="367"/>
          <w:jc w:val="center"/>
        </w:trPr>
        <w:tc>
          <w:tcPr>
            <w:tcW w:w="2254" w:type="dxa"/>
            <w:tcBorders>
              <w:top w:val="nil"/>
              <w:left w:val="nil"/>
              <w:bottom w:val="single" w:sz="4" w:space="0" w:color="auto"/>
              <w:right w:val="nil"/>
            </w:tcBorders>
            <w:shd w:val="clear" w:color="000000" w:fill="FFFFFF"/>
            <w:noWrap/>
            <w:vAlign w:val="bottom"/>
            <w:hideMark/>
          </w:tcPr>
          <w:p w14:paraId="01486400" w14:textId="77777777" w:rsidR="00E838B2" w:rsidRPr="00DD28A5" w:rsidRDefault="00E838B2" w:rsidP="00F875D2">
            <w:pPr>
              <w:spacing w:after="0" w:line="240" w:lineRule="auto"/>
              <w:contextualSpacing/>
              <w:jc w:val="center"/>
              <w:rPr>
                <w:rFonts w:eastAsia="Times New Roman" w:cs="Times New Roman"/>
                <w:color w:val="000000"/>
                <w:sz w:val="18"/>
                <w:szCs w:val="18"/>
                <w:lang w:eastAsia="en-AU"/>
              </w:rPr>
            </w:pPr>
          </w:p>
        </w:tc>
        <w:tc>
          <w:tcPr>
            <w:tcW w:w="1232" w:type="dxa"/>
            <w:tcBorders>
              <w:top w:val="nil"/>
              <w:left w:val="nil"/>
              <w:bottom w:val="single" w:sz="4" w:space="0" w:color="auto"/>
              <w:right w:val="nil"/>
            </w:tcBorders>
            <w:shd w:val="clear" w:color="000000" w:fill="FFFFFF"/>
            <w:vAlign w:val="center"/>
            <w:hideMark/>
          </w:tcPr>
          <w:p w14:paraId="51310D8B"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61E17A84" w14:textId="77777777" w:rsidR="00E838B2" w:rsidRPr="00DD28A5" w:rsidRDefault="00E838B2" w:rsidP="00F875D2">
            <w:pPr>
              <w:pStyle w:val="TableColumnHeadingCentred2"/>
            </w:pPr>
            <w:r w:rsidRPr="00DD28A5">
              <w:t>PIT</w:t>
            </w:r>
          </w:p>
        </w:tc>
        <w:tc>
          <w:tcPr>
            <w:tcW w:w="1231" w:type="dxa"/>
            <w:tcBorders>
              <w:top w:val="nil"/>
              <w:left w:val="nil"/>
              <w:bottom w:val="single" w:sz="4" w:space="0" w:color="auto"/>
              <w:right w:val="single" w:sz="4" w:space="0" w:color="auto"/>
            </w:tcBorders>
            <w:shd w:val="clear" w:color="000000" w:fill="FFFFFF"/>
            <w:vAlign w:val="center"/>
            <w:hideMark/>
          </w:tcPr>
          <w:p w14:paraId="22260A46" w14:textId="037C56A6" w:rsidR="00E838B2" w:rsidRPr="00DD28A5" w:rsidRDefault="00F875D2" w:rsidP="00F875D2">
            <w:pPr>
              <w:pStyle w:val="TableColumnHeadingCentred2"/>
            </w:pPr>
            <w:r w:rsidRPr="00DD28A5">
              <w:t>Gov</w:t>
            </w:r>
            <w:r>
              <w:t xml:space="preserve">ernment </w:t>
            </w:r>
            <w:r w:rsidRPr="00BA45D5">
              <w:t>spending</w:t>
            </w:r>
          </w:p>
        </w:tc>
        <w:tc>
          <w:tcPr>
            <w:tcW w:w="1232" w:type="dxa"/>
            <w:tcBorders>
              <w:top w:val="nil"/>
              <w:left w:val="nil"/>
              <w:bottom w:val="single" w:sz="4" w:space="0" w:color="auto"/>
              <w:right w:val="nil"/>
            </w:tcBorders>
            <w:shd w:val="clear" w:color="000000" w:fill="FFFFFF"/>
            <w:vAlign w:val="center"/>
            <w:hideMark/>
          </w:tcPr>
          <w:p w14:paraId="2864DD9F"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4096ED76" w14:textId="77777777" w:rsidR="00E838B2" w:rsidRPr="00DD28A5" w:rsidRDefault="00E838B2" w:rsidP="00F875D2">
            <w:pPr>
              <w:pStyle w:val="TableColumnHeadingCentred2"/>
            </w:pPr>
            <w:r w:rsidRPr="00DD28A5">
              <w:t>PIT</w:t>
            </w:r>
          </w:p>
        </w:tc>
        <w:tc>
          <w:tcPr>
            <w:tcW w:w="1260" w:type="dxa"/>
            <w:tcBorders>
              <w:top w:val="nil"/>
              <w:left w:val="nil"/>
              <w:bottom w:val="single" w:sz="4" w:space="0" w:color="auto"/>
              <w:right w:val="nil"/>
            </w:tcBorders>
            <w:shd w:val="clear" w:color="000000" w:fill="FFFFFF"/>
            <w:vAlign w:val="center"/>
            <w:hideMark/>
          </w:tcPr>
          <w:p w14:paraId="79209364" w14:textId="7C97DC8F" w:rsidR="00E838B2" w:rsidRPr="00DD28A5" w:rsidRDefault="00F875D2" w:rsidP="00F875D2">
            <w:pPr>
              <w:pStyle w:val="TableColumnHeadingCentred2"/>
            </w:pPr>
            <w:r w:rsidRPr="00DD28A5">
              <w:t>Gov</w:t>
            </w:r>
            <w:r>
              <w:t xml:space="preserve">ernment </w:t>
            </w:r>
            <w:r w:rsidRPr="00BA45D5">
              <w:t>spending</w:t>
            </w:r>
          </w:p>
        </w:tc>
      </w:tr>
      <w:tr w:rsidR="009A177F" w:rsidRPr="00DD28A5" w14:paraId="01610A2C" w14:textId="77777777" w:rsidTr="000733CF">
        <w:trPr>
          <w:trHeight w:val="123"/>
          <w:jc w:val="center"/>
        </w:trPr>
        <w:tc>
          <w:tcPr>
            <w:tcW w:w="2254" w:type="dxa"/>
            <w:tcBorders>
              <w:top w:val="nil"/>
              <w:left w:val="nil"/>
              <w:bottom w:val="nil"/>
              <w:right w:val="nil"/>
            </w:tcBorders>
            <w:shd w:val="clear" w:color="000000" w:fill="FFFFFF"/>
            <w:noWrap/>
            <w:vAlign w:val="bottom"/>
            <w:hideMark/>
          </w:tcPr>
          <w:p w14:paraId="705823F1" w14:textId="77777777" w:rsidR="009A177F" w:rsidRDefault="009A177F" w:rsidP="00AE0023">
            <w:pPr>
              <w:pStyle w:val="TableTextLeft2"/>
              <w:spacing w:before="10" w:after="10" w:line="240" w:lineRule="auto"/>
            </w:pPr>
            <w:r>
              <w:t>Real GDP</w:t>
            </w:r>
          </w:p>
        </w:tc>
        <w:tc>
          <w:tcPr>
            <w:tcW w:w="1232" w:type="dxa"/>
            <w:tcBorders>
              <w:top w:val="nil"/>
              <w:left w:val="nil"/>
              <w:bottom w:val="nil"/>
              <w:right w:val="nil"/>
            </w:tcBorders>
            <w:shd w:val="clear" w:color="000000" w:fill="FFFFFF"/>
            <w:noWrap/>
            <w:vAlign w:val="center"/>
            <w:hideMark/>
          </w:tcPr>
          <w:p w14:paraId="0067D55B" w14:textId="77777777" w:rsidR="009A177F" w:rsidRDefault="009A177F"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2A70C0D4" w14:textId="77777777" w:rsidR="009A177F" w:rsidRDefault="009A177F" w:rsidP="00AE0023">
            <w:pPr>
              <w:pStyle w:val="TableTextCentered2"/>
              <w:spacing w:before="10" w:after="10"/>
            </w:pPr>
            <w:r>
              <w:t>1.0</w:t>
            </w:r>
          </w:p>
        </w:tc>
        <w:tc>
          <w:tcPr>
            <w:tcW w:w="1231" w:type="dxa"/>
            <w:tcBorders>
              <w:top w:val="nil"/>
              <w:left w:val="nil"/>
              <w:bottom w:val="nil"/>
              <w:right w:val="single" w:sz="4" w:space="0" w:color="auto"/>
            </w:tcBorders>
            <w:shd w:val="clear" w:color="000000" w:fill="FFFFFF"/>
            <w:noWrap/>
            <w:vAlign w:val="center"/>
            <w:hideMark/>
          </w:tcPr>
          <w:p w14:paraId="42A24468"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66272544"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06CD9998" w14:textId="77777777" w:rsidR="009A177F" w:rsidRDefault="009A177F" w:rsidP="00AE0023">
            <w:pPr>
              <w:pStyle w:val="TableTextCentered2"/>
              <w:spacing w:before="10" w:after="10"/>
            </w:pPr>
            <w:r>
              <w:t>0.8</w:t>
            </w:r>
          </w:p>
        </w:tc>
        <w:tc>
          <w:tcPr>
            <w:tcW w:w="1260" w:type="dxa"/>
            <w:tcBorders>
              <w:top w:val="nil"/>
              <w:left w:val="nil"/>
              <w:bottom w:val="nil"/>
              <w:right w:val="nil"/>
            </w:tcBorders>
            <w:shd w:val="clear" w:color="000000" w:fill="FFFFFF"/>
            <w:noWrap/>
            <w:vAlign w:val="center"/>
            <w:hideMark/>
          </w:tcPr>
          <w:p w14:paraId="188A0150" w14:textId="77777777" w:rsidR="009A177F" w:rsidRDefault="009A177F" w:rsidP="00AE0023">
            <w:pPr>
              <w:pStyle w:val="TableTextCentered2"/>
              <w:spacing w:before="10" w:after="10"/>
            </w:pPr>
            <w:r>
              <w:t>1.0</w:t>
            </w:r>
          </w:p>
        </w:tc>
      </w:tr>
      <w:tr w:rsidR="009A177F" w:rsidRPr="00DD28A5" w14:paraId="4BE596DA" w14:textId="77777777" w:rsidTr="000733CF">
        <w:trPr>
          <w:trHeight w:val="180"/>
          <w:jc w:val="center"/>
        </w:trPr>
        <w:tc>
          <w:tcPr>
            <w:tcW w:w="2254" w:type="dxa"/>
            <w:tcBorders>
              <w:top w:val="nil"/>
              <w:left w:val="nil"/>
              <w:bottom w:val="nil"/>
              <w:right w:val="nil"/>
            </w:tcBorders>
            <w:shd w:val="clear" w:color="000000" w:fill="FFFFFF"/>
            <w:noWrap/>
            <w:vAlign w:val="bottom"/>
            <w:hideMark/>
          </w:tcPr>
          <w:p w14:paraId="02CFDEA1" w14:textId="77777777" w:rsidR="009A177F" w:rsidRDefault="009A177F" w:rsidP="00AE0023">
            <w:pPr>
              <w:pStyle w:val="TableTextLeft2"/>
              <w:spacing w:before="10" w:after="10" w:line="240" w:lineRule="auto"/>
            </w:pPr>
            <w:r>
              <w:t>Real GNI (GNE deflator)</w:t>
            </w:r>
          </w:p>
        </w:tc>
        <w:tc>
          <w:tcPr>
            <w:tcW w:w="1232" w:type="dxa"/>
            <w:tcBorders>
              <w:top w:val="nil"/>
              <w:left w:val="nil"/>
              <w:bottom w:val="nil"/>
              <w:right w:val="nil"/>
            </w:tcBorders>
            <w:shd w:val="clear" w:color="000000" w:fill="FFFFFF"/>
            <w:noWrap/>
            <w:vAlign w:val="center"/>
            <w:hideMark/>
          </w:tcPr>
          <w:p w14:paraId="7B9C7325" w14:textId="77777777" w:rsidR="009A177F" w:rsidRDefault="009A177F" w:rsidP="00AE0023">
            <w:pPr>
              <w:pStyle w:val="TableTextCentered2"/>
              <w:spacing w:before="10" w:after="10"/>
            </w:pPr>
            <w:r>
              <w:t>0.8</w:t>
            </w:r>
          </w:p>
        </w:tc>
        <w:tc>
          <w:tcPr>
            <w:tcW w:w="1232" w:type="dxa"/>
            <w:tcBorders>
              <w:top w:val="nil"/>
              <w:left w:val="nil"/>
              <w:bottom w:val="nil"/>
              <w:right w:val="nil"/>
            </w:tcBorders>
            <w:shd w:val="clear" w:color="000000" w:fill="FFFFFF"/>
            <w:noWrap/>
            <w:vAlign w:val="center"/>
            <w:hideMark/>
          </w:tcPr>
          <w:p w14:paraId="3BFA41AC" w14:textId="77777777" w:rsidR="009A177F" w:rsidRDefault="009A177F" w:rsidP="00AE0023">
            <w:pPr>
              <w:pStyle w:val="TableTextCentered2"/>
              <w:spacing w:before="10" w:after="10"/>
            </w:pPr>
            <w:r>
              <w:t>0.6</w:t>
            </w:r>
          </w:p>
        </w:tc>
        <w:tc>
          <w:tcPr>
            <w:tcW w:w="1231" w:type="dxa"/>
            <w:tcBorders>
              <w:top w:val="nil"/>
              <w:left w:val="nil"/>
              <w:bottom w:val="nil"/>
              <w:right w:val="single" w:sz="4" w:space="0" w:color="auto"/>
            </w:tcBorders>
            <w:shd w:val="clear" w:color="000000" w:fill="FFFFFF"/>
            <w:noWrap/>
            <w:vAlign w:val="center"/>
            <w:hideMark/>
          </w:tcPr>
          <w:p w14:paraId="0AB62BF2" w14:textId="77777777" w:rsidR="009A177F" w:rsidRDefault="009A177F" w:rsidP="00AE0023">
            <w:pPr>
              <w:pStyle w:val="TableTextCentered2"/>
              <w:spacing w:before="10" w:after="10"/>
            </w:pPr>
            <w:r>
              <w:t>0.7</w:t>
            </w:r>
          </w:p>
        </w:tc>
        <w:tc>
          <w:tcPr>
            <w:tcW w:w="1232" w:type="dxa"/>
            <w:tcBorders>
              <w:top w:val="nil"/>
              <w:left w:val="nil"/>
              <w:bottom w:val="nil"/>
              <w:right w:val="nil"/>
            </w:tcBorders>
            <w:shd w:val="clear" w:color="000000" w:fill="FFFFFF"/>
            <w:noWrap/>
            <w:vAlign w:val="center"/>
            <w:hideMark/>
          </w:tcPr>
          <w:p w14:paraId="09C088D5" w14:textId="77777777" w:rsidR="009A177F" w:rsidRDefault="009A177F" w:rsidP="00AE0023">
            <w:pPr>
              <w:pStyle w:val="TableTextCentered2"/>
              <w:spacing w:before="10" w:after="10"/>
            </w:pPr>
            <w:r>
              <w:t>0.7</w:t>
            </w:r>
          </w:p>
        </w:tc>
        <w:tc>
          <w:tcPr>
            <w:tcW w:w="1232" w:type="dxa"/>
            <w:tcBorders>
              <w:top w:val="nil"/>
              <w:left w:val="nil"/>
              <w:bottom w:val="nil"/>
              <w:right w:val="nil"/>
            </w:tcBorders>
            <w:shd w:val="clear" w:color="000000" w:fill="FFFFFF"/>
            <w:noWrap/>
            <w:vAlign w:val="center"/>
            <w:hideMark/>
          </w:tcPr>
          <w:p w14:paraId="3A4E0369" w14:textId="77777777" w:rsidR="009A177F" w:rsidRDefault="009A177F" w:rsidP="00AE0023">
            <w:pPr>
              <w:pStyle w:val="TableTextCentered2"/>
              <w:spacing w:before="10" w:after="10"/>
            </w:pPr>
            <w:r>
              <w:t>0.5</w:t>
            </w:r>
          </w:p>
        </w:tc>
        <w:tc>
          <w:tcPr>
            <w:tcW w:w="1260" w:type="dxa"/>
            <w:tcBorders>
              <w:top w:val="nil"/>
              <w:left w:val="nil"/>
              <w:bottom w:val="nil"/>
              <w:right w:val="nil"/>
            </w:tcBorders>
            <w:shd w:val="clear" w:color="000000" w:fill="FFFFFF"/>
            <w:noWrap/>
            <w:vAlign w:val="center"/>
            <w:hideMark/>
          </w:tcPr>
          <w:p w14:paraId="5DE5972E" w14:textId="77777777" w:rsidR="009A177F" w:rsidRDefault="009A177F" w:rsidP="00AE0023">
            <w:pPr>
              <w:pStyle w:val="TableTextCentered2"/>
              <w:spacing w:before="10" w:after="10"/>
            </w:pPr>
            <w:r>
              <w:t>0.6</w:t>
            </w:r>
          </w:p>
        </w:tc>
      </w:tr>
      <w:tr w:rsidR="009A177F" w:rsidRPr="00DD28A5" w14:paraId="6AF3FD60" w14:textId="77777777" w:rsidTr="000733CF">
        <w:trPr>
          <w:trHeight w:val="112"/>
          <w:jc w:val="center"/>
        </w:trPr>
        <w:tc>
          <w:tcPr>
            <w:tcW w:w="2254" w:type="dxa"/>
            <w:tcBorders>
              <w:top w:val="nil"/>
              <w:left w:val="nil"/>
              <w:bottom w:val="nil"/>
              <w:right w:val="nil"/>
            </w:tcBorders>
            <w:shd w:val="clear" w:color="000000" w:fill="FFFFFF"/>
            <w:noWrap/>
            <w:vAlign w:val="bottom"/>
            <w:hideMark/>
          </w:tcPr>
          <w:p w14:paraId="41D90C8D" w14:textId="77777777" w:rsidR="009A177F" w:rsidRDefault="009A177F" w:rsidP="00F875D2">
            <w:pPr>
              <w:pStyle w:val="TableTextLeft2"/>
              <w:spacing w:line="240" w:lineRule="auto"/>
            </w:pPr>
            <w:r>
              <w:t> </w:t>
            </w:r>
          </w:p>
        </w:tc>
        <w:tc>
          <w:tcPr>
            <w:tcW w:w="1232" w:type="dxa"/>
            <w:tcBorders>
              <w:top w:val="nil"/>
              <w:left w:val="nil"/>
              <w:bottom w:val="nil"/>
              <w:right w:val="nil"/>
            </w:tcBorders>
            <w:shd w:val="clear" w:color="000000" w:fill="FFFFFF"/>
            <w:noWrap/>
            <w:vAlign w:val="center"/>
            <w:hideMark/>
          </w:tcPr>
          <w:p w14:paraId="3EC35184"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661B1C0D" w14:textId="77777777" w:rsidR="009A177F" w:rsidRDefault="009A177F"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39101C87"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3A233FE9"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75579174" w14:textId="77777777" w:rsidR="009A177F" w:rsidRDefault="009A177F" w:rsidP="00F875D2">
            <w:pPr>
              <w:pStyle w:val="TableTextCentered2"/>
            </w:pPr>
            <w:r>
              <w:t> </w:t>
            </w:r>
          </w:p>
        </w:tc>
        <w:tc>
          <w:tcPr>
            <w:tcW w:w="1260" w:type="dxa"/>
            <w:tcBorders>
              <w:top w:val="nil"/>
              <w:left w:val="nil"/>
              <w:bottom w:val="nil"/>
              <w:right w:val="nil"/>
            </w:tcBorders>
            <w:shd w:val="clear" w:color="000000" w:fill="FFFFFF"/>
            <w:noWrap/>
            <w:vAlign w:val="center"/>
            <w:hideMark/>
          </w:tcPr>
          <w:p w14:paraId="3B73F7BE" w14:textId="77777777" w:rsidR="009A177F" w:rsidRDefault="009A177F" w:rsidP="00F875D2">
            <w:pPr>
              <w:pStyle w:val="TableTextCentered2"/>
            </w:pPr>
            <w:r>
              <w:t> </w:t>
            </w:r>
          </w:p>
        </w:tc>
      </w:tr>
      <w:tr w:rsidR="009A177F" w:rsidRPr="00DD28A5" w14:paraId="423C58D6" w14:textId="77777777" w:rsidTr="000733CF">
        <w:trPr>
          <w:trHeight w:val="185"/>
          <w:jc w:val="center"/>
        </w:trPr>
        <w:tc>
          <w:tcPr>
            <w:tcW w:w="2254" w:type="dxa"/>
            <w:tcBorders>
              <w:top w:val="nil"/>
              <w:left w:val="nil"/>
              <w:bottom w:val="nil"/>
              <w:right w:val="nil"/>
            </w:tcBorders>
            <w:shd w:val="clear" w:color="000000" w:fill="FFFFFF"/>
            <w:noWrap/>
            <w:vAlign w:val="bottom"/>
            <w:hideMark/>
          </w:tcPr>
          <w:p w14:paraId="2D4C4569" w14:textId="77777777" w:rsidR="009A177F" w:rsidRDefault="009A177F" w:rsidP="00AE0023">
            <w:pPr>
              <w:pStyle w:val="TableTextLeft2"/>
              <w:spacing w:before="10" w:after="10" w:line="240" w:lineRule="auto"/>
            </w:pPr>
            <w:r>
              <w:t>Consumption</w:t>
            </w:r>
          </w:p>
        </w:tc>
        <w:tc>
          <w:tcPr>
            <w:tcW w:w="1232" w:type="dxa"/>
            <w:tcBorders>
              <w:top w:val="nil"/>
              <w:left w:val="nil"/>
              <w:bottom w:val="nil"/>
              <w:right w:val="nil"/>
            </w:tcBorders>
            <w:shd w:val="clear" w:color="000000" w:fill="FFFFFF"/>
            <w:noWrap/>
            <w:vAlign w:val="center"/>
            <w:hideMark/>
          </w:tcPr>
          <w:p w14:paraId="620F9872" w14:textId="77777777" w:rsidR="009A177F" w:rsidRDefault="009A177F"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0B583C50" w14:textId="77777777" w:rsidR="009A177F" w:rsidRDefault="009A177F" w:rsidP="00AE0023">
            <w:pPr>
              <w:pStyle w:val="TableTextCentered2"/>
              <w:spacing w:before="10" w:after="10"/>
            </w:pPr>
            <w:r>
              <w:t>0.3</w:t>
            </w:r>
          </w:p>
        </w:tc>
        <w:tc>
          <w:tcPr>
            <w:tcW w:w="1231" w:type="dxa"/>
            <w:tcBorders>
              <w:top w:val="nil"/>
              <w:left w:val="nil"/>
              <w:bottom w:val="nil"/>
              <w:right w:val="single" w:sz="4" w:space="0" w:color="auto"/>
            </w:tcBorders>
            <w:shd w:val="clear" w:color="000000" w:fill="FFFFFF"/>
            <w:noWrap/>
            <w:vAlign w:val="center"/>
            <w:hideMark/>
          </w:tcPr>
          <w:p w14:paraId="530E75F2" w14:textId="77777777" w:rsidR="009A177F" w:rsidRDefault="009A177F" w:rsidP="00AE0023">
            <w:pPr>
              <w:pStyle w:val="TableTextCentered2"/>
              <w:spacing w:before="10" w:after="10"/>
            </w:pPr>
            <w:r>
              <w:t>1.0</w:t>
            </w:r>
          </w:p>
        </w:tc>
        <w:tc>
          <w:tcPr>
            <w:tcW w:w="1232" w:type="dxa"/>
            <w:tcBorders>
              <w:top w:val="nil"/>
              <w:left w:val="nil"/>
              <w:bottom w:val="nil"/>
              <w:right w:val="nil"/>
            </w:tcBorders>
            <w:shd w:val="clear" w:color="000000" w:fill="FFFFFF"/>
            <w:noWrap/>
            <w:vAlign w:val="center"/>
            <w:hideMark/>
          </w:tcPr>
          <w:p w14:paraId="6CCF972F" w14:textId="77777777" w:rsidR="009A177F" w:rsidRDefault="009A177F" w:rsidP="00AE0023">
            <w:pPr>
              <w:pStyle w:val="TableTextCentered2"/>
              <w:spacing w:before="10" w:after="10"/>
            </w:pPr>
            <w:r>
              <w:t>0.5</w:t>
            </w:r>
          </w:p>
        </w:tc>
        <w:tc>
          <w:tcPr>
            <w:tcW w:w="1232" w:type="dxa"/>
            <w:tcBorders>
              <w:top w:val="nil"/>
              <w:left w:val="nil"/>
              <w:bottom w:val="nil"/>
              <w:right w:val="nil"/>
            </w:tcBorders>
            <w:shd w:val="clear" w:color="000000" w:fill="FFFFFF"/>
            <w:noWrap/>
            <w:vAlign w:val="center"/>
            <w:hideMark/>
          </w:tcPr>
          <w:p w14:paraId="72E7D0D8" w14:textId="77777777" w:rsidR="009A177F" w:rsidRDefault="009A177F" w:rsidP="00AE0023">
            <w:pPr>
              <w:pStyle w:val="TableTextCentered2"/>
              <w:spacing w:before="10" w:after="10"/>
            </w:pPr>
            <w:r>
              <w:t>0.2</w:t>
            </w:r>
          </w:p>
        </w:tc>
        <w:tc>
          <w:tcPr>
            <w:tcW w:w="1260" w:type="dxa"/>
            <w:tcBorders>
              <w:top w:val="nil"/>
              <w:left w:val="nil"/>
              <w:bottom w:val="nil"/>
              <w:right w:val="nil"/>
            </w:tcBorders>
            <w:shd w:val="clear" w:color="000000" w:fill="FFFFFF"/>
            <w:noWrap/>
            <w:vAlign w:val="center"/>
            <w:hideMark/>
          </w:tcPr>
          <w:p w14:paraId="4243E887" w14:textId="77777777" w:rsidR="009A177F" w:rsidRDefault="009A177F" w:rsidP="00AE0023">
            <w:pPr>
              <w:pStyle w:val="TableTextCentered2"/>
              <w:spacing w:before="10" w:after="10"/>
            </w:pPr>
            <w:r>
              <w:t>1.0</w:t>
            </w:r>
          </w:p>
        </w:tc>
      </w:tr>
      <w:tr w:rsidR="009A177F" w:rsidRPr="00DD28A5" w14:paraId="0959657A" w14:textId="77777777" w:rsidTr="000733CF">
        <w:trPr>
          <w:trHeight w:val="104"/>
          <w:jc w:val="center"/>
        </w:trPr>
        <w:tc>
          <w:tcPr>
            <w:tcW w:w="2254" w:type="dxa"/>
            <w:tcBorders>
              <w:top w:val="nil"/>
              <w:left w:val="nil"/>
              <w:bottom w:val="nil"/>
              <w:right w:val="nil"/>
            </w:tcBorders>
            <w:shd w:val="clear" w:color="000000" w:fill="FFFFFF"/>
            <w:noWrap/>
            <w:vAlign w:val="bottom"/>
            <w:hideMark/>
          </w:tcPr>
          <w:p w14:paraId="2028E2C2" w14:textId="77777777" w:rsidR="009A177F" w:rsidRDefault="009A177F" w:rsidP="00AE0023">
            <w:pPr>
              <w:pStyle w:val="TableTextLeft2"/>
              <w:spacing w:before="10" w:after="10" w:line="240" w:lineRule="auto"/>
            </w:pPr>
            <w:r>
              <w:t>Govt. spending</w:t>
            </w:r>
          </w:p>
        </w:tc>
        <w:tc>
          <w:tcPr>
            <w:tcW w:w="1232" w:type="dxa"/>
            <w:tcBorders>
              <w:top w:val="nil"/>
              <w:left w:val="nil"/>
              <w:bottom w:val="nil"/>
              <w:right w:val="nil"/>
            </w:tcBorders>
            <w:shd w:val="clear" w:color="000000" w:fill="FFFFFF"/>
            <w:noWrap/>
            <w:vAlign w:val="center"/>
            <w:hideMark/>
          </w:tcPr>
          <w:p w14:paraId="5B8FFE39" w14:textId="77777777" w:rsidR="009A177F" w:rsidRDefault="009A177F"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3E18B111" w14:textId="77777777" w:rsidR="009A177F" w:rsidRDefault="009A177F" w:rsidP="00AE0023">
            <w:pPr>
              <w:pStyle w:val="TableTextCentered2"/>
              <w:spacing w:before="10" w:after="10"/>
            </w:pPr>
            <w:r>
              <w:t>0.0</w:t>
            </w:r>
          </w:p>
        </w:tc>
        <w:tc>
          <w:tcPr>
            <w:tcW w:w="1231" w:type="dxa"/>
            <w:tcBorders>
              <w:top w:val="nil"/>
              <w:left w:val="nil"/>
              <w:bottom w:val="nil"/>
              <w:right w:val="single" w:sz="4" w:space="0" w:color="auto"/>
            </w:tcBorders>
            <w:shd w:val="clear" w:color="000000" w:fill="FFFFFF"/>
            <w:noWrap/>
            <w:vAlign w:val="center"/>
            <w:hideMark/>
          </w:tcPr>
          <w:p w14:paraId="544DA347" w14:textId="77777777" w:rsidR="009A177F" w:rsidRDefault="009A177F" w:rsidP="00AE0023">
            <w:pPr>
              <w:pStyle w:val="TableTextCentered2"/>
              <w:spacing w:before="10" w:after="10"/>
            </w:pPr>
            <w:r>
              <w:t>-1.7</w:t>
            </w:r>
          </w:p>
        </w:tc>
        <w:tc>
          <w:tcPr>
            <w:tcW w:w="1232" w:type="dxa"/>
            <w:tcBorders>
              <w:top w:val="nil"/>
              <w:left w:val="nil"/>
              <w:bottom w:val="nil"/>
              <w:right w:val="nil"/>
            </w:tcBorders>
            <w:shd w:val="clear" w:color="000000" w:fill="FFFFFF"/>
            <w:noWrap/>
            <w:vAlign w:val="center"/>
            <w:hideMark/>
          </w:tcPr>
          <w:p w14:paraId="417DCD49" w14:textId="77777777" w:rsidR="009A177F" w:rsidRDefault="009A177F"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123931FA" w14:textId="77777777" w:rsidR="009A177F" w:rsidRDefault="009A177F" w:rsidP="00AE0023">
            <w:pPr>
              <w:pStyle w:val="TableTextCentered2"/>
              <w:spacing w:before="10" w:after="10"/>
            </w:pPr>
            <w:r>
              <w:t>0.0</w:t>
            </w:r>
          </w:p>
        </w:tc>
        <w:tc>
          <w:tcPr>
            <w:tcW w:w="1260" w:type="dxa"/>
            <w:tcBorders>
              <w:top w:val="nil"/>
              <w:left w:val="nil"/>
              <w:bottom w:val="nil"/>
              <w:right w:val="nil"/>
            </w:tcBorders>
            <w:shd w:val="clear" w:color="000000" w:fill="FFFFFF"/>
            <w:noWrap/>
            <w:vAlign w:val="center"/>
            <w:hideMark/>
          </w:tcPr>
          <w:p w14:paraId="373F1019" w14:textId="77777777" w:rsidR="009A177F" w:rsidRDefault="009A177F" w:rsidP="00AE0023">
            <w:pPr>
              <w:pStyle w:val="TableTextCentered2"/>
              <w:spacing w:before="10" w:after="10"/>
            </w:pPr>
            <w:r>
              <w:t>-1.8</w:t>
            </w:r>
          </w:p>
        </w:tc>
      </w:tr>
      <w:tr w:rsidR="009A177F" w:rsidRPr="00DD28A5" w14:paraId="6D279625" w14:textId="77777777" w:rsidTr="000733CF">
        <w:trPr>
          <w:trHeight w:val="163"/>
          <w:jc w:val="center"/>
        </w:trPr>
        <w:tc>
          <w:tcPr>
            <w:tcW w:w="2254" w:type="dxa"/>
            <w:tcBorders>
              <w:top w:val="nil"/>
              <w:left w:val="nil"/>
              <w:bottom w:val="nil"/>
              <w:right w:val="nil"/>
            </w:tcBorders>
            <w:shd w:val="clear" w:color="000000" w:fill="FFFFFF"/>
            <w:noWrap/>
            <w:vAlign w:val="bottom"/>
            <w:hideMark/>
          </w:tcPr>
          <w:p w14:paraId="4596BD5B" w14:textId="77777777" w:rsidR="009A177F" w:rsidRDefault="009A177F" w:rsidP="00AE0023">
            <w:pPr>
              <w:pStyle w:val="TableTextLeft2"/>
              <w:spacing w:before="10" w:after="10" w:line="240" w:lineRule="auto"/>
            </w:pPr>
            <w:r>
              <w:t>Investment</w:t>
            </w:r>
          </w:p>
        </w:tc>
        <w:tc>
          <w:tcPr>
            <w:tcW w:w="1232" w:type="dxa"/>
            <w:tcBorders>
              <w:top w:val="nil"/>
              <w:left w:val="nil"/>
              <w:bottom w:val="nil"/>
              <w:right w:val="nil"/>
            </w:tcBorders>
            <w:shd w:val="clear" w:color="000000" w:fill="FFFFFF"/>
            <w:noWrap/>
            <w:vAlign w:val="center"/>
            <w:hideMark/>
          </w:tcPr>
          <w:p w14:paraId="42EB2333" w14:textId="77777777" w:rsidR="009A177F" w:rsidRDefault="009A177F" w:rsidP="00AE0023">
            <w:pPr>
              <w:pStyle w:val="TableTextCentered2"/>
              <w:spacing w:before="10" w:after="10"/>
            </w:pPr>
            <w:r>
              <w:t>2.8</w:t>
            </w:r>
          </w:p>
        </w:tc>
        <w:tc>
          <w:tcPr>
            <w:tcW w:w="1232" w:type="dxa"/>
            <w:tcBorders>
              <w:top w:val="nil"/>
              <w:left w:val="nil"/>
              <w:bottom w:val="nil"/>
              <w:right w:val="nil"/>
            </w:tcBorders>
            <w:shd w:val="clear" w:color="000000" w:fill="FFFFFF"/>
            <w:noWrap/>
            <w:vAlign w:val="center"/>
            <w:hideMark/>
          </w:tcPr>
          <w:p w14:paraId="51B23EE2" w14:textId="77777777" w:rsidR="009A177F" w:rsidRDefault="009A177F" w:rsidP="00AE0023">
            <w:pPr>
              <w:pStyle w:val="TableTextCentered2"/>
              <w:spacing w:before="10" w:after="10"/>
            </w:pPr>
            <w:r>
              <w:t>2.6</w:t>
            </w:r>
          </w:p>
        </w:tc>
        <w:tc>
          <w:tcPr>
            <w:tcW w:w="1231" w:type="dxa"/>
            <w:tcBorders>
              <w:top w:val="nil"/>
              <w:left w:val="nil"/>
              <w:bottom w:val="nil"/>
              <w:right w:val="single" w:sz="4" w:space="0" w:color="auto"/>
            </w:tcBorders>
            <w:shd w:val="clear" w:color="000000" w:fill="FFFFFF"/>
            <w:noWrap/>
            <w:vAlign w:val="center"/>
            <w:hideMark/>
          </w:tcPr>
          <w:p w14:paraId="3E233865" w14:textId="77777777" w:rsidR="009A177F" w:rsidRDefault="009A177F" w:rsidP="00AE0023">
            <w:pPr>
              <w:pStyle w:val="TableTextCentered2"/>
              <w:spacing w:before="10" w:after="10"/>
            </w:pPr>
            <w:r>
              <w:t>2.9</w:t>
            </w:r>
          </w:p>
        </w:tc>
        <w:tc>
          <w:tcPr>
            <w:tcW w:w="1232" w:type="dxa"/>
            <w:tcBorders>
              <w:top w:val="nil"/>
              <w:left w:val="nil"/>
              <w:bottom w:val="nil"/>
              <w:right w:val="nil"/>
            </w:tcBorders>
            <w:shd w:val="clear" w:color="000000" w:fill="FFFFFF"/>
            <w:noWrap/>
            <w:vAlign w:val="center"/>
            <w:hideMark/>
          </w:tcPr>
          <w:p w14:paraId="683761CA" w14:textId="77777777" w:rsidR="009A177F" w:rsidRDefault="009A177F" w:rsidP="00AE0023">
            <w:pPr>
              <w:pStyle w:val="TableTextCentered2"/>
              <w:spacing w:before="10" w:after="10"/>
            </w:pPr>
            <w:r>
              <w:t>2.5</w:t>
            </w:r>
          </w:p>
        </w:tc>
        <w:tc>
          <w:tcPr>
            <w:tcW w:w="1232" w:type="dxa"/>
            <w:tcBorders>
              <w:top w:val="nil"/>
              <w:left w:val="nil"/>
              <w:bottom w:val="nil"/>
              <w:right w:val="nil"/>
            </w:tcBorders>
            <w:shd w:val="clear" w:color="000000" w:fill="FFFFFF"/>
            <w:noWrap/>
            <w:vAlign w:val="center"/>
            <w:hideMark/>
          </w:tcPr>
          <w:p w14:paraId="2FAF8030" w14:textId="77777777" w:rsidR="009A177F" w:rsidRDefault="009A177F" w:rsidP="00AE0023">
            <w:pPr>
              <w:pStyle w:val="TableTextCentered2"/>
              <w:spacing w:before="10" w:after="10"/>
            </w:pPr>
            <w:r>
              <w:t>2.3</w:t>
            </w:r>
          </w:p>
        </w:tc>
        <w:tc>
          <w:tcPr>
            <w:tcW w:w="1260" w:type="dxa"/>
            <w:tcBorders>
              <w:top w:val="nil"/>
              <w:left w:val="nil"/>
              <w:bottom w:val="nil"/>
              <w:right w:val="nil"/>
            </w:tcBorders>
            <w:shd w:val="clear" w:color="000000" w:fill="FFFFFF"/>
            <w:noWrap/>
            <w:vAlign w:val="center"/>
            <w:hideMark/>
          </w:tcPr>
          <w:p w14:paraId="7AD58A4D" w14:textId="77777777" w:rsidR="009A177F" w:rsidRDefault="009A177F" w:rsidP="00AE0023">
            <w:pPr>
              <w:pStyle w:val="TableTextCentered2"/>
              <w:spacing w:before="10" w:after="10"/>
            </w:pPr>
            <w:r>
              <w:t>2.6</w:t>
            </w:r>
          </w:p>
        </w:tc>
      </w:tr>
      <w:tr w:rsidR="009A177F" w:rsidRPr="00DD28A5" w14:paraId="275D893E" w14:textId="77777777" w:rsidTr="000733CF">
        <w:trPr>
          <w:trHeight w:val="224"/>
          <w:jc w:val="center"/>
        </w:trPr>
        <w:tc>
          <w:tcPr>
            <w:tcW w:w="2254" w:type="dxa"/>
            <w:tcBorders>
              <w:top w:val="nil"/>
              <w:left w:val="nil"/>
              <w:bottom w:val="nil"/>
              <w:right w:val="nil"/>
            </w:tcBorders>
            <w:shd w:val="clear" w:color="000000" w:fill="FFFFFF"/>
            <w:noWrap/>
            <w:vAlign w:val="bottom"/>
            <w:hideMark/>
          </w:tcPr>
          <w:p w14:paraId="22B7F21E" w14:textId="77777777" w:rsidR="009A177F" w:rsidRDefault="009A177F" w:rsidP="00AE0023">
            <w:pPr>
              <w:pStyle w:val="TableTextLeft2"/>
              <w:spacing w:before="10" w:after="10" w:line="240" w:lineRule="auto"/>
            </w:pPr>
            <w:r>
              <w:t>Exports</w:t>
            </w:r>
          </w:p>
        </w:tc>
        <w:tc>
          <w:tcPr>
            <w:tcW w:w="1232" w:type="dxa"/>
            <w:tcBorders>
              <w:top w:val="nil"/>
              <w:left w:val="nil"/>
              <w:bottom w:val="nil"/>
              <w:right w:val="nil"/>
            </w:tcBorders>
            <w:shd w:val="clear" w:color="000000" w:fill="FFFFFF"/>
            <w:noWrap/>
            <w:vAlign w:val="center"/>
            <w:hideMark/>
          </w:tcPr>
          <w:p w14:paraId="05D0394D" w14:textId="77777777" w:rsidR="009A177F" w:rsidRDefault="009A177F" w:rsidP="00AE0023">
            <w:pPr>
              <w:pStyle w:val="TableTextCentered2"/>
              <w:spacing w:before="10" w:after="10"/>
            </w:pPr>
            <w:r>
              <w:t>2.2</w:t>
            </w:r>
          </w:p>
        </w:tc>
        <w:tc>
          <w:tcPr>
            <w:tcW w:w="1232" w:type="dxa"/>
            <w:tcBorders>
              <w:top w:val="nil"/>
              <w:left w:val="nil"/>
              <w:bottom w:val="nil"/>
              <w:right w:val="nil"/>
            </w:tcBorders>
            <w:shd w:val="clear" w:color="000000" w:fill="FFFFFF"/>
            <w:noWrap/>
            <w:vAlign w:val="center"/>
            <w:hideMark/>
          </w:tcPr>
          <w:p w14:paraId="2032EEA1" w14:textId="77777777" w:rsidR="009A177F" w:rsidRDefault="009A177F" w:rsidP="00AE0023">
            <w:pPr>
              <w:pStyle w:val="TableTextCentered2"/>
              <w:spacing w:before="10" w:after="10"/>
            </w:pPr>
            <w:r>
              <w:t>2.0</w:t>
            </w:r>
          </w:p>
        </w:tc>
        <w:tc>
          <w:tcPr>
            <w:tcW w:w="1231" w:type="dxa"/>
            <w:tcBorders>
              <w:top w:val="nil"/>
              <w:left w:val="nil"/>
              <w:bottom w:val="nil"/>
              <w:right w:val="single" w:sz="4" w:space="0" w:color="auto"/>
            </w:tcBorders>
            <w:shd w:val="clear" w:color="000000" w:fill="FFFFFF"/>
            <w:noWrap/>
            <w:vAlign w:val="center"/>
            <w:hideMark/>
          </w:tcPr>
          <w:p w14:paraId="5CF95E0B" w14:textId="77777777" w:rsidR="009A177F" w:rsidRDefault="009A177F" w:rsidP="00AE0023">
            <w:pPr>
              <w:pStyle w:val="TableTextCentered2"/>
              <w:spacing w:before="10" w:after="10"/>
            </w:pPr>
            <w:r>
              <w:t>2.1</w:t>
            </w:r>
          </w:p>
        </w:tc>
        <w:tc>
          <w:tcPr>
            <w:tcW w:w="1232" w:type="dxa"/>
            <w:tcBorders>
              <w:top w:val="nil"/>
              <w:left w:val="nil"/>
              <w:bottom w:val="nil"/>
              <w:right w:val="nil"/>
            </w:tcBorders>
            <w:shd w:val="clear" w:color="000000" w:fill="FFFFFF"/>
            <w:noWrap/>
            <w:vAlign w:val="center"/>
            <w:hideMark/>
          </w:tcPr>
          <w:p w14:paraId="6599B7BE" w14:textId="77777777" w:rsidR="009A177F" w:rsidRDefault="009A177F" w:rsidP="00AE0023">
            <w:pPr>
              <w:pStyle w:val="TableTextCentered2"/>
              <w:spacing w:before="10" w:after="10"/>
            </w:pPr>
            <w:r>
              <w:t>2.0</w:t>
            </w:r>
          </w:p>
        </w:tc>
        <w:tc>
          <w:tcPr>
            <w:tcW w:w="1232" w:type="dxa"/>
            <w:tcBorders>
              <w:top w:val="nil"/>
              <w:left w:val="nil"/>
              <w:bottom w:val="nil"/>
              <w:right w:val="nil"/>
            </w:tcBorders>
            <w:shd w:val="clear" w:color="000000" w:fill="FFFFFF"/>
            <w:noWrap/>
            <w:vAlign w:val="center"/>
            <w:hideMark/>
          </w:tcPr>
          <w:p w14:paraId="552AD581" w14:textId="77777777" w:rsidR="009A177F" w:rsidRDefault="009A177F" w:rsidP="00AE0023">
            <w:pPr>
              <w:pStyle w:val="TableTextCentered2"/>
              <w:spacing w:before="10" w:after="10"/>
            </w:pPr>
            <w:r>
              <w:t>1.8</w:t>
            </w:r>
          </w:p>
        </w:tc>
        <w:tc>
          <w:tcPr>
            <w:tcW w:w="1260" w:type="dxa"/>
            <w:tcBorders>
              <w:top w:val="nil"/>
              <w:left w:val="nil"/>
              <w:bottom w:val="nil"/>
              <w:right w:val="nil"/>
            </w:tcBorders>
            <w:shd w:val="clear" w:color="000000" w:fill="FFFFFF"/>
            <w:noWrap/>
            <w:vAlign w:val="center"/>
            <w:hideMark/>
          </w:tcPr>
          <w:p w14:paraId="674D9BC4" w14:textId="77777777" w:rsidR="009A177F" w:rsidRDefault="009A177F" w:rsidP="00AE0023">
            <w:pPr>
              <w:pStyle w:val="TableTextCentered2"/>
              <w:spacing w:before="10" w:after="10"/>
            </w:pPr>
            <w:r>
              <w:t>2.0</w:t>
            </w:r>
          </w:p>
        </w:tc>
      </w:tr>
      <w:tr w:rsidR="009A177F" w:rsidRPr="00DD28A5" w14:paraId="4147F81C" w14:textId="77777777" w:rsidTr="000733CF">
        <w:trPr>
          <w:trHeight w:val="141"/>
          <w:jc w:val="center"/>
        </w:trPr>
        <w:tc>
          <w:tcPr>
            <w:tcW w:w="2254" w:type="dxa"/>
            <w:tcBorders>
              <w:top w:val="nil"/>
              <w:left w:val="nil"/>
              <w:bottom w:val="nil"/>
              <w:right w:val="nil"/>
            </w:tcBorders>
            <w:shd w:val="clear" w:color="000000" w:fill="FFFFFF"/>
            <w:noWrap/>
            <w:vAlign w:val="bottom"/>
            <w:hideMark/>
          </w:tcPr>
          <w:p w14:paraId="4A66DD99" w14:textId="77777777" w:rsidR="009A177F" w:rsidRDefault="009A177F" w:rsidP="00AE0023">
            <w:pPr>
              <w:pStyle w:val="TableTextLeft2"/>
              <w:spacing w:before="10" w:after="10" w:line="240" w:lineRule="auto"/>
            </w:pPr>
            <w:r>
              <w:t>Imports</w:t>
            </w:r>
          </w:p>
        </w:tc>
        <w:tc>
          <w:tcPr>
            <w:tcW w:w="1232" w:type="dxa"/>
            <w:tcBorders>
              <w:top w:val="nil"/>
              <w:left w:val="nil"/>
              <w:bottom w:val="nil"/>
              <w:right w:val="nil"/>
            </w:tcBorders>
            <w:shd w:val="clear" w:color="000000" w:fill="FFFFFF"/>
            <w:noWrap/>
            <w:vAlign w:val="center"/>
            <w:hideMark/>
          </w:tcPr>
          <w:p w14:paraId="67501AC2"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071F7F10" w14:textId="77777777" w:rsidR="009A177F" w:rsidRDefault="009A177F" w:rsidP="00AE0023">
            <w:pPr>
              <w:pStyle w:val="TableTextCentered2"/>
              <w:spacing w:before="10" w:after="10"/>
            </w:pPr>
            <w:r>
              <w:t>0.9</w:t>
            </w:r>
          </w:p>
        </w:tc>
        <w:tc>
          <w:tcPr>
            <w:tcW w:w="1231" w:type="dxa"/>
            <w:tcBorders>
              <w:top w:val="nil"/>
              <w:left w:val="nil"/>
              <w:bottom w:val="nil"/>
              <w:right w:val="single" w:sz="4" w:space="0" w:color="auto"/>
            </w:tcBorders>
            <w:shd w:val="clear" w:color="000000" w:fill="FFFFFF"/>
            <w:noWrap/>
            <w:vAlign w:val="center"/>
            <w:hideMark/>
          </w:tcPr>
          <w:p w14:paraId="5E5A4295"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47B929B1" w14:textId="77777777" w:rsidR="009A177F" w:rsidRDefault="009A177F" w:rsidP="00AE0023">
            <w:pPr>
              <w:pStyle w:val="TableTextCentered2"/>
              <w:spacing w:before="10" w:after="10"/>
            </w:pPr>
            <w:r>
              <w:t>1.0</w:t>
            </w:r>
          </w:p>
        </w:tc>
        <w:tc>
          <w:tcPr>
            <w:tcW w:w="1232" w:type="dxa"/>
            <w:tcBorders>
              <w:top w:val="nil"/>
              <w:left w:val="nil"/>
              <w:bottom w:val="nil"/>
              <w:right w:val="nil"/>
            </w:tcBorders>
            <w:shd w:val="clear" w:color="000000" w:fill="FFFFFF"/>
            <w:noWrap/>
            <w:vAlign w:val="center"/>
            <w:hideMark/>
          </w:tcPr>
          <w:p w14:paraId="258143CB" w14:textId="77777777" w:rsidR="009A177F" w:rsidRDefault="009A177F" w:rsidP="00AE0023">
            <w:pPr>
              <w:pStyle w:val="TableTextCentered2"/>
              <w:spacing w:before="10" w:after="10"/>
            </w:pPr>
            <w:r>
              <w:t>0.8</w:t>
            </w:r>
          </w:p>
        </w:tc>
        <w:tc>
          <w:tcPr>
            <w:tcW w:w="1260" w:type="dxa"/>
            <w:tcBorders>
              <w:top w:val="nil"/>
              <w:left w:val="nil"/>
              <w:bottom w:val="nil"/>
              <w:right w:val="nil"/>
            </w:tcBorders>
            <w:shd w:val="clear" w:color="000000" w:fill="FFFFFF"/>
            <w:noWrap/>
            <w:vAlign w:val="center"/>
            <w:hideMark/>
          </w:tcPr>
          <w:p w14:paraId="6B128A13" w14:textId="77777777" w:rsidR="009A177F" w:rsidRDefault="009A177F" w:rsidP="00AE0023">
            <w:pPr>
              <w:pStyle w:val="TableTextCentered2"/>
              <w:spacing w:before="10" w:after="10"/>
            </w:pPr>
            <w:r>
              <w:t>1.0</w:t>
            </w:r>
          </w:p>
        </w:tc>
      </w:tr>
      <w:tr w:rsidR="009A177F" w:rsidRPr="00DD28A5" w14:paraId="3F8A4526" w14:textId="77777777" w:rsidTr="000733CF">
        <w:trPr>
          <w:trHeight w:val="102"/>
          <w:jc w:val="center"/>
        </w:trPr>
        <w:tc>
          <w:tcPr>
            <w:tcW w:w="2254" w:type="dxa"/>
            <w:tcBorders>
              <w:top w:val="nil"/>
              <w:left w:val="nil"/>
              <w:bottom w:val="nil"/>
              <w:right w:val="nil"/>
            </w:tcBorders>
            <w:shd w:val="clear" w:color="000000" w:fill="FFFFFF"/>
            <w:noWrap/>
            <w:vAlign w:val="bottom"/>
            <w:hideMark/>
          </w:tcPr>
          <w:p w14:paraId="010611BC" w14:textId="77777777" w:rsidR="009A177F" w:rsidRDefault="009A177F" w:rsidP="00F875D2">
            <w:pPr>
              <w:pStyle w:val="TableTextLeft2"/>
              <w:spacing w:line="240" w:lineRule="auto"/>
            </w:pPr>
            <w:r>
              <w:t> </w:t>
            </w:r>
          </w:p>
        </w:tc>
        <w:tc>
          <w:tcPr>
            <w:tcW w:w="1232" w:type="dxa"/>
            <w:tcBorders>
              <w:top w:val="nil"/>
              <w:left w:val="nil"/>
              <w:bottom w:val="nil"/>
              <w:right w:val="nil"/>
            </w:tcBorders>
            <w:shd w:val="clear" w:color="000000" w:fill="FFFFFF"/>
            <w:noWrap/>
            <w:vAlign w:val="center"/>
            <w:hideMark/>
          </w:tcPr>
          <w:p w14:paraId="60E2F851"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7E5D1CE8" w14:textId="77777777" w:rsidR="009A177F" w:rsidRDefault="009A177F"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552AE1A6"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691F7066"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7627E3C0" w14:textId="77777777" w:rsidR="009A177F" w:rsidRDefault="009A177F" w:rsidP="00F875D2">
            <w:pPr>
              <w:pStyle w:val="TableTextCentered2"/>
            </w:pPr>
            <w:r>
              <w:t> </w:t>
            </w:r>
          </w:p>
        </w:tc>
        <w:tc>
          <w:tcPr>
            <w:tcW w:w="1260" w:type="dxa"/>
            <w:tcBorders>
              <w:top w:val="nil"/>
              <w:left w:val="nil"/>
              <w:bottom w:val="nil"/>
              <w:right w:val="nil"/>
            </w:tcBorders>
            <w:shd w:val="clear" w:color="000000" w:fill="FFFFFF"/>
            <w:noWrap/>
            <w:vAlign w:val="center"/>
            <w:hideMark/>
          </w:tcPr>
          <w:p w14:paraId="73592FC3" w14:textId="77777777" w:rsidR="009A177F" w:rsidRDefault="009A177F" w:rsidP="00F875D2">
            <w:pPr>
              <w:pStyle w:val="TableTextCentered2"/>
            </w:pPr>
            <w:r>
              <w:t> </w:t>
            </w:r>
          </w:p>
        </w:tc>
      </w:tr>
      <w:tr w:rsidR="009A177F" w:rsidRPr="00DD28A5" w14:paraId="62ADF6DD" w14:textId="77777777" w:rsidTr="000733CF">
        <w:trPr>
          <w:trHeight w:val="120"/>
          <w:jc w:val="center"/>
        </w:trPr>
        <w:tc>
          <w:tcPr>
            <w:tcW w:w="2254" w:type="dxa"/>
            <w:tcBorders>
              <w:top w:val="nil"/>
              <w:left w:val="nil"/>
              <w:bottom w:val="nil"/>
              <w:right w:val="nil"/>
            </w:tcBorders>
            <w:shd w:val="clear" w:color="000000" w:fill="FFFFFF"/>
            <w:noWrap/>
            <w:vAlign w:val="bottom"/>
            <w:hideMark/>
          </w:tcPr>
          <w:p w14:paraId="368B9FA4" w14:textId="77777777" w:rsidR="009A177F" w:rsidRDefault="009A177F" w:rsidP="00AE0023">
            <w:pPr>
              <w:pStyle w:val="TableTextLeft2"/>
              <w:spacing w:before="10" w:after="10" w:line="240" w:lineRule="auto"/>
            </w:pPr>
            <w:r>
              <w:t>Employment</w:t>
            </w:r>
          </w:p>
        </w:tc>
        <w:tc>
          <w:tcPr>
            <w:tcW w:w="1232" w:type="dxa"/>
            <w:tcBorders>
              <w:top w:val="nil"/>
              <w:left w:val="nil"/>
              <w:bottom w:val="nil"/>
              <w:right w:val="nil"/>
            </w:tcBorders>
            <w:shd w:val="clear" w:color="000000" w:fill="FFFFFF"/>
            <w:noWrap/>
            <w:vAlign w:val="center"/>
            <w:hideMark/>
          </w:tcPr>
          <w:p w14:paraId="25783271" w14:textId="77777777" w:rsidR="009A177F" w:rsidRDefault="009A177F"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0F33E70E" w14:textId="77777777" w:rsidR="009A177F" w:rsidRDefault="009A177F" w:rsidP="00AE0023">
            <w:pPr>
              <w:pStyle w:val="TableTextCentered2"/>
              <w:spacing w:before="10" w:after="10"/>
            </w:pPr>
            <w:r>
              <w:t>0.1</w:t>
            </w:r>
          </w:p>
        </w:tc>
        <w:tc>
          <w:tcPr>
            <w:tcW w:w="1231" w:type="dxa"/>
            <w:tcBorders>
              <w:top w:val="nil"/>
              <w:left w:val="nil"/>
              <w:bottom w:val="nil"/>
              <w:right w:val="single" w:sz="4" w:space="0" w:color="auto"/>
            </w:tcBorders>
            <w:shd w:val="clear" w:color="000000" w:fill="FFFFFF"/>
            <w:noWrap/>
            <w:vAlign w:val="center"/>
            <w:hideMark/>
          </w:tcPr>
          <w:p w14:paraId="5533BAEF" w14:textId="77777777" w:rsidR="009A177F" w:rsidRDefault="009A177F" w:rsidP="00AE0023">
            <w:pPr>
              <w:pStyle w:val="TableTextCentered2"/>
              <w:spacing w:before="10" w:after="10"/>
            </w:pPr>
            <w:r>
              <w:t>0.1</w:t>
            </w:r>
          </w:p>
        </w:tc>
        <w:tc>
          <w:tcPr>
            <w:tcW w:w="1232" w:type="dxa"/>
            <w:tcBorders>
              <w:top w:val="nil"/>
              <w:left w:val="nil"/>
              <w:bottom w:val="nil"/>
              <w:right w:val="nil"/>
            </w:tcBorders>
            <w:shd w:val="clear" w:color="000000" w:fill="FFFFFF"/>
            <w:noWrap/>
            <w:vAlign w:val="center"/>
            <w:hideMark/>
          </w:tcPr>
          <w:p w14:paraId="3C973B2A" w14:textId="77777777" w:rsidR="009A177F" w:rsidRDefault="009A177F" w:rsidP="00AE0023">
            <w:pPr>
              <w:pStyle w:val="TableTextCentered2"/>
              <w:spacing w:before="10" w:after="10"/>
            </w:pPr>
            <w:r>
              <w:t>0.3</w:t>
            </w:r>
          </w:p>
        </w:tc>
        <w:tc>
          <w:tcPr>
            <w:tcW w:w="1232" w:type="dxa"/>
            <w:tcBorders>
              <w:top w:val="nil"/>
              <w:left w:val="nil"/>
              <w:bottom w:val="nil"/>
              <w:right w:val="nil"/>
            </w:tcBorders>
            <w:shd w:val="clear" w:color="000000" w:fill="FFFFFF"/>
            <w:noWrap/>
            <w:vAlign w:val="center"/>
            <w:hideMark/>
          </w:tcPr>
          <w:p w14:paraId="10C59A05" w14:textId="77777777" w:rsidR="009A177F" w:rsidRDefault="009A177F" w:rsidP="00AE0023">
            <w:pPr>
              <w:pStyle w:val="TableTextCentered2"/>
              <w:spacing w:before="10" w:after="10"/>
            </w:pPr>
            <w:r>
              <w:t>0.1</w:t>
            </w:r>
          </w:p>
        </w:tc>
        <w:tc>
          <w:tcPr>
            <w:tcW w:w="1260" w:type="dxa"/>
            <w:tcBorders>
              <w:top w:val="nil"/>
              <w:left w:val="nil"/>
              <w:bottom w:val="nil"/>
              <w:right w:val="nil"/>
            </w:tcBorders>
            <w:shd w:val="clear" w:color="000000" w:fill="FFFFFF"/>
            <w:noWrap/>
            <w:vAlign w:val="center"/>
            <w:hideMark/>
          </w:tcPr>
          <w:p w14:paraId="07B26A8A" w14:textId="77777777" w:rsidR="009A177F" w:rsidRDefault="009A177F" w:rsidP="00AE0023">
            <w:pPr>
              <w:pStyle w:val="TableTextCentered2"/>
              <w:spacing w:before="10" w:after="10"/>
            </w:pPr>
            <w:r>
              <w:t>0.1</w:t>
            </w:r>
          </w:p>
        </w:tc>
      </w:tr>
      <w:tr w:rsidR="009A177F" w:rsidRPr="00DD28A5" w14:paraId="2FF13B94" w14:textId="77777777" w:rsidTr="000733CF">
        <w:trPr>
          <w:trHeight w:val="193"/>
          <w:jc w:val="center"/>
        </w:trPr>
        <w:tc>
          <w:tcPr>
            <w:tcW w:w="2254" w:type="dxa"/>
            <w:tcBorders>
              <w:top w:val="nil"/>
              <w:left w:val="nil"/>
              <w:bottom w:val="nil"/>
              <w:right w:val="nil"/>
            </w:tcBorders>
            <w:shd w:val="clear" w:color="000000" w:fill="FFFFFF"/>
            <w:noWrap/>
            <w:vAlign w:val="bottom"/>
            <w:hideMark/>
          </w:tcPr>
          <w:p w14:paraId="46E4681B" w14:textId="77777777" w:rsidR="009A177F" w:rsidRDefault="009A177F" w:rsidP="00AE0023">
            <w:pPr>
              <w:pStyle w:val="TableTextLeft2"/>
              <w:spacing w:before="10" w:after="10" w:line="240" w:lineRule="auto"/>
            </w:pPr>
            <w:r>
              <w:t>Real wage (before-tax)</w:t>
            </w:r>
          </w:p>
        </w:tc>
        <w:tc>
          <w:tcPr>
            <w:tcW w:w="1232" w:type="dxa"/>
            <w:tcBorders>
              <w:top w:val="nil"/>
              <w:left w:val="nil"/>
              <w:bottom w:val="nil"/>
              <w:right w:val="nil"/>
            </w:tcBorders>
            <w:shd w:val="clear" w:color="000000" w:fill="FFFFFF"/>
            <w:noWrap/>
            <w:vAlign w:val="center"/>
            <w:hideMark/>
          </w:tcPr>
          <w:p w14:paraId="437ABC42"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569511C2" w14:textId="77777777" w:rsidR="009A177F" w:rsidRDefault="009A177F" w:rsidP="00AE0023">
            <w:pPr>
              <w:pStyle w:val="TableTextCentered2"/>
              <w:spacing w:before="10" w:after="10"/>
            </w:pPr>
            <w:r>
              <w:t>1.2</w:t>
            </w:r>
          </w:p>
        </w:tc>
        <w:tc>
          <w:tcPr>
            <w:tcW w:w="1231" w:type="dxa"/>
            <w:tcBorders>
              <w:top w:val="nil"/>
              <w:left w:val="nil"/>
              <w:bottom w:val="nil"/>
              <w:right w:val="single" w:sz="4" w:space="0" w:color="auto"/>
            </w:tcBorders>
            <w:shd w:val="clear" w:color="000000" w:fill="FFFFFF"/>
            <w:noWrap/>
            <w:vAlign w:val="center"/>
            <w:hideMark/>
          </w:tcPr>
          <w:p w14:paraId="2FD71AE4"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6A2F6761" w14:textId="77777777" w:rsidR="009A177F" w:rsidRDefault="009A177F" w:rsidP="00AE0023">
            <w:pPr>
              <w:pStyle w:val="TableTextCentered2"/>
              <w:spacing w:before="10" w:after="10"/>
            </w:pPr>
            <w:r>
              <w:t>1.0</w:t>
            </w:r>
          </w:p>
        </w:tc>
        <w:tc>
          <w:tcPr>
            <w:tcW w:w="1232" w:type="dxa"/>
            <w:tcBorders>
              <w:top w:val="nil"/>
              <w:left w:val="nil"/>
              <w:bottom w:val="nil"/>
              <w:right w:val="nil"/>
            </w:tcBorders>
            <w:shd w:val="clear" w:color="000000" w:fill="FFFFFF"/>
            <w:noWrap/>
            <w:vAlign w:val="center"/>
            <w:hideMark/>
          </w:tcPr>
          <w:p w14:paraId="379DEA2D" w14:textId="77777777" w:rsidR="009A177F" w:rsidRDefault="009A177F" w:rsidP="00AE0023">
            <w:pPr>
              <w:pStyle w:val="TableTextCentered2"/>
              <w:spacing w:before="10" w:after="10"/>
            </w:pPr>
            <w:r>
              <w:t>1.1</w:t>
            </w:r>
          </w:p>
        </w:tc>
        <w:tc>
          <w:tcPr>
            <w:tcW w:w="1260" w:type="dxa"/>
            <w:tcBorders>
              <w:top w:val="nil"/>
              <w:left w:val="nil"/>
              <w:bottom w:val="nil"/>
              <w:right w:val="nil"/>
            </w:tcBorders>
            <w:shd w:val="clear" w:color="000000" w:fill="FFFFFF"/>
            <w:noWrap/>
            <w:vAlign w:val="center"/>
            <w:hideMark/>
          </w:tcPr>
          <w:p w14:paraId="402D9671" w14:textId="77777777" w:rsidR="009A177F" w:rsidRDefault="009A177F" w:rsidP="00AE0023">
            <w:pPr>
              <w:pStyle w:val="TableTextCentered2"/>
              <w:spacing w:before="10" w:after="10"/>
            </w:pPr>
            <w:r>
              <w:t>0.9</w:t>
            </w:r>
          </w:p>
        </w:tc>
      </w:tr>
      <w:tr w:rsidR="009A177F" w:rsidRPr="00DD28A5" w14:paraId="0B112E59" w14:textId="77777777" w:rsidTr="000733CF">
        <w:trPr>
          <w:trHeight w:val="112"/>
          <w:jc w:val="center"/>
        </w:trPr>
        <w:tc>
          <w:tcPr>
            <w:tcW w:w="2254" w:type="dxa"/>
            <w:tcBorders>
              <w:top w:val="nil"/>
              <w:left w:val="nil"/>
              <w:bottom w:val="nil"/>
              <w:right w:val="nil"/>
            </w:tcBorders>
            <w:shd w:val="clear" w:color="000000" w:fill="FFFFFF"/>
            <w:noWrap/>
            <w:vAlign w:val="bottom"/>
            <w:hideMark/>
          </w:tcPr>
          <w:p w14:paraId="54875E07" w14:textId="77777777" w:rsidR="009A177F" w:rsidRDefault="009A177F" w:rsidP="00AE0023">
            <w:pPr>
              <w:pStyle w:val="TableTextLeft2"/>
              <w:spacing w:before="10" w:after="10" w:line="240" w:lineRule="auto"/>
            </w:pPr>
            <w:r>
              <w:t>Real wage (after-tax)</w:t>
            </w:r>
          </w:p>
        </w:tc>
        <w:tc>
          <w:tcPr>
            <w:tcW w:w="1232" w:type="dxa"/>
            <w:tcBorders>
              <w:top w:val="nil"/>
              <w:left w:val="nil"/>
              <w:bottom w:val="nil"/>
              <w:right w:val="nil"/>
            </w:tcBorders>
            <w:shd w:val="clear" w:color="000000" w:fill="FFFFFF"/>
            <w:noWrap/>
            <w:vAlign w:val="center"/>
            <w:hideMark/>
          </w:tcPr>
          <w:p w14:paraId="682F1466"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712E6F6F" w14:textId="77777777" w:rsidR="009A177F" w:rsidRDefault="009A177F" w:rsidP="00AE0023">
            <w:pPr>
              <w:pStyle w:val="TableTextCentered2"/>
              <w:spacing w:before="10" w:after="10"/>
            </w:pPr>
            <w:r>
              <w:t>0.4</w:t>
            </w:r>
          </w:p>
        </w:tc>
        <w:tc>
          <w:tcPr>
            <w:tcW w:w="1231" w:type="dxa"/>
            <w:tcBorders>
              <w:top w:val="nil"/>
              <w:left w:val="nil"/>
              <w:bottom w:val="nil"/>
              <w:right w:val="single" w:sz="4" w:space="0" w:color="auto"/>
            </w:tcBorders>
            <w:shd w:val="clear" w:color="000000" w:fill="FFFFFF"/>
            <w:noWrap/>
            <w:vAlign w:val="center"/>
            <w:hideMark/>
          </w:tcPr>
          <w:p w14:paraId="1D75E21F" w14:textId="77777777" w:rsidR="009A177F" w:rsidRDefault="009A177F"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4E708F36" w14:textId="77777777" w:rsidR="009A177F" w:rsidRDefault="009A177F" w:rsidP="00AE0023">
            <w:pPr>
              <w:pStyle w:val="TableTextCentered2"/>
              <w:spacing w:before="10" w:after="10"/>
            </w:pPr>
            <w:r>
              <w:t>1.0</w:t>
            </w:r>
          </w:p>
        </w:tc>
        <w:tc>
          <w:tcPr>
            <w:tcW w:w="1232" w:type="dxa"/>
            <w:tcBorders>
              <w:top w:val="nil"/>
              <w:left w:val="nil"/>
              <w:bottom w:val="nil"/>
              <w:right w:val="nil"/>
            </w:tcBorders>
            <w:shd w:val="clear" w:color="000000" w:fill="FFFFFF"/>
            <w:noWrap/>
            <w:vAlign w:val="center"/>
            <w:hideMark/>
          </w:tcPr>
          <w:p w14:paraId="4F32DD30" w14:textId="77777777" w:rsidR="009A177F" w:rsidRDefault="009A177F" w:rsidP="00AE0023">
            <w:pPr>
              <w:pStyle w:val="TableTextCentered2"/>
              <w:spacing w:before="10" w:after="10"/>
            </w:pPr>
            <w:r>
              <w:t>0.3</w:t>
            </w:r>
          </w:p>
        </w:tc>
        <w:tc>
          <w:tcPr>
            <w:tcW w:w="1260" w:type="dxa"/>
            <w:tcBorders>
              <w:top w:val="nil"/>
              <w:left w:val="nil"/>
              <w:bottom w:val="nil"/>
              <w:right w:val="nil"/>
            </w:tcBorders>
            <w:shd w:val="clear" w:color="000000" w:fill="FFFFFF"/>
            <w:noWrap/>
            <w:vAlign w:val="center"/>
            <w:hideMark/>
          </w:tcPr>
          <w:p w14:paraId="6D5C5AB8" w14:textId="77777777" w:rsidR="009A177F" w:rsidRDefault="009A177F" w:rsidP="00AE0023">
            <w:pPr>
              <w:pStyle w:val="TableTextCentered2"/>
              <w:spacing w:before="10" w:after="10"/>
            </w:pPr>
            <w:r>
              <w:t>0.9</w:t>
            </w:r>
          </w:p>
        </w:tc>
      </w:tr>
      <w:tr w:rsidR="009A177F" w:rsidRPr="00DD28A5" w14:paraId="4FA36B5A" w14:textId="77777777" w:rsidTr="000733CF">
        <w:trPr>
          <w:trHeight w:val="72"/>
          <w:jc w:val="center"/>
        </w:trPr>
        <w:tc>
          <w:tcPr>
            <w:tcW w:w="2254" w:type="dxa"/>
            <w:tcBorders>
              <w:top w:val="nil"/>
              <w:left w:val="nil"/>
              <w:bottom w:val="nil"/>
              <w:right w:val="nil"/>
            </w:tcBorders>
            <w:shd w:val="clear" w:color="000000" w:fill="FFFFFF"/>
            <w:noWrap/>
            <w:vAlign w:val="bottom"/>
            <w:hideMark/>
          </w:tcPr>
          <w:p w14:paraId="2D2BB638" w14:textId="77777777" w:rsidR="009A177F" w:rsidRDefault="009A177F" w:rsidP="00F875D2">
            <w:pPr>
              <w:pStyle w:val="TableTextLeft2"/>
              <w:spacing w:line="240" w:lineRule="auto"/>
            </w:pPr>
            <w:r>
              <w:t> </w:t>
            </w:r>
          </w:p>
        </w:tc>
        <w:tc>
          <w:tcPr>
            <w:tcW w:w="1232" w:type="dxa"/>
            <w:tcBorders>
              <w:top w:val="nil"/>
              <w:left w:val="nil"/>
              <w:bottom w:val="nil"/>
              <w:right w:val="nil"/>
            </w:tcBorders>
            <w:shd w:val="clear" w:color="000000" w:fill="FFFFFF"/>
            <w:noWrap/>
            <w:vAlign w:val="center"/>
            <w:hideMark/>
          </w:tcPr>
          <w:p w14:paraId="00FA4A6E"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1D060766" w14:textId="77777777" w:rsidR="009A177F" w:rsidRDefault="009A177F"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0B5698B2"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142C8BF8" w14:textId="77777777" w:rsidR="009A177F" w:rsidRDefault="009A177F"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0C0253C5" w14:textId="77777777" w:rsidR="009A177F" w:rsidRDefault="009A177F" w:rsidP="00F875D2">
            <w:pPr>
              <w:pStyle w:val="TableTextCentered2"/>
            </w:pPr>
            <w:r>
              <w:t> </w:t>
            </w:r>
          </w:p>
        </w:tc>
        <w:tc>
          <w:tcPr>
            <w:tcW w:w="1260" w:type="dxa"/>
            <w:tcBorders>
              <w:top w:val="nil"/>
              <w:left w:val="nil"/>
              <w:bottom w:val="nil"/>
              <w:right w:val="nil"/>
            </w:tcBorders>
            <w:shd w:val="clear" w:color="000000" w:fill="FFFFFF"/>
            <w:noWrap/>
            <w:vAlign w:val="center"/>
            <w:hideMark/>
          </w:tcPr>
          <w:p w14:paraId="50545DE8" w14:textId="77777777" w:rsidR="009A177F" w:rsidRDefault="009A177F" w:rsidP="00F875D2">
            <w:pPr>
              <w:pStyle w:val="TableTextCentered2"/>
            </w:pPr>
            <w:r>
              <w:t> </w:t>
            </w:r>
          </w:p>
        </w:tc>
      </w:tr>
      <w:tr w:rsidR="009A177F" w:rsidRPr="00DD28A5" w14:paraId="31E6BEDA" w14:textId="77777777" w:rsidTr="000733CF">
        <w:trPr>
          <w:trHeight w:val="240"/>
          <w:jc w:val="center"/>
        </w:trPr>
        <w:tc>
          <w:tcPr>
            <w:tcW w:w="2254" w:type="dxa"/>
            <w:tcBorders>
              <w:top w:val="nil"/>
              <w:left w:val="nil"/>
              <w:bottom w:val="single" w:sz="4" w:space="0" w:color="auto"/>
              <w:right w:val="nil"/>
            </w:tcBorders>
            <w:shd w:val="clear" w:color="000000" w:fill="FFFFFF"/>
            <w:noWrap/>
            <w:vAlign w:val="bottom"/>
            <w:hideMark/>
          </w:tcPr>
          <w:p w14:paraId="4B5A4AAA" w14:textId="77777777" w:rsidR="009A177F" w:rsidRDefault="009A177F" w:rsidP="00AE0023">
            <w:pPr>
              <w:pStyle w:val="TableTextLeft2"/>
              <w:spacing w:before="10" w:after="10" w:line="240" w:lineRule="auto"/>
            </w:pPr>
            <w:r>
              <w:t>Welfare</w:t>
            </w:r>
          </w:p>
        </w:tc>
        <w:tc>
          <w:tcPr>
            <w:tcW w:w="1232" w:type="dxa"/>
            <w:tcBorders>
              <w:top w:val="nil"/>
              <w:left w:val="nil"/>
              <w:bottom w:val="single" w:sz="4" w:space="0" w:color="auto"/>
              <w:right w:val="nil"/>
            </w:tcBorders>
            <w:shd w:val="clear" w:color="000000" w:fill="FFFFFF"/>
            <w:noWrap/>
            <w:vAlign w:val="center"/>
            <w:hideMark/>
          </w:tcPr>
          <w:p w14:paraId="61EF35F8" w14:textId="77777777" w:rsidR="009A177F" w:rsidRDefault="009A177F"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30F65F9C" w14:textId="77777777" w:rsidR="009A177F" w:rsidRDefault="009A177F" w:rsidP="00AE0023">
            <w:pPr>
              <w:pStyle w:val="TableTextCentered2"/>
              <w:spacing w:before="10" w:after="10"/>
            </w:pPr>
            <w:r>
              <w:t>0.1</w:t>
            </w:r>
          </w:p>
        </w:tc>
        <w:tc>
          <w:tcPr>
            <w:tcW w:w="1231" w:type="dxa"/>
            <w:tcBorders>
              <w:top w:val="nil"/>
              <w:left w:val="nil"/>
              <w:bottom w:val="single" w:sz="4" w:space="0" w:color="auto"/>
              <w:right w:val="single" w:sz="4" w:space="0" w:color="auto"/>
            </w:tcBorders>
            <w:shd w:val="clear" w:color="000000" w:fill="FFFFFF"/>
            <w:noWrap/>
            <w:vAlign w:val="center"/>
            <w:hideMark/>
          </w:tcPr>
          <w:p w14:paraId="76BEA874" w14:textId="77777777" w:rsidR="009A177F" w:rsidRDefault="009A177F" w:rsidP="00AE0023">
            <w:pPr>
              <w:pStyle w:val="TableTextCentered2"/>
              <w:spacing w:before="10" w:after="10"/>
            </w:pPr>
            <w:r>
              <w:t>0.7</w:t>
            </w:r>
          </w:p>
        </w:tc>
        <w:tc>
          <w:tcPr>
            <w:tcW w:w="1232" w:type="dxa"/>
            <w:tcBorders>
              <w:top w:val="nil"/>
              <w:left w:val="nil"/>
              <w:bottom w:val="single" w:sz="4" w:space="0" w:color="auto"/>
              <w:right w:val="nil"/>
            </w:tcBorders>
            <w:shd w:val="clear" w:color="000000" w:fill="FFFFFF"/>
            <w:noWrap/>
            <w:vAlign w:val="center"/>
            <w:hideMark/>
          </w:tcPr>
          <w:p w14:paraId="0B51609B" w14:textId="77777777" w:rsidR="009A177F" w:rsidRDefault="009A177F"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4BF3D487" w14:textId="77777777" w:rsidR="009A177F" w:rsidRDefault="009A177F" w:rsidP="00AE0023">
            <w:pPr>
              <w:pStyle w:val="TableTextCentered2"/>
              <w:spacing w:before="10" w:after="10"/>
            </w:pPr>
            <w:r>
              <w:t>0.1</w:t>
            </w:r>
          </w:p>
        </w:tc>
        <w:tc>
          <w:tcPr>
            <w:tcW w:w="1260" w:type="dxa"/>
            <w:tcBorders>
              <w:top w:val="nil"/>
              <w:left w:val="nil"/>
              <w:bottom w:val="single" w:sz="4" w:space="0" w:color="auto"/>
              <w:right w:val="nil"/>
            </w:tcBorders>
            <w:shd w:val="clear" w:color="000000" w:fill="FFFFFF"/>
            <w:noWrap/>
            <w:vAlign w:val="center"/>
            <w:hideMark/>
          </w:tcPr>
          <w:p w14:paraId="642D1E0D" w14:textId="77777777" w:rsidR="009A177F" w:rsidRDefault="009A177F" w:rsidP="00AE0023">
            <w:pPr>
              <w:pStyle w:val="TableTextCentered2"/>
              <w:spacing w:before="10" w:after="10"/>
            </w:pPr>
            <w:r>
              <w:t>0.6</w:t>
            </w:r>
          </w:p>
        </w:tc>
      </w:tr>
    </w:tbl>
    <w:p w14:paraId="7C347AC6" w14:textId="77777777" w:rsidR="00E838B2" w:rsidRDefault="00E838B2" w:rsidP="000733CF">
      <w:pPr>
        <w:pStyle w:val="TableMainHeading"/>
        <w:jc w:val="center"/>
        <w:rPr>
          <w:rFonts w:asciiTheme="minorHAnsi" w:hAnsiTheme="minorHAnsi" w:cstheme="minorHAnsi"/>
        </w:rPr>
      </w:pPr>
      <w:r w:rsidRPr="00A12683">
        <w:rPr>
          <w:rFonts w:asciiTheme="minorHAnsi" w:hAnsiTheme="minorHAnsi" w:cstheme="minorHAnsi"/>
        </w:rPr>
        <w:lastRenderedPageBreak/>
        <w:t xml:space="preserve">Table </w:t>
      </w:r>
      <w:r w:rsidRPr="00A12683">
        <w:rPr>
          <w:rFonts w:asciiTheme="minorHAnsi" w:hAnsiTheme="minorHAnsi" w:cstheme="minorHAnsi"/>
        </w:rPr>
        <w:fldChar w:fldCharType="begin"/>
      </w:r>
      <w:r w:rsidRPr="00A12683">
        <w:rPr>
          <w:rFonts w:asciiTheme="minorHAnsi" w:hAnsiTheme="minorHAnsi" w:cstheme="minorHAnsi"/>
        </w:rPr>
        <w:instrText xml:space="preserve"> SEQ Table \* ARABIC </w:instrText>
      </w:r>
      <w:r w:rsidRPr="00A12683">
        <w:rPr>
          <w:rFonts w:asciiTheme="minorHAnsi" w:hAnsiTheme="minorHAnsi" w:cstheme="minorHAnsi"/>
        </w:rPr>
        <w:fldChar w:fldCharType="separate"/>
      </w:r>
      <w:r w:rsidR="00C97912">
        <w:rPr>
          <w:rFonts w:asciiTheme="minorHAnsi" w:hAnsiTheme="minorHAnsi" w:cstheme="minorHAnsi"/>
          <w:noProof/>
        </w:rPr>
        <w:t>7</w:t>
      </w:r>
      <w:r w:rsidRPr="00A12683">
        <w:rPr>
          <w:rFonts w:asciiTheme="minorHAnsi" w:hAnsiTheme="minorHAnsi" w:cstheme="minorHAnsi"/>
          <w:noProof/>
        </w:rPr>
        <w:fldChar w:fldCharType="end"/>
      </w:r>
      <w:r w:rsidRPr="00A12683">
        <w:rPr>
          <w:rFonts w:asciiTheme="minorHAnsi" w:hAnsiTheme="minorHAnsi" w:cstheme="minorHAnsi"/>
        </w:rPr>
        <w:t xml:space="preserve">: </w:t>
      </w:r>
      <w:r w:rsidRPr="009B528D">
        <w:t>Sensitivity analysis – Profit shifting</w:t>
      </w:r>
    </w:p>
    <w:tbl>
      <w:tblPr>
        <w:tblW w:w="13341" w:type="dxa"/>
        <w:jc w:val="center"/>
        <w:tblInd w:w="93" w:type="dxa"/>
        <w:tblLayout w:type="fixed"/>
        <w:tblLook w:val="04A0" w:firstRow="1" w:lastRow="0" w:firstColumn="1" w:lastColumn="0" w:noHBand="0" w:noVBand="1"/>
      </w:tblPr>
      <w:tblGrid>
        <w:gridCol w:w="2260"/>
        <w:gridCol w:w="1227"/>
        <w:gridCol w:w="1232"/>
        <w:gridCol w:w="1231"/>
        <w:gridCol w:w="1232"/>
        <w:gridCol w:w="1232"/>
        <w:gridCol w:w="1260"/>
        <w:gridCol w:w="1204"/>
        <w:gridCol w:w="1231"/>
        <w:gridCol w:w="1232"/>
      </w:tblGrid>
      <w:tr w:rsidR="00E838B2" w:rsidRPr="00DD28A5" w14:paraId="5DD6E1D7" w14:textId="77777777" w:rsidTr="000733CF">
        <w:trPr>
          <w:trHeight w:val="147"/>
          <w:jc w:val="center"/>
        </w:trPr>
        <w:tc>
          <w:tcPr>
            <w:tcW w:w="2260" w:type="dxa"/>
            <w:tcBorders>
              <w:top w:val="single" w:sz="4" w:space="0" w:color="auto"/>
              <w:left w:val="nil"/>
              <w:bottom w:val="nil"/>
              <w:right w:val="nil"/>
            </w:tcBorders>
            <w:shd w:val="clear" w:color="000000" w:fill="FFFFFF"/>
            <w:noWrap/>
            <w:vAlign w:val="bottom"/>
            <w:hideMark/>
          </w:tcPr>
          <w:p w14:paraId="0456E602" w14:textId="77777777" w:rsidR="00E838B2" w:rsidRPr="00DD28A5" w:rsidRDefault="00E838B2" w:rsidP="00F875D2">
            <w:pPr>
              <w:spacing w:after="0" w:line="240" w:lineRule="auto"/>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3690" w:type="dxa"/>
            <w:gridSpan w:val="3"/>
            <w:tcBorders>
              <w:top w:val="single" w:sz="4" w:space="0" w:color="auto"/>
              <w:left w:val="nil"/>
              <w:bottom w:val="nil"/>
              <w:right w:val="single" w:sz="4" w:space="0" w:color="000000"/>
            </w:tcBorders>
            <w:shd w:val="clear" w:color="000000" w:fill="FFFFFF"/>
            <w:noWrap/>
            <w:vAlign w:val="bottom"/>
            <w:hideMark/>
          </w:tcPr>
          <w:p w14:paraId="14C299BF" w14:textId="77777777" w:rsidR="00E838B2" w:rsidRPr="00DD28A5" w:rsidRDefault="00E838B2" w:rsidP="00F875D2">
            <w:pPr>
              <w:pStyle w:val="TableColumnHeadingCentred2a"/>
            </w:pPr>
            <w:r w:rsidRPr="00DD28A5">
              <w:t>Low elasticity (0.</w:t>
            </w:r>
            <w:r w:rsidR="00A94150">
              <w:t>25</w:t>
            </w:r>
            <w:r w:rsidRPr="00DD28A5">
              <w:t>)</w:t>
            </w:r>
          </w:p>
        </w:tc>
        <w:tc>
          <w:tcPr>
            <w:tcW w:w="3724" w:type="dxa"/>
            <w:gridSpan w:val="3"/>
            <w:tcBorders>
              <w:top w:val="single" w:sz="4" w:space="0" w:color="auto"/>
              <w:left w:val="nil"/>
              <w:bottom w:val="nil"/>
              <w:right w:val="single" w:sz="4" w:space="0" w:color="000000"/>
            </w:tcBorders>
            <w:shd w:val="clear" w:color="000000" w:fill="FFFFFF"/>
            <w:noWrap/>
            <w:vAlign w:val="bottom"/>
            <w:hideMark/>
          </w:tcPr>
          <w:p w14:paraId="0890DEA6" w14:textId="77777777" w:rsidR="00E838B2" w:rsidRPr="00DD28A5" w:rsidRDefault="00E838B2" w:rsidP="00F875D2">
            <w:pPr>
              <w:pStyle w:val="TableColumnHeadingCentred2a"/>
            </w:pPr>
            <w:r w:rsidRPr="00DD28A5">
              <w:t>Base case (</w:t>
            </w:r>
            <w:r w:rsidR="00A94150">
              <w:t>0.5</w:t>
            </w:r>
            <w:r w:rsidRPr="00DD28A5">
              <w:t>)</w:t>
            </w:r>
          </w:p>
        </w:tc>
        <w:tc>
          <w:tcPr>
            <w:tcW w:w="3667" w:type="dxa"/>
            <w:gridSpan w:val="3"/>
            <w:tcBorders>
              <w:top w:val="single" w:sz="4" w:space="0" w:color="auto"/>
              <w:left w:val="nil"/>
              <w:bottom w:val="nil"/>
              <w:right w:val="nil"/>
            </w:tcBorders>
            <w:shd w:val="clear" w:color="000000" w:fill="FFFFFF"/>
            <w:noWrap/>
            <w:vAlign w:val="bottom"/>
            <w:hideMark/>
          </w:tcPr>
          <w:p w14:paraId="38BA4ADD" w14:textId="77777777" w:rsidR="00E838B2" w:rsidRPr="00DD28A5" w:rsidRDefault="00E838B2" w:rsidP="00F875D2">
            <w:pPr>
              <w:pStyle w:val="TableColumnHeadingCentred2a"/>
            </w:pPr>
            <w:r w:rsidRPr="00DD28A5">
              <w:t>High elasticity (</w:t>
            </w:r>
            <w:r w:rsidR="00A94150">
              <w:t>0.75</w:t>
            </w:r>
            <w:r w:rsidRPr="00DD28A5">
              <w:t>)</w:t>
            </w:r>
          </w:p>
        </w:tc>
      </w:tr>
      <w:tr w:rsidR="00E838B2" w:rsidRPr="00DD28A5" w14:paraId="5B7C31A7" w14:textId="77777777" w:rsidTr="000733CF">
        <w:trPr>
          <w:trHeight w:val="246"/>
          <w:jc w:val="center"/>
        </w:trPr>
        <w:tc>
          <w:tcPr>
            <w:tcW w:w="2260" w:type="dxa"/>
            <w:tcBorders>
              <w:top w:val="nil"/>
              <w:left w:val="nil"/>
              <w:bottom w:val="single" w:sz="4" w:space="0" w:color="auto"/>
              <w:right w:val="nil"/>
            </w:tcBorders>
            <w:shd w:val="clear" w:color="000000" w:fill="FFFFFF"/>
            <w:noWrap/>
            <w:vAlign w:val="bottom"/>
            <w:hideMark/>
          </w:tcPr>
          <w:p w14:paraId="17A2E1FB" w14:textId="77777777" w:rsidR="00E838B2" w:rsidRPr="00DD28A5" w:rsidRDefault="00E838B2" w:rsidP="00F875D2">
            <w:pPr>
              <w:spacing w:after="0" w:line="240" w:lineRule="auto"/>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1227" w:type="dxa"/>
            <w:tcBorders>
              <w:top w:val="nil"/>
              <w:left w:val="nil"/>
              <w:bottom w:val="single" w:sz="4" w:space="0" w:color="auto"/>
              <w:right w:val="nil"/>
            </w:tcBorders>
            <w:shd w:val="clear" w:color="000000" w:fill="FFFFFF"/>
            <w:vAlign w:val="center"/>
            <w:hideMark/>
          </w:tcPr>
          <w:p w14:paraId="5EC40ABC"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21DCC31D" w14:textId="77777777" w:rsidR="00E838B2" w:rsidRPr="00DD28A5" w:rsidRDefault="00E838B2" w:rsidP="00F875D2">
            <w:pPr>
              <w:pStyle w:val="TableColumnHeadingCentred2"/>
            </w:pPr>
            <w:r w:rsidRPr="00DD28A5">
              <w:t>PIT</w:t>
            </w:r>
          </w:p>
        </w:tc>
        <w:tc>
          <w:tcPr>
            <w:tcW w:w="1231" w:type="dxa"/>
            <w:tcBorders>
              <w:top w:val="nil"/>
              <w:left w:val="nil"/>
              <w:bottom w:val="single" w:sz="4" w:space="0" w:color="auto"/>
              <w:right w:val="single" w:sz="4" w:space="0" w:color="auto"/>
            </w:tcBorders>
            <w:shd w:val="clear" w:color="000000" w:fill="FFFFFF"/>
            <w:vAlign w:val="center"/>
            <w:hideMark/>
          </w:tcPr>
          <w:p w14:paraId="2D35E9D5" w14:textId="0C7F530F" w:rsidR="00E838B2" w:rsidRPr="00DD28A5" w:rsidRDefault="00AE0023" w:rsidP="00AE0023">
            <w:pPr>
              <w:pStyle w:val="TableColumnHeadingCentred2"/>
            </w:pPr>
            <w:r w:rsidRPr="00DD28A5">
              <w:t>Gov</w:t>
            </w:r>
            <w:r>
              <w:t xml:space="preserve">ernment </w:t>
            </w:r>
            <w:r w:rsidRPr="00BA45D5">
              <w:t>spending</w:t>
            </w:r>
          </w:p>
        </w:tc>
        <w:tc>
          <w:tcPr>
            <w:tcW w:w="1232" w:type="dxa"/>
            <w:tcBorders>
              <w:top w:val="nil"/>
              <w:left w:val="nil"/>
              <w:bottom w:val="single" w:sz="4" w:space="0" w:color="auto"/>
              <w:right w:val="nil"/>
            </w:tcBorders>
            <w:shd w:val="clear" w:color="000000" w:fill="FFFFFF"/>
            <w:vAlign w:val="center"/>
            <w:hideMark/>
          </w:tcPr>
          <w:p w14:paraId="08584FFF"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3F01A548" w14:textId="77777777" w:rsidR="00E838B2" w:rsidRPr="00DD28A5" w:rsidRDefault="00E838B2" w:rsidP="00F875D2">
            <w:pPr>
              <w:pStyle w:val="TableColumnHeadingCentred2"/>
            </w:pPr>
            <w:r w:rsidRPr="00DD28A5">
              <w:t>PIT</w:t>
            </w:r>
          </w:p>
        </w:tc>
        <w:tc>
          <w:tcPr>
            <w:tcW w:w="1260" w:type="dxa"/>
            <w:tcBorders>
              <w:top w:val="nil"/>
              <w:left w:val="nil"/>
              <w:bottom w:val="single" w:sz="4" w:space="0" w:color="auto"/>
              <w:right w:val="single" w:sz="4" w:space="0" w:color="auto"/>
            </w:tcBorders>
            <w:shd w:val="clear" w:color="000000" w:fill="FFFFFF"/>
            <w:vAlign w:val="center"/>
            <w:hideMark/>
          </w:tcPr>
          <w:p w14:paraId="3D2E851C" w14:textId="4F804DFA" w:rsidR="00E838B2" w:rsidRPr="00DD28A5" w:rsidRDefault="00AE0023" w:rsidP="00AE0023">
            <w:pPr>
              <w:pStyle w:val="TableColumnHeadingCentred2"/>
            </w:pPr>
            <w:r w:rsidRPr="00DD28A5">
              <w:t>Gov</w:t>
            </w:r>
            <w:r>
              <w:t xml:space="preserve">ernment </w:t>
            </w:r>
            <w:r w:rsidRPr="00BA45D5">
              <w:t>spending</w:t>
            </w:r>
          </w:p>
        </w:tc>
        <w:tc>
          <w:tcPr>
            <w:tcW w:w="1204" w:type="dxa"/>
            <w:tcBorders>
              <w:top w:val="nil"/>
              <w:left w:val="nil"/>
              <w:bottom w:val="single" w:sz="4" w:space="0" w:color="auto"/>
              <w:right w:val="nil"/>
            </w:tcBorders>
            <w:shd w:val="clear" w:color="000000" w:fill="FFFFFF"/>
            <w:vAlign w:val="center"/>
            <w:hideMark/>
          </w:tcPr>
          <w:p w14:paraId="3CB567BA" w14:textId="77777777" w:rsidR="00E838B2" w:rsidRPr="00DD28A5" w:rsidRDefault="00E838B2" w:rsidP="00F875D2">
            <w:pPr>
              <w:pStyle w:val="TableColumnHeadingCentred2"/>
            </w:pPr>
            <w:r w:rsidRPr="00DD28A5">
              <w:t>Lump-sum</w:t>
            </w:r>
          </w:p>
        </w:tc>
        <w:tc>
          <w:tcPr>
            <w:tcW w:w="1231" w:type="dxa"/>
            <w:tcBorders>
              <w:top w:val="nil"/>
              <w:left w:val="nil"/>
              <w:bottom w:val="single" w:sz="4" w:space="0" w:color="auto"/>
              <w:right w:val="nil"/>
            </w:tcBorders>
            <w:shd w:val="clear" w:color="000000" w:fill="FFFFFF"/>
            <w:vAlign w:val="center"/>
            <w:hideMark/>
          </w:tcPr>
          <w:p w14:paraId="16591B45" w14:textId="77777777" w:rsidR="00E838B2" w:rsidRPr="00DD28A5" w:rsidRDefault="00E838B2" w:rsidP="00F875D2">
            <w:pPr>
              <w:pStyle w:val="TableColumnHeadingCentred2"/>
            </w:pPr>
            <w:r w:rsidRPr="00DD28A5">
              <w:t>PIT</w:t>
            </w:r>
          </w:p>
        </w:tc>
        <w:tc>
          <w:tcPr>
            <w:tcW w:w="1232" w:type="dxa"/>
            <w:tcBorders>
              <w:top w:val="nil"/>
              <w:left w:val="nil"/>
              <w:bottom w:val="single" w:sz="4" w:space="0" w:color="auto"/>
              <w:right w:val="nil"/>
            </w:tcBorders>
            <w:shd w:val="clear" w:color="000000" w:fill="FFFFFF"/>
            <w:vAlign w:val="center"/>
            <w:hideMark/>
          </w:tcPr>
          <w:p w14:paraId="7377F197" w14:textId="009D2F28" w:rsidR="00E838B2" w:rsidRPr="00DD28A5" w:rsidRDefault="00AE0023" w:rsidP="00AE0023">
            <w:pPr>
              <w:pStyle w:val="TableColumnHeadingCentred2"/>
            </w:pPr>
            <w:r w:rsidRPr="00DD28A5">
              <w:t>Gov</w:t>
            </w:r>
            <w:r>
              <w:t xml:space="preserve">ernment </w:t>
            </w:r>
            <w:r w:rsidRPr="00BA45D5">
              <w:t>spending</w:t>
            </w:r>
          </w:p>
        </w:tc>
      </w:tr>
      <w:tr w:rsidR="00F4205D" w:rsidRPr="00DD28A5" w14:paraId="3E2720A0" w14:textId="77777777" w:rsidTr="000733CF">
        <w:trPr>
          <w:trHeight w:val="130"/>
          <w:jc w:val="center"/>
        </w:trPr>
        <w:tc>
          <w:tcPr>
            <w:tcW w:w="2260" w:type="dxa"/>
            <w:tcBorders>
              <w:top w:val="nil"/>
              <w:left w:val="nil"/>
              <w:bottom w:val="nil"/>
              <w:right w:val="nil"/>
            </w:tcBorders>
            <w:shd w:val="clear" w:color="000000" w:fill="FFFFFF"/>
            <w:noWrap/>
            <w:vAlign w:val="bottom"/>
            <w:hideMark/>
          </w:tcPr>
          <w:p w14:paraId="4689C0FD" w14:textId="77777777" w:rsidR="00F4205D" w:rsidRDefault="00F4205D" w:rsidP="00AE0023">
            <w:pPr>
              <w:pStyle w:val="TableTextLeft2"/>
              <w:spacing w:before="10" w:after="10" w:line="240" w:lineRule="auto"/>
            </w:pPr>
            <w:r>
              <w:t>Real GDP</w:t>
            </w:r>
          </w:p>
        </w:tc>
        <w:tc>
          <w:tcPr>
            <w:tcW w:w="1227" w:type="dxa"/>
            <w:tcBorders>
              <w:top w:val="nil"/>
              <w:left w:val="nil"/>
              <w:bottom w:val="nil"/>
              <w:right w:val="nil"/>
            </w:tcBorders>
            <w:shd w:val="clear" w:color="000000" w:fill="FFFFFF"/>
            <w:noWrap/>
            <w:vAlign w:val="center"/>
            <w:hideMark/>
          </w:tcPr>
          <w:p w14:paraId="2DBD8446" w14:textId="77777777" w:rsidR="00F4205D" w:rsidRDefault="00F4205D" w:rsidP="00AE0023">
            <w:pPr>
              <w:pStyle w:val="TableTextCentered2"/>
              <w:spacing w:before="10" w:after="10"/>
            </w:pPr>
            <w:r>
              <w:t>1.3</w:t>
            </w:r>
          </w:p>
        </w:tc>
        <w:tc>
          <w:tcPr>
            <w:tcW w:w="1232" w:type="dxa"/>
            <w:tcBorders>
              <w:top w:val="nil"/>
              <w:left w:val="nil"/>
              <w:bottom w:val="nil"/>
              <w:right w:val="nil"/>
            </w:tcBorders>
            <w:shd w:val="clear" w:color="000000" w:fill="FFFFFF"/>
            <w:noWrap/>
            <w:vAlign w:val="center"/>
            <w:hideMark/>
          </w:tcPr>
          <w:p w14:paraId="5A884D84" w14:textId="77777777" w:rsidR="00F4205D" w:rsidRDefault="00F4205D" w:rsidP="00AE0023">
            <w:pPr>
              <w:pStyle w:val="TableTextCentered2"/>
              <w:spacing w:before="10" w:after="10"/>
            </w:pPr>
            <w:r>
              <w:t>1.0</w:t>
            </w:r>
          </w:p>
        </w:tc>
        <w:tc>
          <w:tcPr>
            <w:tcW w:w="1231" w:type="dxa"/>
            <w:tcBorders>
              <w:top w:val="nil"/>
              <w:left w:val="nil"/>
              <w:bottom w:val="nil"/>
              <w:right w:val="single" w:sz="4" w:space="0" w:color="auto"/>
            </w:tcBorders>
            <w:shd w:val="clear" w:color="000000" w:fill="FFFFFF"/>
            <w:noWrap/>
            <w:vAlign w:val="center"/>
            <w:hideMark/>
          </w:tcPr>
          <w:p w14:paraId="3A12A3DC"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7824FFC4"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3E750208" w14:textId="77777777" w:rsidR="00F4205D" w:rsidRDefault="00F4205D" w:rsidP="00AE0023">
            <w:pPr>
              <w:pStyle w:val="TableTextCentered2"/>
              <w:spacing w:before="10" w:after="10"/>
            </w:pPr>
            <w:r>
              <w:t>1.0</w:t>
            </w:r>
          </w:p>
        </w:tc>
        <w:tc>
          <w:tcPr>
            <w:tcW w:w="1260" w:type="dxa"/>
            <w:tcBorders>
              <w:top w:val="nil"/>
              <w:left w:val="nil"/>
              <w:bottom w:val="nil"/>
              <w:right w:val="single" w:sz="4" w:space="0" w:color="auto"/>
            </w:tcBorders>
            <w:shd w:val="clear" w:color="000000" w:fill="FFFFFF"/>
            <w:noWrap/>
            <w:vAlign w:val="center"/>
            <w:hideMark/>
          </w:tcPr>
          <w:p w14:paraId="29DBC21A"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6EB22713" w14:textId="77777777" w:rsidR="00F4205D" w:rsidRDefault="00F4205D" w:rsidP="00AE0023">
            <w:pPr>
              <w:pStyle w:val="TableTextCentered2"/>
              <w:spacing w:before="10" w:after="10"/>
            </w:pPr>
            <w:r>
              <w:t>1.1</w:t>
            </w:r>
          </w:p>
        </w:tc>
        <w:tc>
          <w:tcPr>
            <w:tcW w:w="1231" w:type="dxa"/>
            <w:tcBorders>
              <w:top w:val="nil"/>
              <w:left w:val="nil"/>
              <w:bottom w:val="nil"/>
              <w:right w:val="nil"/>
            </w:tcBorders>
            <w:shd w:val="clear" w:color="000000" w:fill="FFFFFF"/>
            <w:noWrap/>
            <w:vAlign w:val="center"/>
            <w:hideMark/>
          </w:tcPr>
          <w:p w14:paraId="4391F69E" w14:textId="77777777" w:rsidR="00F4205D" w:rsidRDefault="00F4205D" w:rsidP="00AE0023">
            <w:pPr>
              <w:pStyle w:val="TableTextCentered2"/>
              <w:spacing w:before="10" w:after="10"/>
            </w:pPr>
            <w:r>
              <w:t>0.9</w:t>
            </w:r>
          </w:p>
        </w:tc>
        <w:tc>
          <w:tcPr>
            <w:tcW w:w="1232" w:type="dxa"/>
            <w:tcBorders>
              <w:top w:val="nil"/>
              <w:left w:val="nil"/>
              <w:bottom w:val="nil"/>
              <w:right w:val="nil"/>
            </w:tcBorders>
            <w:shd w:val="clear" w:color="000000" w:fill="FFFFFF"/>
            <w:noWrap/>
            <w:vAlign w:val="center"/>
            <w:hideMark/>
          </w:tcPr>
          <w:p w14:paraId="51AEE8D5" w14:textId="77777777" w:rsidR="00F4205D" w:rsidRDefault="00F4205D" w:rsidP="00AE0023">
            <w:pPr>
              <w:pStyle w:val="TableTextCentered2"/>
              <w:spacing w:before="10" w:after="10"/>
            </w:pPr>
            <w:r>
              <w:t>1.1</w:t>
            </w:r>
          </w:p>
        </w:tc>
      </w:tr>
      <w:tr w:rsidR="00F4205D" w:rsidRPr="00DD28A5" w14:paraId="3071168B" w14:textId="77777777" w:rsidTr="000733CF">
        <w:trPr>
          <w:trHeight w:val="200"/>
          <w:jc w:val="center"/>
        </w:trPr>
        <w:tc>
          <w:tcPr>
            <w:tcW w:w="2260" w:type="dxa"/>
            <w:tcBorders>
              <w:top w:val="nil"/>
              <w:left w:val="nil"/>
              <w:bottom w:val="nil"/>
              <w:right w:val="nil"/>
            </w:tcBorders>
            <w:shd w:val="clear" w:color="000000" w:fill="FFFFFF"/>
            <w:noWrap/>
            <w:vAlign w:val="bottom"/>
            <w:hideMark/>
          </w:tcPr>
          <w:p w14:paraId="7E1B6D84" w14:textId="77777777" w:rsidR="00F4205D" w:rsidRDefault="00F4205D" w:rsidP="00AE0023">
            <w:pPr>
              <w:pStyle w:val="TableTextLeft2"/>
              <w:spacing w:before="10" w:after="10" w:line="240" w:lineRule="auto"/>
            </w:pPr>
            <w:r>
              <w:t>Real GNI (GNE deflator)</w:t>
            </w:r>
          </w:p>
        </w:tc>
        <w:tc>
          <w:tcPr>
            <w:tcW w:w="1227" w:type="dxa"/>
            <w:tcBorders>
              <w:top w:val="nil"/>
              <w:left w:val="nil"/>
              <w:bottom w:val="nil"/>
              <w:right w:val="nil"/>
            </w:tcBorders>
            <w:shd w:val="clear" w:color="000000" w:fill="FFFFFF"/>
            <w:noWrap/>
            <w:vAlign w:val="center"/>
            <w:hideMark/>
          </w:tcPr>
          <w:p w14:paraId="7D456785" w14:textId="77777777" w:rsidR="00F4205D" w:rsidRDefault="00F4205D" w:rsidP="00AE0023">
            <w:pPr>
              <w:pStyle w:val="TableTextCentered2"/>
              <w:spacing w:before="10" w:after="10"/>
            </w:pPr>
            <w:r>
              <w:t>0.8</w:t>
            </w:r>
          </w:p>
        </w:tc>
        <w:tc>
          <w:tcPr>
            <w:tcW w:w="1232" w:type="dxa"/>
            <w:tcBorders>
              <w:top w:val="nil"/>
              <w:left w:val="nil"/>
              <w:bottom w:val="nil"/>
              <w:right w:val="nil"/>
            </w:tcBorders>
            <w:shd w:val="clear" w:color="000000" w:fill="FFFFFF"/>
            <w:noWrap/>
            <w:vAlign w:val="center"/>
            <w:hideMark/>
          </w:tcPr>
          <w:p w14:paraId="6AA16235" w14:textId="77777777" w:rsidR="00F4205D" w:rsidRDefault="00F4205D" w:rsidP="00AE0023">
            <w:pPr>
              <w:pStyle w:val="TableTextCentered2"/>
              <w:spacing w:before="10" w:after="10"/>
            </w:pPr>
            <w:r>
              <w:t>0.6</w:t>
            </w:r>
          </w:p>
        </w:tc>
        <w:tc>
          <w:tcPr>
            <w:tcW w:w="1231" w:type="dxa"/>
            <w:tcBorders>
              <w:top w:val="nil"/>
              <w:left w:val="nil"/>
              <w:bottom w:val="nil"/>
              <w:right w:val="single" w:sz="4" w:space="0" w:color="auto"/>
            </w:tcBorders>
            <w:shd w:val="clear" w:color="000000" w:fill="FFFFFF"/>
            <w:noWrap/>
            <w:vAlign w:val="center"/>
            <w:hideMark/>
          </w:tcPr>
          <w:p w14:paraId="4C418610" w14:textId="77777777" w:rsidR="00F4205D" w:rsidRDefault="00F4205D" w:rsidP="00AE0023">
            <w:pPr>
              <w:pStyle w:val="TableTextCentered2"/>
              <w:spacing w:before="10" w:after="10"/>
            </w:pPr>
            <w:r>
              <w:t>0.7</w:t>
            </w:r>
          </w:p>
        </w:tc>
        <w:tc>
          <w:tcPr>
            <w:tcW w:w="1232" w:type="dxa"/>
            <w:tcBorders>
              <w:top w:val="nil"/>
              <w:left w:val="nil"/>
              <w:bottom w:val="nil"/>
              <w:right w:val="nil"/>
            </w:tcBorders>
            <w:shd w:val="clear" w:color="000000" w:fill="FFFFFF"/>
            <w:noWrap/>
            <w:vAlign w:val="center"/>
            <w:hideMark/>
          </w:tcPr>
          <w:p w14:paraId="08C0E27E" w14:textId="77777777" w:rsidR="00F4205D" w:rsidRDefault="00F4205D" w:rsidP="00AE0023">
            <w:pPr>
              <w:pStyle w:val="TableTextCentered2"/>
              <w:spacing w:before="10" w:after="10"/>
            </w:pPr>
            <w:r>
              <w:t>0.8</w:t>
            </w:r>
          </w:p>
        </w:tc>
        <w:tc>
          <w:tcPr>
            <w:tcW w:w="1232" w:type="dxa"/>
            <w:tcBorders>
              <w:top w:val="nil"/>
              <w:left w:val="nil"/>
              <w:bottom w:val="nil"/>
              <w:right w:val="nil"/>
            </w:tcBorders>
            <w:shd w:val="clear" w:color="000000" w:fill="FFFFFF"/>
            <w:noWrap/>
            <w:vAlign w:val="center"/>
            <w:hideMark/>
          </w:tcPr>
          <w:p w14:paraId="6ABDA49B" w14:textId="77777777" w:rsidR="00F4205D" w:rsidRDefault="00F4205D" w:rsidP="00AE0023">
            <w:pPr>
              <w:pStyle w:val="TableTextCentered2"/>
              <w:spacing w:before="10" w:after="10"/>
            </w:pPr>
            <w:r>
              <w:t>0.6</w:t>
            </w:r>
          </w:p>
        </w:tc>
        <w:tc>
          <w:tcPr>
            <w:tcW w:w="1260" w:type="dxa"/>
            <w:tcBorders>
              <w:top w:val="nil"/>
              <w:left w:val="nil"/>
              <w:bottom w:val="nil"/>
              <w:right w:val="single" w:sz="4" w:space="0" w:color="auto"/>
            </w:tcBorders>
            <w:shd w:val="clear" w:color="000000" w:fill="FFFFFF"/>
            <w:noWrap/>
            <w:vAlign w:val="center"/>
            <w:hideMark/>
          </w:tcPr>
          <w:p w14:paraId="0860CE4A" w14:textId="77777777" w:rsidR="00F4205D" w:rsidRDefault="00F4205D" w:rsidP="00AE0023">
            <w:pPr>
              <w:pStyle w:val="TableTextCentered2"/>
              <w:spacing w:before="10" w:after="10"/>
            </w:pPr>
            <w:r>
              <w:t>0.7</w:t>
            </w:r>
          </w:p>
        </w:tc>
        <w:tc>
          <w:tcPr>
            <w:tcW w:w="1204" w:type="dxa"/>
            <w:tcBorders>
              <w:top w:val="nil"/>
              <w:left w:val="nil"/>
              <w:bottom w:val="nil"/>
              <w:right w:val="nil"/>
            </w:tcBorders>
            <w:shd w:val="clear" w:color="000000" w:fill="FFFFFF"/>
            <w:noWrap/>
            <w:vAlign w:val="center"/>
            <w:hideMark/>
          </w:tcPr>
          <w:p w14:paraId="04D6A9A7" w14:textId="77777777" w:rsidR="00F4205D" w:rsidRDefault="00F4205D" w:rsidP="00AE0023">
            <w:pPr>
              <w:pStyle w:val="TableTextCentered2"/>
              <w:spacing w:before="10" w:after="10"/>
            </w:pPr>
            <w:r>
              <w:t>0.7</w:t>
            </w:r>
          </w:p>
        </w:tc>
        <w:tc>
          <w:tcPr>
            <w:tcW w:w="1231" w:type="dxa"/>
            <w:tcBorders>
              <w:top w:val="nil"/>
              <w:left w:val="nil"/>
              <w:bottom w:val="nil"/>
              <w:right w:val="nil"/>
            </w:tcBorders>
            <w:shd w:val="clear" w:color="000000" w:fill="FFFFFF"/>
            <w:noWrap/>
            <w:vAlign w:val="center"/>
            <w:hideMark/>
          </w:tcPr>
          <w:p w14:paraId="3A372B0F" w14:textId="77777777" w:rsidR="00F4205D" w:rsidRDefault="00F4205D"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717BAB8C" w14:textId="77777777" w:rsidR="00F4205D" w:rsidRDefault="00F4205D" w:rsidP="00AE0023">
            <w:pPr>
              <w:pStyle w:val="TableTextCentered2"/>
              <w:spacing w:before="10" w:after="10"/>
            </w:pPr>
            <w:r>
              <w:t>0.7</w:t>
            </w:r>
          </w:p>
        </w:tc>
      </w:tr>
      <w:tr w:rsidR="00F4205D" w:rsidRPr="00DD28A5" w14:paraId="48E069F4" w14:textId="77777777" w:rsidTr="000733CF">
        <w:trPr>
          <w:trHeight w:val="132"/>
          <w:jc w:val="center"/>
        </w:trPr>
        <w:tc>
          <w:tcPr>
            <w:tcW w:w="2260" w:type="dxa"/>
            <w:tcBorders>
              <w:top w:val="nil"/>
              <w:left w:val="nil"/>
              <w:bottom w:val="nil"/>
              <w:right w:val="nil"/>
            </w:tcBorders>
            <w:shd w:val="clear" w:color="000000" w:fill="FFFFFF"/>
            <w:noWrap/>
            <w:vAlign w:val="bottom"/>
            <w:hideMark/>
          </w:tcPr>
          <w:p w14:paraId="7D7A8F8F" w14:textId="77777777" w:rsidR="00F4205D" w:rsidRDefault="00F4205D" w:rsidP="00F875D2">
            <w:pPr>
              <w:pStyle w:val="TableTextLeft2"/>
              <w:spacing w:line="240" w:lineRule="auto"/>
            </w:pPr>
            <w:r>
              <w:t> </w:t>
            </w:r>
          </w:p>
        </w:tc>
        <w:tc>
          <w:tcPr>
            <w:tcW w:w="1227" w:type="dxa"/>
            <w:tcBorders>
              <w:top w:val="nil"/>
              <w:left w:val="nil"/>
              <w:bottom w:val="nil"/>
              <w:right w:val="nil"/>
            </w:tcBorders>
            <w:shd w:val="clear" w:color="000000" w:fill="FFFFFF"/>
            <w:noWrap/>
            <w:vAlign w:val="center"/>
            <w:hideMark/>
          </w:tcPr>
          <w:p w14:paraId="61E26293"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44EC8462" w14:textId="77777777" w:rsidR="00F4205D" w:rsidRDefault="00F4205D"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409F7B6B"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414E8D37"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7D8C4C8C" w14:textId="77777777" w:rsidR="00F4205D" w:rsidRDefault="00F4205D" w:rsidP="00F875D2">
            <w:pPr>
              <w:pStyle w:val="TableTextCentered2"/>
            </w:pPr>
            <w:r>
              <w:t> </w:t>
            </w:r>
          </w:p>
        </w:tc>
        <w:tc>
          <w:tcPr>
            <w:tcW w:w="1260" w:type="dxa"/>
            <w:tcBorders>
              <w:top w:val="nil"/>
              <w:left w:val="nil"/>
              <w:bottom w:val="nil"/>
              <w:right w:val="single" w:sz="4" w:space="0" w:color="auto"/>
            </w:tcBorders>
            <w:shd w:val="clear" w:color="000000" w:fill="FFFFFF"/>
            <w:noWrap/>
            <w:vAlign w:val="center"/>
            <w:hideMark/>
          </w:tcPr>
          <w:p w14:paraId="0A618156" w14:textId="77777777" w:rsidR="00F4205D" w:rsidRDefault="00F4205D" w:rsidP="00F875D2">
            <w:pPr>
              <w:pStyle w:val="TableTextCentered2"/>
            </w:pPr>
            <w:r>
              <w:t> </w:t>
            </w:r>
          </w:p>
        </w:tc>
        <w:tc>
          <w:tcPr>
            <w:tcW w:w="1204" w:type="dxa"/>
            <w:tcBorders>
              <w:top w:val="nil"/>
              <w:left w:val="nil"/>
              <w:bottom w:val="nil"/>
              <w:right w:val="nil"/>
            </w:tcBorders>
            <w:shd w:val="clear" w:color="000000" w:fill="FFFFFF"/>
            <w:noWrap/>
            <w:vAlign w:val="center"/>
            <w:hideMark/>
          </w:tcPr>
          <w:p w14:paraId="59AB7810" w14:textId="77777777" w:rsidR="00F4205D" w:rsidRDefault="00F4205D" w:rsidP="00F875D2">
            <w:pPr>
              <w:pStyle w:val="TableTextCentered2"/>
            </w:pPr>
            <w:r>
              <w:t> </w:t>
            </w:r>
          </w:p>
        </w:tc>
        <w:tc>
          <w:tcPr>
            <w:tcW w:w="1231" w:type="dxa"/>
            <w:tcBorders>
              <w:top w:val="nil"/>
              <w:left w:val="nil"/>
              <w:bottom w:val="nil"/>
              <w:right w:val="nil"/>
            </w:tcBorders>
            <w:shd w:val="clear" w:color="000000" w:fill="FFFFFF"/>
            <w:noWrap/>
            <w:vAlign w:val="center"/>
            <w:hideMark/>
          </w:tcPr>
          <w:p w14:paraId="2229E404"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3C1D3E00" w14:textId="77777777" w:rsidR="00F4205D" w:rsidRDefault="00F4205D" w:rsidP="00F875D2">
            <w:pPr>
              <w:pStyle w:val="TableTextCentered2"/>
            </w:pPr>
            <w:r>
              <w:t> </w:t>
            </w:r>
          </w:p>
        </w:tc>
      </w:tr>
      <w:tr w:rsidR="00F4205D" w:rsidRPr="00DD28A5" w14:paraId="3B368F76" w14:textId="77777777" w:rsidTr="000733CF">
        <w:trPr>
          <w:trHeight w:val="191"/>
          <w:jc w:val="center"/>
        </w:trPr>
        <w:tc>
          <w:tcPr>
            <w:tcW w:w="2260" w:type="dxa"/>
            <w:tcBorders>
              <w:top w:val="nil"/>
              <w:left w:val="nil"/>
              <w:bottom w:val="nil"/>
              <w:right w:val="nil"/>
            </w:tcBorders>
            <w:shd w:val="clear" w:color="000000" w:fill="FFFFFF"/>
            <w:noWrap/>
            <w:vAlign w:val="bottom"/>
            <w:hideMark/>
          </w:tcPr>
          <w:p w14:paraId="644D9B51" w14:textId="77777777" w:rsidR="00F4205D" w:rsidRDefault="00F4205D" w:rsidP="00AE0023">
            <w:pPr>
              <w:pStyle w:val="TableTextLeft2"/>
              <w:spacing w:before="10" w:after="10" w:line="240" w:lineRule="auto"/>
            </w:pPr>
            <w:r>
              <w:t>Consumption</w:t>
            </w:r>
          </w:p>
        </w:tc>
        <w:tc>
          <w:tcPr>
            <w:tcW w:w="1227" w:type="dxa"/>
            <w:tcBorders>
              <w:top w:val="nil"/>
              <w:left w:val="nil"/>
              <w:bottom w:val="nil"/>
              <w:right w:val="nil"/>
            </w:tcBorders>
            <w:shd w:val="clear" w:color="000000" w:fill="FFFFFF"/>
            <w:noWrap/>
            <w:vAlign w:val="center"/>
            <w:hideMark/>
          </w:tcPr>
          <w:p w14:paraId="104C5EED" w14:textId="77777777" w:rsidR="00F4205D" w:rsidRDefault="00F4205D"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5CE25E2C" w14:textId="77777777" w:rsidR="00F4205D" w:rsidRDefault="00F4205D" w:rsidP="00AE0023">
            <w:pPr>
              <w:pStyle w:val="TableTextCentered2"/>
              <w:spacing w:before="10" w:after="10"/>
            </w:pPr>
            <w:r>
              <w:t>0.3</w:t>
            </w:r>
          </w:p>
        </w:tc>
        <w:tc>
          <w:tcPr>
            <w:tcW w:w="1231" w:type="dxa"/>
            <w:tcBorders>
              <w:top w:val="nil"/>
              <w:left w:val="nil"/>
              <w:bottom w:val="nil"/>
              <w:right w:val="single" w:sz="4" w:space="0" w:color="auto"/>
            </w:tcBorders>
            <w:shd w:val="clear" w:color="000000" w:fill="FFFFFF"/>
            <w:noWrap/>
            <w:vAlign w:val="center"/>
            <w:hideMark/>
          </w:tcPr>
          <w:p w14:paraId="7343A109"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0485DB6C" w14:textId="77777777" w:rsidR="00F4205D" w:rsidRDefault="00F4205D"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1E3F692C" w14:textId="77777777" w:rsidR="00F4205D" w:rsidRDefault="00F4205D" w:rsidP="00AE0023">
            <w:pPr>
              <w:pStyle w:val="TableTextCentered2"/>
              <w:spacing w:before="10" w:after="10"/>
            </w:pPr>
            <w:r>
              <w:t>0.3</w:t>
            </w:r>
          </w:p>
        </w:tc>
        <w:tc>
          <w:tcPr>
            <w:tcW w:w="1260" w:type="dxa"/>
            <w:tcBorders>
              <w:top w:val="nil"/>
              <w:left w:val="nil"/>
              <w:bottom w:val="nil"/>
              <w:right w:val="single" w:sz="4" w:space="0" w:color="auto"/>
            </w:tcBorders>
            <w:shd w:val="clear" w:color="000000" w:fill="FFFFFF"/>
            <w:noWrap/>
            <w:vAlign w:val="center"/>
            <w:hideMark/>
          </w:tcPr>
          <w:p w14:paraId="01B27389" w14:textId="77777777" w:rsidR="00F4205D" w:rsidRDefault="00F4205D" w:rsidP="00AE0023">
            <w:pPr>
              <w:pStyle w:val="TableTextCentered2"/>
              <w:spacing w:before="10" w:after="10"/>
            </w:pPr>
            <w:r>
              <w:t>1.0</w:t>
            </w:r>
          </w:p>
        </w:tc>
        <w:tc>
          <w:tcPr>
            <w:tcW w:w="1204" w:type="dxa"/>
            <w:tcBorders>
              <w:top w:val="nil"/>
              <w:left w:val="nil"/>
              <w:bottom w:val="nil"/>
              <w:right w:val="nil"/>
            </w:tcBorders>
            <w:shd w:val="clear" w:color="000000" w:fill="FFFFFF"/>
            <w:noWrap/>
            <w:vAlign w:val="center"/>
            <w:hideMark/>
          </w:tcPr>
          <w:p w14:paraId="36070B3D" w14:textId="77777777" w:rsidR="00F4205D" w:rsidRDefault="00F4205D" w:rsidP="00AE0023">
            <w:pPr>
              <w:pStyle w:val="TableTextCentered2"/>
              <w:spacing w:before="10" w:after="10"/>
            </w:pPr>
            <w:r>
              <w:t>0.6</w:t>
            </w:r>
          </w:p>
        </w:tc>
        <w:tc>
          <w:tcPr>
            <w:tcW w:w="1231" w:type="dxa"/>
            <w:tcBorders>
              <w:top w:val="nil"/>
              <w:left w:val="nil"/>
              <w:bottom w:val="nil"/>
              <w:right w:val="nil"/>
            </w:tcBorders>
            <w:shd w:val="clear" w:color="000000" w:fill="FFFFFF"/>
            <w:noWrap/>
            <w:vAlign w:val="center"/>
            <w:hideMark/>
          </w:tcPr>
          <w:p w14:paraId="4746ED0B" w14:textId="77777777" w:rsidR="00F4205D" w:rsidRDefault="00F4205D" w:rsidP="00AE0023">
            <w:pPr>
              <w:pStyle w:val="TableTextCentered2"/>
              <w:spacing w:before="10" w:after="10"/>
            </w:pPr>
            <w:r>
              <w:t>0.3</w:t>
            </w:r>
          </w:p>
        </w:tc>
        <w:tc>
          <w:tcPr>
            <w:tcW w:w="1232" w:type="dxa"/>
            <w:tcBorders>
              <w:top w:val="nil"/>
              <w:left w:val="nil"/>
              <w:bottom w:val="nil"/>
              <w:right w:val="nil"/>
            </w:tcBorders>
            <w:shd w:val="clear" w:color="000000" w:fill="FFFFFF"/>
            <w:noWrap/>
            <w:vAlign w:val="center"/>
            <w:hideMark/>
          </w:tcPr>
          <w:p w14:paraId="07008D3A" w14:textId="77777777" w:rsidR="00F4205D" w:rsidRDefault="00F4205D" w:rsidP="00AE0023">
            <w:pPr>
              <w:pStyle w:val="TableTextCentered2"/>
              <w:spacing w:before="10" w:after="10"/>
            </w:pPr>
            <w:r>
              <w:t>0.9</w:t>
            </w:r>
          </w:p>
        </w:tc>
      </w:tr>
      <w:tr w:rsidR="00F4205D" w:rsidRPr="00DD28A5" w14:paraId="52D984F0" w14:textId="77777777" w:rsidTr="000733CF">
        <w:trPr>
          <w:trHeight w:val="110"/>
          <w:jc w:val="center"/>
        </w:trPr>
        <w:tc>
          <w:tcPr>
            <w:tcW w:w="2260" w:type="dxa"/>
            <w:tcBorders>
              <w:top w:val="nil"/>
              <w:left w:val="nil"/>
              <w:bottom w:val="nil"/>
              <w:right w:val="nil"/>
            </w:tcBorders>
            <w:shd w:val="clear" w:color="000000" w:fill="FFFFFF"/>
            <w:noWrap/>
            <w:vAlign w:val="bottom"/>
            <w:hideMark/>
          </w:tcPr>
          <w:p w14:paraId="372A6DD8" w14:textId="77777777" w:rsidR="00F4205D" w:rsidRDefault="00F4205D" w:rsidP="00AE0023">
            <w:pPr>
              <w:pStyle w:val="TableTextLeft2"/>
              <w:spacing w:before="10" w:after="10" w:line="240" w:lineRule="auto"/>
            </w:pPr>
            <w:r>
              <w:t>Govt. spending</w:t>
            </w:r>
          </w:p>
        </w:tc>
        <w:tc>
          <w:tcPr>
            <w:tcW w:w="1227" w:type="dxa"/>
            <w:tcBorders>
              <w:top w:val="nil"/>
              <w:left w:val="nil"/>
              <w:bottom w:val="nil"/>
              <w:right w:val="nil"/>
            </w:tcBorders>
            <w:shd w:val="clear" w:color="000000" w:fill="FFFFFF"/>
            <w:noWrap/>
            <w:vAlign w:val="center"/>
            <w:hideMark/>
          </w:tcPr>
          <w:p w14:paraId="71C4D859" w14:textId="77777777" w:rsidR="00F4205D" w:rsidRDefault="00F4205D"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27ACC937" w14:textId="77777777" w:rsidR="00F4205D" w:rsidRDefault="00F4205D" w:rsidP="00AE0023">
            <w:pPr>
              <w:pStyle w:val="TableTextCentered2"/>
              <w:spacing w:before="10" w:after="10"/>
            </w:pPr>
            <w:r>
              <w:t>0.0</w:t>
            </w:r>
          </w:p>
        </w:tc>
        <w:tc>
          <w:tcPr>
            <w:tcW w:w="1231" w:type="dxa"/>
            <w:tcBorders>
              <w:top w:val="nil"/>
              <w:left w:val="nil"/>
              <w:bottom w:val="nil"/>
              <w:right w:val="single" w:sz="4" w:space="0" w:color="auto"/>
            </w:tcBorders>
            <w:shd w:val="clear" w:color="000000" w:fill="FFFFFF"/>
            <w:noWrap/>
            <w:vAlign w:val="center"/>
            <w:hideMark/>
          </w:tcPr>
          <w:p w14:paraId="2AB018A0" w14:textId="77777777" w:rsidR="00F4205D" w:rsidRDefault="00F4205D" w:rsidP="00AE0023">
            <w:pPr>
              <w:pStyle w:val="TableTextCentered2"/>
              <w:spacing w:before="10" w:after="10"/>
            </w:pPr>
            <w:r>
              <w:t>-2.0</w:t>
            </w:r>
          </w:p>
        </w:tc>
        <w:tc>
          <w:tcPr>
            <w:tcW w:w="1232" w:type="dxa"/>
            <w:tcBorders>
              <w:top w:val="nil"/>
              <w:left w:val="nil"/>
              <w:bottom w:val="nil"/>
              <w:right w:val="nil"/>
            </w:tcBorders>
            <w:shd w:val="clear" w:color="000000" w:fill="FFFFFF"/>
            <w:noWrap/>
            <w:vAlign w:val="center"/>
            <w:hideMark/>
          </w:tcPr>
          <w:p w14:paraId="40AD7D34" w14:textId="77777777" w:rsidR="00F4205D" w:rsidRDefault="00F4205D"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5AA90DE1" w14:textId="77777777" w:rsidR="00F4205D" w:rsidRDefault="00F4205D" w:rsidP="00AE0023">
            <w:pPr>
              <w:pStyle w:val="TableTextCentered2"/>
              <w:spacing w:before="10" w:after="10"/>
            </w:pPr>
            <w:r>
              <w:t>0.0</w:t>
            </w:r>
          </w:p>
        </w:tc>
        <w:tc>
          <w:tcPr>
            <w:tcW w:w="1260" w:type="dxa"/>
            <w:tcBorders>
              <w:top w:val="nil"/>
              <w:left w:val="nil"/>
              <w:bottom w:val="nil"/>
              <w:right w:val="single" w:sz="4" w:space="0" w:color="auto"/>
            </w:tcBorders>
            <w:shd w:val="clear" w:color="000000" w:fill="FFFFFF"/>
            <w:noWrap/>
            <w:vAlign w:val="center"/>
            <w:hideMark/>
          </w:tcPr>
          <w:p w14:paraId="22865059" w14:textId="77777777" w:rsidR="00F4205D" w:rsidRDefault="00F4205D" w:rsidP="00AE0023">
            <w:pPr>
              <w:pStyle w:val="TableTextCentered2"/>
              <w:spacing w:before="10" w:after="10"/>
            </w:pPr>
            <w:r>
              <w:t>-1.7</w:t>
            </w:r>
          </w:p>
        </w:tc>
        <w:tc>
          <w:tcPr>
            <w:tcW w:w="1204" w:type="dxa"/>
            <w:tcBorders>
              <w:top w:val="nil"/>
              <w:left w:val="nil"/>
              <w:bottom w:val="nil"/>
              <w:right w:val="nil"/>
            </w:tcBorders>
            <w:shd w:val="clear" w:color="000000" w:fill="FFFFFF"/>
            <w:noWrap/>
            <w:vAlign w:val="center"/>
            <w:hideMark/>
          </w:tcPr>
          <w:p w14:paraId="15C5377B" w14:textId="77777777" w:rsidR="00F4205D" w:rsidRDefault="00F4205D" w:rsidP="00AE0023">
            <w:pPr>
              <w:pStyle w:val="TableTextCentered2"/>
              <w:spacing w:before="10" w:after="10"/>
            </w:pPr>
            <w:r>
              <w:t>0.0</w:t>
            </w:r>
          </w:p>
        </w:tc>
        <w:tc>
          <w:tcPr>
            <w:tcW w:w="1231" w:type="dxa"/>
            <w:tcBorders>
              <w:top w:val="nil"/>
              <w:left w:val="nil"/>
              <w:bottom w:val="nil"/>
              <w:right w:val="nil"/>
            </w:tcBorders>
            <w:shd w:val="clear" w:color="000000" w:fill="FFFFFF"/>
            <w:noWrap/>
            <w:vAlign w:val="center"/>
            <w:hideMark/>
          </w:tcPr>
          <w:p w14:paraId="49EE38A8" w14:textId="77777777" w:rsidR="00F4205D" w:rsidRDefault="00F4205D"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5300701A" w14:textId="77777777" w:rsidR="00F4205D" w:rsidRDefault="00F4205D" w:rsidP="00AE0023">
            <w:pPr>
              <w:pStyle w:val="TableTextCentered2"/>
              <w:spacing w:before="10" w:after="10"/>
            </w:pPr>
            <w:r>
              <w:t>-1.5</w:t>
            </w:r>
          </w:p>
        </w:tc>
      </w:tr>
      <w:tr w:rsidR="00F4205D" w:rsidRPr="00DD28A5" w14:paraId="5218D097" w14:textId="77777777" w:rsidTr="000733CF">
        <w:trPr>
          <w:trHeight w:val="183"/>
          <w:jc w:val="center"/>
        </w:trPr>
        <w:tc>
          <w:tcPr>
            <w:tcW w:w="2260" w:type="dxa"/>
            <w:tcBorders>
              <w:top w:val="nil"/>
              <w:left w:val="nil"/>
              <w:bottom w:val="nil"/>
              <w:right w:val="nil"/>
            </w:tcBorders>
            <w:shd w:val="clear" w:color="000000" w:fill="FFFFFF"/>
            <w:noWrap/>
            <w:vAlign w:val="bottom"/>
            <w:hideMark/>
          </w:tcPr>
          <w:p w14:paraId="7DCDCFD0" w14:textId="77777777" w:rsidR="00F4205D" w:rsidRDefault="00F4205D" w:rsidP="00AE0023">
            <w:pPr>
              <w:pStyle w:val="TableTextLeft2"/>
              <w:spacing w:before="10" w:after="10" w:line="240" w:lineRule="auto"/>
            </w:pPr>
            <w:r>
              <w:t>Investment</w:t>
            </w:r>
          </w:p>
        </w:tc>
        <w:tc>
          <w:tcPr>
            <w:tcW w:w="1227" w:type="dxa"/>
            <w:tcBorders>
              <w:top w:val="nil"/>
              <w:left w:val="nil"/>
              <w:bottom w:val="nil"/>
              <w:right w:val="nil"/>
            </w:tcBorders>
            <w:shd w:val="clear" w:color="000000" w:fill="FFFFFF"/>
            <w:noWrap/>
            <w:vAlign w:val="center"/>
            <w:hideMark/>
          </w:tcPr>
          <w:p w14:paraId="5BAA5C97" w14:textId="77777777" w:rsidR="00F4205D" w:rsidRDefault="00F4205D" w:rsidP="00AE0023">
            <w:pPr>
              <w:pStyle w:val="TableTextCentered2"/>
              <w:spacing w:before="10" w:after="10"/>
            </w:pPr>
            <w:r>
              <w:t>3.0</w:t>
            </w:r>
          </w:p>
        </w:tc>
        <w:tc>
          <w:tcPr>
            <w:tcW w:w="1232" w:type="dxa"/>
            <w:tcBorders>
              <w:top w:val="nil"/>
              <w:left w:val="nil"/>
              <w:bottom w:val="nil"/>
              <w:right w:val="nil"/>
            </w:tcBorders>
            <w:shd w:val="clear" w:color="000000" w:fill="FFFFFF"/>
            <w:noWrap/>
            <w:vAlign w:val="center"/>
            <w:hideMark/>
          </w:tcPr>
          <w:p w14:paraId="31AEFAA0" w14:textId="77777777" w:rsidR="00F4205D" w:rsidRDefault="00F4205D" w:rsidP="00AE0023">
            <w:pPr>
              <w:pStyle w:val="TableTextCentered2"/>
              <w:spacing w:before="10" w:after="10"/>
            </w:pPr>
            <w:r>
              <w:t>2.7</w:t>
            </w:r>
          </w:p>
        </w:tc>
        <w:tc>
          <w:tcPr>
            <w:tcW w:w="1231" w:type="dxa"/>
            <w:tcBorders>
              <w:top w:val="nil"/>
              <w:left w:val="nil"/>
              <w:bottom w:val="nil"/>
              <w:right w:val="single" w:sz="4" w:space="0" w:color="auto"/>
            </w:tcBorders>
            <w:shd w:val="clear" w:color="000000" w:fill="FFFFFF"/>
            <w:noWrap/>
            <w:vAlign w:val="center"/>
            <w:hideMark/>
          </w:tcPr>
          <w:p w14:paraId="20D1A9F0" w14:textId="77777777" w:rsidR="00F4205D" w:rsidRDefault="00F4205D" w:rsidP="00AE0023">
            <w:pPr>
              <w:pStyle w:val="TableTextCentered2"/>
              <w:spacing w:before="10" w:after="10"/>
            </w:pPr>
            <w:r>
              <w:t>3.1</w:t>
            </w:r>
          </w:p>
        </w:tc>
        <w:tc>
          <w:tcPr>
            <w:tcW w:w="1232" w:type="dxa"/>
            <w:tcBorders>
              <w:top w:val="nil"/>
              <w:left w:val="nil"/>
              <w:bottom w:val="nil"/>
              <w:right w:val="nil"/>
            </w:tcBorders>
            <w:shd w:val="clear" w:color="000000" w:fill="FFFFFF"/>
            <w:noWrap/>
            <w:vAlign w:val="center"/>
            <w:hideMark/>
          </w:tcPr>
          <w:p w14:paraId="26711F8D" w14:textId="77777777" w:rsidR="00F4205D" w:rsidRDefault="00F4205D" w:rsidP="00AE0023">
            <w:pPr>
              <w:pStyle w:val="TableTextCentered2"/>
              <w:spacing w:before="10" w:after="10"/>
            </w:pPr>
            <w:r>
              <w:t>2.8</w:t>
            </w:r>
          </w:p>
        </w:tc>
        <w:tc>
          <w:tcPr>
            <w:tcW w:w="1232" w:type="dxa"/>
            <w:tcBorders>
              <w:top w:val="nil"/>
              <w:left w:val="nil"/>
              <w:bottom w:val="nil"/>
              <w:right w:val="nil"/>
            </w:tcBorders>
            <w:shd w:val="clear" w:color="000000" w:fill="FFFFFF"/>
            <w:noWrap/>
            <w:vAlign w:val="center"/>
            <w:hideMark/>
          </w:tcPr>
          <w:p w14:paraId="5CD42303" w14:textId="77777777" w:rsidR="00F4205D" w:rsidRDefault="00F4205D" w:rsidP="00AE0023">
            <w:pPr>
              <w:pStyle w:val="TableTextCentered2"/>
              <w:spacing w:before="10" w:after="10"/>
            </w:pPr>
            <w:r>
              <w:t>2.6</w:t>
            </w:r>
          </w:p>
        </w:tc>
        <w:tc>
          <w:tcPr>
            <w:tcW w:w="1260" w:type="dxa"/>
            <w:tcBorders>
              <w:top w:val="nil"/>
              <w:left w:val="nil"/>
              <w:bottom w:val="nil"/>
              <w:right w:val="single" w:sz="4" w:space="0" w:color="auto"/>
            </w:tcBorders>
            <w:shd w:val="clear" w:color="000000" w:fill="FFFFFF"/>
            <w:noWrap/>
            <w:vAlign w:val="center"/>
            <w:hideMark/>
          </w:tcPr>
          <w:p w14:paraId="51500C2C" w14:textId="77777777" w:rsidR="00F4205D" w:rsidRDefault="00F4205D" w:rsidP="00AE0023">
            <w:pPr>
              <w:pStyle w:val="TableTextCentered2"/>
              <w:spacing w:before="10" w:after="10"/>
            </w:pPr>
            <w:r>
              <w:t>2.9</w:t>
            </w:r>
          </w:p>
        </w:tc>
        <w:tc>
          <w:tcPr>
            <w:tcW w:w="1204" w:type="dxa"/>
            <w:tcBorders>
              <w:top w:val="nil"/>
              <w:left w:val="nil"/>
              <w:bottom w:val="nil"/>
              <w:right w:val="nil"/>
            </w:tcBorders>
            <w:shd w:val="clear" w:color="000000" w:fill="FFFFFF"/>
            <w:noWrap/>
            <w:vAlign w:val="center"/>
            <w:hideMark/>
          </w:tcPr>
          <w:p w14:paraId="06EFC4E9" w14:textId="77777777" w:rsidR="00F4205D" w:rsidRDefault="00F4205D" w:rsidP="00AE0023">
            <w:pPr>
              <w:pStyle w:val="TableTextCentered2"/>
              <w:spacing w:before="10" w:after="10"/>
            </w:pPr>
            <w:r>
              <w:t>2.7</w:t>
            </w:r>
          </w:p>
        </w:tc>
        <w:tc>
          <w:tcPr>
            <w:tcW w:w="1231" w:type="dxa"/>
            <w:tcBorders>
              <w:top w:val="nil"/>
              <w:left w:val="nil"/>
              <w:bottom w:val="nil"/>
              <w:right w:val="nil"/>
            </w:tcBorders>
            <w:shd w:val="clear" w:color="000000" w:fill="FFFFFF"/>
            <w:noWrap/>
            <w:vAlign w:val="center"/>
            <w:hideMark/>
          </w:tcPr>
          <w:p w14:paraId="3761D8B7" w14:textId="77777777" w:rsidR="00F4205D" w:rsidRDefault="00F4205D" w:rsidP="00AE0023">
            <w:pPr>
              <w:pStyle w:val="TableTextCentered2"/>
              <w:spacing w:before="10" w:after="10"/>
            </w:pPr>
            <w:r>
              <w:t>2.4</w:t>
            </w:r>
          </w:p>
        </w:tc>
        <w:tc>
          <w:tcPr>
            <w:tcW w:w="1232" w:type="dxa"/>
            <w:tcBorders>
              <w:top w:val="nil"/>
              <w:left w:val="nil"/>
              <w:bottom w:val="nil"/>
              <w:right w:val="nil"/>
            </w:tcBorders>
            <w:shd w:val="clear" w:color="000000" w:fill="FFFFFF"/>
            <w:noWrap/>
            <w:vAlign w:val="center"/>
            <w:hideMark/>
          </w:tcPr>
          <w:p w14:paraId="3FC3B58E" w14:textId="77777777" w:rsidR="00F4205D" w:rsidRDefault="00F4205D" w:rsidP="00AE0023">
            <w:pPr>
              <w:pStyle w:val="TableTextCentered2"/>
              <w:spacing w:before="10" w:after="10"/>
            </w:pPr>
            <w:r>
              <w:t>2.8</w:t>
            </w:r>
          </w:p>
        </w:tc>
      </w:tr>
      <w:tr w:rsidR="00F4205D" w:rsidRPr="00DD28A5" w14:paraId="2F87BA99" w14:textId="77777777" w:rsidTr="000733CF">
        <w:trPr>
          <w:trHeight w:val="102"/>
          <w:jc w:val="center"/>
        </w:trPr>
        <w:tc>
          <w:tcPr>
            <w:tcW w:w="2260" w:type="dxa"/>
            <w:tcBorders>
              <w:top w:val="nil"/>
              <w:left w:val="nil"/>
              <w:bottom w:val="nil"/>
              <w:right w:val="nil"/>
            </w:tcBorders>
            <w:shd w:val="clear" w:color="000000" w:fill="FFFFFF"/>
            <w:noWrap/>
            <w:vAlign w:val="bottom"/>
            <w:hideMark/>
          </w:tcPr>
          <w:p w14:paraId="1D07200D" w14:textId="77777777" w:rsidR="00F4205D" w:rsidRDefault="00F4205D" w:rsidP="00AE0023">
            <w:pPr>
              <w:pStyle w:val="TableTextLeft2"/>
              <w:spacing w:before="10" w:after="10" w:line="240" w:lineRule="auto"/>
            </w:pPr>
            <w:r>
              <w:t>Exports</w:t>
            </w:r>
          </w:p>
        </w:tc>
        <w:tc>
          <w:tcPr>
            <w:tcW w:w="1227" w:type="dxa"/>
            <w:tcBorders>
              <w:top w:val="nil"/>
              <w:left w:val="nil"/>
              <w:bottom w:val="nil"/>
              <w:right w:val="nil"/>
            </w:tcBorders>
            <w:shd w:val="clear" w:color="000000" w:fill="FFFFFF"/>
            <w:noWrap/>
            <w:vAlign w:val="center"/>
            <w:hideMark/>
          </w:tcPr>
          <w:p w14:paraId="35655B7B" w14:textId="77777777" w:rsidR="00F4205D" w:rsidRDefault="00F4205D" w:rsidP="00AE0023">
            <w:pPr>
              <w:pStyle w:val="TableTextCentered2"/>
              <w:spacing w:before="10" w:after="10"/>
            </w:pPr>
            <w:r>
              <w:t>2.4</w:t>
            </w:r>
          </w:p>
        </w:tc>
        <w:tc>
          <w:tcPr>
            <w:tcW w:w="1232" w:type="dxa"/>
            <w:tcBorders>
              <w:top w:val="nil"/>
              <w:left w:val="nil"/>
              <w:bottom w:val="nil"/>
              <w:right w:val="nil"/>
            </w:tcBorders>
            <w:shd w:val="clear" w:color="000000" w:fill="FFFFFF"/>
            <w:noWrap/>
            <w:vAlign w:val="center"/>
            <w:hideMark/>
          </w:tcPr>
          <w:p w14:paraId="0C733F79" w14:textId="77777777" w:rsidR="00F4205D" w:rsidRDefault="00F4205D" w:rsidP="00AE0023">
            <w:pPr>
              <w:pStyle w:val="TableTextCentered2"/>
              <w:spacing w:before="10" w:after="10"/>
            </w:pPr>
            <w:r>
              <w:t>2.1</w:t>
            </w:r>
          </w:p>
        </w:tc>
        <w:tc>
          <w:tcPr>
            <w:tcW w:w="1231" w:type="dxa"/>
            <w:tcBorders>
              <w:top w:val="nil"/>
              <w:left w:val="nil"/>
              <w:bottom w:val="nil"/>
              <w:right w:val="single" w:sz="4" w:space="0" w:color="auto"/>
            </w:tcBorders>
            <w:shd w:val="clear" w:color="000000" w:fill="FFFFFF"/>
            <w:noWrap/>
            <w:vAlign w:val="center"/>
            <w:hideMark/>
          </w:tcPr>
          <w:p w14:paraId="3C56CADE" w14:textId="77777777" w:rsidR="00F4205D" w:rsidRDefault="00F4205D" w:rsidP="00AE0023">
            <w:pPr>
              <w:pStyle w:val="TableTextCentered2"/>
              <w:spacing w:before="10" w:after="10"/>
            </w:pPr>
            <w:r>
              <w:t>2.3</w:t>
            </w:r>
          </w:p>
        </w:tc>
        <w:tc>
          <w:tcPr>
            <w:tcW w:w="1232" w:type="dxa"/>
            <w:tcBorders>
              <w:top w:val="nil"/>
              <w:left w:val="nil"/>
              <w:bottom w:val="nil"/>
              <w:right w:val="nil"/>
            </w:tcBorders>
            <w:shd w:val="clear" w:color="000000" w:fill="FFFFFF"/>
            <w:noWrap/>
            <w:vAlign w:val="center"/>
            <w:hideMark/>
          </w:tcPr>
          <w:p w14:paraId="68B16C2E" w14:textId="77777777" w:rsidR="00F4205D" w:rsidRDefault="00F4205D" w:rsidP="00AE0023">
            <w:pPr>
              <w:pStyle w:val="TableTextCentered2"/>
              <w:spacing w:before="10" w:after="10"/>
            </w:pPr>
            <w:r>
              <w:t>2.2</w:t>
            </w:r>
          </w:p>
        </w:tc>
        <w:tc>
          <w:tcPr>
            <w:tcW w:w="1232" w:type="dxa"/>
            <w:tcBorders>
              <w:top w:val="nil"/>
              <w:left w:val="nil"/>
              <w:bottom w:val="nil"/>
              <w:right w:val="nil"/>
            </w:tcBorders>
            <w:shd w:val="clear" w:color="000000" w:fill="FFFFFF"/>
            <w:noWrap/>
            <w:vAlign w:val="center"/>
            <w:hideMark/>
          </w:tcPr>
          <w:p w14:paraId="79901020" w14:textId="77777777" w:rsidR="00F4205D" w:rsidRDefault="00F4205D" w:rsidP="00AE0023">
            <w:pPr>
              <w:pStyle w:val="TableTextCentered2"/>
              <w:spacing w:before="10" w:after="10"/>
            </w:pPr>
            <w:r>
              <w:t>2.0</w:t>
            </w:r>
          </w:p>
        </w:tc>
        <w:tc>
          <w:tcPr>
            <w:tcW w:w="1260" w:type="dxa"/>
            <w:tcBorders>
              <w:top w:val="nil"/>
              <w:left w:val="nil"/>
              <w:bottom w:val="nil"/>
              <w:right w:val="single" w:sz="4" w:space="0" w:color="auto"/>
            </w:tcBorders>
            <w:shd w:val="clear" w:color="000000" w:fill="FFFFFF"/>
            <w:noWrap/>
            <w:vAlign w:val="center"/>
            <w:hideMark/>
          </w:tcPr>
          <w:p w14:paraId="26C79FA7" w14:textId="77777777" w:rsidR="00F4205D" w:rsidRDefault="00F4205D" w:rsidP="00AE0023">
            <w:pPr>
              <w:pStyle w:val="TableTextCentered2"/>
              <w:spacing w:before="10" w:after="10"/>
            </w:pPr>
            <w:r>
              <w:t>2.1</w:t>
            </w:r>
          </w:p>
        </w:tc>
        <w:tc>
          <w:tcPr>
            <w:tcW w:w="1204" w:type="dxa"/>
            <w:tcBorders>
              <w:top w:val="nil"/>
              <w:left w:val="nil"/>
              <w:bottom w:val="nil"/>
              <w:right w:val="nil"/>
            </w:tcBorders>
            <w:shd w:val="clear" w:color="000000" w:fill="FFFFFF"/>
            <w:noWrap/>
            <w:vAlign w:val="center"/>
            <w:hideMark/>
          </w:tcPr>
          <w:p w14:paraId="53447F17" w14:textId="77777777" w:rsidR="00F4205D" w:rsidRDefault="00F4205D" w:rsidP="00AE0023">
            <w:pPr>
              <w:pStyle w:val="TableTextCentered2"/>
              <w:spacing w:before="10" w:after="10"/>
            </w:pPr>
            <w:r>
              <w:t>2.0</w:t>
            </w:r>
          </w:p>
        </w:tc>
        <w:tc>
          <w:tcPr>
            <w:tcW w:w="1231" w:type="dxa"/>
            <w:tcBorders>
              <w:top w:val="nil"/>
              <w:left w:val="nil"/>
              <w:bottom w:val="nil"/>
              <w:right w:val="nil"/>
            </w:tcBorders>
            <w:shd w:val="clear" w:color="000000" w:fill="FFFFFF"/>
            <w:noWrap/>
            <w:vAlign w:val="center"/>
            <w:hideMark/>
          </w:tcPr>
          <w:p w14:paraId="05CC82C1" w14:textId="77777777" w:rsidR="00F4205D" w:rsidRDefault="00F4205D" w:rsidP="00AE0023">
            <w:pPr>
              <w:pStyle w:val="TableTextCentered2"/>
              <w:spacing w:before="10" w:after="10"/>
            </w:pPr>
            <w:r>
              <w:t>1.8</w:t>
            </w:r>
          </w:p>
        </w:tc>
        <w:tc>
          <w:tcPr>
            <w:tcW w:w="1232" w:type="dxa"/>
            <w:tcBorders>
              <w:top w:val="nil"/>
              <w:left w:val="nil"/>
              <w:bottom w:val="nil"/>
              <w:right w:val="nil"/>
            </w:tcBorders>
            <w:shd w:val="clear" w:color="000000" w:fill="FFFFFF"/>
            <w:noWrap/>
            <w:vAlign w:val="center"/>
            <w:hideMark/>
          </w:tcPr>
          <w:p w14:paraId="11C0E116" w14:textId="77777777" w:rsidR="00F4205D" w:rsidRDefault="00F4205D" w:rsidP="00AE0023">
            <w:pPr>
              <w:pStyle w:val="TableTextCentered2"/>
              <w:spacing w:before="10" w:after="10"/>
            </w:pPr>
            <w:r>
              <w:t>2.0</w:t>
            </w:r>
          </w:p>
        </w:tc>
      </w:tr>
      <w:tr w:rsidR="00F4205D" w:rsidRPr="00DD28A5" w14:paraId="07818AAC" w14:textId="77777777" w:rsidTr="000733CF">
        <w:trPr>
          <w:trHeight w:val="162"/>
          <w:jc w:val="center"/>
        </w:trPr>
        <w:tc>
          <w:tcPr>
            <w:tcW w:w="2260" w:type="dxa"/>
            <w:tcBorders>
              <w:top w:val="nil"/>
              <w:left w:val="nil"/>
              <w:bottom w:val="nil"/>
              <w:right w:val="nil"/>
            </w:tcBorders>
            <w:shd w:val="clear" w:color="000000" w:fill="FFFFFF"/>
            <w:noWrap/>
            <w:vAlign w:val="bottom"/>
            <w:hideMark/>
          </w:tcPr>
          <w:p w14:paraId="050E3C81" w14:textId="77777777" w:rsidR="00F4205D" w:rsidRDefault="00F4205D" w:rsidP="00AE0023">
            <w:pPr>
              <w:pStyle w:val="TableTextLeft2"/>
              <w:spacing w:before="10" w:after="10" w:line="240" w:lineRule="auto"/>
            </w:pPr>
            <w:r>
              <w:t>Imports</w:t>
            </w:r>
          </w:p>
        </w:tc>
        <w:tc>
          <w:tcPr>
            <w:tcW w:w="1227" w:type="dxa"/>
            <w:tcBorders>
              <w:top w:val="nil"/>
              <w:left w:val="nil"/>
              <w:bottom w:val="nil"/>
              <w:right w:val="nil"/>
            </w:tcBorders>
            <w:shd w:val="clear" w:color="000000" w:fill="FFFFFF"/>
            <w:noWrap/>
            <w:vAlign w:val="center"/>
            <w:hideMark/>
          </w:tcPr>
          <w:p w14:paraId="0E33C7D4"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7385D4DF" w14:textId="77777777" w:rsidR="00F4205D" w:rsidRDefault="00F4205D" w:rsidP="00AE0023">
            <w:pPr>
              <w:pStyle w:val="TableTextCentered2"/>
              <w:spacing w:before="10" w:after="10"/>
            </w:pPr>
            <w:r>
              <w:t>1.0</w:t>
            </w:r>
          </w:p>
        </w:tc>
        <w:tc>
          <w:tcPr>
            <w:tcW w:w="1231" w:type="dxa"/>
            <w:tcBorders>
              <w:top w:val="nil"/>
              <w:left w:val="nil"/>
              <w:bottom w:val="nil"/>
              <w:right w:val="single" w:sz="4" w:space="0" w:color="auto"/>
            </w:tcBorders>
            <w:shd w:val="clear" w:color="000000" w:fill="FFFFFF"/>
            <w:noWrap/>
            <w:vAlign w:val="center"/>
            <w:hideMark/>
          </w:tcPr>
          <w:p w14:paraId="70446C70"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0C010771"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1E872C2E" w14:textId="77777777" w:rsidR="00F4205D" w:rsidRDefault="00F4205D" w:rsidP="00AE0023">
            <w:pPr>
              <w:pStyle w:val="TableTextCentered2"/>
              <w:spacing w:before="10" w:after="10"/>
            </w:pPr>
            <w:r>
              <w:t>0.9</w:t>
            </w:r>
          </w:p>
        </w:tc>
        <w:tc>
          <w:tcPr>
            <w:tcW w:w="1260" w:type="dxa"/>
            <w:tcBorders>
              <w:top w:val="nil"/>
              <w:left w:val="nil"/>
              <w:bottom w:val="nil"/>
              <w:right w:val="single" w:sz="4" w:space="0" w:color="auto"/>
            </w:tcBorders>
            <w:shd w:val="clear" w:color="000000" w:fill="FFFFFF"/>
            <w:noWrap/>
            <w:vAlign w:val="center"/>
            <w:hideMark/>
          </w:tcPr>
          <w:p w14:paraId="42B6A80B"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745984D6" w14:textId="77777777" w:rsidR="00F4205D" w:rsidRDefault="00F4205D" w:rsidP="00AE0023">
            <w:pPr>
              <w:pStyle w:val="TableTextCentered2"/>
              <w:spacing w:before="10" w:after="10"/>
            </w:pPr>
            <w:r>
              <w:t>1.1</w:t>
            </w:r>
          </w:p>
        </w:tc>
        <w:tc>
          <w:tcPr>
            <w:tcW w:w="1231" w:type="dxa"/>
            <w:tcBorders>
              <w:top w:val="nil"/>
              <w:left w:val="nil"/>
              <w:bottom w:val="nil"/>
              <w:right w:val="nil"/>
            </w:tcBorders>
            <w:shd w:val="clear" w:color="000000" w:fill="FFFFFF"/>
            <w:noWrap/>
            <w:vAlign w:val="center"/>
            <w:hideMark/>
          </w:tcPr>
          <w:p w14:paraId="2949F397" w14:textId="77777777" w:rsidR="00F4205D" w:rsidRDefault="00F4205D" w:rsidP="00AE0023">
            <w:pPr>
              <w:pStyle w:val="TableTextCentered2"/>
              <w:spacing w:before="10" w:after="10"/>
            </w:pPr>
            <w:r>
              <w:t>0.9</w:t>
            </w:r>
          </w:p>
        </w:tc>
        <w:tc>
          <w:tcPr>
            <w:tcW w:w="1232" w:type="dxa"/>
            <w:tcBorders>
              <w:top w:val="nil"/>
              <w:left w:val="nil"/>
              <w:bottom w:val="nil"/>
              <w:right w:val="nil"/>
            </w:tcBorders>
            <w:shd w:val="clear" w:color="000000" w:fill="FFFFFF"/>
            <w:noWrap/>
            <w:vAlign w:val="center"/>
            <w:hideMark/>
          </w:tcPr>
          <w:p w14:paraId="1512A646" w14:textId="77777777" w:rsidR="00F4205D" w:rsidRDefault="00F4205D" w:rsidP="00AE0023">
            <w:pPr>
              <w:pStyle w:val="TableTextCentered2"/>
              <w:spacing w:before="10" w:after="10"/>
            </w:pPr>
            <w:r>
              <w:t>1.1</w:t>
            </w:r>
          </w:p>
        </w:tc>
      </w:tr>
      <w:tr w:rsidR="00F4205D" w:rsidRPr="00DD28A5" w14:paraId="09EAFBEB" w14:textId="77777777" w:rsidTr="000733CF">
        <w:trPr>
          <w:trHeight w:val="102"/>
          <w:jc w:val="center"/>
        </w:trPr>
        <w:tc>
          <w:tcPr>
            <w:tcW w:w="2260" w:type="dxa"/>
            <w:tcBorders>
              <w:top w:val="nil"/>
              <w:left w:val="nil"/>
              <w:bottom w:val="nil"/>
              <w:right w:val="nil"/>
            </w:tcBorders>
            <w:shd w:val="clear" w:color="000000" w:fill="FFFFFF"/>
            <w:noWrap/>
            <w:vAlign w:val="bottom"/>
            <w:hideMark/>
          </w:tcPr>
          <w:p w14:paraId="0FB1A7A7" w14:textId="77777777" w:rsidR="00F4205D" w:rsidRDefault="00F4205D" w:rsidP="00F875D2">
            <w:pPr>
              <w:pStyle w:val="TableTextLeft2"/>
              <w:spacing w:line="240" w:lineRule="auto"/>
            </w:pPr>
            <w:r>
              <w:t> </w:t>
            </w:r>
          </w:p>
        </w:tc>
        <w:tc>
          <w:tcPr>
            <w:tcW w:w="1227" w:type="dxa"/>
            <w:tcBorders>
              <w:top w:val="nil"/>
              <w:left w:val="nil"/>
              <w:bottom w:val="nil"/>
              <w:right w:val="nil"/>
            </w:tcBorders>
            <w:shd w:val="clear" w:color="000000" w:fill="FFFFFF"/>
            <w:noWrap/>
            <w:vAlign w:val="center"/>
            <w:hideMark/>
          </w:tcPr>
          <w:p w14:paraId="2D7969DE"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25DF25F8" w14:textId="77777777" w:rsidR="00F4205D" w:rsidRDefault="00F4205D"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7CC05708"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79D7DA18"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68D6C539" w14:textId="77777777" w:rsidR="00F4205D" w:rsidRDefault="00F4205D" w:rsidP="00F875D2">
            <w:pPr>
              <w:pStyle w:val="TableTextCentered2"/>
            </w:pPr>
            <w:r>
              <w:t> </w:t>
            </w:r>
          </w:p>
        </w:tc>
        <w:tc>
          <w:tcPr>
            <w:tcW w:w="1260" w:type="dxa"/>
            <w:tcBorders>
              <w:top w:val="nil"/>
              <w:left w:val="nil"/>
              <w:bottom w:val="nil"/>
              <w:right w:val="single" w:sz="4" w:space="0" w:color="auto"/>
            </w:tcBorders>
            <w:shd w:val="clear" w:color="000000" w:fill="FFFFFF"/>
            <w:noWrap/>
            <w:vAlign w:val="center"/>
            <w:hideMark/>
          </w:tcPr>
          <w:p w14:paraId="12591B50" w14:textId="77777777" w:rsidR="00F4205D" w:rsidRDefault="00F4205D" w:rsidP="00F875D2">
            <w:pPr>
              <w:pStyle w:val="TableTextCentered2"/>
            </w:pPr>
            <w:r>
              <w:t> </w:t>
            </w:r>
          </w:p>
        </w:tc>
        <w:tc>
          <w:tcPr>
            <w:tcW w:w="1204" w:type="dxa"/>
            <w:tcBorders>
              <w:top w:val="nil"/>
              <w:left w:val="nil"/>
              <w:bottom w:val="nil"/>
              <w:right w:val="nil"/>
            </w:tcBorders>
            <w:shd w:val="clear" w:color="000000" w:fill="FFFFFF"/>
            <w:noWrap/>
            <w:vAlign w:val="center"/>
            <w:hideMark/>
          </w:tcPr>
          <w:p w14:paraId="7F798C59" w14:textId="77777777" w:rsidR="00F4205D" w:rsidRDefault="00F4205D" w:rsidP="00F875D2">
            <w:pPr>
              <w:pStyle w:val="TableTextCentered2"/>
            </w:pPr>
            <w:r>
              <w:t> </w:t>
            </w:r>
          </w:p>
        </w:tc>
        <w:tc>
          <w:tcPr>
            <w:tcW w:w="1231" w:type="dxa"/>
            <w:tcBorders>
              <w:top w:val="nil"/>
              <w:left w:val="nil"/>
              <w:bottom w:val="nil"/>
              <w:right w:val="nil"/>
            </w:tcBorders>
            <w:shd w:val="clear" w:color="000000" w:fill="FFFFFF"/>
            <w:noWrap/>
            <w:vAlign w:val="center"/>
            <w:hideMark/>
          </w:tcPr>
          <w:p w14:paraId="750A2CB0"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22614D9B" w14:textId="77777777" w:rsidR="00F4205D" w:rsidRDefault="00F4205D" w:rsidP="00F875D2">
            <w:pPr>
              <w:pStyle w:val="TableTextCentered2"/>
            </w:pPr>
            <w:r>
              <w:t> </w:t>
            </w:r>
          </w:p>
        </w:tc>
      </w:tr>
      <w:tr w:rsidR="00F4205D" w:rsidRPr="00DD28A5" w14:paraId="773D06C2" w14:textId="77777777" w:rsidTr="000733CF">
        <w:trPr>
          <w:trHeight w:val="154"/>
          <w:jc w:val="center"/>
        </w:trPr>
        <w:tc>
          <w:tcPr>
            <w:tcW w:w="2260" w:type="dxa"/>
            <w:tcBorders>
              <w:top w:val="nil"/>
              <w:left w:val="nil"/>
              <w:bottom w:val="nil"/>
              <w:right w:val="nil"/>
            </w:tcBorders>
            <w:shd w:val="clear" w:color="000000" w:fill="FFFFFF"/>
            <w:noWrap/>
            <w:vAlign w:val="bottom"/>
            <w:hideMark/>
          </w:tcPr>
          <w:p w14:paraId="16CF1A39" w14:textId="77777777" w:rsidR="00F4205D" w:rsidRDefault="00F4205D" w:rsidP="00AE0023">
            <w:pPr>
              <w:pStyle w:val="TableTextLeft2"/>
              <w:spacing w:before="10" w:after="10" w:line="240" w:lineRule="auto"/>
            </w:pPr>
            <w:r>
              <w:t>Employment</w:t>
            </w:r>
          </w:p>
        </w:tc>
        <w:tc>
          <w:tcPr>
            <w:tcW w:w="1227" w:type="dxa"/>
            <w:tcBorders>
              <w:top w:val="nil"/>
              <w:left w:val="nil"/>
              <w:bottom w:val="nil"/>
              <w:right w:val="nil"/>
            </w:tcBorders>
            <w:shd w:val="clear" w:color="000000" w:fill="FFFFFF"/>
            <w:noWrap/>
            <w:vAlign w:val="center"/>
            <w:hideMark/>
          </w:tcPr>
          <w:p w14:paraId="222DCADC" w14:textId="77777777" w:rsidR="00F4205D" w:rsidRDefault="00F4205D"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51CC1EB5" w14:textId="77777777" w:rsidR="00F4205D" w:rsidRDefault="00F4205D" w:rsidP="00AE0023">
            <w:pPr>
              <w:pStyle w:val="TableTextCentered2"/>
              <w:spacing w:before="10" w:after="10"/>
            </w:pPr>
            <w:r>
              <w:t>0.1</w:t>
            </w:r>
          </w:p>
        </w:tc>
        <w:tc>
          <w:tcPr>
            <w:tcW w:w="1231" w:type="dxa"/>
            <w:tcBorders>
              <w:top w:val="nil"/>
              <w:left w:val="nil"/>
              <w:bottom w:val="nil"/>
              <w:right w:val="single" w:sz="4" w:space="0" w:color="auto"/>
            </w:tcBorders>
            <w:shd w:val="clear" w:color="000000" w:fill="FFFFFF"/>
            <w:noWrap/>
            <w:vAlign w:val="center"/>
            <w:hideMark/>
          </w:tcPr>
          <w:p w14:paraId="1EC2D5DB" w14:textId="77777777" w:rsidR="00F4205D" w:rsidRDefault="00F4205D" w:rsidP="00AE0023">
            <w:pPr>
              <w:pStyle w:val="TableTextCentered2"/>
              <w:spacing w:before="10" w:after="10"/>
            </w:pPr>
            <w:r>
              <w:t>0.1</w:t>
            </w:r>
          </w:p>
        </w:tc>
        <w:tc>
          <w:tcPr>
            <w:tcW w:w="1232" w:type="dxa"/>
            <w:tcBorders>
              <w:top w:val="nil"/>
              <w:left w:val="nil"/>
              <w:bottom w:val="nil"/>
              <w:right w:val="nil"/>
            </w:tcBorders>
            <w:shd w:val="clear" w:color="000000" w:fill="FFFFFF"/>
            <w:noWrap/>
            <w:vAlign w:val="center"/>
            <w:hideMark/>
          </w:tcPr>
          <w:p w14:paraId="3392ECB4" w14:textId="77777777" w:rsidR="00F4205D" w:rsidRDefault="00F4205D"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268F8D6F" w14:textId="77777777" w:rsidR="00F4205D" w:rsidRDefault="00F4205D" w:rsidP="00AE0023">
            <w:pPr>
              <w:pStyle w:val="TableTextCentered2"/>
              <w:spacing w:before="10" w:after="10"/>
            </w:pPr>
            <w:r>
              <w:t>0.1</w:t>
            </w:r>
          </w:p>
        </w:tc>
        <w:tc>
          <w:tcPr>
            <w:tcW w:w="1260" w:type="dxa"/>
            <w:tcBorders>
              <w:top w:val="nil"/>
              <w:left w:val="nil"/>
              <w:bottom w:val="nil"/>
              <w:right w:val="single" w:sz="4" w:space="0" w:color="auto"/>
            </w:tcBorders>
            <w:shd w:val="clear" w:color="000000" w:fill="FFFFFF"/>
            <w:noWrap/>
            <w:vAlign w:val="center"/>
            <w:hideMark/>
          </w:tcPr>
          <w:p w14:paraId="6C319F35" w14:textId="77777777" w:rsidR="00F4205D" w:rsidRDefault="00F4205D" w:rsidP="00AE0023">
            <w:pPr>
              <w:pStyle w:val="TableTextCentered2"/>
              <w:spacing w:before="10" w:after="10"/>
            </w:pPr>
            <w:r>
              <w:t>0.1</w:t>
            </w:r>
          </w:p>
        </w:tc>
        <w:tc>
          <w:tcPr>
            <w:tcW w:w="1204" w:type="dxa"/>
            <w:tcBorders>
              <w:top w:val="nil"/>
              <w:left w:val="nil"/>
              <w:bottom w:val="nil"/>
              <w:right w:val="nil"/>
            </w:tcBorders>
            <w:shd w:val="clear" w:color="000000" w:fill="FFFFFF"/>
            <w:noWrap/>
            <w:vAlign w:val="center"/>
            <w:hideMark/>
          </w:tcPr>
          <w:p w14:paraId="46B5A3D2" w14:textId="77777777" w:rsidR="00F4205D" w:rsidRDefault="00F4205D" w:rsidP="00AE0023">
            <w:pPr>
              <w:pStyle w:val="TableTextCentered2"/>
              <w:spacing w:before="10" w:after="10"/>
            </w:pPr>
            <w:r>
              <w:t>0.3</w:t>
            </w:r>
          </w:p>
        </w:tc>
        <w:tc>
          <w:tcPr>
            <w:tcW w:w="1231" w:type="dxa"/>
            <w:tcBorders>
              <w:top w:val="nil"/>
              <w:left w:val="nil"/>
              <w:bottom w:val="nil"/>
              <w:right w:val="nil"/>
            </w:tcBorders>
            <w:shd w:val="clear" w:color="000000" w:fill="FFFFFF"/>
            <w:noWrap/>
            <w:vAlign w:val="center"/>
            <w:hideMark/>
          </w:tcPr>
          <w:p w14:paraId="415A9AF6" w14:textId="77777777" w:rsidR="00F4205D" w:rsidRDefault="00F4205D" w:rsidP="00AE0023">
            <w:pPr>
              <w:pStyle w:val="TableTextCentered2"/>
              <w:spacing w:before="10" w:after="10"/>
            </w:pPr>
            <w:r>
              <w:t>0.1</w:t>
            </w:r>
          </w:p>
        </w:tc>
        <w:tc>
          <w:tcPr>
            <w:tcW w:w="1232" w:type="dxa"/>
            <w:tcBorders>
              <w:top w:val="nil"/>
              <w:left w:val="nil"/>
              <w:bottom w:val="nil"/>
              <w:right w:val="nil"/>
            </w:tcBorders>
            <w:shd w:val="clear" w:color="000000" w:fill="FFFFFF"/>
            <w:noWrap/>
            <w:vAlign w:val="center"/>
            <w:hideMark/>
          </w:tcPr>
          <w:p w14:paraId="4BF7A9E1" w14:textId="77777777" w:rsidR="00F4205D" w:rsidRDefault="00F4205D" w:rsidP="00AE0023">
            <w:pPr>
              <w:pStyle w:val="TableTextCentered2"/>
              <w:spacing w:before="10" w:after="10"/>
            </w:pPr>
            <w:r>
              <w:t>0.1</w:t>
            </w:r>
          </w:p>
        </w:tc>
      </w:tr>
      <w:tr w:rsidR="00F4205D" w:rsidRPr="00DD28A5" w14:paraId="5065B512" w14:textId="77777777" w:rsidTr="000733CF">
        <w:trPr>
          <w:trHeight w:val="72"/>
          <w:jc w:val="center"/>
        </w:trPr>
        <w:tc>
          <w:tcPr>
            <w:tcW w:w="2260" w:type="dxa"/>
            <w:tcBorders>
              <w:top w:val="nil"/>
              <w:left w:val="nil"/>
              <w:bottom w:val="nil"/>
              <w:right w:val="nil"/>
            </w:tcBorders>
            <w:shd w:val="clear" w:color="000000" w:fill="FFFFFF"/>
            <w:noWrap/>
            <w:vAlign w:val="bottom"/>
            <w:hideMark/>
          </w:tcPr>
          <w:p w14:paraId="7B394180" w14:textId="77777777" w:rsidR="00F4205D" w:rsidRDefault="00F4205D" w:rsidP="00AE0023">
            <w:pPr>
              <w:pStyle w:val="TableTextLeft2"/>
              <w:spacing w:before="10" w:after="10" w:line="240" w:lineRule="auto"/>
            </w:pPr>
            <w:r>
              <w:t>Real wage (before-tax)</w:t>
            </w:r>
          </w:p>
        </w:tc>
        <w:tc>
          <w:tcPr>
            <w:tcW w:w="1227" w:type="dxa"/>
            <w:tcBorders>
              <w:top w:val="nil"/>
              <w:left w:val="nil"/>
              <w:bottom w:val="nil"/>
              <w:right w:val="nil"/>
            </w:tcBorders>
            <w:shd w:val="clear" w:color="000000" w:fill="FFFFFF"/>
            <w:noWrap/>
            <w:vAlign w:val="center"/>
            <w:hideMark/>
          </w:tcPr>
          <w:p w14:paraId="5E92C375"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3F61585D" w14:textId="77777777" w:rsidR="00F4205D" w:rsidRDefault="00F4205D" w:rsidP="00AE0023">
            <w:pPr>
              <w:pStyle w:val="TableTextCentered2"/>
              <w:spacing w:before="10" w:after="10"/>
            </w:pPr>
            <w:r>
              <w:t>1.3</w:t>
            </w:r>
          </w:p>
        </w:tc>
        <w:tc>
          <w:tcPr>
            <w:tcW w:w="1231" w:type="dxa"/>
            <w:tcBorders>
              <w:top w:val="nil"/>
              <w:left w:val="nil"/>
              <w:bottom w:val="nil"/>
              <w:right w:val="single" w:sz="4" w:space="0" w:color="auto"/>
            </w:tcBorders>
            <w:shd w:val="clear" w:color="000000" w:fill="FFFFFF"/>
            <w:noWrap/>
            <w:vAlign w:val="center"/>
            <w:hideMark/>
          </w:tcPr>
          <w:p w14:paraId="1487C11A"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3707C9B4"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40D1CE44" w14:textId="77777777" w:rsidR="00F4205D" w:rsidRDefault="00F4205D" w:rsidP="00AE0023">
            <w:pPr>
              <w:pStyle w:val="TableTextCentered2"/>
              <w:spacing w:before="10" w:after="10"/>
            </w:pPr>
            <w:r>
              <w:t>1.2</w:t>
            </w:r>
          </w:p>
        </w:tc>
        <w:tc>
          <w:tcPr>
            <w:tcW w:w="1260" w:type="dxa"/>
            <w:tcBorders>
              <w:top w:val="nil"/>
              <w:left w:val="nil"/>
              <w:bottom w:val="nil"/>
              <w:right w:val="single" w:sz="4" w:space="0" w:color="auto"/>
            </w:tcBorders>
            <w:shd w:val="clear" w:color="000000" w:fill="FFFFFF"/>
            <w:noWrap/>
            <w:vAlign w:val="center"/>
            <w:hideMark/>
          </w:tcPr>
          <w:p w14:paraId="4BE2D24E"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57AADEBD" w14:textId="77777777" w:rsidR="00F4205D" w:rsidRDefault="00F4205D" w:rsidP="00AE0023">
            <w:pPr>
              <w:pStyle w:val="TableTextCentered2"/>
              <w:spacing w:before="10" w:after="10"/>
            </w:pPr>
            <w:r>
              <w:t>1.0</w:t>
            </w:r>
          </w:p>
        </w:tc>
        <w:tc>
          <w:tcPr>
            <w:tcW w:w="1231" w:type="dxa"/>
            <w:tcBorders>
              <w:top w:val="nil"/>
              <w:left w:val="nil"/>
              <w:bottom w:val="nil"/>
              <w:right w:val="nil"/>
            </w:tcBorders>
            <w:shd w:val="clear" w:color="000000" w:fill="FFFFFF"/>
            <w:noWrap/>
            <w:vAlign w:val="center"/>
            <w:hideMark/>
          </w:tcPr>
          <w:p w14:paraId="512FE1C9"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34F5AFCA" w14:textId="77777777" w:rsidR="00F4205D" w:rsidRDefault="00F4205D" w:rsidP="00AE0023">
            <w:pPr>
              <w:pStyle w:val="TableTextCentered2"/>
              <w:spacing w:before="10" w:after="10"/>
            </w:pPr>
            <w:r>
              <w:t>1.0</w:t>
            </w:r>
          </w:p>
        </w:tc>
      </w:tr>
      <w:tr w:rsidR="00F4205D" w:rsidRPr="00DD28A5" w14:paraId="39C9D2A5" w14:textId="77777777" w:rsidTr="000733CF">
        <w:trPr>
          <w:trHeight w:val="131"/>
          <w:jc w:val="center"/>
        </w:trPr>
        <w:tc>
          <w:tcPr>
            <w:tcW w:w="2260" w:type="dxa"/>
            <w:tcBorders>
              <w:top w:val="nil"/>
              <w:left w:val="nil"/>
              <w:bottom w:val="nil"/>
              <w:right w:val="nil"/>
            </w:tcBorders>
            <w:shd w:val="clear" w:color="000000" w:fill="FFFFFF"/>
            <w:noWrap/>
            <w:vAlign w:val="bottom"/>
            <w:hideMark/>
          </w:tcPr>
          <w:p w14:paraId="68E04176" w14:textId="77777777" w:rsidR="00F4205D" w:rsidRDefault="00F4205D" w:rsidP="00AE0023">
            <w:pPr>
              <w:pStyle w:val="TableTextLeft2"/>
              <w:spacing w:before="10" w:after="10" w:line="240" w:lineRule="auto"/>
            </w:pPr>
            <w:r>
              <w:t>Real wage (after-tax)</w:t>
            </w:r>
          </w:p>
        </w:tc>
        <w:tc>
          <w:tcPr>
            <w:tcW w:w="1227" w:type="dxa"/>
            <w:tcBorders>
              <w:top w:val="nil"/>
              <w:left w:val="nil"/>
              <w:bottom w:val="nil"/>
              <w:right w:val="nil"/>
            </w:tcBorders>
            <w:shd w:val="clear" w:color="000000" w:fill="FFFFFF"/>
            <w:noWrap/>
            <w:vAlign w:val="center"/>
            <w:hideMark/>
          </w:tcPr>
          <w:p w14:paraId="7E3C4878"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69B5266B" w14:textId="77777777" w:rsidR="00F4205D" w:rsidRDefault="00F4205D" w:rsidP="00AE0023">
            <w:pPr>
              <w:pStyle w:val="TableTextCentered2"/>
              <w:spacing w:before="10" w:after="10"/>
            </w:pPr>
            <w:r>
              <w:t>0.3</w:t>
            </w:r>
          </w:p>
        </w:tc>
        <w:tc>
          <w:tcPr>
            <w:tcW w:w="1231" w:type="dxa"/>
            <w:tcBorders>
              <w:top w:val="nil"/>
              <w:left w:val="nil"/>
              <w:bottom w:val="nil"/>
              <w:right w:val="single" w:sz="4" w:space="0" w:color="auto"/>
            </w:tcBorders>
            <w:shd w:val="clear" w:color="000000" w:fill="FFFFFF"/>
            <w:noWrap/>
            <w:vAlign w:val="center"/>
            <w:hideMark/>
          </w:tcPr>
          <w:p w14:paraId="658FB641"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554FBE38"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6F4145AE" w14:textId="77777777" w:rsidR="00F4205D" w:rsidRDefault="00F4205D" w:rsidP="00AE0023">
            <w:pPr>
              <w:pStyle w:val="TableTextCentered2"/>
              <w:spacing w:before="10" w:after="10"/>
            </w:pPr>
            <w:r>
              <w:t>0.4</w:t>
            </w:r>
          </w:p>
        </w:tc>
        <w:tc>
          <w:tcPr>
            <w:tcW w:w="1260" w:type="dxa"/>
            <w:tcBorders>
              <w:top w:val="nil"/>
              <w:left w:val="nil"/>
              <w:bottom w:val="nil"/>
              <w:right w:val="single" w:sz="4" w:space="0" w:color="auto"/>
            </w:tcBorders>
            <w:shd w:val="clear" w:color="000000" w:fill="FFFFFF"/>
            <w:noWrap/>
            <w:vAlign w:val="center"/>
            <w:hideMark/>
          </w:tcPr>
          <w:p w14:paraId="361B0E29"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46FB0E97" w14:textId="77777777" w:rsidR="00F4205D" w:rsidRDefault="00F4205D" w:rsidP="00AE0023">
            <w:pPr>
              <w:pStyle w:val="TableTextCentered2"/>
              <w:spacing w:before="10" w:after="10"/>
            </w:pPr>
            <w:r>
              <w:t>1.0</w:t>
            </w:r>
          </w:p>
        </w:tc>
        <w:tc>
          <w:tcPr>
            <w:tcW w:w="1231" w:type="dxa"/>
            <w:tcBorders>
              <w:top w:val="nil"/>
              <w:left w:val="nil"/>
              <w:bottom w:val="nil"/>
              <w:right w:val="nil"/>
            </w:tcBorders>
            <w:shd w:val="clear" w:color="000000" w:fill="FFFFFF"/>
            <w:noWrap/>
            <w:vAlign w:val="center"/>
            <w:hideMark/>
          </w:tcPr>
          <w:p w14:paraId="286B8C93" w14:textId="77777777" w:rsidR="00F4205D" w:rsidRDefault="00F4205D"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40FCB573" w14:textId="77777777" w:rsidR="00F4205D" w:rsidRDefault="00F4205D" w:rsidP="00AE0023">
            <w:pPr>
              <w:pStyle w:val="TableTextCentered2"/>
              <w:spacing w:before="10" w:after="10"/>
            </w:pPr>
            <w:r>
              <w:t>1.0</w:t>
            </w:r>
          </w:p>
        </w:tc>
      </w:tr>
      <w:tr w:rsidR="00F4205D" w:rsidRPr="00DD28A5" w14:paraId="2B279C5F" w14:textId="77777777" w:rsidTr="000733CF">
        <w:trPr>
          <w:trHeight w:val="102"/>
          <w:jc w:val="center"/>
        </w:trPr>
        <w:tc>
          <w:tcPr>
            <w:tcW w:w="2260" w:type="dxa"/>
            <w:tcBorders>
              <w:top w:val="nil"/>
              <w:left w:val="nil"/>
              <w:bottom w:val="nil"/>
              <w:right w:val="nil"/>
            </w:tcBorders>
            <w:shd w:val="clear" w:color="000000" w:fill="FFFFFF"/>
            <w:noWrap/>
            <w:vAlign w:val="bottom"/>
            <w:hideMark/>
          </w:tcPr>
          <w:p w14:paraId="0EA2E3EE" w14:textId="77777777" w:rsidR="00F4205D" w:rsidRDefault="00F4205D" w:rsidP="00F875D2">
            <w:pPr>
              <w:pStyle w:val="TableTextLeft2"/>
              <w:spacing w:line="240" w:lineRule="auto"/>
            </w:pPr>
            <w:r>
              <w:t> </w:t>
            </w:r>
          </w:p>
        </w:tc>
        <w:tc>
          <w:tcPr>
            <w:tcW w:w="1227" w:type="dxa"/>
            <w:tcBorders>
              <w:top w:val="nil"/>
              <w:left w:val="nil"/>
              <w:bottom w:val="nil"/>
              <w:right w:val="nil"/>
            </w:tcBorders>
            <w:shd w:val="clear" w:color="000000" w:fill="FFFFFF"/>
            <w:noWrap/>
            <w:vAlign w:val="center"/>
            <w:hideMark/>
          </w:tcPr>
          <w:p w14:paraId="1A0EC8BA"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443741F1" w14:textId="77777777" w:rsidR="00F4205D" w:rsidRDefault="00F4205D"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16E98123"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170BD33D"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3BB3957D" w14:textId="77777777" w:rsidR="00F4205D" w:rsidRDefault="00F4205D" w:rsidP="00F875D2">
            <w:pPr>
              <w:pStyle w:val="TableTextCentered2"/>
            </w:pPr>
            <w:r>
              <w:t> </w:t>
            </w:r>
          </w:p>
        </w:tc>
        <w:tc>
          <w:tcPr>
            <w:tcW w:w="1260" w:type="dxa"/>
            <w:tcBorders>
              <w:top w:val="nil"/>
              <w:left w:val="nil"/>
              <w:bottom w:val="nil"/>
              <w:right w:val="single" w:sz="4" w:space="0" w:color="auto"/>
            </w:tcBorders>
            <w:shd w:val="clear" w:color="000000" w:fill="FFFFFF"/>
            <w:noWrap/>
            <w:vAlign w:val="center"/>
            <w:hideMark/>
          </w:tcPr>
          <w:p w14:paraId="737ABD71" w14:textId="77777777" w:rsidR="00F4205D" w:rsidRDefault="00F4205D" w:rsidP="00F875D2">
            <w:pPr>
              <w:pStyle w:val="TableTextCentered2"/>
            </w:pPr>
            <w:r>
              <w:t> </w:t>
            </w:r>
          </w:p>
        </w:tc>
        <w:tc>
          <w:tcPr>
            <w:tcW w:w="1204" w:type="dxa"/>
            <w:tcBorders>
              <w:top w:val="nil"/>
              <w:left w:val="nil"/>
              <w:bottom w:val="nil"/>
              <w:right w:val="nil"/>
            </w:tcBorders>
            <w:shd w:val="clear" w:color="000000" w:fill="FFFFFF"/>
            <w:noWrap/>
            <w:vAlign w:val="center"/>
            <w:hideMark/>
          </w:tcPr>
          <w:p w14:paraId="46C27A82" w14:textId="77777777" w:rsidR="00F4205D" w:rsidRDefault="00F4205D" w:rsidP="00F875D2">
            <w:pPr>
              <w:pStyle w:val="TableTextCentered2"/>
            </w:pPr>
            <w:r>
              <w:t> </w:t>
            </w:r>
          </w:p>
        </w:tc>
        <w:tc>
          <w:tcPr>
            <w:tcW w:w="1231" w:type="dxa"/>
            <w:tcBorders>
              <w:top w:val="nil"/>
              <w:left w:val="nil"/>
              <w:bottom w:val="nil"/>
              <w:right w:val="nil"/>
            </w:tcBorders>
            <w:shd w:val="clear" w:color="000000" w:fill="FFFFFF"/>
            <w:noWrap/>
            <w:vAlign w:val="center"/>
            <w:hideMark/>
          </w:tcPr>
          <w:p w14:paraId="2DE29AA1"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6952DE50" w14:textId="77777777" w:rsidR="00F4205D" w:rsidRDefault="00F4205D" w:rsidP="00F875D2">
            <w:pPr>
              <w:pStyle w:val="TableTextCentered2"/>
            </w:pPr>
            <w:r>
              <w:t> </w:t>
            </w:r>
          </w:p>
        </w:tc>
      </w:tr>
      <w:tr w:rsidR="00F4205D" w:rsidRPr="00DD28A5" w14:paraId="70C6FEFD" w14:textId="77777777" w:rsidTr="000733CF">
        <w:trPr>
          <w:trHeight w:val="109"/>
          <w:jc w:val="center"/>
        </w:trPr>
        <w:tc>
          <w:tcPr>
            <w:tcW w:w="2260" w:type="dxa"/>
            <w:tcBorders>
              <w:top w:val="nil"/>
              <w:left w:val="nil"/>
              <w:bottom w:val="single" w:sz="4" w:space="0" w:color="auto"/>
              <w:right w:val="nil"/>
            </w:tcBorders>
            <w:shd w:val="clear" w:color="000000" w:fill="FFFFFF"/>
            <w:noWrap/>
            <w:vAlign w:val="bottom"/>
            <w:hideMark/>
          </w:tcPr>
          <w:p w14:paraId="29A6C546" w14:textId="77777777" w:rsidR="00F4205D" w:rsidRDefault="00F4205D" w:rsidP="00AE0023">
            <w:pPr>
              <w:pStyle w:val="TableTextLeft2"/>
              <w:spacing w:before="10" w:after="10" w:line="240" w:lineRule="auto"/>
            </w:pPr>
            <w:r>
              <w:t>Welfare</w:t>
            </w:r>
          </w:p>
        </w:tc>
        <w:tc>
          <w:tcPr>
            <w:tcW w:w="1227" w:type="dxa"/>
            <w:tcBorders>
              <w:top w:val="nil"/>
              <w:left w:val="nil"/>
              <w:bottom w:val="single" w:sz="4" w:space="0" w:color="auto"/>
              <w:right w:val="nil"/>
            </w:tcBorders>
            <w:shd w:val="clear" w:color="000000" w:fill="FFFFFF"/>
            <w:noWrap/>
            <w:vAlign w:val="center"/>
            <w:hideMark/>
          </w:tcPr>
          <w:p w14:paraId="7DEAE352" w14:textId="77777777" w:rsidR="00F4205D" w:rsidRDefault="00F4205D"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371FB946" w14:textId="77777777" w:rsidR="00F4205D" w:rsidRDefault="00F4205D" w:rsidP="00AE0023">
            <w:pPr>
              <w:pStyle w:val="TableTextCentered2"/>
              <w:spacing w:before="10" w:after="10"/>
            </w:pPr>
            <w:r>
              <w:t>0.1</w:t>
            </w:r>
          </w:p>
        </w:tc>
        <w:tc>
          <w:tcPr>
            <w:tcW w:w="1231" w:type="dxa"/>
            <w:tcBorders>
              <w:top w:val="nil"/>
              <w:left w:val="nil"/>
              <w:bottom w:val="single" w:sz="4" w:space="0" w:color="auto"/>
              <w:right w:val="single" w:sz="4" w:space="0" w:color="auto"/>
            </w:tcBorders>
            <w:shd w:val="clear" w:color="000000" w:fill="FFFFFF"/>
            <w:noWrap/>
            <w:vAlign w:val="center"/>
            <w:hideMark/>
          </w:tcPr>
          <w:p w14:paraId="57138F44" w14:textId="77777777" w:rsidR="00F4205D" w:rsidRDefault="00F4205D" w:rsidP="00AE0023">
            <w:pPr>
              <w:pStyle w:val="TableTextCentered2"/>
              <w:spacing w:before="10" w:after="10"/>
            </w:pPr>
            <w:r>
              <w:t>0.7</w:t>
            </w:r>
          </w:p>
        </w:tc>
        <w:tc>
          <w:tcPr>
            <w:tcW w:w="1232" w:type="dxa"/>
            <w:tcBorders>
              <w:top w:val="nil"/>
              <w:left w:val="nil"/>
              <w:bottom w:val="single" w:sz="4" w:space="0" w:color="auto"/>
              <w:right w:val="nil"/>
            </w:tcBorders>
            <w:shd w:val="clear" w:color="000000" w:fill="FFFFFF"/>
            <w:noWrap/>
            <w:vAlign w:val="center"/>
            <w:hideMark/>
          </w:tcPr>
          <w:p w14:paraId="246BFF91" w14:textId="77777777" w:rsidR="00F4205D" w:rsidRDefault="00F4205D"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5E382BAD" w14:textId="77777777" w:rsidR="00F4205D" w:rsidRDefault="00F4205D" w:rsidP="00AE0023">
            <w:pPr>
              <w:pStyle w:val="TableTextCentered2"/>
              <w:spacing w:before="10" w:after="10"/>
            </w:pPr>
            <w:r>
              <w:t>0.1</w:t>
            </w:r>
          </w:p>
        </w:tc>
        <w:tc>
          <w:tcPr>
            <w:tcW w:w="1260" w:type="dxa"/>
            <w:tcBorders>
              <w:top w:val="nil"/>
              <w:left w:val="nil"/>
              <w:bottom w:val="single" w:sz="4" w:space="0" w:color="auto"/>
              <w:right w:val="single" w:sz="4" w:space="0" w:color="auto"/>
            </w:tcBorders>
            <w:shd w:val="clear" w:color="000000" w:fill="FFFFFF"/>
            <w:noWrap/>
            <w:vAlign w:val="center"/>
            <w:hideMark/>
          </w:tcPr>
          <w:p w14:paraId="2BF0690F" w14:textId="77777777" w:rsidR="00F4205D" w:rsidRDefault="00F4205D" w:rsidP="00AE0023">
            <w:pPr>
              <w:pStyle w:val="TableTextCentered2"/>
              <w:spacing w:before="10" w:after="10"/>
            </w:pPr>
            <w:r>
              <w:t>0.7</w:t>
            </w:r>
          </w:p>
        </w:tc>
        <w:tc>
          <w:tcPr>
            <w:tcW w:w="1204" w:type="dxa"/>
            <w:tcBorders>
              <w:top w:val="nil"/>
              <w:left w:val="nil"/>
              <w:bottom w:val="single" w:sz="4" w:space="0" w:color="auto"/>
              <w:right w:val="nil"/>
            </w:tcBorders>
            <w:shd w:val="clear" w:color="000000" w:fill="FFFFFF"/>
            <w:noWrap/>
            <w:vAlign w:val="center"/>
            <w:hideMark/>
          </w:tcPr>
          <w:p w14:paraId="40FB3CCA" w14:textId="77777777" w:rsidR="00F4205D" w:rsidRDefault="00F4205D" w:rsidP="00AE0023">
            <w:pPr>
              <w:pStyle w:val="TableTextCentered2"/>
              <w:spacing w:before="10" w:after="10"/>
            </w:pPr>
            <w:r>
              <w:t>0.2</w:t>
            </w:r>
          </w:p>
        </w:tc>
        <w:tc>
          <w:tcPr>
            <w:tcW w:w="1231" w:type="dxa"/>
            <w:tcBorders>
              <w:top w:val="nil"/>
              <w:left w:val="nil"/>
              <w:bottom w:val="single" w:sz="4" w:space="0" w:color="auto"/>
              <w:right w:val="nil"/>
            </w:tcBorders>
            <w:shd w:val="clear" w:color="000000" w:fill="FFFFFF"/>
            <w:noWrap/>
            <w:vAlign w:val="center"/>
            <w:hideMark/>
          </w:tcPr>
          <w:p w14:paraId="0157F125" w14:textId="77777777" w:rsidR="00F4205D" w:rsidRDefault="00F4205D" w:rsidP="00AE0023">
            <w:pPr>
              <w:pStyle w:val="TableTextCentered2"/>
              <w:spacing w:before="10" w:after="10"/>
            </w:pPr>
            <w:r>
              <w:t>0.1</w:t>
            </w:r>
          </w:p>
        </w:tc>
        <w:tc>
          <w:tcPr>
            <w:tcW w:w="1232" w:type="dxa"/>
            <w:tcBorders>
              <w:top w:val="nil"/>
              <w:left w:val="nil"/>
              <w:bottom w:val="single" w:sz="4" w:space="0" w:color="auto"/>
              <w:right w:val="nil"/>
            </w:tcBorders>
            <w:shd w:val="clear" w:color="000000" w:fill="FFFFFF"/>
            <w:noWrap/>
            <w:vAlign w:val="center"/>
            <w:hideMark/>
          </w:tcPr>
          <w:p w14:paraId="25CAD12A" w14:textId="77777777" w:rsidR="00F4205D" w:rsidRDefault="00F4205D" w:rsidP="00AE0023">
            <w:pPr>
              <w:pStyle w:val="TableTextCentered2"/>
              <w:spacing w:before="10" w:after="10"/>
            </w:pPr>
            <w:r>
              <w:t>0.6</w:t>
            </w:r>
          </w:p>
        </w:tc>
      </w:tr>
    </w:tbl>
    <w:p w14:paraId="6EC3734D" w14:textId="77777777" w:rsidR="00AE0023" w:rsidRDefault="00AE0023" w:rsidP="00AE0023">
      <w:pPr>
        <w:pStyle w:val="SingleParagraph"/>
      </w:pPr>
    </w:p>
    <w:p w14:paraId="1D31273C" w14:textId="77777777" w:rsidR="00E838B2" w:rsidRDefault="00E838B2" w:rsidP="000733CF">
      <w:pPr>
        <w:pStyle w:val="TableMainHeading"/>
        <w:jc w:val="center"/>
        <w:rPr>
          <w:rFonts w:asciiTheme="minorHAnsi" w:hAnsiTheme="minorHAnsi" w:cstheme="minorHAnsi"/>
        </w:rPr>
      </w:pPr>
      <w:r w:rsidRPr="00A12683">
        <w:rPr>
          <w:rFonts w:asciiTheme="minorHAnsi" w:hAnsiTheme="minorHAnsi" w:cstheme="minorHAnsi"/>
        </w:rPr>
        <w:t xml:space="preserve">Table </w:t>
      </w:r>
      <w:r w:rsidRPr="00A12683">
        <w:rPr>
          <w:rFonts w:asciiTheme="minorHAnsi" w:hAnsiTheme="minorHAnsi" w:cstheme="minorHAnsi"/>
        </w:rPr>
        <w:fldChar w:fldCharType="begin"/>
      </w:r>
      <w:r w:rsidRPr="00A12683">
        <w:rPr>
          <w:rFonts w:asciiTheme="minorHAnsi" w:hAnsiTheme="minorHAnsi" w:cstheme="minorHAnsi"/>
        </w:rPr>
        <w:instrText xml:space="preserve"> SEQ Table \* ARABIC </w:instrText>
      </w:r>
      <w:r w:rsidRPr="00A12683">
        <w:rPr>
          <w:rFonts w:asciiTheme="minorHAnsi" w:hAnsiTheme="minorHAnsi" w:cstheme="minorHAnsi"/>
        </w:rPr>
        <w:fldChar w:fldCharType="separate"/>
      </w:r>
      <w:r w:rsidR="00C97912">
        <w:rPr>
          <w:rFonts w:asciiTheme="minorHAnsi" w:hAnsiTheme="minorHAnsi" w:cstheme="minorHAnsi"/>
          <w:noProof/>
        </w:rPr>
        <w:t>8</w:t>
      </w:r>
      <w:r w:rsidRPr="00A12683">
        <w:rPr>
          <w:rFonts w:asciiTheme="minorHAnsi" w:hAnsiTheme="minorHAnsi" w:cstheme="minorHAnsi"/>
          <w:noProof/>
        </w:rPr>
        <w:fldChar w:fldCharType="end"/>
      </w:r>
      <w:r w:rsidRPr="00A12683">
        <w:rPr>
          <w:rFonts w:asciiTheme="minorHAnsi" w:hAnsiTheme="minorHAnsi" w:cstheme="minorHAnsi"/>
        </w:rPr>
        <w:t xml:space="preserve">: </w:t>
      </w:r>
      <w:r w:rsidRPr="009B528D">
        <w:t>Sensitivity analysis – Capital-labour substitution</w:t>
      </w:r>
    </w:p>
    <w:tbl>
      <w:tblPr>
        <w:tblW w:w="13341" w:type="dxa"/>
        <w:jc w:val="center"/>
        <w:tblInd w:w="93" w:type="dxa"/>
        <w:tblLook w:val="04A0" w:firstRow="1" w:lastRow="0" w:firstColumn="1" w:lastColumn="0" w:noHBand="0" w:noVBand="1"/>
      </w:tblPr>
      <w:tblGrid>
        <w:gridCol w:w="2260"/>
        <w:gridCol w:w="1227"/>
        <w:gridCol w:w="1232"/>
        <w:gridCol w:w="1231"/>
        <w:gridCol w:w="1232"/>
        <w:gridCol w:w="1232"/>
        <w:gridCol w:w="1260"/>
        <w:gridCol w:w="1204"/>
        <w:gridCol w:w="1231"/>
        <w:gridCol w:w="1232"/>
      </w:tblGrid>
      <w:tr w:rsidR="00E838B2" w:rsidRPr="00DD28A5" w14:paraId="10BCE00E" w14:textId="77777777" w:rsidTr="000733CF">
        <w:trPr>
          <w:trHeight w:val="177"/>
          <w:jc w:val="center"/>
        </w:trPr>
        <w:tc>
          <w:tcPr>
            <w:tcW w:w="2260" w:type="dxa"/>
            <w:tcBorders>
              <w:top w:val="single" w:sz="4" w:space="0" w:color="auto"/>
              <w:left w:val="nil"/>
              <w:bottom w:val="nil"/>
              <w:right w:val="nil"/>
            </w:tcBorders>
            <w:shd w:val="clear" w:color="000000" w:fill="FFFFFF"/>
            <w:noWrap/>
            <w:vAlign w:val="bottom"/>
            <w:hideMark/>
          </w:tcPr>
          <w:p w14:paraId="01BAF980" w14:textId="77777777" w:rsidR="00E838B2" w:rsidRPr="00DD28A5" w:rsidRDefault="00E838B2" w:rsidP="00F875D2">
            <w:pPr>
              <w:spacing w:after="0" w:line="240" w:lineRule="auto"/>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3690" w:type="dxa"/>
            <w:gridSpan w:val="3"/>
            <w:tcBorders>
              <w:top w:val="single" w:sz="4" w:space="0" w:color="auto"/>
              <w:left w:val="nil"/>
              <w:bottom w:val="nil"/>
              <w:right w:val="single" w:sz="4" w:space="0" w:color="000000"/>
            </w:tcBorders>
            <w:shd w:val="clear" w:color="000000" w:fill="FFFFFF"/>
            <w:noWrap/>
            <w:vAlign w:val="bottom"/>
            <w:hideMark/>
          </w:tcPr>
          <w:p w14:paraId="7D0248A9" w14:textId="77777777" w:rsidR="00E838B2" w:rsidRPr="00DD28A5" w:rsidRDefault="00E838B2" w:rsidP="00F875D2">
            <w:pPr>
              <w:pStyle w:val="TableColumnHeadingCentred2a"/>
            </w:pPr>
            <w:r w:rsidRPr="00DD28A5">
              <w:t>Low elasticity (0.</w:t>
            </w:r>
            <w:r w:rsidR="00A94150">
              <w:t>4</w:t>
            </w:r>
            <w:r w:rsidRPr="00DD28A5">
              <w:t>)</w:t>
            </w:r>
          </w:p>
        </w:tc>
        <w:tc>
          <w:tcPr>
            <w:tcW w:w="3724" w:type="dxa"/>
            <w:gridSpan w:val="3"/>
            <w:tcBorders>
              <w:top w:val="single" w:sz="4" w:space="0" w:color="auto"/>
              <w:left w:val="nil"/>
              <w:bottom w:val="nil"/>
              <w:right w:val="single" w:sz="4" w:space="0" w:color="000000"/>
            </w:tcBorders>
            <w:shd w:val="clear" w:color="000000" w:fill="FFFFFF"/>
            <w:noWrap/>
            <w:vAlign w:val="bottom"/>
            <w:hideMark/>
          </w:tcPr>
          <w:p w14:paraId="5BAA7F32" w14:textId="77777777" w:rsidR="00E838B2" w:rsidRPr="00DD28A5" w:rsidRDefault="00E838B2" w:rsidP="00F875D2">
            <w:pPr>
              <w:pStyle w:val="TableColumnHeadingCentred2a"/>
            </w:pPr>
            <w:r w:rsidRPr="00DD28A5">
              <w:t>Base case (</w:t>
            </w:r>
            <w:r w:rsidR="00A94150">
              <w:t>0.9</w:t>
            </w:r>
            <w:r w:rsidRPr="00DD28A5">
              <w:t>)</w:t>
            </w:r>
          </w:p>
        </w:tc>
        <w:tc>
          <w:tcPr>
            <w:tcW w:w="3667" w:type="dxa"/>
            <w:gridSpan w:val="3"/>
            <w:tcBorders>
              <w:top w:val="single" w:sz="4" w:space="0" w:color="auto"/>
              <w:left w:val="nil"/>
              <w:bottom w:val="nil"/>
              <w:right w:val="nil"/>
            </w:tcBorders>
            <w:shd w:val="clear" w:color="000000" w:fill="FFFFFF"/>
            <w:noWrap/>
            <w:vAlign w:val="bottom"/>
            <w:hideMark/>
          </w:tcPr>
          <w:p w14:paraId="36DE7F0D" w14:textId="77777777" w:rsidR="00E838B2" w:rsidRPr="00DD28A5" w:rsidRDefault="00E838B2" w:rsidP="00F875D2">
            <w:pPr>
              <w:pStyle w:val="TableColumnHeadingCentred2a"/>
            </w:pPr>
            <w:r w:rsidRPr="00DD28A5">
              <w:t>High elasticity (</w:t>
            </w:r>
            <w:r w:rsidR="00A94150">
              <w:t>1.4</w:t>
            </w:r>
            <w:r w:rsidRPr="00DD28A5">
              <w:t>)</w:t>
            </w:r>
          </w:p>
        </w:tc>
      </w:tr>
      <w:tr w:rsidR="00E838B2" w:rsidRPr="00DD28A5" w14:paraId="1BC990A5" w14:textId="77777777" w:rsidTr="000733CF">
        <w:trPr>
          <w:trHeight w:val="405"/>
          <w:jc w:val="center"/>
        </w:trPr>
        <w:tc>
          <w:tcPr>
            <w:tcW w:w="2260" w:type="dxa"/>
            <w:tcBorders>
              <w:top w:val="nil"/>
              <w:left w:val="nil"/>
              <w:bottom w:val="single" w:sz="4" w:space="0" w:color="auto"/>
              <w:right w:val="nil"/>
            </w:tcBorders>
            <w:shd w:val="clear" w:color="000000" w:fill="FFFFFF"/>
            <w:noWrap/>
            <w:vAlign w:val="bottom"/>
            <w:hideMark/>
          </w:tcPr>
          <w:p w14:paraId="38EC33C1" w14:textId="77777777" w:rsidR="00E838B2" w:rsidRPr="00DD28A5" w:rsidRDefault="00E838B2" w:rsidP="00F875D2">
            <w:pPr>
              <w:spacing w:after="0" w:line="240" w:lineRule="auto"/>
              <w:rPr>
                <w:rFonts w:eastAsia="Times New Roman" w:cs="Times New Roman"/>
                <w:color w:val="000000"/>
                <w:sz w:val="18"/>
                <w:szCs w:val="18"/>
                <w:lang w:eastAsia="en-AU"/>
              </w:rPr>
            </w:pPr>
            <w:r w:rsidRPr="00DD28A5">
              <w:rPr>
                <w:rFonts w:eastAsia="Times New Roman" w:cs="Times New Roman"/>
                <w:color w:val="000000"/>
                <w:sz w:val="18"/>
                <w:szCs w:val="18"/>
                <w:lang w:eastAsia="en-AU"/>
              </w:rPr>
              <w:t> </w:t>
            </w:r>
          </w:p>
        </w:tc>
        <w:tc>
          <w:tcPr>
            <w:tcW w:w="1227" w:type="dxa"/>
            <w:tcBorders>
              <w:top w:val="nil"/>
              <w:left w:val="nil"/>
              <w:bottom w:val="single" w:sz="4" w:space="0" w:color="auto"/>
              <w:right w:val="nil"/>
            </w:tcBorders>
            <w:shd w:val="clear" w:color="000000" w:fill="FFFFFF"/>
            <w:vAlign w:val="center"/>
            <w:hideMark/>
          </w:tcPr>
          <w:p w14:paraId="588A5591"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4E018F71" w14:textId="77777777" w:rsidR="00E838B2" w:rsidRPr="00DD28A5" w:rsidRDefault="00E838B2" w:rsidP="00F875D2">
            <w:pPr>
              <w:pStyle w:val="TableColumnHeadingCentred2"/>
            </w:pPr>
            <w:r w:rsidRPr="00DD28A5">
              <w:t>PIT</w:t>
            </w:r>
          </w:p>
        </w:tc>
        <w:tc>
          <w:tcPr>
            <w:tcW w:w="1231" w:type="dxa"/>
            <w:tcBorders>
              <w:top w:val="nil"/>
              <w:left w:val="nil"/>
              <w:bottom w:val="single" w:sz="4" w:space="0" w:color="auto"/>
              <w:right w:val="single" w:sz="4" w:space="0" w:color="auto"/>
            </w:tcBorders>
            <w:shd w:val="clear" w:color="000000" w:fill="FFFFFF"/>
            <w:vAlign w:val="center"/>
            <w:hideMark/>
          </w:tcPr>
          <w:p w14:paraId="2CE8ADE1" w14:textId="4088A117" w:rsidR="00E838B2" w:rsidRPr="00DD28A5" w:rsidRDefault="00AE0023" w:rsidP="00AE0023">
            <w:pPr>
              <w:pStyle w:val="TableColumnHeadingCentred2"/>
            </w:pPr>
            <w:r w:rsidRPr="00DD28A5">
              <w:t>Gov</w:t>
            </w:r>
            <w:r>
              <w:t xml:space="preserve">ernment </w:t>
            </w:r>
            <w:r w:rsidRPr="00BA45D5">
              <w:t>spending</w:t>
            </w:r>
          </w:p>
        </w:tc>
        <w:tc>
          <w:tcPr>
            <w:tcW w:w="1232" w:type="dxa"/>
            <w:tcBorders>
              <w:top w:val="nil"/>
              <w:left w:val="nil"/>
              <w:bottom w:val="single" w:sz="4" w:space="0" w:color="auto"/>
              <w:right w:val="nil"/>
            </w:tcBorders>
            <w:shd w:val="clear" w:color="000000" w:fill="FFFFFF"/>
            <w:vAlign w:val="center"/>
            <w:hideMark/>
          </w:tcPr>
          <w:p w14:paraId="756363AE" w14:textId="77777777" w:rsidR="00E838B2" w:rsidRPr="00DD28A5" w:rsidRDefault="00E838B2" w:rsidP="00F875D2">
            <w:pPr>
              <w:pStyle w:val="TableColumnHeadingCentred2"/>
            </w:pPr>
            <w:r w:rsidRPr="00DD28A5">
              <w:t>Lump-sum</w:t>
            </w:r>
          </w:p>
        </w:tc>
        <w:tc>
          <w:tcPr>
            <w:tcW w:w="1232" w:type="dxa"/>
            <w:tcBorders>
              <w:top w:val="nil"/>
              <w:left w:val="nil"/>
              <w:bottom w:val="single" w:sz="4" w:space="0" w:color="auto"/>
              <w:right w:val="nil"/>
            </w:tcBorders>
            <w:shd w:val="clear" w:color="000000" w:fill="FFFFFF"/>
            <w:vAlign w:val="center"/>
            <w:hideMark/>
          </w:tcPr>
          <w:p w14:paraId="00F40D57" w14:textId="77777777" w:rsidR="00E838B2" w:rsidRPr="00DD28A5" w:rsidRDefault="00E838B2" w:rsidP="00F875D2">
            <w:pPr>
              <w:pStyle w:val="TableColumnHeadingCentred2"/>
            </w:pPr>
            <w:r w:rsidRPr="00DD28A5">
              <w:t>PIT</w:t>
            </w:r>
          </w:p>
        </w:tc>
        <w:tc>
          <w:tcPr>
            <w:tcW w:w="1260" w:type="dxa"/>
            <w:tcBorders>
              <w:top w:val="nil"/>
              <w:left w:val="nil"/>
              <w:bottom w:val="single" w:sz="4" w:space="0" w:color="auto"/>
              <w:right w:val="single" w:sz="4" w:space="0" w:color="auto"/>
            </w:tcBorders>
            <w:shd w:val="clear" w:color="000000" w:fill="FFFFFF"/>
            <w:vAlign w:val="center"/>
            <w:hideMark/>
          </w:tcPr>
          <w:p w14:paraId="2DB07123" w14:textId="0B559013" w:rsidR="00E838B2" w:rsidRPr="00DD28A5" w:rsidRDefault="00AE0023" w:rsidP="00AE0023">
            <w:pPr>
              <w:pStyle w:val="TableColumnHeadingCentred2"/>
            </w:pPr>
            <w:r w:rsidRPr="00DD28A5">
              <w:t>Gov</w:t>
            </w:r>
            <w:r>
              <w:t xml:space="preserve">ernment </w:t>
            </w:r>
            <w:r w:rsidRPr="00BA45D5">
              <w:t>spending</w:t>
            </w:r>
          </w:p>
        </w:tc>
        <w:tc>
          <w:tcPr>
            <w:tcW w:w="1204" w:type="dxa"/>
            <w:tcBorders>
              <w:top w:val="nil"/>
              <w:left w:val="nil"/>
              <w:bottom w:val="single" w:sz="4" w:space="0" w:color="auto"/>
              <w:right w:val="nil"/>
            </w:tcBorders>
            <w:shd w:val="clear" w:color="000000" w:fill="FFFFFF"/>
            <w:vAlign w:val="center"/>
            <w:hideMark/>
          </w:tcPr>
          <w:p w14:paraId="64F11DD6" w14:textId="77777777" w:rsidR="00E838B2" w:rsidRPr="00DD28A5" w:rsidRDefault="00E838B2" w:rsidP="00F875D2">
            <w:pPr>
              <w:pStyle w:val="TableColumnHeadingCentred2"/>
            </w:pPr>
            <w:r w:rsidRPr="00DD28A5">
              <w:t>Lump-sum</w:t>
            </w:r>
          </w:p>
        </w:tc>
        <w:tc>
          <w:tcPr>
            <w:tcW w:w="1231" w:type="dxa"/>
            <w:tcBorders>
              <w:top w:val="nil"/>
              <w:left w:val="nil"/>
              <w:bottom w:val="single" w:sz="4" w:space="0" w:color="auto"/>
              <w:right w:val="nil"/>
            </w:tcBorders>
            <w:shd w:val="clear" w:color="000000" w:fill="FFFFFF"/>
            <w:vAlign w:val="center"/>
            <w:hideMark/>
          </w:tcPr>
          <w:p w14:paraId="11128315" w14:textId="77777777" w:rsidR="00E838B2" w:rsidRPr="00DD28A5" w:rsidRDefault="00E838B2" w:rsidP="00F875D2">
            <w:pPr>
              <w:pStyle w:val="TableColumnHeadingCentred2"/>
            </w:pPr>
            <w:r w:rsidRPr="00DD28A5">
              <w:t>PIT</w:t>
            </w:r>
          </w:p>
        </w:tc>
        <w:tc>
          <w:tcPr>
            <w:tcW w:w="1232" w:type="dxa"/>
            <w:tcBorders>
              <w:top w:val="nil"/>
              <w:left w:val="nil"/>
              <w:bottom w:val="single" w:sz="4" w:space="0" w:color="auto"/>
              <w:right w:val="nil"/>
            </w:tcBorders>
            <w:shd w:val="clear" w:color="000000" w:fill="FFFFFF"/>
            <w:vAlign w:val="center"/>
            <w:hideMark/>
          </w:tcPr>
          <w:p w14:paraId="0E3B80D1" w14:textId="77C71F00" w:rsidR="00E838B2" w:rsidRPr="00DD28A5" w:rsidRDefault="00AE0023" w:rsidP="00AE0023">
            <w:pPr>
              <w:pStyle w:val="TableColumnHeadingCentred2"/>
            </w:pPr>
            <w:r w:rsidRPr="00DD28A5">
              <w:t>Gov</w:t>
            </w:r>
            <w:r>
              <w:t xml:space="preserve">ernment </w:t>
            </w:r>
            <w:r w:rsidRPr="00BA45D5">
              <w:t>spending</w:t>
            </w:r>
          </w:p>
        </w:tc>
      </w:tr>
      <w:tr w:rsidR="00F4205D" w:rsidRPr="00DD28A5" w14:paraId="03E2DFB9" w14:textId="77777777" w:rsidTr="000733CF">
        <w:trPr>
          <w:trHeight w:val="176"/>
          <w:jc w:val="center"/>
        </w:trPr>
        <w:tc>
          <w:tcPr>
            <w:tcW w:w="2260" w:type="dxa"/>
            <w:tcBorders>
              <w:top w:val="nil"/>
              <w:left w:val="nil"/>
              <w:bottom w:val="nil"/>
              <w:right w:val="nil"/>
            </w:tcBorders>
            <w:shd w:val="clear" w:color="000000" w:fill="FFFFFF"/>
            <w:noWrap/>
            <w:vAlign w:val="bottom"/>
            <w:hideMark/>
          </w:tcPr>
          <w:p w14:paraId="1EBEBEB1" w14:textId="77777777" w:rsidR="00F4205D" w:rsidRDefault="00F4205D" w:rsidP="00AE0023">
            <w:pPr>
              <w:pStyle w:val="TableTextLeft2"/>
              <w:spacing w:before="10" w:after="10" w:line="240" w:lineRule="auto"/>
            </w:pPr>
            <w:r>
              <w:t>Real GDP</w:t>
            </w:r>
          </w:p>
        </w:tc>
        <w:tc>
          <w:tcPr>
            <w:tcW w:w="1227" w:type="dxa"/>
            <w:tcBorders>
              <w:top w:val="nil"/>
              <w:left w:val="nil"/>
              <w:bottom w:val="nil"/>
              <w:right w:val="nil"/>
            </w:tcBorders>
            <w:shd w:val="clear" w:color="000000" w:fill="FFFFFF"/>
            <w:noWrap/>
            <w:vAlign w:val="center"/>
            <w:hideMark/>
          </w:tcPr>
          <w:p w14:paraId="16A66159" w14:textId="77777777" w:rsidR="00F4205D" w:rsidRDefault="00F4205D" w:rsidP="00AE0023">
            <w:pPr>
              <w:pStyle w:val="TableTextCentered2"/>
              <w:spacing w:before="10" w:after="10"/>
            </w:pPr>
            <w:r>
              <w:t>1.0</w:t>
            </w:r>
          </w:p>
        </w:tc>
        <w:tc>
          <w:tcPr>
            <w:tcW w:w="1232" w:type="dxa"/>
            <w:tcBorders>
              <w:top w:val="nil"/>
              <w:left w:val="nil"/>
              <w:bottom w:val="nil"/>
              <w:right w:val="nil"/>
            </w:tcBorders>
            <w:shd w:val="clear" w:color="000000" w:fill="FFFFFF"/>
            <w:noWrap/>
            <w:vAlign w:val="center"/>
            <w:hideMark/>
          </w:tcPr>
          <w:p w14:paraId="07F14D08" w14:textId="77777777" w:rsidR="00F4205D" w:rsidRDefault="00F4205D" w:rsidP="00AE0023">
            <w:pPr>
              <w:pStyle w:val="TableTextCentered2"/>
              <w:spacing w:before="10" w:after="10"/>
            </w:pPr>
            <w:r>
              <w:t>0.8</w:t>
            </w:r>
          </w:p>
        </w:tc>
        <w:tc>
          <w:tcPr>
            <w:tcW w:w="1231" w:type="dxa"/>
            <w:tcBorders>
              <w:top w:val="nil"/>
              <w:left w:val="nil"/>
              <w:bottom w:val="nil"/>
              <w:right w:val="single" w:sz="4" w:space="0" w:color="auto"/>
            </w:tcBorders>
            <w:shd w:val="clear" w:color="000000" w:fill="FFFFFF"/>
            <w:noWrap/>
            <w:vAlign w:val="center"/>
            <w:hideMark/>
          </w:tcPr>
          <w:p w14:paraId="4F24DA23" w14:textId="77777777" w:rsidR="00F4205D" w:rsidRDefault="00F4205D" w:rsidP="00AE0023">
            <w:pPr>
              <w:pStyle w:val="TableTextCentered2"/>
              <w:spacing w:before="10" w:after="10"/>
            </w:pPr>
            <w:r>
              <w:t>0.9</w:t>
            </w:r>
          </w:p>
        </w:tc>
        <w:tc>
          <w:tcPr>
            <w:tcW w:w="1232" w:type="dxa"/>
            <w:tcBorders>
              <w:top w:val="nil"/>
              <w:left w:val="nil"/>
              <w:bottom w:val="nil"/>
              <w:right w:val="nil"/>
            </w:tcBorders>
            <w:shd w:val="clear" w:color="000000" w:fill="FFFFFF"/>
            <w:noWrap/>
            <w:vAlign w:val="center"/>
            <w:hideMark/>
          </w:tcPr>
          <w:p w14:paraId="53D14D53"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1F90567A" w14:textId="77777777" w:rsidR="00F4205D" w:rsidRDefault="00F4205D" w:rsidP="00AE0023">
            <w:pPr>
              <w:pStyle w:val="TableTextCentered2"/>
              <w:spacing w:before="10" w:after="10"/>
            </w:pPr>
            <w:r>
              <w:t>1.0</w:t>
            </w:r>
          </w:p>
        </w:tc>
        <w:tc>
          <w:tcPr>
            <w:tcW w:w="1260" w:type="dxa"/>
            <w:tcBorders>
              <w:top w:val="nil"/>
              <w:left w:val="nil"/>
              <w:bottom w:val="nil"/>
              <w:right w:val="single" w:sz="4" w:space="0" w:color="auto"/>
            </w:tcBorders>
            <w:shd w:val="clear" w:color="000000" w:fill="FFFFFF"/>
            <w:noWrap/>
            <w:vAlign w:val="center"/>
            <w:hideMark/>
          </w:tcPr>
          <w:p w14:paraId="7F523A51"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109437E1" w14:textId="77777777" w:rsidR="00F4205D" w:rsidRDefault="00F4205D" w:rsidP="00AE0023">
            <w:pPr>
              <w:pStyle w:val="TableTextCentered2"/>
              <w:spacing w:before="10" w:after="10"/>
            </w:pPr>
            <w:r>
              <w:t>1.4</w:t>
            </w:r>
          </w:p>
        </w:tc>
        <w:tc>
          <w:tcPr>
            <w:tcW w:w="1231" w:type="dxa"/>
            <w:tcBorders>
              <w:top w:val="nil"/>
              <w:left w:val="nil"/>
              <w:bottom w:val="nil"/>
              <w:right w:val="nil"/>
            </w:tcBorders>
            <w:shd w:val="clear" w:color="000000" w:fill="FFFFFF"/>
            <w:noWrap/>
            <w:vAlign w:val="center"/>
            <w:hideMark/>
          </w:tcPr>
          <w:p w14:paraId="21306F5C"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5A2CCDE0" w14:textId="77777777" w:rsidR="00F4205D" w:rsidRDefault="00F4205D" w:rsidP="00AE0023">
            <w:pPr>
              <w:pStyle w:val="TableTextCentered2"/>
              <w:spacing w:before="10" w:after="10"/>
            </w:pPr>
            <w:r>
              <w:t>1.3</w:t>
            </w:r>
          </w:p>
        </w:tc>
      </w:tr>
      <w:tr w:rsidR="00F4205D" w:rsidRPr="00DD28A5" w14:paraId="0FB4DD90" w14:textId="77777777" w:rsidTr="000733CF">
        <w:trPr>
          <w:trHeight w:val="89"/>
          <w:jc w:val="center"/>
        </w:trPr>
        <w:tc>
          <w:tcPr>
            <w:tcW w:w="2260" w:type="dxa"/>
            <w:tcBorders>
              <w:top w:val="nil"/>
              <w:left w:val="nil"/>
              <w:bottom w:val="nil"/>
              <w:right w:val="nil"/>
            </w:tcBorders>
            <w:shd w:val="clear" w:color="000000" w:fill="FFFFFF"/>
            <w:noWrap/>
            <w:vAlign w:val="bottom"/>
            <w:hideMark/>
          </w:tcPr>
          <w:p w14:paraId="31AD6B6A" w14:textId="77777777" w:rsidR="00F4205D" w:rsidRDefault="00F4205D" w:rsidP="00AE0023">
            <w:pPr>
              <w:pStyle w:val="TableTextLeft2"/>
              <w:spacing w:before="10" w:after="10" w:line="240" w:lineRule="auto"/>
            </w:pPr>
            <w:r>
              <w:t>Real GNI (GNE deflator)</w:t>
            </w:r>
          </w:p>
        </w:tc>
        <w:tc>
          <w:tcPr>
            <w:tcW w:w="1227" w:type="dxa"/>
            <w:tcBorders>
              <w:top w:val="nil"/>
              <w:left w:val="nil"/>
              <w:bottom w:val="nil"/>
              <w:right w:val="nil"/>
            </w:tcBorders>
            <w:shd w:val="clear" w:color="000000" w:fill="FFFFFF"/>
            <w:noWrap/>
            <w:vAlign w:val="center"/>
            <w:hideMark/>
          </w:tcPr>
          <w:p w14:paraId="64FE859E" w14:textId="77777777" w:rsidR="00F4205D" w:rsidRDefault="00F4205D" w:rsidP="00AE0023">
            <w:pPr>
              <w:pStyle w:val="TableTextCentered2"/>
              <w:spacing w:before="10" w:after="10"/>
            </w:pPr>
            <w:r>
              <w:t>0.7</w:t>
            </w:r>
          </w:p>
        </w:tc>
        <w:tc>
          <w:tcPr>
            <w:tcW w:w="1232" w:type="dxa"/>
            <w:tcBorders>
              <w:top w:val="nil"/>
              <w:left w:val="nil"/>
              <w:bottom w:val="nil"/>
              <w:right w:val="nil"/>
            </w:tcBorders>
            <w:shd w:val="clear" w:color="000000" w:fill="FFFFFF"/>
            <w:noWrap/>
            <w:vAlign w:val="center"/>
            <w:hideMark/>
          </w:tcPr>
          <w:p w14:paraId="1358DC83" w14:textId="77777777" w:rsidR="00F4205D" w:rsidRDefault="00F4205D" w:rsidP="00AE0023">
            <w:pPr>
              <w:pStyle w:val="TableTextCentered2"/>
              <w:spacing w:before="10" w:after="10"/>
            </w:pPr>
            <w:r>
              <w:t>0.4</w:t>
            </w:r>
          </w:p>
        </w:tc>
        <w:tc>
          <w:tcPr>
            <w:tcW w:w="1231" w:type="dxa"/>
            <w:tcBorders>
              <w:top w:val="nil"/>
              <w:left w:val="nil"/>
              <w:bottom w:val="nil"/>
              <w:right w:val="single" w:sz="4" w:space="0" w:color="auto"/>
            </w:tcBorders>
            <w:shd w:val="clear" w:color="000000" w:fill="FFFFFF"/>
            <w:noWrap/>
            <w:vAlign w:val="center"/>
            <w:hideMark/>
          </w:tcPr>
          <w:p w14:paraId="53104676" w14:textId="77777777" w:rsidR="00F4205D" w:rsidRDefault="00F4205D"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326BF18A" w14:textId="77777777" w:rsidR="00F4205D" w:rsidRDefault="00F4205D" w:rsidP="00AE0023">
            <w:pPr>
              <w:pStyle w:val="TableTextCentered2"/>
              <w:spacing w:before="10" w:after="10"/>
            </w:pPr>
            <w:r>
              <w:t>0.8</w:t>
            </w:r>
          </w:p>
        </w:tc>
        <w:tc>
          <w:tcPr>
            <w:tcW w:w="1232" w:type="dxa"/>
            <w:tcBorders>
              <w:top w:val="nil"/>
              <w:left w:val="nil"/>
              <w:bottom w:val="nil"/>
              <w:right w:val="nil"/>
            </w:tcBorders>
            <w:shd w:val="clear" w:color="000000" w:fill="FFFFFF"/>
            <w:noWrap/>
            <w:vAlign w:val="center"/>
            <w:hideMark/>
          </w:tcPr>
          <w:p w14:paraId="721DF859" w14:textId="77777777" w:rsidR="00F4205D" w:rsidRDefault="00F4205D" w:rsidP="00AE0023">
            <w:pPr>
              <w:pStyle w:val="TableTextCentered2"/>
              <w:spacing w:before="10" w:after="10"/>
            </w:pPr>
            <w:r>
              <w:t>0.6</w:t>
            </w:r>
          </w:p>
        </w:tc>
        <w:tc>
          <w:tcPr>
            <w:tcW w:w="1260" w:type="dxa"/>
            <w:tcBorders>
              <w:top w:val="nil"/>
              <w:left w:val="nil"/>
              <w:bottom w:val="nil"/>
              <w:right w:val="single" w:sz="4" w:space="0" w:color="auto"/>
            </w:tcBorders>
            <w:shd w:val="clear" w:color="000000" w:fill="FFFFFF"/>
            <w:noWrap/>
            <w:vAlign w:val="center"/>
            <w:hideMark/>
          </w:tcPr>
          <w:p w14:paraId="02CD5789" w14:textId="77777777" w:rsidR="00F4205D" w:rsidRDefault="00F4205D" w:rsidP="00AE0023">
            <w:pPr>
              <w:pStyle w:val="TableTextCentered2"/>
              <w:spacing w:before="10" w:after="10"/>
            </w:pPr>
            <w:r>
              <w:t>0.7</w:t>
            </w:r>
          </w:p>
        </w:tc>
        <w:tc>
          <w:tcPr>
            <w:tcW w:w="1204" w:type="dxa"/>
            <w:tcBorders>
              <w:top w:val="nil"/>
              <w:left w:val="nil"/>
              <w:bottom w:val="nil"/>
              <w:right w:val="nil"/>
            </w:tcBorders>
            <w:shd w:val="clear" w:color="000000" w:fill="FFFFFF"/>
            <w:noWrap/>
            <w:vAlign w:val="center"/>
            <w:hideMark/>
          </w:tcPr>
          <w:p w14:paraId="1AA3D726" w14:textId="77777777" w:rsidR="00F4205D" w:rsidRDefault="00F4205D" w:rsidP="00AE0023">
            <w:pPr>
              <w:pStyle w:val="TableTextCentered2"/>
              <w:spacing w:before="10" w:after="10"/>
            </w:pPr>
            <w:r>
              <w:t>0.9</w:t>
            </w:r>
          </w:p>
        </w:tc>
        <w:tc>
          <w:tcPr>
            <w:tcW w:w="1231" w:type="dxa"/>
            <w:tcBorders>
              <w:top w:val="nil"/>
              <w:left w:val="nil"/>
              <w:bottom w:val="nil"/>
              <w:right w:val="nil"/>
            </w:tcBorders>
            <w:shd w:val="clear" w:color="000000" w:fill="FFFFFF"/>
            <w:noWrap/>
            <w:vAlign w:val="center"/>
            <w:hideMark/>
          </w:tcPr>
          <w:p w14:paraId="1A817F03" w14:textId="77777777" w:rsidR="00F4205D" w:rsidRDefault="00F4205D" w:rsidP="00AE0023">
            <w:pPr>
              <w:pStyle w:val="TableTextCentered2"/>
              <w:spacing w:before="10" w:after="10"/>
            </w:pPr>
            <w:r>
              <w:t>0.7</w:t>
            </w:r>
          </w:p>
        </w:tc>
        <w:tc>
          <w:tcPr>
            <w:tcW w:w="1232" w:type="dxa"/>
            <w:tcBorders>
              <w:top w:val="nil"/>
              <w:left w:val="nil"/>
              <w:bottom w:val="nil"/>
              <w:right w:val="nil"/>
            </w:tcBorders>
            <w:shd w:val="clear" w:color="000000" w:fill="FFFFFF"/>
            <w:noWrap/>
            <w:vAlign w:val="center"/>
            <w:hideMark/>
          </w:tcPr>
          <w:p w14:paraId="74F25507" w14:textId="77777777" w:rsidR="00F4205D" w:rsidRDefault="00F4205D" w:rsidP="00AE0023">
            <w:pPr>
              <w:pStyle w:val="TableTextCentered2"/>
              <w:spacing w:before="10" w:after="10"/>
            </w:pPr>
            <w:r>
              <w:t>0.8</w:t>
            </w:r>
          </w:p>
        </w:tc>
      </w:tr>
      <w:tr w:rsidR="00F4205D" w:rsidRPr="00DD28A5" w14:paraId="187C094E" w14:textId="77777777" w:rsidTr="000733CF">
        <w:trPr>
          <w:trHeight w:val="102"/>
          <w:jc w:val="center"/>
        </w:trPr>
        <w:tc>
          <w:tcPr>
            <w:tcW w:w="2260" w:type="dxa"/>
            <w:tcBorders>
              <w:top w:val="nil"/>
              <w:left w:val="nil"/>
              <w:bottom w:val="nil"/>
              <w:right w:val="nil"/>
            </w:tcBorders>
            <w:shd w:val="clear" w:color="000000" w:fill="FFFFFF"/>
            <w:noWrap/>
            <w:vAlign w:val="bottom"/>
            <w:hideMark/>
          </w:tcPr>
          <w:p w14:paraId="28A4A612" w14:textId="77777777" w:rsidR="00F4205D" w:rsidRDefault="00F4205D" w:rsidP="00F875D2">
            <w:pPr>
              <w:pStyle w:val="TableTextLeft2"/>
              <w:spacing w:line="240" w:lineRule="auto"/>
            </w:pPr>
            <w:r>
              <w:t> </w:t>
            </w:r>
          </w:p>
        </w:tc>
        <w:tc>
          <w:tcPr>
            <w:tcW w:w="1227" w:type="dxa"/>
            <w:tcBorders>
              <w:top w:val="nil"/>
              <w:left w:val="nil"/>
              <w:bottom w:val="nil"/>
              <w:right w:val="nil"/>
            </w:tcBorders>
            <w:shd w:val="clear" w:color="000000" w:fill="FFFFFF"/>
            <w:noWrap/>
            <w:vAlign w:val="center"/>
            <w:hideMark/>
          </w:tcPr>
          <w:p w14:paraId="4F83C253"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0CC2D66D" w14:textId="77777777" w:rsidR="00F4205D" w:rsidRDefault="00F4205D"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29A8D922"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4D9EB668"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5CC89171" w14:textId="77777777" w:rsidR="00F4205D" w:rsidRDefault="00F4205D" w:rsidP="00F875D2">
            <w:pPr>
              <w:pStyle w:val="TableTextCentered2"/>
            </w:pPr>
            <w:r>
              <w:t> </w:t>
            </w:r>
          </w:p>
        </w:tc>
        <w:tc>
          <w:tcPr>
            <w:tcW w:w="1260" w:type="dxa"/>
            <w:tcBorders>
              <w:top w:val="nil"/>
              <w:left w:val="nil"/>
              <w:bottom w:val="nil"/>
              <w:right w:val="single" w:sz="4" w:space="0" w:color="auto"/>
            </w:tcBorders>
            <w:shd w:val="clear" w:color="000000" w:fill="FFFFFF"/>
            <w:noWrap/>
            <w:vAlign w:val="center"/>
            <w:hideMark/>
          </w:tcPr>
          <w:p w14:paraId="158077D7" w14:textId="77777777" w:rsidR="00F4205D" w:rsidRDefault="00F4205D" w:rsidP="00F875D2">
            <w:pPr>
              <w:pStyle w:val="TableTextCentered2"/>
            </w:pPr>
            <w:r>
              <w:t> </w:t>
            </w:r>
          </w:p>
        </w:tc>
        <w:tc>
          <w:tcPr>
            <w:tcW w:w="1204" w:type="dxa"/>
            <w:tcBorders>
              <w:top w:val="nil"/>
              <w:left w:val="nil"/>
              <w:bottom w:val="nil"/>
              <w:right w:val="nil"/>
            </w:tcBorders>
            <w:shd w:val="clear" w:color="000000" w:fill="FFFFFF"/>
            <w:noWrap/>
            <w:vAlign w:val="center"/>
            <w:hideMark/>
          </w:tcPr>
          <w:p w14:paraId="7C823A22" w14:textId="77777777" w:rsidR="00F4205D" w:rsidRDefault="00F4205D" w:rsidP="00F875D2">
            <w:pPr>
              <w:pStyle w:val="TableTextCentered2"/>
            </w:pPr>
            <w:r>
              <w:t> </w:t>
            </w:r>
          </w:p>
        </w:tc>
        <w:tc>
          <w:tcPr>
            <w:tcW w:w="1231" w:type="dxa"/>
            <w:tcBorders>
              <w:top w:val="nil"/>
              <w:left w:val="nil"/>
              <w:bottom w:val="nil"/>
              <w:right w:val="nil"/>
            </w:tcBorders>
            <w:shd w:val="clear" w:color="000000" w:fill="FFFFFF"/>
            <w:noWrap/>
            <w:vAlign w:val="center"/>
            <w:hideMark/>
          </w:tcPr>
          <w:p w14:paraId="2AFD320C"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4E75CE66" w14:textId="77777777" w:rsidR="00F4205D" w:rsidRDefault="00F4205D" w:rsidP="00F875D2">
            <w:pPr>
              <w:pStyle w:val="TableTextCentered2"/>
            </w:pPr>
            <w:r>
              <w:t> </w:t>
            </w:r>
          </w:p>
        </w:tc>
      </w:tr>
      <w:tr w:rsidR="00F4205D" w:rsidRPr="00DD28A5" w14:paraId="3C15CBEE" w14:textId="77777777" w:rsidTr="000733CF">
        <w:trPr>
          <w:trHeight w:val="82"/>
          <w:jc w:val="center"/>
        </w:trPr>
        <w:tc>
          <w:tcPr>
            <w:tcW w:w="2260" w:type="dxa"/>
            <w:tcBorders>
              <w:top w:val="nil"/>
              <w:left w:val="nil"/>
              <w:bottom w:val="nil"/>
              <w:right w:val="nil"/>
            </w:tcBorders>
            <w:shd w:val="clear" w:color="000000" w:fill="FFFFFF"/>
            <w:noWrap/>
            <w:vAlign w:val="bottom"/>
            <w:hideMark/>
          </w:tcPr>
          <w:p w14:paraId="697DBE8A" w14:textId="77777777" w:rsidR="00F4205D" w:rsidRDefault="00F4205D" w:rsidP="00AE0023">
            <w:pPr>
              <w:pStyle w:val="TableTextLeft2"/>
              <w:spacing w:before="10" w:after="10" w:line="240" w:lineRule="auto"/>
            </w:pPr>
            <w:r>
              <w:t>Consumption</w:t>
            </w:r>
          </w:p>
        </w:tc>
        <w:tc>
          <w:tcPr>
            <w:tcW w:w="1227" w:type="dxa"/>
            <w:tcBorders>
              <w:top w:val="nil"/>
              <w:left w:val="nil"/>
              <w:bottom w:val="nil"/>
              <w:right w:val="nil"/>
            </w:tcBorders>
            <w:shd w:val="clear" w:color="000000" w:fill="FFFFFF"/>
            <w:noWrap/>
            <w:vAlign w:val="center"/>
            <w:hideMark/>
          </w:tcPr>
          <w:p w14:paraId="18039FBC" w14:textId="77777777" w:rsidR="00F4205D" w:rsidRDefault="00F4205D"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5E139C7A" w14:textId="77777777" w:rsidR="00F4205D" w:rsidRDefault="00F4205D" w:rsidP="00AE0023">
            <w:pPr>
              <w:pStyle w:val="TableTextCentered2"/>
              <w:spacing w:before="10" w:after="10"/>
            </w:pPr>
            <w:r>
              <w:t>0.2</w:t>
            </w:r>
          </w:p>
        </w:tc>
        <w:tc>
          <w:tcPr>
            <w:tcW w:w="1231" w:type="dxa"/>
            <w:tcBorders>
              <w:top w:val="nil"/>
              <w:left w:val="nil"/>
              <w:bottom w:val="nil"/>
              <w:right w:val="single" w:sz="4" w:space="0" w:color="auto"/>
            </w:tcBorders>
            <w:shd w:val="clear" w:color="000000" w:fill="FFFFFF"/>
            <w:noWrap/>
            <w:vAlign w:val="center"/>
            <w:hideMark/>
          </w:tcPr>
          <w:p w14:paraId="3166E277"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530AC985" w14:textId="77777777" w:rsidR="00F4205D" w:rsidRDefault="00F4205D" w:rsidP="00AE0023">
            <w:pPr>
              <w:pStyle w:val="TableTextCentered2"/>
              <w:spacing w:before="10" w:after="10"/>
            </w:pPr>
            <w:r>
              <w:t>0.6</w:t>
            </w:r>
          </w:p>
        </w:tc>
        <w:tc>
          <w:tcPr>
            <w:tcW w:w="1232" w:type="dxa"/>
            <w:tcBorders>
              <w:top w:val="nil"/>
              <w:left w:val="nil"/>
              <w:bottom w:val="nil"/>
              <w:right w:val="nil"/>
            </w:tcBorders>
            <w:shd w:val="clear" w:color="000000" w:fill="FFFFFF"/>
            <w:noWrap/>
            <w:vAlign w:val="center"/>
            <w:hideMark/>
          </w:tcPr>
          <w:p w14:paraId="5FE1C86F" w14:textId="77777777" w:rsidR="00F4205D" w:rsidRDefault="00F4205D" w:rsidP="00AE0023">
            <w:pPr>
              <w:pStyle w:val="TableTextCentered2"/>
              <w:spacing w:before="10" w:after="10"/>
            </w:pPr>
            <w:r>
              <w:t>0.3</w:t>
            </w:r>
          </w:p>
        </w:tc>
        <w:tc>
          <w:tcPr>
            <w:tcW w:w="1260" w:type="dxa"/>
            <w:tcBorders>
              <w:top w:val="nil"/>
              <w:left w:val="nil"/>
              <w:bottom w:val="nil"/>
              <w:right w:val="single" w:sz="4" w:space="0" w:color="auto"/>
            </w:tcBorders>
            <w:shd w:val="clear" w:color="000000" w:fill="FFFFFF"/>
            <w:noWrap/>
            <w:vAlign w:val="center"/>
            <w:hideMark/>
          </w:tcPr>
          <w:p w14:paraId="73D33159" w14:textId="77777777" w:rsidR="00F4205D" w:rsidRDefault="00F4205D" w:rsidP="00AE0023">
            <w:pPr>
              <w:pStyle w:val="TableTextCentered2"/>
              <w:spacing w:before="10" w:after="10"/>
            </w:pPr>
            <w:r>
              <w:t>1.0</w:t>
            </w:r>
          </w:p>
        </w:tc>
        <w:tc>
          <w:tcPr>
            <w:tcW w:w="1204" w:type="dxa"/>
            <w:tcBorders>
              <w:top w:val="nil"/>
              <w:left w:val="nil"/>
              <w:bottom w:val="nil"/>
              <w:right w:val="nil"/>
            </w:tcBorders>
            <w:shd w:val="clear" w:color="000000" w:fill="FFFFFF"/>
            <w:noWrap/>
            <w:vAlign w:val="center"/>
            <w:hideMark/>
          </w:tcPr>
          <w:p w14:paraId="08191A2C" w14:textId="77777777" w:rsidR="00F4205D" w:rsidRDefault="00F4205D" w:rsidP="00AE0023">
            <w:pPr>
              <w:pStyle w:val="TableTextCentered2"/>
              <w:spacing w:before="10" w:after="10"/>
            </w:pPr>
            <w:r>
              <w:t>0.6</w:t>
            </w:r>
          </w:p>
        </w:tc>
        <w:tc>
          <w:tcPr>
            <w:tcW w:w="1231" w:type="dxa"/>
            <w:tcBorders>
              <w:top w:val="nil"/>
              <w:left w:val="nil"/>
              <w:bottom w:val="nil"/>
              <w:right w:val="nil"/>
            </w:tcBorders>
            <w:shd w:val="clear" w:color="000000" w:fill="FFFFFF"/>
            <w:noWrap/>
            <w:vAlign w:val="center"/>
            <w:hideMark/>
          </w:tcPr>
          <w:p w14:paraId="460DC09B" w14:textId="77777777" w:rsidR="00F4205D" w:rsidRDefault="00F4205D" w:rsidP="00AE0023">
            <w:pPr>
              <w:pStyle w:val="TableTextCentered2"/>
              <w:spacing w:before="10" w:after="10"/>
            </w:pPr>
            <w:r>
              <w:t>0.3</w:t>
            </w:r>
          </w:p>
        </w:tc>
        <w:tc>
          <w:tcPr>
            <w:tcW w:w="1232" w:type="dxa"/>
            <w:tcBorders>
              <w:top w:val="nil"/>
              <w:left w:val="nil"/>
              <w:bottom w:val="nil"/>
              <w:right w:val="nil"/>
            </w:tcBorders>
            <w:shd w:val="clear" w:color="000000" w:fill="FFFFFF"/>
            <w:noWrap/>
            <w:vAlign w:val="center"/>
            <w:hideMark/>
          </w:tcPr>
          <w:p w14:paraId="18A2E41C" w14:textId="77777777" w:rsidR="00F4205D" w:rsidRDefault="00F4205D" w:rsidP="00AE0023">
            <w:pPr>
              <w:pStyle w:val="TableTextCentered2"/>
              <w:spacing w:before="10" w:after="10"/>
            </w:pPr>
            <w:r>
              <w:t>1.0</w:t>
            </w:r>
          </w:p>
        </w:tc>
      </w:tr>
      <w:tr w:rsidR="00F4205D" w:rsidRPr="00DD28A5" w14:paraId="277DBBC9" w14:textId="77777777" w:rsidTr="000733CF">
        <w:trPr>
          <w:trHeight w:val="141"/>
          <w:jc w:val="center"/>
        </w:trPr>
        <w:tc>
          <w:tcPr>
            <w:tcW w:w="2260" w:type="dxa"/>
            <w:tcBorders>
              <w:top w:val="nil"/>
              <w:left w:val="nil"/>
              <w:bottom w:val="nil"/>
              <w:right w:val="nil"/>
            </w:tcBorders>
            <w:shd w:val="clear" w:color="000000" w:fill="FFFFFF"/>
            <w:noWrap/>
            <w:vAlign w:val="bottom"/>
            <w:hideMark/>
          </w:tcPr>
          <w:p w14:paraId="2B3D476C" w14:textId="77777777" w:rsidR="00F4205D" w:rsidRDefault="00F4205D" w:rsidP="00AE0023">
            <w:pPr>
              <w:pStyle w:val="TableTextLeft2"/>
              <w:spacing w:before="10" w:after="10" w:line="240" w:lineRule="auto"/>
            </w:pPr>
            <w:r>
              <w:t>Govt. spending</w:t>
            </w:r>
          </w:p>
        </w:tc>
        <w:tc>
          <w:tcPr>
            <w:tcW w:w="1227" w:type="dxa"/>
            <w:tcBorders>
              <w:top w:val="nil"/>
              <w:left w:val="nil"/>
              <w:bottom w:val="nil"/>
              <w:right w:val="nil"/>
            </w:tcBorders>
            <w:shd w:val="clear" w:color="000000" w:fill="FFFFFF"/>
            <w:noWrap/>
            <w:vAlign w:val="center"/>
            <w:hideMark/>
          </w:tcPr>
          <w:p w14:paraId="68E9CB88" w14:textId="77777777" w:rsidR="00F4205D" w:rsidRDefault="00F4205D"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6C31FD51" w14:textId="77777777" w:rsidR="00F4205D" w:rsidRDefault="00F4205D" w:rsidP="00AE0023">
            <w:pPr>
              <w:pStyle w:val="TableTextCentered2"/>
              <w:spacing w:before="10" w:after="10"/>
            </w:pPr>
            <w:r>
              <w:t>0.0</w:t>
            </w:r>
          </w:p>
        </w:tc>
        <w:tc>
          <w:tcPr>
            <w:tcW w:w="1231" w:type="dxa"/>
            <w:tcBorders>
              <w:top w:val="nil"/>
              <w:left w:val="nil"/>
              <w:bottom w:val="nil"/>
              <w:right w:val="single" w:sz="4" w:space="0" w:color="auto"/>
            </w:tcBorders>
            <w:shd w:val="clear" w:color="000000" w:fill="FFFFFF"/>
            <w:noWrap/>
            <w:vAlign w:val="center"/>
            <w:hideMark/>
          </w:tcPr>
          <w:p w14:paraId="54CFEF41" w14:textId="77777777" w:rsidR="00F4205D" w:rsidRDefault="00F4205D" w:rsidP="00AE0023">
            <w:pPr>
              <w:pStyle w:val="TableTextCentered2"/>
              <w:spacing w:before="10" w:after="10"/>
            </w:pPr>
            <w:r>
              <w:t>-1.9</w:t>
            </w:r>
          </w:p>
        </w:tc>
        <w:tc>
          <w:tcPr>
            <w:tcW w:w="1232" w:type="dxa"/>
            <w:tcBorders>
              <w:top w:val="nil"/>
              <w:left w:val="nil"/>
              <w:bottom w:val="nil"/>
              <w:right w:val="nil"/>
            </w:tcBorders>
            <w:shd w:val="clear" w:color="000000" w:fill="FFFFFF"/>
            <w:noWrap/>
            <w:vAlign w:val="center"/>
            <w:hideMark/>
          </w:tcPr>
          <w:p w14:paraId="481A80EE" w14:textId="77777777" w:rsidR="00F4205D" w:rsidRDefault="00F4205D"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3BD10F04" w14:textId="77777777" w:rsidR="00F4205D" w:rsidRDefault="00F4205D" w:rsidP="00AE0023">
            <w:pPr>
              <w:pStyle w:val="TableTextCentered2"/>
              <w:spacing w:before="10" w:after="10"/>
            </w:pPr>
            <w:r>
              <w:t>0.0</w:t>
            </w:r>
          </w:p>
        </w:tc>
        <w:tc>
          <w:tcPr>
            <w:tcW w:w="1260" w:type="dxa"/>
            <w:tcBorders>
              <w:top w:val="nil"/>
              <w:left w:val="nil"/>
              <w:bottom w:val="nil"/>
              <w:right w:val="single" w:sz="4" w:space="0" w:color="auto"/>
            </w:tcBorders>
            <w:shd w:val="clear" w:color="000000" w:fill="FFFFFF"/>
            <w:noWrap/>
            <w:vAlign w:val="center"/>
            <w:hideMark/>
          </w:tcPr>
          <w:p w14:paraId="5E39DD26" w14:textId="77777777" w:rsidR="00F4205D" w:rsidRDefault="00F4205D" w:rsidP="00AE0023">
            <w:pPr>
              <w:pStyle w:val="TableTextCentered2"/>
              <w:spacing w:before="10" w:after="10"/>
            </w:pPr>
            <w:r>
              <w:t>-1.7</w:t>
            </w:r>
          </w:p>
        </w:tc>
        <w:tc>
          <w:tcPr>
            <w:tcW w:w="1204" w:type="dxa"/>
            <w:tcBorders>
              <w:top w:val="nil"/>
              <w:left w:val="nil"/>
              <w:bottom w:val="nil"/>
              <w:right w:val="nil"/>
            </w:tcBorders>
            <w:shd w:val="clear" w:color="000000" w:fill="FFFFFF"/>
            <w:noWrap/>
            <w:vAlign w:val="center"/>
            <w:hideMark/>
          </w:tcPr>
          <w:p w14:paraId="6CE5ECB1" w14:textId="77777777" w:rsidR="00F4205D" w:rsidRDefault="00F4205D" w:rsidP="00AE0023">
            <w:pPr>
              <w:pStyle w:val="TableTextCentered2"/>
              <w:spacing w:before="10" w:after="10"/>
            </w:pPr>
            <w:r>
              <w:t>0.0</w:t>
            </w:r>
          </w:p>
        </w:tc>
        <w:tc>
          <w:tcPr>
            <w:tcW w:w="1231" w:type="dxa"/>
            <w:tcBorders>
              <w:top w:val="nil"/>
              <w:left w:val="nil"/>
              <w:bottom w:val="nil"/>
              <w:right w:val="nil"/>
            </w:tcBorders>
            <w:shd w:val="clear" w:color="000000" w:fill="FFFFFF"/>
            <w:noWrap/>
            <w:vAlign w:val="center"/>
            <w:hideMark/>
          </w:tcPr>
          <w:p w14:paraId="4BB64619" w14:textId="77777777" w:rsidR="00F4205D" w:rsidRDefault="00F4205D" w:rsidP="00AE0023">
            <w:pPr>
              <w:pStyle w:val="TableTextCentered2"/>
              <w:spacing w:before="10" w:after="10"/>
            </w:pPr>
            <w:r>
              <w:t>0.0</w:t>
            </w:r>
          </w:p>
        </w:tc>
        <w:tc>
          <w:tcPr>
            <w:tcW w:w="1232" w:type="dxa"/>
            <w:tcBorders>
              <w:top w:val="nil"/>
              <w:left w:val="nil"/>
              <w:bottom w:val="nil"/>
              <w:right w:val="nil"/>
            </w:tcBorders>
            <w:shd w:val="clear" w:color="000000" w:fill="FFFFFF"/>
            <w:noWrap/>
            <w:vAlign w:val="center"/>
            <w:hideMark/>
          </w:tcPr>
          <w:p w14:paraId="2AAC1A67" w14:textId="77777777" w:rsidR="00F4205D" w:rsidRDefault="00F4205D" w:rsidP="00AE0023">
            <w:pPr>
              <w:pStyle w:val="TableTextCentered2"/>
              <w:spacing w:before="10" w:after="10"/>
            </w:pPr>
            <w:r>
              <w:t>-1.6</w:t>
            </w:r>
          </w:p>
        </w:tc>
      </w:tr>
      <w:tr w:rsidR="00F4205D" w:rsidRPr="00DD28A5" w14:paraId="3B17F350" w14:textId="77777777" w:rsidTr="000733CF">
        <w:trPr>
          <w:trHeight w:val="72"/>
          <w:jc w:val="center"/>
        </w:trPr>
        <w:tc>
          <w:tcPr>
            <w:tcW w:w="2260" w:type="dxa"/>
            <w:tcBorders>
              <w:top w:val="nil"/>
              <w:left w:val="nil"/>
              <w:bottom w:val="nil"/>
              <w:right w:val="nil"/>
            </w:tcBorders>
            <w:shd w:val="clear" w:color="000000" w:fill="FFFFFF"/>
            <w:noWrap/>
            <w:vAlign w:val="bottom"/>
            <w:hideMark/>
          </w:tcPr>
          <w:p w14:paraId="1D99C3BF" w14:textId="77777777" w:rsidR="00F4205D" w:rsidRDefault="00F4205D" w:rsidP="00AE0023">
            <w:pPr>
              <w:pStyle w:val="TableTextLeft2"/>
              <w:spacing w:before="10" w:after="10" w:line="240" w:lineRule="auto"/>
            </w:pPr>
            <w:r>
              <w:t>Investment</w:t>
            </w:r>
          </w:p>
        </w:tc>
        <w:tc>
          <w:tcPr>
            <w:tcW w:w="1227" w:type="dxa"/>
            <w:tcBorders>
              <w:top w:val="nil"/>
              <w:left w:val="nil"/>
              <w:bottom w:val="nil"/>
              <w:right w:val="nil"/>
            </w:tcBorders>
            <w:shd w:val="clear" w:color="000000" w:fill="FFFFFF"/>
            <w:noWrap/>
            <w:vAlign w:val="center"/>
            <w:hideMark/>
          </w:tcPr>
          <w:p w14:paraId="2EF732EE" w14:textId="77777777" w:rsidR="00F4205D" w:rsidRDefault="00F4205D" w:rsidP="00AE0023">
            <w:pPr>
              <w:pStyle w:val="TableTextCentered2"/>
              <w:spacing w:before="10" w:after="10"/>
            </w:pPr>
            <w:r>
              <w:t>2.2</w:t>
            </w:r>
          </w:p>
        </w:tc>
        <w:tc>
          <w:tcPr>
            <w:tcW w:w="1232" w:type="dxa"/>
            <w:tcBorders>
              <w:top w:val="nil"/>
              <w:left w:val="nil"/>
              <w:bottom w:val="nil"/>
              <w:right w:val="nil"/>
            </w:tcBorders>
            <w:shd w:val="clear" w:color="000000" w:fill="FFFFFF"/>
            <w:noWrap/>
            <w:vAlign w:val="center"/>
            <w:hideMark/>
          </w:tcPr>
          <w:p w14:paraId="5C69A54F" w14:textId="77777777" w:rsidR="00F4205D" w:rsidRDefault="00F4205D" w:rsidP="00AE0023">
            <w:pPr>
              <w:pStyle w:val="TableTextCentered2"/>
              <w:spacing w:before="10" w:after="10"/>
            </w:pPr>
            <w:r>
              <w:t>1.9</w:t>
            </w:r>
          </w:p>
        </w:tc>
        <w:tc>
          <w:tcPr>
            <w:tcW w:w="1231" w:type="dxa"/>
            <w:tcBorders>
              <w:top w:val="nil"/>
              <w:left w:val="nil"/>
              <w:bottom w:val="nil"/>
              <w:right w:val="single" w:sz="4" w:space="0" w:color="auto"/>
            </w:tcBorders>
            <w:shd w:val="clear" w:color="000000" w:fill="FFFFFF"/>
            <w:noWrap/>
            <w:vAlign w:val="center"/>
            <w:hideMark/>
          </w:tcPr>
          <w:p w14:paraId="5BF7A12A" w14:textId="77777777" w:rsidR="00F4205D" w:rsidRDefault="00F4205D" w:rsidP="00AE0023">
            <w:pPr>
              <w:pStyle w:val="TableTextCentered2"/>
              <w:spacing w:before="10" w:after="10"/>
            </w:pPr>
            <w:r>
              <w:t>2.3</w:t>
            </w:r>
          </w:p>
        </w:tc>
        <w:tc>
          <w:tcPr>
            <w:tcW w:w="1232" w:type="dxa"/>
            <w:tcBorders>
              <w:top w:val="nil"/>
              <w:left w:val="nil"/>
              <w:bottom w:val="nil"/>
              <w:right w:val="nil"/>
            </w:tcBorders>
            <w:shd w:val="clear" w:color="000000" w:fill="FFFFFF"/>
            <w:noWrap/>
            <w:vAlign w:val="center"/>
            <w:hideMark/>
          </w:tcPr>
          <w:p w14:paraId="45EE9D74" w14:textId="77777777" w:rsidR="00F4205D" w:rsidRDefault="00F4205D" w:rsidP="00AE0023">
            <w:pPr>
              <w:pStyle w:val="TableTextCentered2"/>
              <w:spacing w:before="10" w:after="10"/>
            </w:pPr>
            <w:r>
              <w:t>2.8</w:t>
            </w:r>
          </w:p>
        </w:tc>
        <w:tc>
          <w:tcPr>
            <w:tcW w:w="1232" w:type="dxa"/>
            <w:tcBorders>
              <w:top w:val="nil"/>
              <w:left w:val="nil"/>
              <w:bottom w:val="nil"/>
              <w:right w:val="nil"/>
            </w:tcBorders>
            <w:shd w:val="clear" w:color="000000" w:fill="FFFFFF"/>
            <w:noWrap/>
            <w:vAlign w:val="center"/>
            <w:hideMark/>
          </w:tcPr>
          <w:p w14:paraId="6E1B32C5" w14:textId="77777777" w:rsidR="00F4205D" w:rsidRDefault="00F4205D" w:rsidP="00AE0023">
            <w:pPr>
              <w:pStyle w:val="TableTextCentered2"/>
              <w:spacing w:before="10" w:after="10"/>
            </w:pPr>
            <w:r>
              <w:t>2.6</w:t>
            </w:r>
          </w:p>
        </w:tc>
        <w:tc>
          <w:tcPr>
            <w:tcW w:w="1260" w:type="dxa"/>
            <w:tcBorders>
              <w:top w:val="nil"/>
              <w:left w:val="nil"/>
              <w:bottom w:val="nil"/>
              <w:right w:val="single" w:sz="4" w:space="0" w:color="auto"/>
            </w:tcBorders>
            <w:shd w:val="clear" w:color="000000" w:fill="FFFFFF"/>
            <w:noWrap/>
            <w:vAlign w:val="center"/>
            <w:hideMark/>
          </w:tcPr>
          <w:p w14:paraId="2477A249" w14:textId="77777777" w:rsidR="00F4205D" w:rsidRDefault="00F4205D" w:rsidP="00AE0023">
            <w:pPr>
              <w:pStyle w:val="TableTextCentered2"/>
              <w:spacing w:before="10" w:after="10"/>
            </w:pPr>
            <w:r>
              <w:t>2.9</w:t>
            </w:r>
          </w:p>
        </w:tc>
        <w:tc>
          <w:tcPr>
            <w:tcW w:w="1204" w:type="dxa"/>
            <w:tcBorders>
              <w:top w:val="nil"/>
              <w:left w:val="nil"/>
              <w:bottom w:val="nil"/>
              <w:right w:val="nil"/>
            </w:tcBorders>
            <w:shd w:val="clear" w:color="000000" w:fill="FFFFFF"/>
            <w:noWrap/>
            <w:vAlign w:val="center"/>
            <w:hideMark/>
          </w:tcPr>
          <w:p w14:paraId="1C998198" w14:textId="77777777" w:rsidR="00F4205D" w:rsidRDefault="00F4205D" w:rsidP="00AE0023">
            <w:pPr>
              <w:pStyle w:val="TableTextCentered2"/>
              <w:spacing w:before="10" w:after="10"/>
            </w:pPr>
            <w:r>
              <w:t>3.4</w:t>
            </w:r>
          </w:p>
        </w:tc>
        <w:tc>
          <w:tcPr>
            <w:tcW w:w="1231" w:type="dxa"/>
            <w:tcBorders>
              <w:top w:val="nil"/>
              <w:left w:val="nil"/>
              <w:bottom w:val="nil"/>
              <w:right w:val="nil"/>
            </w:tcBorders>
            <w:shd w:val="clear" w:color="000000" w:fill="FFFFFF"/>
            <w:noWrap/>
            <w:vAlign w:val="center"/>
            <w:hideMark/>
          </w:tcPr>
          <w:p w14:paraId="480D6B1A" w14:textId="77777777" w:rsidR="00F4205D" w:rsidRDefault="00F4205D" w:rsidP="00AE0023">
            <w:pPr>
              <w:pStyle w:val="TableTextCentered2"/>
              <w:spacing w:before="10" w:after="10"/>
            </w:pPr>
            <w:r>
              <w:t>3.2</w:t>
            </w:r>
          </w:p>
        </w:tc>
        <w:tc>
          <w:tcPr>
            <w:tcW w:w="1232" w:type="dxa"/>
            <w:tcBorders>
              <w:top w:val="nil"/>
              <w:left w:val="nil"/>
              <w:bottom w:val="nil"/>
              <w:right w:val="nil"/>
            </w:tcBorders>
            <w:shd w:val="clear" w:color="000000" w:fill="FFFFFF"/>
            <w:noWrap/>
            <w:vAlign w:val="center"/>
            <w:hideMark/>
          </w:tcPr>
          <w:p w14:paraId="45D297D7" w14:textId="77777777" w:rsidR="00F4205D" w:rsidRDefault="00F4205D" w:rsidP="00AE0023">
            <w:pPr>
              <w:pStyle w:val="TableTextCentered2"/>
              <w:spacing w:before="10" w:after="10"/>
            </w:pPr>
            <w:r>
              <w:t>3.5</w:t>
            </w:r>
          </w:p>
        </w:tc>
      </w:tr>
      <w:tr w:rsidR="00F4205D" w:rsidRPr="00DD28A5" w14:paraId="1BF26B47" w14:textId="77777777" w:rsidTr="000733CF">
        <w:trPr>
          <w:trHeight w:val="119"/>
          <w:jc w:val="center"/>
        </w:trPr>
        <w:tc>
          <w:tcPr>
            <w:tcW w:w="2260" w:type="dxa"/>
            <w:tcBorders>
              <w:top w:val="nil"/>
              <w:left w:val="nil"/>
              <w:bottom w:val="nil"/>
              <w:right w:val="nil"/>
            </w:tcBorders>
            <w:shd w:val="clear" w:color="000000" w:fill="FFFFFF"/>
            <w:noWrap/>
            <w:vAlign w:val="bottom"/>
            <w:hideMark/>
          </w:tcPr>
          <w:p w14:paraId="20DE2698" w14:textId="77777777" w:rsidR="00F4205D" w:rsidRDefault="00F4205D" w:rsidP="00AE0023">
            <w:pPr>
              <w:pStyle w:val="TableTextLeft2"/>
              <w:spacing w:before="10" w:after="10" w:line="240" w:lineRule="auto"/>
            </w:pPr>
            <w:r>
              <w:t>Exports</w:t>
            </w:r>
          </w:p>
        </w:tc>
        <w:tc>
          <w:tcPr>
            <w:tcW w:w="1227" w:type="dxa"/>
            <w:tcBorders>
              <w:top w:val="nil"/>
              <w:left w:val="nil"/>
              <w:bottom w:val="nil"/>
              <w:right w:val="nil"/>
            </w:tcBorders>
            <w:shd w:val="clear" w:color="000000" w:fill="FFFFFF"/>
            <w:noWrap/>
            <w:vAlign w:val="center"/>
            <w:hideMark/>
          </w:tcPr>
          <w:p w14:paraId="057B6998" w14:textId="77777777" w:rsidR="00F4205D" w:rsidRDefault="00F4205D" w:rsidP="00AE0023">
            <w:pPr>
              <w:pStyle w:val="TableTextCentered2"/>
              <w:spacing w:before="10" w:after="10"/>
            </w:pPr>
            <w:r>
              <w:t>1.8</w:t>
            </w:r>
          </w:p>
        </w:tc>
        <w:tc>
          <w:tcPr>
            <w:tcW w:w="1232" w:type="dxa"/>
            <w:tcBorders>
              <w:top w:val="nil"/>
              <w:left w:val="nil"/>
              <w:bottom w:val="nil"/>
              <w:right w:val="nil"/>
            </w:tcBorders>
            <w:shd w:val="clear" w:color="000000" w:fill="FFFFFF"/>
            <w:noWrap/>
            <w:vAlign w:val="center"/>
            <w:hideMark/>
          </w:tcPr>
          <w:p w14:paraId="6A8E8D8F" w14:textId="77777777" w:rsidR="00F4205D" w:rsidRDefault="00F4205D" w:rsidP="00AE0023">
            <w:pPr>
              <w:pStyle w:val="TableTextCentered2"/>
              <w:spacing w:before="10" w:after="10"/>
            </w:pPr>
            <w:r>
              <w:t>1.6</w:t>
            </w:r>
          </w:p>
        </w:tc>
        <w:tc>
          <w:tcPr>
            <w:tcW w:w="1231" w:type="dxa"/>
            <w:tcBorders>
              <w:top w:val="nil"/>
              <w:left w:val="nil"/>
              <w:bottom w:val="nil"/>
              <w:right w:val="single" w:sz="4" w:space="0" w:color="auto"/>
            </w:tcBorders>
            <w:shd w:val="clear" w:color="000000" w:fill="FFFFFF"/>
            <w:noWrap/>
            <w:vAlign w:val="center"/>
            <w:hideMark/>
          </w:tcPr>
          <w:p w14:paraId="79D9A0A1" w14:textId="77777777" w:rsidR="00F4205D" w:rsidRDefault="00F4205D" w:rsidP="00AE0023">
            <w:pPr>
              <w:pStyle w:val="TableTextCentered2"/>
              <w:spacing w:before="10" w:after="10"/>
            </w:pPr>
            <w:r>
              <w:t>1.8</w:t>
            </w:r>
          </w:p>
        </w:tc>
        <w:tc>
          <w:tcPr>
            <w:tcW w:w="1232" w:type="dxa"/>
            <w:tcBorders>
              <w:top w:val="nil"/>
              <w:left w:val="nil"/>
              <w:bottom w:val="nil"/>
              <w:right w:val="nil"/>
            </w:tcBorders>
            <w:shd w:val="clear" w:color="000000" w:fill="FFFFFF"/>
            <w:noWrap/>
            <w:vAlign w:val="center"/>
            <w:hideMark/>
          </w:tcPr>
          <w:p w14:paraId="2CF44018" w14:textId="77777777" w:rsidR="00F4205D" w:rsidRDefault="00F4205D" w:rsidP="00AE0023">
            <w:pPr>
              <w:pStyle w:val="TableTextCentered2"/>
              <w:spacing w:before="10" w:after="10"/>
            </w:pPr>
            <w:r>
              <w:t>2.2</w:t>
            </w:r>
          </w:p>
        </w:tc>
        <w:tc>
          <w:tcPr>
            <w:tcW w:w="1232" w:type="dxa"/>
            <w:tcBorders>
              <w:top w:val="nil"/>
              <w:left w:val="nil"/>
              <w:bottom w:val="nil"/>
              <w:right w:val="nil"/>
            </w:tcBorders>
            <w:shd w:val="clear" w:color="000000" w:fill="FFFFFF"/>
            <w:noWrap/>
            <w:vAlign w:val="center"/>
            <w:hideMark/>
          </w:tcPr>
          <w:p w14:paraId="314B9915" w14:textId="77777777" w:rsidR="00F4205D" w:rsidRDefault="00F4205D" w:rsidP="00AE0023">
            <w:pPr>
              <w:pStyle w:val="TableTextCentered2"/>
              <w:spacing w:before="10" w:after="10"/>
            </w:pPr>
            <w:r>
              <w:t>2.0</w:t>
            </w:r>
          </w:p>
        </w:tc>
        <w:tc>
          <w:tcPr>
            <w:tcW w:w="1260" w:type="dxa"/>
            <w:tcBorders>
              <w:top w:val="nil"/>
              <w:left w:val="nil"/>
              <w:bottom w:val="nil"/>
              <w:right w:val="single" w:sz="4" w:space="0" w:color="auto"/>
            </w:tcBorders>
            <w:shd w:val="clear" w:color="000000" w:fill="FFFFFF"/>
            <w:noWrap/>
            <w:vAlign w:val="center"/>
            <w:hideMark/>
          </w:tcPr>
          <w:p w14:paraId="3C3C9598" w14:textId="77777777" w:rsidR="00F4205D" w:rsidRDefault="00F4205D" w:rsidP="00AE0023">
            <w:pPr>
              <w:pStyle w:val="TableTextCentered2"/>
              <w:spacing w:before="10" w:after="10"/>
            </w:pPr>
            <w:r>
              <w:t>2.1</w:t>
            </w:r>
          </w:p>
        </w:tc>
        <w:tc>
          <w:tcPr>
            <w:tcW w:w="1204" w:type="dxa"/>
            <w:tcBorders>
              <w:top w:val="nil"/>
              <w:left w:val="nil"/>
              <w:bottom w:val="nil"/>
              <w:right w:val="nil"/>
            </w:tcBorders>
            <w:shd w:val="clear" w:color="000000" w:fill="FFFFFF"/>
            <w:noWrap/>
            <w:vAlign w:val="center"/>
            <w:hideMark/>
          </w:tcPr>
          <w:p w14:paraId="7B43AF53" w14:textId="77777777" w:rsidR="00F4205D" w:rsidRDefault="00F4205D" w:rsidP="00AE0023">
            <w:pPr>
              <w:pStyle w:val="TableTextCentered2"/>
              <w:spacing w:before="10" w:after="10"/>
            </w:pPr>
            <w:r>
              <w:t>2.5</w:t>
            </w:r>
          </w:p>
        </w:tc>
        <w:tc>
          <w:tcPr>
            <w:tcW w:w="1231" w:type="dxa"/>
            <w:tcBorders>
              <w:top w:val="nil"/>
              <w:left w:val="nil"/>
              <w:bottom w:val="nil"/>
              <w:right w:val="nil"/>
            </w:tcBorders>
            <w:shd w:val="clear" w:color="000000" w:fill="FFFFFF"/>
            <w:noWrap/>
            <w:vAlign w:val="center"/>
            <w:hideMark/>
          </w:tcPr>
          <w:p w14:paraId="6EA9EB73" w14:textId="77777777" w:rsidR="00F4205D" w:rsidRDefault="00F4205D" w:rsidP="00AE0023">
            <w:pPr>
              <w:pStyle w:val="TableTextCentered2"/>
              <w:spacing w:before="10" w:after="10"/>
            </w:pPr>
            <w:r>
              <w:t>2.3</w:t>
            </w:r>
          </w:p>
        </w:tc>
        <w:tc>
          <w:tcPr>
            <w:tcW w:w="1232" w:type="dxa"/>
            <w:tcBorders>
              <w:top w:val="nil"/>
              <w:left w:val="nil"/>
              <w:bottom w:val="nil"/>
              <w:right w:val="nil"/>
            </w:tcBorders>
            <w:shd w:val="clear" w:color="000000" w:fill="FFFFFF"/>
            <w:noWrap/>
            <w:vAlign w:val="center"/>
            <w:hideMark/>
          </w:tcPr>
          <w:p w14:paraId="07BA94FD" w14:textId="77777777" w:rsidR="00F4205D" w:rsidRDefault="00F4205D" w:rsidP="00AE0023">
            <w:pPr>
              <w:pStyle w:val="TableTextCentered2"/>
              <w:spacing w:before="10" w:after="10"/>
            </w:pPr>
            <w:r>
              <w:t>2.5</w:t>
            </w:r>
          </w:p>
        </w:tc>
      </w:tr>
      <w:tr w:rsidR="00F4205D" w:rsidRPr="00DD28A5" w14:paraId="6BBBFD9C" w14:textId="77777777" w:rsidTr="000733CF">
        <w:trPr>
          <w:trHeight w:val="193"/>
          <w:jc w:val="center"/>
        </w:trPr>
        <w:tc>
          <w:tcPr>
            <w:tcW w:w="2260" w:type="dxa"/>
            <w:tcBorders>
              <w:top w:val="nil"/>
              <w:left w:val="nil"/>
              <w:bottom w:val="nil"/>
              <w:right w:val="nil"/>
            </w:tcBorders>
            <w:shd w:val="clear" w:color="000000" w:fill="FFFFFF"/>
            <w:noWrap/>
            <w:vAlign w:val="bottom"/>
            <w:hideMark/>
          </w:tcPr>
          <w:p w14:paraId="3E0A5391" w14:textId="77777777" w:rsidR="00F4205D" w:rsidRDefault="00F4205D" w:rsidP="00AE0023">
            <w:pPr>
              <w:pStyle w:val="TableTextLeft2"/>
              <w:spacing w:before="10" w:after="10" w:line="240" w:lineRule="auto"/>
            </w:pPr>
            <w:r>
              <w:t>Imports</w:t>
            </w:r>
          </w:p>
        </w:tc>
        <w:tc>
          <w:tcPr>
            <w:tcW w:w="1227" w:type="dxa"/>
            <w:tcBorders>
              <w:top w:val="nil"/>
              <w:left w:val="nil"/>
              <w:bottom w:val="nil"/>
              <w:right w:val="nil"/>
            </w:tcBorders>
            <w:shd w:val="clear" w:color="000000" w:fill="FFFFFF"/>
            <w:noWrap/>
            <w:vAlign w:val="center"/>
            <w:hideMark/>
          </w:tcPr>
          <w:p w14:paraId="2D34B42C" w14:textId="77777777" w:rsidR="00F4205D" w:rsidRDefault="00F4205D" w:rsidP="00AE0023">
            <w:pPr>
              <w:pStyle w:val="TableTextCentered2"/>
              <w:spacing w:before="10" w:after="10"/>
            </w:pPr>
            <w:r>
              <w:t>0.9</w:t>
            </w:r>
          </w:p>
        </w:tc>
        <w:tc>
          <w:tcPr>
            <w:tcW w:w="1232" w:type="dxa"/>
            <w:tcBorders>
              <w:top w:val="nil"/>
              <w:left w:val="nil"/>
              <w:bottom w:val="nil"/>
              <w:right w:val="nil"/>
            </w:tcBorders>
            <w:shd w:val="clear" w:color="000000" w:fill="FFFFFF"/>
            <w:noWrap/>
            <w:vAlign w:val="center"/>
            <w:hideMark/>
          </w:tcPr>
          <w:p w14:paraId="59F0D54C" w14:textId="77777777" w:rsidR="00F4205D" w:rsidRDefault="00F4205D" w:rsidP="00AE0023">
            <w:pPr>
              <w:pStyle w:val="TableTextCentered2"/>
              <w:spacing w:before="10" w:after="10"/>
            </w:pPr>
            <w:r>
              <w:t>0.7</w:t>
            </w:r>
          </w:p>
        </w:tc>
        <w:tc>
          <w:tcPr>
            <w:tcW w:w="1231" w:type="dxa"/>
            <w:tcBorders>
              <w:top w:val="nil"/>
              <w:left w:val="nil"/>
              <w:bottom w:val="nil"/>
              <w:right w:val="single" w:sz="4" w:space="0" w:color="auto"/>
            </w:tcBorders>
            <w:shd w:val="clear" w:color="000000" w:fill="FFFFFF"/>
            <w:noWrap/>
            <w:vAlign w:val="center"/>
            <w:hideMark/>
          </w:tcPr>
          <w:p w14:paraId="0733B23C" w14:textId="77777777" w:rsidR="00F4205D" w:rsidRDefault="00F4205D" w:rsidP="00AE0023">
            <w:pPr>
              <w:pStyle w:val="TableTextCentered2"/>
              <w:spacing w:before="10" w:after="10"/>
            </w:pPr>
            <w:r>
              <w:t>0.9</w:t>
            </w:r>
          </w:p>
        </w:tc>
        <w:tc>
          <w:tcPr>
            <w:tcW w:w="1232" w:type="dxa"/>
            <w:tcBorders>
              <w:top w:val="nil"/>
              <w:left w:val="nil"/>
              <w:bottom w:val="nil"/>
              <w:right w:val="nil"/>
            </w:tcBorders>
            <w:shd w:val="clear" w:color="000000" w:fill="FFFFFF"/>
            <w:noWrap/>
            <w:vAlign w:val="center"/>
            <w:hideMark/>
          </w:tcPr>
          <w:p w14:paraId="6549514E"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48C10F4D" w14:textId="77777777" w:rsidR="00F4205D" w:rsidRDefault="00F4205D" w:rsidP="00AE0023">
            <w:pPr>
              <w:pStyle w:val="TableTextCentered2"/>
              <w:spacing w:before="10" w:after="10"/>
            </w:pPr>
            <w:r>
              <w:t>0.9</w:t>
            </w:r>
          </w:p>
        </w:tc>
        <w:tc>
          <w:tcPr>
            <w:tcW w:w="1260" w:type="dxa"/>
            <w:tcBorders>
              <w:top w:val="nil"/>
              <w:left w:val="nil"/>
              <w:bottom w:val="nil"/>
              <w:right w:val="single" w:sz="4" w:space="0" w:color="auto"/>
            </w:tcBorders>
            <w:shd w:val="clear" w:color="000000" w:fill="FFFFFF"/>
            <w:noWrap/>
            <w:vAlign w:val="center"/>
            <w:hideMark/>
          </w:tcPr>
          <w:p w14:paraId="3174E161"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6BF708FF" w14:textId="77777777" w:rsidR="00F4205D" w:rsidRDefault="00F4205D" w:rsidP="00AE0023">
            <w:pPr>
              <w:pStyle w:val="TableTextCentered2"/>
              <w:spacing w:before="10" w:after="10"/>
            </w:pPr>
            <w:r>
              <w:t>1.3</w:t>
            </w:r>
          </w:p>
        </w:tc>
        <w:tc>
          <w:tcPr>
            <w:tcW w:w="1231" w:type="dxa"/>
            <w:tcBorders>
              <w:top w:val="nil"/>
              <w:left w:val="nil"/>
              <w:bottom w:val="nil"/>
              <w:right w:val="nil"/>
            </w:tcBorders>
            <w:shd w:val="clear" w:color="000000" w:fill="FFFFFF"/>
            <w:noWrap/>
            <w:vAlign w:val="center"/>
            <w:hideMark/>
          </w:tcPr>
          <w:p w14:paraId="7F2118C4"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33C01A41" w14:textId="77777777" w:rsidR="00F4205D" w:rsidRDefault="00F4205D" w:rsidP="00AE0023">
            <w:pPr>
              <w:pStyle w:val="TableTextCentered2"/>
              <w:spacing w:before="10" w:after="10"/>
            </w:pPr>
            <w:r>
              <w:t>1.3</w:t>
            </w:r>
          </w:p>
        </w:tc>
      </w:tr>
      <w:tr w:rsidR="00F4205D" w:rsidRPr="00DD28A5" w14:paraId="30D13627" w14:textId="77777777" w:rsidTr="000733CF">
        <w:trPr>
          <w:trHeight w:val="102"/>
          <w:jc w:val="center"/>
        </w:trPr>
        <w:tc>
          <w:tcPr>
            <w:tcW w:w="2260" w:type="dxa"/>
            <w:tcBorders>
              <w:top w:val="nil"/>
              <w:left w:val="nil"/>
              <w:bottom w:val="nil"/>
              <w:right w:val="nil"/>
            </w:tcBorders>
            <w:shd w:val="clear" w:color="000000" w:fill="FFFFFF"/>
            <w:noWrap/>
            <w:vAlign w:val="bottom"/>
            <w:hideMark/>
          </w:tcPr>
          <w:p w14:paraId="25FD4D3F" w14:textId="77777777" w:rsidR="00F4205D" w:rsidRDefault="00F4205D" w:rsidP="00F875D2">
            <w:pPr>
              <w:pStyle w:val="TableTextLeft2"/>
              <w:spacing w:line="240" w:lineRule="auto"/>
            </w:pPr>
            <w:r>
              <w:t> </w:t>
            </w:r>
          </w:p>
        </w:tc>
        <w:tc>
          <w:tcPr>
            <w:tcW w:w="1227" w:type="dxa"/>
            <w:tcBorders>
              <w:top w:val="nil"/>
              <w:left w:val="nil"/>
              <w:bottom w:val="nil"/>
              <w:right w:val="nil"/>
            </w:tcBorders>
            <w:shd w:val="clear" w:color="000000" w:fill="FFFFFF"/>
            <w:noWrap/>
            <w:vAlign w:val="center"/>
            <w:hideMark/>
          </w:tcPr>
          <w:p w14:paraId="0189423B"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09BE8AD5" w14:textId="77777777" w:rsidR="00F4205D" w:rsidRDefault="00F4205D"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6DE0C619"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631CA5AD"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5D0CD85B" w14:textId="77777777" w:rsidR="00F4205D" w:rsidRDefault="00F4205D" w:rsidP="00F875D2">
            <w:pPr>
              <w:pStyle w:val="TableTextCentered2"/>
            </w:pPr>
            <w:r>
              <w:t> </w:t>
            </w:r>
          </w:p>
        </w:tc>
        <w:tc>
          <w:tcPr>
            <w:tcW w:w="1260" w:type="dxa"/>
            <w:tcBorders>
              <w:top w:val="nil"/>
              <w:left w:val="nil"/>
              <w:bottom w:val="nil"/>
              <w:right w:val="single" w:sz="4" w:space="0" w:color="auto"/>
            </w:tcBorders>
            <w:shd w:val="clear" w:color="000000" w:fill="FFFFFF"/>
            <w:noWrap/>
            <w:vAlign w:val="center"/>
            <w:hideMark/>
          </w:tcPr>
          <w:p w14:paraId="50D4F439" w14:textId="77777777" w:rsidR="00F4205D" w:rsidRDefault="00F4205D" w:rsidP="00F875D2">
            <w:pPr>
              <w:pStyle w:val="TableTextCentered2"/>
            </w:pPr>
            <w:r>
              <w:t> </w:t>
            </w:r>
          </w:p>
        </w:tc>
        <w:tc>
          <w:tcPr>
            <w:tcW w:w="1204" w:type="dxa"/>
            <w:tcBorders>
              <w:top w:val="nil"/>
              <w:left w:val="nil"/>
              <w:bottom w:val="nil"/>
              <w:right w:val="nil"/>
            </w:tcBorders>
            <w:shd w:val="clear" w:color="000000" w:fill="FFFFFF"/>
            <w:noWrap/>
            <w:vAlign w:val="center"/>
            <w:hideMark/>
          </w:tcPr>
          <w:p w14:paraId="14AA0E65" w14:textId="77777777" w:rsidR="00F4205D" w:rsidRDefault="00F4205D" w:rsidP="00F875D2">
            <w:pPr>
              <w:pStyle w:val="TableTextCentered2"/>
            </w:pPr>
            <w:r>
              <w:t> </w:t>
            </w:r>
          </w:p>
        </w:tc>
        <w:tc>
          <w:tcPr>
            <w:tcW w:w="1231" w:type="dxa"/>
            <w:tcBorders>
              <w:top w:val="nil"/>
              <w:left w:val="nil"/>
              <w:bottom w:val="nil"/>
              <w:right w:val="nil"/>
            </w:tcBorders>
            <w:shd w:val="clear" w:color="000000" w:fill="FFFFFF"/>
            <w:noWrap/>
            <w:vAlign w:val="center"/>
            <w:hideMark/>
          </w:tcPr>
          <w:p w14:paraId="5AF6EA71"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4D8CE244" w14:textId="77777777" w:rsidR="00F4205D" w:rsidRDefault="00F4205D" w:rsidP="00F875D2">
            <w:pPr>
              <w:pStyle w:val="TableTextCentered2"/>
            </w:pPr>
            <w:r>
              <w:t> </w:t>
            </w:r>
          </w:p>
        </w:tc>
      </w:tr>
      <w:tr w:rsidR="00F4205D" w:rsidRPr="00DD28A5" w14:paraId="0B3001DF" w14:textId="77777777" w:rsidTr="000733CF">
        <w:trPr>
          <w:trHeight w:val="171"/>
          <w:jc w:val="center"/>
        </w:trPr>
        <w:tc>
          <w:tcPr>
            <w:tcW w:w="2260" w:type="dxa"/>
            <w:tcBorders>
              <w:top w:val="nil"/>
              <w:left w:val="nil"/>
              <w:bottom w:val="nil"/>
              <w:right w:val="nil"/>
            </w:tcBorders>
            <w:shd w:val="clear" w:color="000000" w:fill="FFFFFF"/>
            <w:noWrap/>
            <w:vAlign w:val="bottom"/>
            <w:hideMark/>
          </w:tcPr>
          <w:p w14:paraId="65173BC6" w14:textId="77777777" w:rsidR="00F4205D" w:rsidRDefault="00F4205D" w:rsidP="00AE0023">
            <w:pPr>
              <w:pStyle w:val="TableTextLeft2"/>
              <w:spacing w:before="10" w:after="10" w:line="240" w:lineRule="auto"/>
            </w:pPr>
            <w:r>
              <w:t>Employment</w:t>
            </w:r>
          </w:p>
        </w:tc>
        <w:tc>
          <w:tcPr>
            <w:tcW w:w="1227" w:type="dxa"/>
            <w:tcBorders>
              <w:top w:val="nil"/>
              <w:left w:val="nil"/>
              <w:bottom w:val="nil"/>
              <w:right w:val="nil"/>
            </w:tcBorders>
            <w:shd w:val="clear" w:color="000000" w:fill="FFFFFF"/>
            <w:noWrap/>
            <w:vAlign w:val="center"/>
            <w:hideMark/>
          </w:tcPr>
          <w:p w14:paraId="475D1151" w14:textId="77777777" w:rsidR="00F4205D" w:rsidRDefault="00F4205D"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586E29F7" w14:textId="77777777" w:rsidR="00F4205D" w:rsidRDefault="00F4205D" w:rsidP="00AE0023">
            <w:pPr>
              <w:pStyle w:val="TableTextCentered2"/>
              <w:spacing w:before="10" w:after="10"/>
            </w:pPr>
            <w:r>
              <w:t>0.1</w:t>
            </w:r>
          </w:p>
        </w:tc>
        <w:tc>
          <w:tcPr>
            <w:tcW w:w="1231" w:type="dxa"/>
            <w:tcBorders>
              <w:top w:val="nil"/>
              <w:left w:val="nil"/>
              <w:bottom w:val="nil"/>
              <w:right w:val="single" w:sz="4" w:space="0" w:color="auto"/>
            </w:tcBorders>
            <w:shd w:val="clear" w:color="000000" w:fill="FFFFFF"/>
            <w:noWrap/>
            <w:vAlign w:val="center"/>
            <w:hideMark/>
          </w:tcPr>
          <w:p w14:paraId="154CC4E5" w14:textId="77777777" w:rsidR="00F4205D" w:rsidRDefault="00F4205D" w:rsidP="00AE0023">
            <w:pPr>
              <w:pStyle w:val="TableTextCentered2"/>
              <w:spacing w:before="10" w:after="10"/>
            </w:pPr>
            <w:r>
              <w:t>0.2</w:t>
            </w:r>
          </w:p>
        </w:tc>
        <w:tc>
          <w:tcPr>
            <w:tcW w:w="1232" w:type="dxa"/>
            <w:tcBorders>
              <w:top w:val="nil"/>
              <w:left w:val="nil"/>
              <w:bottom w:val="nil"/>
              <w:right w:val="nil"/>
            </w:tcBorders>
            <w:shd w:val="clear" w:color="000000" w:fill="FFFFFF"/>
            <w:noWrap/>
            <w:vAlign w:val="center"/>
            <w:hideMark/>
          </w:tcPr>
          <w:p w14:paraId="3D2A48B4" w14:textId="77777777" w:rsidR="00F4205D" w:rsidRDefault="00F4205D"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1A33EE1F" w14:textId="77777777" w:rsidR="00F4205D" w:rsidRDefault="00F4205D" w:rsidP="00AE0023">
            <w:pPr>
              <w:pStyle w:val="TableTextCentered2"/>
              <w:spacing w:before="10" w:after="10"/>
            </w:pPr>
            <w:r>
              <w:t>0.1</w:t>
            </w:r>
          </w:p>
        </w:tc>
        <w:tc>
          <w:tcPr>
            <w:tcW w:w="1260" w:type="dxa"/>
            <w:tcBorders>
              <w:top w:val="nil"/>
              <w:left w:val="nil"/>
              <w:bottom w:val="nil"/>
              <w:right w:val="single" w:sz="4" w:space="0" w:color="auto"/>
            </w:tcBorders>
            <w:shd w:val="clear" w:color="000000" w:fill="FFFFFF"/>
            <w:noWrap/>
            <w:vAlign w:val="center"/>
            <w:hideMark/>
          </w:tcPr>
          <w:p w14:paraId="5542CEBD" w14:textId="77777777" w:rsidR="00F4205D" w:rsidRDefault="00F4205D" w:rsidP="00AE0023">
            <w:pPr>
              <w:pStyle w:val="TableTextCentered2"/>
              <w:spacing w:before="10" w:after="10"/>
            </w:pPr>
            <w:r>
              <w:t>0.1</w:t>
            </w:r>
          </w:p>
        </w:tc>
        <w:tc>
          <w:tcPr>
            <w:tcW w:w="1204" w:type="dxa"/>
            <w:tcBorders>
              <w:top w:val="nil"/>
              <w:left w:val="nil"/>
              <w:bottom w:val="nil"/>
              <w:right w:val="nil"/>
            </w:tcBorders>
            <w:shd w:val="clear" w:color="000000" w:fill="FFFFFF"/>
            <w:noWrap/>
            <w:vAlign w:val="center"/>
            <w:hideMark/>
          </w:tcPr>
          <w:p w14:paraId="7F01FA54" w14:textId="77777777" w:rsidR="00F4205D" w:rsidRDefault="00F4205D" w:rsidP="00AE0023">
            <w:pPr>
              <w:pStyle w:val="TableTextCentered2"/>
              <w:spacing w:before="10" w:after="10"/>
            </w:pPr>
            <w:r>
              <w:t>0.3</w:t>
            </w:r>
          </w:p>
        </w:tc>
        <w:tc>
          <w:tcPr>
            <w:tcW w:w="1231" w:type="dxa"/>
            <w:tcBorders>
              <w:top w:val="nil"/>
              <w:left w:val="nil"/>
              <w:bottom w:val="nil"/>
              <w:right w:val="nil"/>
            </w:tcBorders>
            <w:shd w:val="clear" w:color="000000" w:fill="FFFFFF"/>
            <w:noWrap/>
            <w:vAlign w:val="center"/>
            <w:hideMark/>
          </w:tcPr>
          <w:p w14:paraId="09ED6846" w14:textId="77777777" w:rsidR="00F4205D" w:rsidRDefault="00F4205D" w:rsidP="00AE0023">
            <w:pPr>
              <w:pStyle w:val="TableTextCentered2"/>
              <w:spacing w:before="10" w:after="10"/>
            </w:pPr>
            <w:r>
              <w:t>0.1</w:t>
            </w:r>
          </w:p>
        </w:tc>
        <w:tc>
          <w:tcPr>
            <w:tcW w:w="1232" w:type="dxa"/>
            <w:tcBorders>
              <w:top w:val="nil"/>
              <w:left w:val="nil"/>
              <w:bottom w:val="nil"/>
              <w:right w:val="nil"/>
            </w:tcBorders>
            <w:shd w:val="clear" w:color="000000" w:fill="FFFFFF"/>
            <w:noWrap/>
            <w:vAlign w:val="center"/>
            <w:hideMark/>
          </w:tcPr>
          <w:p w14:paraId="73C5ED5D" w14:textId="77777777" w:rsidR="00F4205D" w:rsidRDefault="00F4205D" w:rsidP="00AE0023">
            <w:pPr>
              <w:pStyle w:val="TableTextCentered2"/>
              <w:spacing w:before="10" w:after="10"/>
            </w:pPr>
            <w:r>
              <w:t>0.1</w:t>
            </w:r>
          </w:p>
        </w:tc>
      </w:tr>
      <w:tr w:rsidR="00F4205D" w:rsidRPr="00DD28A5" w14:paraId="143F440E" w14:textId="77777777" w:rsidTr="000733CF">
        <w:trPr>
          <w:trHeight w:val="90"/>
          <w:jc w:val="center"/>
        </w:trPr>
        <w:tc>
          <w:tcPr>
            <w:tcW w:w="2260" w:type="dxa"/>
            <w:tcBorders>
              <w:top w:val="nil"/>
              <w:left w:val="nil"/>
              <w:bottom w:val="nil"/>
              <w:right w:val="nil"/>
            </w:tcBorders>
            <w:shd w:val="clear" w:color="000000" w:fill="FFFFFF"/>
            <w:noWrap/>
            <w:vAlign w:val="bottom"/>
            <w:hideMark/>
          </w:tcPr>
          <w:p w14:paraId="4BC48FDE" w14:textId="77777777" w:rsidR="00F4205D" w:rsidRDefault="00F4205D" w:rsidP="00AE0023">
            <w:pPr>
              <w:pStyle w:val="TableTextLeft2"/>
              <w:spacing w:before="10" w:after="10" w:line="240" w:lineRule="auto"/>
            </w:pPr>
            <w:r>
              <w:t>Real wage (before-tax)</w:t>
            </w:r>
          </w:p>
        </w:tc>
        <w:tc>
          <w:tcPr>
            <w:tcW w:w="1227" w:type="dxa"/>
            <w:tcBorders>
              <w:top w:val="nil"/>
              <w:left w:val="nil"/>
              <w:bottom w:val="nil"/>
              <w:right w:val="nil"/>
            </w:tcBorders>
            <w:shd w:val="clear" w:color="000000" w:fill="FFFFFF"/>
            <w:noWrap/>
            <w:vAlign w:val="center"/>
            <w:hideMark/>
          </w:tcPr>
          <w:p w14:paraId="4ED018E8"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20584D48" w14:textId="77777777" w:rsidR="00F4205D" w:rsidRDefault="00F4205D" w:rsidP="00AE0023">
            <w:pPr>
              <w:pStyle w:val="TableTextCentered2"/>
              <w:spacing w:before="10" w:after="10"/>
            </w:pPr>
            <w:r>
              <w:t>1.3</w:t>
            </w:r>
          </w:p>
        </w:tc>
        <w:tc>
          <w:tcPr>
            <w:tcW w:w="1231" w:type="dxa"/>
            <w:tcBorders>
              <w:top w:val="nil"/>
              <w:left w:val="nil"/>
              <w:bottom w:val="nil"/>
              <w:right w:val="single" w:sz="4" w:space="0" w:color="auto"/>
            </w:tcBorders>
            <w:shd w:val="clear" w:color="000000" w:fill="FFFFFF"/>
            <w:noWrap/>
            <w:vAlign w:val="center"/>
            <w:hideMark/>
          </w:tcPr>
          <w:p w14:paraId="76998431"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7A713F1D"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658F2A5A" w14:textId="77777777" w:rsidR="00F4205D" w:rsidRDefault="00F4205D" w:rsidP="00AE0023">
            <w:pPr>
              <w:pStyle w:val="TableTextCentered2"/>
              <w:spacing w:before="10" w:after="10"/>
            </w:pPr>
            <w:r>
              <w:t>1.2</w:t>
            </w:r>
          </w:p>
        </w:tc>
        <w:tc>
          <w:tcPr>
            <w:tcW w:w="1260" w:type="dxa"/>
            <w:tcBorders>
              <w:top w:val="nil"/>
              <w:left w:val="nil"/>
              <w:bottom w:val="nil"/>
              <w:right w:val="single" w:sz="4" w:space="0" w:color="auto"/>
            </w:tcBorders>
            <w:shd w:val="clear" w:color="000000" w:fill="FFFFFF"/>
            <w:noWrap/>
            <w:vAlign w:val="center"/>
            <w:hideMark/>
          </w:tcPr>
          <w:p w14:paraId="4058B169"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259AE682" w14:textId="77777777" w:rsidR="00F4205D" w:rsidRDefault="00F4205D" w:rsidP="00AE0023">
            <w:pPr>
              <w:pStyle w:val="TableTextCentered2"/>
              <w:spacing w:before="10" w:after="10"/>
            </w:pPr>
            <w:r>
              <w:t>1.0</w:t>
            </w:r>
          </w:p>
        </w:tc>
        <w:tc>
          <w:tcPr>
            <w:tcW w:w="1231" w:type="dxa"/>
            <w:tcBorders>
              <w:top w:val="nil"/>
              <w:left w:val="nil"/>
              <w:bottom w:val="nil"/>
              <w:right w:val="nil"/>
            </w:tcBorders>
            <w:shd w:val="clear" w:color="000000" w:fill="FFFFFF"/>
            <w:noWrap/>
            <w:vAlign w:val="center"/>
            <w:hideMark/>
          </w:tcPr>
          <w:p w14:paraId="4289C924"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3AF64198" w14:textId="77777777" w:rsidR="00F4205D" w:rsidRDefault="00F4205D" w:rsidP="00AE0023">
            <w:pPr>
              <w:pStyle w:val="TableTextCentered2"/>
              <w:spacing w:before="10" w:after="10"/>
            </w:pPr>
            <w:r>
              <w:t>1.0</w:t>
            </w:r>
          </w:p>
        </w:tc>
      </w:tr>
      <w:tr w:rsidR="00F4205D" w:rsidRPr="00DD28A5" w14:paraId="500461E6" w14:textId="77777777" w:rsidTr="000733CF">
        <w:trPr>
          <w:trHeight w:val="164"/>
          <w:jc w:val="center"/>
        </w:trPr>
        <w:tc>
          <w:tcPr>
            <w:tcW w:w="2260" w:type="dxa"/>
            <w:tcBorders>
              <w:top w:val="nil"/>
              <w:left w:val="nil"/>
              <w:bottom w:val="nil"/>
              <w:right w:val="nil"/>
            </w:tcBorders>
            <w:shd w:val="clear" w:color="000000" w:fill="FFFFFF"/>
            <w:noWrap/>
            <w:vAlign w:val="bottom"/>
            <w:hideMark/>
          </w:tcPr>
          <w:p w14:paraId="5A228CC6" w14:textId="77777777" w:rsidR="00F4205D" w:rsidRDefault="00F4205D" w:rsidP="00AE0023">
            <w:pPr>
              <w:pStyle w:val="TableTextLeft2"/>
              <w:spacing w:before="10" w:after="10" w:line="240" w:lineRule="auto"/>
            </w:pPr>
            <w:r>
              <w:t>Real wage (after-tax)</w:t>
            </w:r>
          </w:p>
        </w:tc>
        <w:tc>
          <w:tcPr>
            <w:tcW w:w="1227" w:type="dxa"/>
            <w:tcBorders>
              <w:top w:val="nil"/>
              <w:left w:val="nil"/>
              <w:bottom w:val="nil"/>
              <w:right w:val="nil"/>
            </w:tcBorders>
            <w:shd w:val="clear" w:color="000000" w:fill="FFFFFF"/>
            <w:noWrap/>
            <w:vAlign w:val="center"/>
            <w:hideMark/>
          </w:tcPr>
          <w:p w14:paraId="7A7F70E7" w14:textId="77777777" w:rsidR="00F4205D" w:rsidRDefault="00F4205D" w:rsidP="00AE0023">
            <w:pPr>
              <w:pStyle w:val="TableTextCentered2"/>
              <w:spacing w:before="10" w:after="10"/>
            </w:pPr>
            <w:r>
              <w:t>1.2</w:t>
            </w:r>
          </w:p>
        </w:tc>
        <w:tc>
          <w:tcPr>
            <w:tcW w:w="1232" w:type="dxa"/>
            <w:tcBorders>
              <w:top w:val="nil"/>
              <w:left w:val="nil"/>
              <w:bottom w:val="nil"/>
              <w:right w:val="nil"/>
            </w:tcBorders>
            <w:shd w:val="clear" w:color="000000" w:fill="FFFFFF"/>
            <w:noWrap/>
            <w:vAlign w:val="center"/>
            <w:hideMark/>
          </w:tcPr>
          <w:p w14:paraId="061B3A1E" w14:textId="77777777" w:rsidR="00F4205D" w:rsidRDefault="00F4205D" w:rsidP="00AE0023">
            <w:pPr>
              <w:pStyle w:val="TableTextCentered2"/>
              <w:spacing w:before="10" w:after="10"/>
            </w:pPr>
            <w:r>
              <w:t>0.4</w:t>
            </w:r>
          </w:p>
        </w:tc>
        <w:tc>
          <w:tcPr>
            <w:tcW w:w="1231" w:type="dxa"/>
            <w:tcBorders>
              <w:top w:val="nil"/>
              <w:left w:val="nil"/>
              <w:bottom w:val="nil"/>
              <w:right w:val="single" w:sz="4" w:space="0" w:color="auto"/>
            </w:tcBorders>
            <w:shd w:val="clear" w:color="000000" w:fill="FFFFFF"/>
            <w:noWrap/>
            <w:vAlign w:val="center"/>
            <w:hideMark/>
          </w:tcPr>
          <w:p w14:paraId="5D914F76"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2AA25569" w14:textId="77777777" w:rsidR="00F4205D" w:rsidRDefault="00F4205D" w:rsidP="00AE0023">
            <w:pPr>
              <w:pStyle w:val="TableTextCentered2"/>
              <w:spacing w:before="10" w:after="10"/>
            </w:pPr>
            <w:r>
              <w:t>1.1</w:t>
            </w:r>
          </w:p>
        </w:tc>
        <w:tc>
          <w:tcPr>
            <w:tcW w:w="1232" w:type="dxa"/>
            <w:tcBorders>
              <w:top w:val="nil"/>
              <w:left w:val="nil"/>
              <w:bottom w:val="nil"/>
              <w:right w:val="nil"/>
            </w:tcBorders>
            <w:shd w:val="clear" w:color="000000" w:fill="FFFFFF"/>
            <w:noWrap/>
            <w:vAlign w:val="center"/>
            <w:hideMark/>
          </w:tcPr>
          <w:p w14:paraId="30B35411" w14:textId="77777777" w:rsidR="00F4205D" w:rsidRDefault="00F4205D" w:rsidP="00AE0023">
            <w:pPr>
              <w:pStyle w:val="TableTextCentered2"/>
              <w:spacing w:before="10" w:after="10"/>
            </w:pPr>
            <w:r>
              <w:t>0.4</w:t>
            </w:r>
          </w:p>
        </w:tc>
        <w:tc>
          <w:tcPr>
            <w:tcW w:w="1260" w:type="dxa"/>
            <w:tcBorders>
              <w:top w:val="nil"/>
              <w:left w:val="nil"/>
              <w:bottom w:val="nil"/>
              <w:right w:val="single" w:sz="4" w:space="0" w:color="auto"/>
            </w:tcBorders>
            <w:shd w:val="clear" w:color="000000" w:fill="FFFFFF"/>
            <w:noWrap/>
            <w:vAlign w:val="center"/>
            <w:hideMark/>
          </w:tcPr>
          <w:p w14:paraId="6AACEF7B" w14:textId="77777777" w:rsidR="00F4205D" w:rsidRDefault="00F4205D" w:rsidP="00AE0023">
            <w:pPr>
              <w:pStyle w:val="TableTextCentered2"/>
              <w:spacing w:before="10" w:after="10"/>
            </w:pPr>
            <w:r>
              <w:t>1.1</w:t>
            </w:r>
          </w:p>
        </w:tc>
        <w:tc>
          <w:tcPr>
            <w:tcW w:w="1204" w:type="dxa"/>
            <w:tcBorders>
              <w:top w:val="nil"/>
              <w:left w:val="nil"/>
              <w:bottom w:val="nil"/>
              <w:right w:val="nil"/>
            </w:tcBorders>
            <w:shd w:val="clear" w:color="000000" w:fill="FFFFFF"/>
            <w:noWrap/>
            <w:vAlign w:val="center"/>
            <w:hideMark/>
          </w:tcPr>
          <w:p w14:paraId="076C43B0" w14:textId="77777777" w:rsidR="00F4205D" w:rsidRDefault="00F4205D" w:rsidP="00AE0023">
            <w:pPr>
              <w:pStyle w:val="TableTextCentered2"/>
              <w:spacing w:before="10" w:after="10"/>
            </w:pPr>
            <w:r>
              <w:t>1.0</w:t>
            </w:r>
          </w:p>
        </w:tc>
        <w:tc>
          <w:tcPr>
            <w:tcW w:w="1231" w:type="dxa"/>
            <w:tcBorders>
              <w:top w:val="nil"/>
              <w:left w:val="nil"/>
              <w:bottom w:val="nil"/>
              <w:right w:val="nil"/>
            </w:tcBorders>
            <w:shd w:val="clear" w:color="000000" w:fill="FFFFFF"/>
            <w:noWrap/>
            <w:vAlign w:val="center"/>
            <w:hideMark/>
          </w:tcPr>
          <w:p w14:paraId="5F6D7008" w14:textId="77777777" w:rsidR="00F4205D" w:rsidRDefault="00F4205D" w:rsidP="00AE0023">
            <w:pPr>
              <w:pStyle w:val="TableTextCentered2"/>
              <w:spacing w:before="10" w:after="10"/>
            </w:pPr>
            <w:r>
              <w:t>0.4</w:t>
            </w:r>
          </w:p>
        </w:tc>
        <w:tc>
          <w:tcPr>
            <w:tcW w:w="1232" w:type="dxa"/>
            <w:tcBorders>
              <w:top w:val="nil"/>
              <w:left w:val="nil"/>
              <w:bottom w:val="nil"/>
              <w:right w:val="nil"/>
            </w:tcBorders>
            <w:shd w:val="clear" w:color="000000" w:fill="FFFFFF"/>
            <w:noWrap/>
            <w:vAlign w:val="center"/>
            <w:hideMark/>
          </w:tcPr>
          <w:p w14:paraId="046FCC7C" w14:textId="77777777" w:rsidR="00F4205D" w:rsidRDefault="00F4205D" w:rsidP="00AE0023">
            <w:pPr>
              <w:pStyle w:val="TableTextCentered2"/>
              <w:spacing w:before="10" w:after="10"/>
            </w:pPr>
            <w:r>
              <w:t>1.0</w:t>
            </w:r>
          </w:p>
        </w:tc>
      </w:tr>
      <w:tr w:rsidR="00F4205D" w:rsidRPr="00DD28A5" w14:paraId="7F3BBB88" w14:textId="77777777" w:rsidTr="000733CF">
        <w:trPr>
          <w:trHeight w:val="102"/>
          <w:jc w:val="center"/>
        </w:trPr>
        <w:tc>
          <w:tcPr>
            <w:tcW w:w="2260" w:type="dxa"/>
            <w:tcBorders>
              <w:top w:val="nil"/>
              <w:left w:val="nil"/>
              <w:bottom w:val="nil"/>
              <w:right w:val="nil"/>
            </w:tcBorders>
            <w:shd w:val="clear" w:color="000000" w:fill="FFFFFF"/>
            <w:noWrap/>
            <w:vAlign w:val="bottom"/>
            <w:hideMark/>
          </w:tcPr>
          <w:p w14:paraId="532C9EE1" w14:textId="77777777" w:rsidR="00F4205D" w:rsidRDefault="00F4205D" w:rsidP="00F875D2">
            <w:pPr>
              <w:pStyle w:val="TableTextLeft2"/>
              <w:spacing w:line="240" w:lineRule="auto"/>
            </w:pPr>
            <w:r>
              <w:t> </w:t>
            </w:r>
          </w:p>
        </w:tc>
        <w:tc>
          <w:tcPr>
            <w:tcW w:w="1227" w:type="dxa"/>
            <w:tcBorders>
              <w:top w:val="nil"/>
              <w:left w:val="nil"/>
              <w:bottom w:val="nil"/>
              <w:right w:val="nil"/>
            </w:tcBorders>
            <w:shd w:val="clear" w:color="000000" w:fill="FFFFFF"/>
            <w:noWrap/>
            <w:vAlign w:val="center"/>
            <w:hideMark/>
          </w:tcPr>
          <w:p w14:paraId="71D7EDE9"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03CEEB20" w14:textId="77777777" w:rsidR="00F4205D" w:rsidRDefault="00F4205D" w:rsidP="00F875D2">
            <w:pPr>
              <w:pStyle w:val="TableTextCentered2"/>
            </w:pPr>
            <w:r>
              <w:t> </w:t>
            </w:r>
          </w:p>
        </w:tc>
        <w:tc>
          <w:tcPr>
            <w:tcW w:w="1231" w:type="dxa"/>
            <w:tcBorders>
              <w:top w:val="nil"/>
              <w:left w:val="nil"/>
              <w:bottom w:val="nil"/>
              <w:right w:val="single" w:sz="4" w:space="0" w:color="auto"/>
            </w:tcBorders>
            <w:shd w:val="clear" w:color="000000" w:fill="FFFFFF"/>
            <w:noWrap/>
            <w:vAlign w:val="center"/>
            <w:hideMark/>
          </w:tcPr>
          <w:p w14:paraId="341ED842"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1E5B2735"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29FBDDD1" w14:textId="77777777" w:rsidR="00F4205D" w:rsidRDefault="00F4205D" w:rsidP="00F875D2">
            <w:pPr>
              <w:pStyle w:val="TableTextCentered2"/>
            </w:pPr>
            <w:r>
              <w:t> </w:t>
            </w:r>
          </w:p>
        </w:tc>
        <w:tc>
          <w:tcPr>
            <w:tcW w:w="1260" w:type="dxa"/>
            <w:tcBorders>
              <w:top w:val="nil"/>
              <w:left w:val="nil"/>
              <w:bottom w:val="nil"/>
              <w:right w:val="single" w:sz="4" w:space="0" w:color="auto"/>
            </w:tcBorders>
            <w:shd w:val="clear" w:color="000000" w:fill="FFFFFF"/>
            <w:noWrap/>
            <w:vAlign w:val="center"/>
            <w:hideMark/>
          </w:tcPr>
          <w:p w14:paraId="3E79724B" w14:textId="77777777" w:rsidR="00F4205D" w:rsidRDefault="00F4205D" w:rsidP="00F875D2">
            <w:pPr>
              <w:pStyle w:val="TableTextCentered2"/>
            </w:pPr>
            <w:r>
              <w:t> </w:t>
            </w:r>
          </w:p>
        </w:tc>
        <w:tc>
          <w:tcPr>
            <w:tcW w:w="1204" w:type="dxa"/>
            <w:tcBorders>
              <w:top w:val="nil"/>
              <w:left w:val="nil"/>
              <w:bottom w:val="nil"/>
              <w:right w:val="nil"/>
            </w:tcBorders>
            <w:shd w:val="clear" w:color="000000" w:fill="FFFFFF"/>
            <w:noWrap/>
            <w:vAlign w:val="center"/>
            <w:hideMark/>
          </w:tcPr>
          <w:p w14:paraId="54227924" w14:textId="77777777" w:rsidR="00F4205D" w:rsidRDefault="00F4205D" w:rsidP="00F875D2">
            <w:pPr>
              <w:pStyle w:val="TableTextCentered2"/>
            </w:pPr>
            <w:r>
              <w:t> </w:t>
            </w:r>
          </w:p>
        </w:tc>
        <w:tc>
          <w:tcPr>
            <w:tcW w:w="1231" w:type="dxa"/>
            <w:tcBorders>
              <w:top w:val="nil"/>
              <w:left w:val="nil"/>
              <w:bottom w:val="nil"/>
              <w:right w:val="nil"/>
            </w:tcBorders>
            <w:shd w:val="clear" w:color="000000" w:fill="FFFFFF"/>
            <w:noWrap/>
            <w:vAlign w:val="center"/>
            <w:hideMark/>
          </w:tcPr>
          <w:p w14:paraId="498E485F" w14:textId="77777777" w:rsidR="00F4205D" w:rsidRDefault="00F4205D" w:rsidP="00F875D2">
            <w:pPr>
              <w:pStyle w:val="TableTextCentered2"/>
            </w:pPr>
            <w:r>
              <w:t> </w:t>
            </w:r>
          </w:p>
        </w:tc>
        <w:tc>
          <w:tcPr>
            <w:tcW w:w="1232" w:type="dxa"/>
            <w:tcBorders>
              <w:top w:val="nil"/>
              <w:left w:val="nil"/>
              <w:bottom w:val="nil"/>
              <w:right w:val="nil"/>
            </w:tcBorders>
            <w:shd w:val="clear" w:color="000000" w:fill="FFFFFF"/>
            <w:noWrap/>
            <w:vAlign w:val="center"/>
            <w:hideMark/>
          </w:tcPr>
          <w:p w14:paraId="727B4CBC" w14:textId="77777777" w:rsidR="00F4205D" w:rsidRDefault="00F4205D" w:rsidP="00F875D2">
            <w:pPr>
              <w:pStyle w:val="TableTextCentered2"/>
            </w:pPr>
            <w:r>
              <w:t> </w:t>
            </w:r>
          </w:p>
        </w:tc>
      </w:tr>
      <w:tr w:rsidR="00F4205D" w:rsidRPr="00DD28A5" w14:paraId="6839BDCE" w14:textId="77777777" w:rsidTr="000733CF">
        <w:trPr>
          <w:trHeight w:val="156"/>
          <w:jc w:val="center"/>
        </w:trPr>
        <w:tc>
          <w:tcPr>
            <w:tcW w:w="2260" w:type="dxa"/>
            <w:tcBorders>
              <w:top w:val="nil"/>
              <w:left w:val="nil"/>
              <w:bottom w:val="single" w:sz="4" w:space="0" w:color="auto"/>
              <w:right w:val="nil"/>
            </w:tcBorders>
            <w:shd w:val="clear" w:color="000000" w:fill="FFFFFF"/>
            <w:noWrap/>
            <w:vAlign w:val="bottom"/>
            <w:hideMark/>
          </w:tcPr>
          <w:p w14:paraId="31965E8C" w14:textId="77777777" w:rsidR="00F4205D" w:rsidRDefault="00F4205D" w:rsidP="00AE0023">
            <w:pPr>
              <w:pStyle w:val="TableTextLeft2"/>
              <w:spacing w:before="10" w:after="10" w:line="240" w:lineRule="auto"/>
            </w:pPr>
            <w:r>
              <w:t>Welfare</w:t>
            </w:r>
          </w:p>
        </w:tc>
        <w:tc>
          <w:tcPr>
            <w:tcW w:w="1227" w:type="dxa"/>
            <w:tcBorders>
              <w:top w:val="nil"/>
              <w:left w:val="nil"/>
              <w:bottom w:val="single" w:sz="4" w:space="0" w:color="auto"/>
              <w:right w:val="nil"/>
            </w:tcBorders>
            <w:shd w:val="clear" w:color="000000" w:fill="FFFFFF"/>
            <w:noWrap/>
            <w:vAlign w:val="center"/>
            <w:hideMark/>
          </w:tcPr>
          <w:p w14:paraId="70B5EA5D" w14:textId="77777777" w:rsidR="00F4205D" w:rsidRDefault="00F4205D"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0DECD2E5" w14:textId="77777777" w:rsidR="00F4205D" w:rsidRDefault="00F4205D" w:rsidP="00AE0023">
            <w:pPr>
              <w:pStyle w:val="TableTextCentered2"/>
              <w:spacing w:before="10" w:after="10"/>
            </w:pPr>
            <w:r>
              <w:t>0.1</w:t>
            </w:r>
          </w:p>
        </w:tc>
        <w:tc>
          <w:tcPr>
            <w:tcW w:w="1231" w:type="dxa"/>
            <w:tcBorders>
              <w:top w:val="nil"/>
              <w:left w:val="nil"/>
              <w:bottom w:val="single" w:sz="4" w:space="0" w:color="auto"/>
              <w:right w:val="single" w:sz="4" w:space="0" w:color="auto"/>
            </w:tcBorders>
            <w:shd w:val="clear" w:color="000000" w:fill="FFFFFF"/>
            <w:noWrap/>
            <w:vAlign w:val="center"/>
            <w:hideMark/>
          </w:tcPr>
          <w:p w14:paraId="51635E40" w14:textId="77777777" w:rsidR="00F4205D" w:rsidRDefault="00F4205D" w:rsidP="00AE0023">
            <w:pPr>
              <w:pStyle w:val="TableTextCentered2"/>
              <w:spacing w:before="10" w:after="10"/>
            </w:pPr>
            <w:r>
              <w:t>0.7</w:t>
            </w:r>
          </w:p>
        </w:tc>
        <w:tc>
          <w:tcPr>
            <w:tcW w:w="1232" w:type="dxa"/>
            <w:tcBorders>
              <w:top w:val="nil"/>
              <w:left w:val="nil"/>
              <w:bottom w:val="single" w:sz="4" w:space="0" w:color="auto"/>
              <w:right w:val="nil"/>
            </w:tcBorders>
            <w:shd w:val="clear" w:color="000000" w:fill="FFFFFF"/>
            <w:noWrap/>
            <w:vAlign w:val="center"/>
            <w:hideMark/>
          </w:tcPr>
          <w:p w14:paraId="6C23ACE4" w14:textId="77777777" w:rsidR="00F4205D" w:rsidRDefault="00F4205D"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2FAC9965" w14:textId="77777777" w:rsidR="00F4205D" w:rsidRDefault="00F4205D" w:rsidP="00AE0023">
            <w:pPr>
              <w:pStyle w:val="TableTextCentered2"/>
              <w:spacing w:before="10" w:after="10"/>
            </w:pPr>
            <w:r>
              <w:t>0.1</w:t>
            </w:r>
          </w:p>
        </w:tc>
        <w:tc>
          <w:tcPr>
            <w:tcW w:w="1260" w:type="dxa"/>
            <w:tcBorders>
              <w:top w:val="nil"/>
              <w:left w:val="nil"/>
              <w:bottom w:val="single" w:sz="4" w:space="0" w:color="auto"/>
              <w:right w:val="single" w:sz="4" w:space="0" w:color="auto"/>
            </w:tcBorders>
            <w:shd w:val="clear" w:color="000000" w:fill="FFFFFF"/>
            <w:noWrap/>
            <w:vAlign w:val="center"/>
            <w:hideMark/>
          </w:tcPr>
          <w:p w14:paraId="0B858732" w14:textId="77777777" w:rsidR="00F4205D" w:rsidRDefault="00F4205D" w:rsidP="00AE0023">
            <w:pPr>
              <w:pStyle w:val="TableTextCentered2"/>
              <w:spacing w:before="10" w:after="10"/>
            </w:pPr>
            <w:r>
              <w:t>0.7</w:t>
            </w:r>
          </w:p>
        </w:tc>
        <w:tc>
          <w:tcPr>
            <w:tcW w:w="1204" w:type="dxa"/>
            <w:tcBorders>
              <w:top w:val="nil"/>
              <w:left w:val="nil"/>
              <w:bottom w:val="single" w:sz="4" w:space="0" w:color="auto"/>
              <w:right w:val="nil"/>
            </w:tcBorders>
            <w:shd w:val="clear" w:color="000000" w:fill="FFFFFF"/>
            <w:noWrap/>
            <w:vAlign w:val="center"/>
            <w:hideMark/>
          </w:tcPr>
          <w:p w14:paraId="1CA031ED" w14:textId="77777777" w:rsidR="00F4205D" w:rsidRDefault="00F4205D" w:rsidP="00AE0023">
            <w:pPr>
              <w:pStyle w:val="TableTextCentered2"/>
              <w:spacing w:before="10" w:after="10"/>
            </w:pPr>
            <w:r>
              <w:t>0.2</w:t>
            </w:r>
          </w:p>
        </w:tc>
        <w:tc>
          <w:tcPr>
            <w:tcW w:w="1231" w:type="dxa"/>
            <w:tcBorders>
              <w:top w:val="nil"/>
              <w:left w:val="nil"/>
              <w:bottom w:val="single" w:sz="4" w:space="0" w:color="auto"/>
              <w:right w:val="nil"/>
            </w:tcBorders>
            <w:shd w:val="clear" w:color="000000" w:fill="FFFFFF"/>
            <w:noWrap/>
            <w:vAlign w:val="center"/>
            <w:hideMark/>
          </w:tcPr>
          <w:p w14:paraId="48A823BE" w14:textId="77777777" w:rsidR="00F4205D" w:rsidRDefault="00F4205D" w:rsidP="00AE0023">
            <w:pPr>
              <w:pStyle w:val="TableTextCentered2"/>
              <w:spacing w:before="10" w:after="10"/>
            </w:pPr>
            <w:r>
              <w:t>0.2</w:t>
            </w:r>
          </w:p>
        </w:tc>
        <w:tc>
          <w:tcPr>
            <w:tcW w:w="1232" w:type="dxa"/>
            <w:tcBorders>
              <w:top w:val="nil"/>
              <w:left w:val="nil"/>
              <w:bottom w:val="single" w:sz="4" w:space="0" w:color="auto"/>
              <w:right w:val="nil"/>
            </w:tcBorders>
            <w:shd w:val="clear" w:color="000000" w:fill="FFFFFF"/>
            <w:noWrap/>
            <w:vAlign w:val="center"/>
            <w:hideMark/>
          </w:tcPr>
          <w:p w14:paraId="75701746" w14:textId="77777777" w:rsidR="00F4205D" w:rsidRDefault="00F4205D" w:rsidP="00AE0023">
            <w:pPr>
              <w:pStyle w:val="TableTextCentered2"/>
              <w:spacing w:before="10" w:after="10"/>
            </w:pPr>
            <w:r>
              <w:t>0.6</w:t>
            </w:r>
          </w:p>
        </w:tc>
      </w:tr>
    </w:tbl>
    <w:p w14:paraId="0A337EE7" w14:textId="77777777" w:rsidR="005023FF" w:rsidRDefault="005023FF" w:rsidP="00E838B2">
      <w:pPr>
        <w:keepNext/>
        <w:tabs>
          <w:tab w:val="left" w:pos="4438"/>
        </w:tabs>
        <w:spacing w:after="0" w:line="240" w:lineRule="auto"/>
        <w:rPr>
          <w:lang w:eastAsia="en-AU"/>
        </w:rPr>
        <w:sectPr w:rsidR="005023FF" w:rsidSect="00A264A6">
          <w:pgSz w:w="16838" w:h="11906" w:orient="landscape" w:code="9"/>
          <w:pgMar w:top="1304" w:right="1418" w:bottom="1304" w:left="1418" w:header="567" w:footer="567" w:gutter="0"/>
          <w:cols w:space="720"/>
          <w:titlePg/>
          <w:docGrid w:linePitch="360"/>
        </w:sectPr>
      </w:pPr>
    </w:p>
    <w:p w14:paraId="74980914" w14:textId="77777777" w:rsidR="005023FF" w:rsidRPr="002E2E01" w:rsidRDefault="005023FF" w:rsidP="002E2E01">
      <w:pPr>
        <w:pStyle w:val="AppendixHeading"/>
      </w:pPr>
      <w:r w:rsidRPr="002E2E01">
        <w:lastRenderedPageBreak/>
        <w:t>Appendix B: Data sources</w:t>
      </w:r>
    </w:p>
    <w:p w14:paraId="07A14811" w14:textId="77777777" w:rsidR="005023FF" w:rsidRPr="005023FF" w:rsidRDefault="005023FF" w:rsidP="005023FF">
      <w:pPr>
        <w:rPr>
          <w:color w:val="auto"/>
        </w:rPr>
      </w:pPr>
      <w:r w:rsidRPr="005023FF">
        <w:rPr>
          <w:color w:val="auto"/>
        </w:rPr>
        <w:t>Australian Bureau of Statistics (2010) Experimental estimates of industry multifactor productivity — 2009</w:t>
      </w:r>
      <w:r w:rsidRPr="005023FF">
        <w:rPr>
          <w:color w:val="auto"/>
        </w:rPr>
        <w:noBreakHyphen/>
        <w:t>10. ABS Cat. 5260.0.55.002. Australian Bureau of Statistics: Canberra. 07/12/2010.</w:t>
      </w:r>
    </w:p>
    <w:p w14:paraId="51567B22" w14:textId="77777777" w:rsidR="005023FF" w:rsidRPr="005023FF" w:rsidRDefault="005023FF" w:rsidP="005023FF">
      <w:pPr>
        <w:rPr>
          <w:color w:val="auto"/>
        </w:rPr>
      </w:pPr>
      <w:r w:rsidRPr="005023FF">
        <w:rPr>
          <w:color w:val="auto"/>
        </w:rPr>
        <w:t>Australian Bureau of Statistics (2011) Various tables. Australian National Accounts: Input</w:t>
      </w:r>
      <w:r w:rsidRPr="005023FF">
        <w:rPr>
          <w:color w:val="auto"/>
        </w:rPr>
        <w:noBreakHyphen/>
        <w:t>Output tables — Electronic publication, 2007</w:t>
      </w:r>
      <w:r w:rsidRPr="005023FF">
        <w:rPr>
          <w:color w:val="auto"/>
        </w:rPr>
        <w:noBreakHyphen/>
        <w:t>08 Final. ABS Cat. 5209.0.55.001. Australian Bureau of Statistics: Canberra. 25/10/2011.</w:t>
      </w:r>
    </w:p>
    <w:p w14:paraId="7DBEA1B6" w14:textId="77777777" w:rsidR="005023FF" w:rsidRPr="005023FF" w:rsidRDefault="005023FF" w:rsidP="005023FF">
      <w:pPr>
        <w:rPr>
          <w:color w:val="auto"/>
        </w:rPr>
      </w:pPr>
      <w:r w:rsidRPr="005023FF">
        <w:rPr>
          <w:color w:val="auto"/>
        </w:rPr>
        <w:t>Australian Bureau of Statistics (2014) Various tables. Australian National Accounts: National income, expenditure and product — March Quarter 2014. ABS Cat. 5206.0. Australian Bureau of Statistics: Canberra. 04/06/2014.</w:t>
      </w:r>
    </w:p>
    <w:p w14:paraId="154EC592" w14:textId="77777777" w:rsidR="005023FF" w:rsidRPr="005023FF" w:rsidRDefault="005023FF" w:rsidP="005023FF">
      <w:pPr>
        <w:rPr>
          <w:color w:val="auto"/>
        </w:rPr>
      </w:pPr>
      <w:r w:rsidRPr="005023FF">
        <w:rPr>
          <w:color w:val="auto"/>
        </w:rPr>
        <w:t>Australian Bureau of Statistics (2014) Table 4 — Employed persons by industry — Trend, seasonally adjusted, original. Labour Force Australia, detailed, quarterly — May Quarter 2014. ABS Cat. 6291.0.55.003. Australian Bureau of Statistics: Canberra. 18/09/2014.</w:t>
      </w:r>
    </w:p>
    <w:p w14:paraId="09FE2EA9" w14:textId="77777777" w:rsidR="005023FF" w:rsidRPr="005023FF" w:rsidRDefault="005023FF" w:rsidP="005023FF">
      <w:pPr>
        <w:rPr>
          <w:color w:val="auto"/>
        </w:rPr>
      </w:pPr>
      <w:r w:rsidRPr="005023FF">
        <w:rPr>
          <w:color w:val="auto"/>
        </w:rPr>
        <w:t>Australian Bureau of Statistics (2014) Tables 3 and 4 — CPI: Groups, weighted average of eight capital cities, index numbers and percentage changes. Consumer Price Index, Australia — June Quarter 2014. ABS Cat. 6401.0. Australian Bureau of Statistics: Canberra. 22/10/2014.</w:t>
      </w:r>
    </w:p>
    <w:p w14:paraId="7750BAD8" w14:textId="77777777" w:rsidR="005023FF" w:rsidRPr="005023FF" w:rsidRDefault="005023FF" w:rsidP="005023FF">
      <w:pPr>
        <w:rPr>
          <w:color w:val="auto"/>
        </w:rPr>
      </w:pPr>
      <w:r w:rsidRPr="005023FF">
        <w:rPr>
          <w:color w:val="auto"/>
        </w:rPr>
        <w:t>Australian Bureau of Statistics (2014) Various tables. Australian National Accounts: Financial Accounts — June 2014. ABS Cat. 5232.0. Australian Bureau of Statistics: Canberra. 25/09/2014.</w:t>
      </w:r>
    </w:p>
    <w:p w14:paraId="6F1CEC2C" w14:textId="77777777" w:rsidR="005023FF" w:rsidRPr="005023FF" w:rsidRDefault="005023FF" w:rsidP="005023FF">
      <w:pPr>
        <w:rPr>
          <w:color w:val="auto"/>
        </w:rPr>
      </w:pPr>
      <w:r w:rsidRPr="005023FF">
        <w:rPr>
          <w:color w:val="auto"/>
        </w:rPr>
        <w:t>Australian Bureau of Statistics (2014) Various tables. Taxation Revenue, Australia, 2012</w:t>
      </w:r>
      <w:r w:rsidRPr="005023FF">
        <w:rPr>
          <w:color w:val="auto"/>
        </w:rPr>
        <w:noBreakHyphen/>
        <w:t>13. ABS Cat. 5506.0. Australian Bureau of Statistics: Canberra. 28/05/2014.</w:t>
      </w:r>
    </w:p>
    <w:p w14:paraId="439D4FFE" w14:textId="77777777" w:rsidR="005023FF" w:rsidRPr="005023FF" w:rsidRDefault="005023FF" w:rsidP="005023FF">
      <w:pPr>
        <w:rPr>
          <w:color w:val="auto"/>
        </w:rPr>
      </w:pPr>
      <w:r w:rsidRPr="005023FF">
        <w:rPr>
          <w:color w:val="auto"/>
        </w:rPr>
        <w:t>Australian Tax Office (2014) Taxation statistics 2011</w:t>
      </w:r>
      <w:r w:rsidRPr="005023FF">
        <w:rPr>
          <w:color w:val="auto"/>
        </w:rPr>
        <w:noBreakHyphen/>
        <w:t>12 detailed tables. Australian Tax Office: Canberra. 22/09/2014.</w:t>
      </w:r>
    </w:p>
    <w:p w14:paraId="05128E6E" w14:textId="77777777" w:rsidR="00A264A6" w:rsidRPr="009B528D" w:rsidRDefault="00A264A6" w:rsidP="00E838B2">
      <w:pPr>
        <w:keepNext/>
        <w:tabs>
          <w:tab w:val="left" w:pos="4438"/>
        </w:tabs>
        <w:spacing w:after="0" w:line="240" w:lineRule="auto"/>
        <w:rPr>
          <w:lang w:eastAsia="en-AU"/>
        </w:rPr>
      </w:pPr>
    </w:p>
    <w:sectPr w:rsidR="00A264A6" w:rsidRPr="009B528D" w:rsidSect="008C0793">
      <w:pgSz w:w="11906" w:h="16838" w:code="9"/>
      <w:pgMar w:top="1418" w:right="1304" w:bottom="1418" w:left="130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509D6" w14:textId="77777777" w:rsidR="000733CF" w:rsidRDefault="000733CF" w:rsidP="005F100C">
      <w:pPr>
        <w:spacing w:after="0"/>
      </w:pPr>
      <w:r>
        <w:separator/>
      </w:r>
    </w:p>
  </w:endnote>
  <w:endnote w:type="continuationSeparator" w:id="0">
    <w:p w14:paraId="5B210089" w14:textId="77777777" w:rsidR="000733CF" w:rsidRDefault="000733CF" w:rsidP="005F1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695AE" w14:textId="77777777" w:rsidR="000733CF" w:rsidRDefault="000733CF"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31</w:t>
    </w:r>
    <w:r w:rsidRPr="00365C6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FA9B6" w14:textId="77777777" w:rsidR="000733CF" w:rsidRDefault="000733CF"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sidR="005A7277">
      <w:rPr>
        <w:rStyle w:val="PageNumber"/>
        <w:noProof/>
      </w:rPr>
      <w:t>39</w:t>
    </w:r>
    <w:r w:rsidRPr="00365C6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3E3B2" w14:textId="77777777" w:rsidR="005A7277" w:rsidRDefault="005A72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2F25A" w14:textId="77777777" w:rsidR="000733CF" w:rsidRDefault="000733CF"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sidR="005A7277">
      <w:rPr>
        <w:rStyle w:val="PageNumber"/>
        <w:noProof/>
      </w:rPr>
      <w:t>40</w:t>
    </w:r>
    <w:r w:rsidRPr="00365C6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68DE0" w14:textId="77777777" w:rsidR="000733CF" w:rsidRDefault="000733CF" w:rsidP="005F100C">
      <w:pPr>
        <w:spacing w:after="0"/>
      </w:pPr>
      <w:r>
        <w:separator/>
      </w:r>
    </w:p>
  </w:footnote>
  <w:footnote w:type="continuationSeparator" w:id="0">
    <w:p w14:paraId="1539A188" w14:textId="77777777" w:rsidR="000733CF" w:rsidRDefault="000733CF" w:rsidP="005F100C">
      <w:pPr>
        <w:spacing w:after="0"/>
      </w:pPr>
      <w:r>
        <w:continuationSeparator/>
      </w:r>
    </w:p>
  </w:footnote>
  <w:footnote w:id="1">
    <w:p w14:paraId="025672CD" w14:textId="5E4EC273" w:rsidR="000733CF" w:rsidRPr="00614F35" w:rsidRDefault="000733CF" w:rsidP="00F012EA">
      <w:pPr>
        <w:pStyle w:val="FootnoteText"/>
      </w:pPr>
      <w:r w:rsidRPr="000464B6">
        <w:rPr>
          <w:rStyle w:val="FootnoteReference"/>
          <w:vertAlign w:val="baseline"/>
        </w:rPr>
        <w:footnoteRef/>
      </w:r>
      <w:r w:rsidRPr="000464B6">
        <w:t xml:space="preserve"> </w:t>
      </w:r>
      <w:r>
        <w:tab/>
        <w:t xml:space="preserve">Macroeconomic Modelling and Policy Division, Macroeconomic Group, The Treasury, Langton Crescent, Parkes ACT 2600, </w:t>
      </w:r>
      <w:r w:rsidRPr="006B4A87">
        <w:t xml:space="preserve">Australia. </w:t>
      </w:r>
      <w:r w:rsidRPr="00236C99">
        <w:t>Corresponde</w:t>
      </w:r>
      <w:r>
        <w:t>nce: department@treasury.gov.au</w:t>
      </w:r>
      <w:r w:rsidRPr="00614F35">
        <w:t xml:space="preserve">. We </w:t>
      </w:r>
      <w:r>
        <w:t xml:space="preserve">acknowledge that the calibration discussion of this paper (Section 2 and Appendix A) draws heavily on the text in Cao, Hosking, Kouparitsas, Mullaly, Rimmer, Shi, Stark and Wende (2015). We thank Roger Brake, Graeme Davis, Amanda Hosking and Nigel Ray for their support, insight, guidance and drafting suggestions throughout this project. This project has also benefitted from the valuable research assistance of Robert Foley, Xavier Rimmer, </w:t>
      </w:r>
      <w:r w:rsidRPr="00236C99">
        <w:t>Mosfequs Salehin</w:t>
      </w:r>
      <w:r>
        <w:t>, Jazmine Smith and Sebastian Wende. We also thank Matt Brine, Tanuja Doss, Sally Etherington, John Fraser, Rob Heferen and Nicole Mitchell for valuable comments and suggestions on an earlier draft.</w:t>
      </w:r>
    </w:p>
  </w:footnote>
  <w:footnote w:id="2">
    <w:p w14:paraId="497ED2CD" w14:textId="77777777" w:rsidR="000733CF" w:rsidRDefault="000733CF" w:rsidP="00F012EA">
      <w:pPr>
        <w:pStyle w:val="FootnoteText"/>
      </w:pPr>
      <w:r w:rsidRPr="000464B6">
        <w:rPr>
          <w:rStyle w:val="FootnoteReference"/>
          <w:vertAlign w:val="baseline"/>
        </w:rPr>
        <w:footnoteRef/>
      </w:r>
      <w:r w:rsidRPr="000464B6">
        <w:t xml:space="preserve"> </w:t>
      </w:r>
      <w:r>
        <w:tab/>
        <w:t>The views expressed in this paper are those of the authors and do not necessarily reflect those of The Australian Treasury or the Australian Government.</w:t>
      </w:r>
    </w:p>
    <w:p w14:paraId="2169E263" w14:textId="77777777" w:rsidR="000733CF" w:rsidRDefault="000733CF" w:rsidP="00F012EA">
      <w:pPr>
        <w:pStyle w:val="FootnoteText"/>
      </w:pPr>
      <w:r>
        <w:rPr>
          <w:noProof/>
          <w:lang w:eastAsia="en-AU"/>
        </w:rPr>
        <w:drawing>
          <wp:inline distT="0" distB="0" distL="0" distR="0" wp14:anchorId="415E600F" wp14:editId="5C980846">
            <wp:extent cx="5759450" cy="82995"/>
            <wp:effectExtent l="0" t="0" r="0" b="0"/>
            <wp:docPr id="3" name="Picture 3" descr="H:\MCD\Publishing\Graphic Design Services Team\Digital_Assets\Corporate elements\elements\colour bar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CD\Publishing\Graphic Design Services Team\Digital_Assets\Corporate elements\elements\colour bar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2995"/>
                    </a:xfrm>
                    <a:prstGeom prst="rect">
                      <a:avLst/>
                    </a:prstGeom>
                    <a:noFill/>
                    <a:ln>
                      <a:noFill/>
                    </a:ln>
                  </pic:spPr>
                </pic:pic>
              </a:graphicData>
            </a:graphic>
          </wp:inline>
        </w:drawing>
      </w:r>
    </w:p>
  </w:footnote>
  <w:footnote w:id="3">
    <w:p w14:paraId="761EA742" w14:textId="77777777" w:rsidR="000733CF" w:rsidRPr="00F03697" w:rsidRDefault="000733CF" w:rsidP="00575C39">
      <w:pPr>
        <w:pStyle w:val="FootnoteText"/>
      </w:pPr>
      <w:r w:rsidRPr="00F03697">
        <w:rPr>
          <w:rStyle w:val="FootnoteReference"/>
          <w:vertAlign w:val="baseline"/>
        </w:rPr>
        <w:footnoteRef/>
      </w:r>
      <w:r w:rsidRPr="00F03697">
        <w:t xml:space="preserve"> </w:t>
      </w:r>
      <w:r w:rsidRPr="00F03697">
        <w:tab/>
      </w:r>
      <w:r>
        <w:t>This sub</w:t>
      </w:r>
      <w:r>
        <w:noBreakHyphen/>
        <w:t>section draws heavily on material from Cao et al. (2015).</w:t>
      </w:r>
    </w:p>
  </w:footnote>
  <w:footnote w:id="4">
    <w:p w14:paraId="11039121"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 xml:space="preserve">Independent Economics designed the overall economic structure of the model. In 2012, Treasury in collaboration with Independent Economics, incorporated more aspects of the company income tax system and calibrated the model to match </w:t>
      </w:r>
      <w:r>
        <w:t>2012</w:t>
      </w:r>
      <w:r w:rsidRPr="00F03697">
        <w:t xml:space="preserve"> business tax data for modelling commissioned by the Business Tax Working Group (BTWG). </w:t>
      </w:r>
    </w:p>
  </w:footnote>
  <w:footnote w:id="5">
    <w:p w14:paraId="50E36618"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 xml:space="preserve">The work presented in this paper was undertaken by the Treasury and should not be attributed to Independent Economics. Since the development of the original IECGE model, Independent Economics has separately undertaken model development. Independent Economics’ updated model is titled the </w:t>
      </w:r>
      <w:r w:rsidRPr="00113332">
        <w:t>Enhanced IECGE model</w:t>
      </w:r>
      <w:r w:rsidRPr="00F03697">
        <w:t>.</w:t>
      </w:r>
    </w:p>
  </w:footnote>
  <w:footnote w:id="6">
    <w:p w14:paraId="3ED08F05" w14:textId="77777777" w:rsidR="000733CF" w:rsidRPr="00F03697" w:rsidRDefault="000733CF" w:rsidP="00575C39">
      <w:pPr>
        <w:pStyle w:val="FootnoteText"/>
      </w:pPr>
      <w:r w:rsidRPr="00F03697">
        <w:rPr>
          <w:rStyle w:val="FootnoteReference"/>
          <w:vertAlign w:val="baseline"/>
        </w:rPr>
        <w:footnoteRef/>
      </w:r>
      <w:r w:rsidRPr="00F03697">
        <w:t xml:space="preserve"> </w:t>
      </w:r>
      <w:r w:rsidRPr="00F03697">
        <w:tab/>
      </w:r>
      <w:r>
        <w:t>This sub</w:t>
      </w:r>
      <w:r>
        <w:noBreakHyphen/>
        <w:t>section draws heavily on material from Cao et al. (2015). See Appendix A for details of non</w:t>
      </w:r>
      <w:r>
        <w:noBreakHyphen/>
        <w:t>tax parameters and sensitivity of results to key parameters assumptions.</w:t>
      </w:r>
    </w:p>
  </w:footnote>
  <w:footnote w:id="7">
    <w:p w14:paraId="620B86A9"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Other taxes are calibrated to administrative or statistical data.</w:t>
      </w:r>
    </w:p>
  </w:footnote>
  <w:footnote w:id="8">
    <w:p w14:paraId="6F39E50C"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The earlier version of the model used</w:t>
      </w:r>
      <w:r>
        <w:t xml:space="preserve"> for the BTWG included the GST as </w:t>
      </w:r>
      <w:r w:rsidRPr="00F03697">
        <w:t>a general indirect tax.</w:t>
      </w:r>
    </w:p>
  </w:footnote>
  <w:footnote w:id="9">
    <w:p w14:paraId="1B14ED88"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Residential land includes owner occupied housing land and rented residential land, while non</w:t>
      </w:r>
      <w:r w:rsidRPr="00F03697">
        <w:noBreakHyphen/>
        <w:t>residential land includes urban land for commercial use and land for primary production.</w:t>
      </w:r>
    </w:p>
  </w:footnote>
  <w:footnote w:id="10">
    <w:p w14:paraId="0CE92ABD" w14:textId="77777777" w:rsidR="000733CF" w:rsidRPr="00F03697" w:rsidRDefault="000733CF" w:rsidP="005154BF">
      <w:pPr>
        <w:pStyle w:val="FootnoteText"/>
      </w:pPr>
      <w:r w:rsidRPr="00F03697">
        <w:rPr>
          <w:rStyle w:val="FootnoteReference"/>
          <w:vertAlign w:val="baseline"/>
        </w:rPr>
        <w:footnoteRef/>
      </w:r>
      <w:r w:rsidRPr="00F03697">
        <w:t xml:space="preserve"> </w:t>
      </w:r>
      <w:r w:rsidRPr="00F03697">
        <w:tab/>
        <w:t>For more detailed discussion of the properties of the expenditure function, see Mas</w:t>
      </w:r>
      <w:r w:rsidRPr="00F03697">
        <w:noBreakHyphen/>
        <w:t>Colell, Whintson and Green (Section 3, 1995).</w:t>
      </w:r>
    </w:p>
  </w:footnote>
  <w:footnote w:id="11">
    <w:p w14:paraId="68194E34" w14:textId="77777777" w:rsidR="000733CF" w:rsidRPr="00F03697" w:rsidRDefault="000733CF" w:rsidP="00EE23F8">
      <w:pPr>
        <w:pStyle w:val="FootnoteText"/>
      </w:pPr>
      <w:r w:rsidRPr="00F03697">
        <w:rPr>
          <w:rStyle w:val="FootnoteReference"/>
          <w:vertAlign w:val="baseline"/>
        </w:rPr>
        <w:footnoteRef/>
      </w:r>
      <w:r w:rsidRPr="00F03697">
        <w:t xml:space="preserve"> </w:t>
      </w:r>
      <w:r w:rsidRPr="00F03697">
        <w:tab/>
        <w:t>The model has two types of land: residential and non</w:t>
      </w:r>
      <w:r w:rsidRPr="00F03697">
        <w:noBreakHyphen/>
        <w:t>residential land. Residential land is only used by the Ownership of Dwellings sector, while non</w:t>
      </w:r>
      <w:r w:rsidRPr="00F03697">
        <w:noBreakHyphen/>
        <w:t>residential land is used by all other industries. While the total supply of each type of land is fixed, the utilisation of land can be increased through greater investment in structures. Finally, the supply of non</w:t>
      </w:r>
      <w:r w:rsidRPr="00F03697">
        <w:noBreakHyphen/>
        <w:t>residential land at the sectoral level can vary, with land allocated via the rental market to its most productive use.</w:t>
      </w:r>
    </w:p>
  </w:footnote>
  <w:footnote w:id="12">
    <w:p w14:paraId="2DDA0DEA" w14:textId="77777777" w:rsidR="000733CF" w:rsidRPr="00F03697" w:rsidRDefault="000733CF" w:rsidP="009831E2">
      <w:pPr>
        <w:pStyle w:val="FootnoteText"/>
      </w:pPr>
      <w:r w:rsidRPr="00F03697">
        <w:rPr>
          <w:rStyle w:val="FootnoteReference"/>
          <w:vertAlign w:val="baseline"/>
        </w:rPr>
        <w:footnoteRef/>
      </w:r>
      <w:r>
        <w:t xml:space="preserve"> </w:t>
      </w:r>
      <w:r>
        <w:tab/>
        <w:t>S</w:t>
      </w:r>
      <w:r w:rsidRPr="00F03697">
        <w:t xml:space="preserve">ensitivity analysis </w:t>
      </w:r>
      <w:r>
        <w:t xml:space="preserve">reported in Cao et al. (2015) </w:t>
      </w:r>
      <w:r w:rsidRPr="00F03697">
        <w:t xml:space="preserve">shows that the rival assumption of a </w:t>
      </w:r>
      <w:r>
        <w:t>fixed level of domestic saving employed in earlier BTWG version of the IECGE model yields</w:t>
      </w:r>
      <w:r w:rsidRPr="00F03697">
        <w:t xml:space="preserve"> </w:t>
      </w:r>
      <w:r>
        <w:t xml:space="preserve">a </w:t>
      </w:r>
      <w:r w:rsidRPr="00F03697">
        <w:t xml:space="preserve">similar outcome. </w:t>
      </w:r>
    </w:p>
  </w:footnote>
  <w:footnote w:id="13">
    <w:p w14:paraId="21548880"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These factors are assumed fixed in the long</w:t>
      </w:r>
      <w:r>
        <w:t xml:space="preserve"> </w:t>
      </w:r>
      <w:r w:rsidRPr="00F03697">
        <w:t xml:space="preserve">run. </w:t>
      </w:r>
      <w:r>
        <w:t>F</w:t>
      </w:r>
      <w:r w:rsidRPr="00F03697">
        <w:t>actors such as the firm</w:t>
      </w:r>
      <w:r w:rsidRPr="00F03697">
        <w:noBreakHyphen/>
        <w:t>specific factor could vary in the short run.</w:t>
      </w:r>
    </w:p>
  </w:footnote>
  <w:footnote w:id="14">
    <w:p w14:paraId="43055CB5" w14:textId="77777777" w:rsidR="000733CF" w:rsidRPr="00F03697" w:rsidRDefault="000733CF" w:rsidP="005A2B26">
      <w:pPr>
        <w:pStyle w:val="FootnoteText"/>
      </w:pPr>
      <w:r w:rsidRPr="00F03697">
        <w:rPr>
          <w:rStyle w:val="FootnoteReference"/>
          <w:vertAlign w:val="baseline"/>
        </w:rPr>
        <w:footnoteRef/>
      </w:r>
      <w:r w:rsidRPr="00F03697">
        <w:t xml:space="preserve"> </w:t>
      </w:r>
      <w:r w:rsidRPr="00F03697">
        <w:tab/>
        <w:t xml:space="preserve">See, for example, the seminal </w:t>
      </w:r>
      <w:r>
        <w:t xml:space="preserve">closed economy </w:t>
      </w:r>
      <w:r w:rsidRPr="00F03697">
        <w:t>study by Lucas (1990)</w:t>
      </w:r>
      <w:r>
        <w:t xml:space="preserve"> and open economy analysis of Mendoza and Tesar (1998).</w:t>
      </w:r>
    </w:p>
  </w:footnote>
  <w:footnote w:id="15">
    <w:p w14:paraId="3FC26D29" w14:textId="77777777" w:rsidR="000733CF" w:rsidRPr="00F03697" w:rsidRDefault="000733CF" w:rsidP="00BE5740">
      <w:pPr>
        <w:pStyle w:val="FootnoteText"/>
      </w:pPr>
      <w:r w:rsidRPr="00F03697">
        <w:rPr>
          <w:rStyle w:val="FootnoteReference"/>
          <w:vertAlign w:val="baseline"/>
        </w:rPr>
        <w:footnoteRef/>
      </w:r>
      <w:r w:rsidRPr="00F03697">
        <w:t xml:space="preserve"> </w:t>
      </w:r>
      <w:r w:rsidRPr="00F03697">
        <w:tab/>
      </w:r>
      <w:r>
        <w:t>Following ABS convention, real gross national income is calculated as nominal gross national income deflated by the gross national expenditure deflator. Consistent with ABS methodology, gross national income includes indirect taxes.</w:t>
      </w:r>
    </w:p>
  </w:footnote>
  <w:footnote w:id="16">
    <w:p w14:paraId="20E29CD5" w14:textId="77777777" w:rsidR="000733CF" w:rsidRPr="00F03697" w:rsidRDefault="000733CF" w:rsidP="00BE5740">
      <w:pPr>
        <w:pStyle w:val="FootnoteText"/>
      </w:pPr>
      <w:r w:rsidRPr="00F03697">
        <w:rPr>
          <w:rStyle w:val="FootnoteReference"/>
          <w:vertAlign w:val="baseline"/>
        </w:rPr>
        <w:footnoteRef/>
      </w:r>
      <w:r w:rsidRPr="00F03697">
        <w:t xml:space="preserve"> </w:t>
      </w:r>
      <w:r w:rsidRPr="00F03697">
        <w:tab/>
      </w:r>
      <w:r>
        <w:t>These recovery rates are consistent with estimates reported by HM Treasury (2013) in their dynamic CGE analysis of a company tax cut.</w:t>
      </w:r>
    </w:p>
  </w:footnote>
  <w:footnote w:id="17">
    <w:p w14:paraId="30A7502D" w14:textId="77777777" w:rsidR="000733CF" w:rsidRPr="00F03697" w:rsidRDefault="000733CF" w:rsidP="00BE5740">
      <w:pPr>
        <w:pStyle w:val="FootnoteText"/>
      </w:pPr>
      <w:r w:rsidRPr="00F03697">
        <w:rPr>
          <w:rStyle w:val="FootnoteReference"/>
          <w:vertAlign w:val="baseline"/>
        </w:rPr>
        <w:footnoteRef/>
      </w:r>
      <w:r w:rsidRPr="00F03697">
        <w:t xml:space="preserve"> </w:t>
      </w:r>
      <w:r w:rsidRPr="00F03697">
        <w:tab/>
      </w:r>
      <w:r>
        <w:t>See Freebairn (2015) and references therein for an extended discussion of the incidence of the company tax.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8827A" w14:textId="77777777" w:rsidR="005A7277" w:rsidRDefault="005A7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6F3D4" w14:textId="77777777" w:rsidR="005A7277" w:rsidRDefault="005A72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1403" w14:textId="77777777" w:rsidR="000733CF" w:rsidRPr="00F012EA" w:rsidRDefault="000733CF" w:rsidP="00F012EA">
    <w:pPr>
      <w:pStyle w:val="Header"/>
    </w:pPr>
    <w:r>
      <w:rPr>
        <w:noProof/>
        <w:lang w:eastAsia="en-AU"/>
      </w:rPr>
      <w:drawing>
        <wp:inline distT="0" distB="0" distL="0" distR="0" wp14:anchorId="5B44ADBC" wp14:editId="74C9F204">
          <wp:extent cx="1926336" cy="1194816"/>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926336" cy="1194816"/>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39F8" w14:textId="77777777" w:rsidR="000733CF" w:rsidRPr="00F012EA" w:rsidRDefault="000733CF" w:rsidP="00F012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A7A8E" w14:textId="77777777" w:rsidR="000733CF" w:rsidRPr="004B791A" w:rsidRDefault="000733CF" w:rsidP="004B79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C5BFC"/>
    <w:lvl w:ilvl="0">
      <w:start w:val="1"/>
      <w:numFmt w:val="decimal"/>
      <w:lvlText w:val="%1."/>
      <w:lvlJc w:val="left"/>
      <w:pPr>
        <w:tabs>
          <w:tab w:val="num" w:pos="1492"/>
        </w:tabs>
        <w:ind w:left="1492" w:hanging="360"/>
      </w:pPr>
    </w:lvl>
  </w:abstractNum>
  <w:abstractNum w:abstractNumId="1">
    <w:nsid w:val="FFFFFF7D"/>
    <w:multiLevelType w:val="singleLevel"/>
    <w:tmpl w:val="31DAE84C"/>
    <w:lvl w:ilvl="0">
      <w:start w:val="1"/>
      <w:numFmt w:val="decimal"/>
      <w:lvlText w:val="%1."/>
      <w:lvlJc w:val="left"/>
      <w:pPr>
        <w:tabs>
          <w:tab w:val="num" w:pos="1209"/>
        </w:tabs>
        <w:ind w:left="1209" w:hanging="360"/>
      </w:pPr>
    </w:lvl>
  </w:abstractNum>
  <w:abstractNum w:abstractNumId="2">
    <w:nsid w:val="FFFFFF7E"/>
    <w:multiLevelType w:val="singleLevel"/>
    <w:tmpl w:val="683C5FCA"/>
    <w:lvl w:ilvl="0">
      <w:start w:val="1"/>
      <w:numFmt w:val="decimal"/>
      <w:lvlText w:val="%1."/>
      <w:lvlJc w:val="left"/>
      <w:pPr>
        <w:tabs>
          <w:tab w:val="num" w:pos="926"/>
        </w:tabs>
        <w:ind w:left="926" w:hanging="360"/>
      </w:pPr>
    </w:lvl>
  </w:abstractNum>
  <w:abstractNum w:abstractNumId="3">
    <w:nsid w:val="FFFFFF7F"/>
    <w:multiLevelType w:val="singleLevel"/>
    <w:tmpl w:val="E9FE7184"/>
    <w:lvl w:ilvl="0">
      <w:start w:val="1"/>
      <w:numFmt w:val="decimal"/>
      <w:lvlText w:val="%1."/>
      <w:lvlJc w:val="left"/>
      <w:pPr>
        <w:tabs>
          <w:tab w:val="num" w:pos="643"/>
        </w:tabs>
        <w:ind w:left="643" w:hanging="360"/>
      </w:pPr>
    </w:lvl>
  </w:abstractNum>
  <w:abstractNum w:abstractNumId="4">
    <w:nsid w:val="FFFFFF80"/>
    <w:multiLevelType w:val="singleLevel"/>
    <w:tmpl w:val="6060A2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18BB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9840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06D3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FAC4F8"/>
    <w:lvl w:ilvl="0">
      <w:start w:val="1"/>
      <w:numFmt w:val="decimal"/>
      <w:lvlText w:val="%1."/>
      <w:lvlJc w:val="left"/>
      <w:pPr>
        <w:tabs>
          <w:tab w:val="num" w:pos="360"/>
        </w:tabs>
        <w:ind w:left="360" w:hanging="360"/>
      </w:pPr>
    </w:lvl>
  </w:abstractNum>
  <w:abstractNum w:abstractNumId="9">
    <w:nsid w:val="FFFFFF89"/>
    <w:multiLevelType w:val="singleLevel"/>
    <w:tmpl w:val="53AA1BB6"/>
    <w:lvl w:ilvl="0">
      <w:start w:val="1"/>
      <w:numFmt w:val="bullet"/>
      <w:lvlText w:val=""/>
      <w:lvlJc w:val="left"/>
      <w:pPr>
        <w:tabs>
          <w:tab w:val="num" w:pos="360"/>
        </w:tabs>
        <w:ind w:left="360" w:hanging="360"/>
      </w:pPr>
      <w:rPr>
        <w:rFonts w:ascii="Symbol" w:hAnsi="Symbol" w:hint="default"/>
      </w:rPr>
    </w:lvl>
  </w:abstractNum>
  <w:abstractNum w:abstractNumId="1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1">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6CC4E5D"/>
    <w:multiLevelType w:val="multilevel"/>
    <w:tmpl w:val="D10E9CF6"/>
    <w:numStyleLink w:val="OneLevelList"/>
  </w:abstractNum>
  <w:abstractNum w:abstractNumId="15">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nsid w:val="2E676638"/>
    <w:multiLevelType w:val="multilevel"/>
    <w:tmpl w:val="32F2C594"/>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23">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445B0A7E"/>
    <w:multiLevelType w:val="multilevel"/>
    <w:tmpl w:val="EDEE4FB6"/>
    <w:numStyleLink w:val="RecommendationBulletList"/>
  </w:abstractNum>
  <w:abstractNum w:abstractNumId="25">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10D2021"/>
    <w:multiLevelType w:val="multilevel"/>
    <w:tmpl w:val="72F8140E"/>
    <w:numStyleLink w:val="OutlineList"/>
  </w:abstractNum>
  <w:abstractNum w:abstractNumId="27">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5F73129"/>
    <w:multiLevelType w:val="multilevel"/>
    <w:tmpl w:val="D9A8A212"/>
    <w:numStyleLink w:val="RomanNumeralList"/>
  </w:abstractNum>
  <w:abstractNum w:abstractNumId="29">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30">
    <w:nsid w:val="6A5F7B24"/>
    <w:multiLevelType w:val="multilevel"/>
    <w:tmpl w:val="2090AC60"/>
    <w:lvl w:ilvl="0">
      <w:start w:val="1"/>
      <w:numFmt w:val="decimal"/>
      <w:lvlRestart w:val="0"/>
      <w:pStyle w:val="Heading2"/>
      <w:lvlText w:val="%1."/>
      <w:lvlJc w:val="left"/>
      <w:pPr>
        <w:tabs>
          <w:tab w:val="num" w:pos="3402"/>
        </w:tabs>
        <w:ind w:left="255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pStyle w:val="Heading4"/>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1">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1"/>
  </w:num>
  <w:num w:numId="3">
    <w:abstractNumId w:val="25"/>
  </w:num>
  <w:num w:numId="4">
    <w:abstractNumId w:val="21"/>
  </w:num>
  <w:num w:numId="5">
    <w:abstractNumId w:val="13"/>
  </w:num>
  <w:num w:numId="6">
    <w:abstractNumId w:val="15"/>
  </w:num>
  <w:num w:numId="7">
    <w:abstractNumId w:val="12"/>
  </w:num>
  <w:num w:numId="8">
    <w:abstractNumId w:val="14"/>
  </w:num>
  <w:num w:numId="9">
    <w:abstractNumId w:val="26"/>
  </w:num>
  <w:num w:numId="10">
    <w:abstractNumId w:val="24"/>
  </w:num>
  <w:num w:numId="11">
    <w:abstractNumId w:val="28"/>
  </w:num>
  <w:num w:numId="12">
    <w:abstractNumId w:val="20"/>
  </w:num>
  <w:num w:numId="13">
    <w:abstractNumId w:val="27"/>
  </w:num>
  <w:num w:numId="14">
    <w:abstractNumId w:val="16"/>
  </w:num>
  <w:num w:numId="15">
    <w:abstractNumId w:val="16"/>
  </w:num>
  <w:num w:numId="16">
    <w:abstractNumId w:val="23"/>
  </w:num>
  <w:num w:numId="17">
    <w:abstractNumId w:val="10"/>
  </w:num>
  <w:num w:numId="18">
    <w:abstractNumId w:val="18"/>
  </w:num>
  <w:num w:numId="19">
    <w:abstractNumId w:val="29"/>
  </w:num>
  <w:num w:numId="20">
    <w:abstractNumId w:val="18"/>
  </w:num>
  <w:num w:numId="21">
    <w:abstractNumId w:val="22"/>
  </w:num>
  <w:num w:numId="22">
    <w:abstractNumId w:val="30"/>
  </w:num>
  <w:num w:numId="23">
    <w:abstractNumId w:val="31"/>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noTabHangInd/>
    <w:noColumnBalance/>
    <w:suppressBottomSpacing/>
    <w:suppressTopSpacing/>
    <w:suppressSpBfAfterPgBrk/>
    <w:noSpaceRaiseLower/>
    <w:doNotUseHTMLParagraphAutoSpacing/>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IClassificationInHeader" w:val="False"/>
    <w:docVar w:name="SecurityClassificationInHeader" w:val="False"/>
    <w:docVar w:name="SecurityDLMInHeader" w:val="False"/>
  </w:docVars>
  <w:rsids>
    <w:rsidRoot w:val="002D272B"/>
    <w:rsid w:val="000029DD"/>
    <w:rsid w:val="00003ACD"/>
    <w:rsid w:val="00006011"/>
    <w:rsid w:val="00007CDE"/>
    <w:rsid w:val="00007F87"/>
    <w:rsid w:val="0001285B"/>
    <w:rsid w:val="00016769"/>
    <w:rsid w:val="000167A9"/>
    <w:rsid w:val="00021136"/>
    <w:rsid w:val="00042726"/>
    <w:rsid w:val="000464B6"/>
    <w:rsid w:val="00051C46"/>
    <w:rsid w:val="00052696"/>
    <w:rsid w:val="00054BEA"/>
    <w:rsid w:val="00061578"/>
    <w:rsid w:val="000622B2"/>
    <w:rsid w:val="000702B1"/>
    <w:rsid w:val="000733CF"/>
    <w:rsid w:val="000777C3"/>
    <w:rsid w:val="00077959"/>
    <w:rsid w:val="00077D52"/>
    <w:rsid w:val="00091054"/>
    <w:rsid w:val="00095C3F"/>
    <w:rsid w:val="000B6885"/>
    <w:rsid w:val="000C721D"/>
    <w:rsid w:val="000D4771"/>
    <w:rsid w:val="000D5AB3"/>
    <w:rsid w:val="000D7F2A"/>
    <w:rsid w:val="000E39CF"/>
    <w:rsid w:val="000F2AB5"/>
    <w:rsid w:val="000F433F"/>
    <w:rsid w:val="0010021B"/>
    <w:rsid w:val="0010329F"/>
    <w:rsid w:val="00103FC6"/>
    <w:rsid w:val="00107294"/>
    <w:rsid w:val="00110D40"/>
    <w:rsid w:val="00112AA0"/>
    <w:rsid w:val="00113332"/>
    <w:rsid w:val="00115070"/>
    <w:rsid w:val="00115DBC"/>
    <w:rsid w:val="001258B4"/>
    <w:rsid w:val="0013743C"/>
    <w:rsid w:val="001444DB"/>
    <w:rsid w:val="00147046"/>
    <w:rsid w:val="00155E8F"/>
    <w:rsid w:val="00157F87"/>
    <w:rsid w:val="00161588"/>
    <w:rsid w:val="00165C6F"/>
    <w:rsid w:val="001662E8"/>
    <w:rsid w:val="0016745D"/>
    <w:rsid w:val="00170B8B"/>
    <w:rsid w:val="00173AE1"/>
    <w:rsid w:val="001759E9"/>
    <w:rsid w:val="0017685E"/>
    <w:rsid w:val="00185B32"/>
    <w:rsid w:val="00185DC3"/>
    <w:rsid w:val="0019627C"/>
    <w:rsid w:val="001A420D"/>
    <w:rsid w:val="001A7BF9"/>
    <w:rsid w:val="001B112F"/>
    <w:rsid w:val="001B15D0"/>
    <w:rsid w:val="001B7E1C"/>
    <w:rsid w:val="001C5195"/>
    <w:rsid w:val="001D6331"/>
    <w:rsid w:val="001E1D66"/>
    <w:rsid w:val="001E664D"/>
    <w:rsid w:val="001F5215"/>
    <w:rsid w:val="002015AB"/>
    <w:rsid w:val="00207AC4"/>
    <w:rsid w:val="00211545"/>
    <w:rsid w:val="00217AB7"/>
    <w:rsid w:val="002249D2"/>
    <w:rsid w:val="002271BB"/>
    <w:rsid w:val="00231F5E"/>
    <w:rsid w:val="002330AC"/>
    <w:rsid w:val="002339A8"/>
    <w:rsid w:val="00236C99"/>
    <w:rsid w:val="00237A10"/>
    <w:rsid w:val="00237EDE"/>
    <w:rsid w:val="00241702"/>
    <w:rsid w:val="0024171C"/>
    <w:rsid w:val="00242011"/>
    <w:rsid w:val="00251818"/>
    <w:rsid w:val="00255E14"/>
    <w:rsid w:val="00257A2D"/>
    <w:rsid w:val="002620A8"/>
    <w:rsid w:val="00272B37"/>
    <w:rsid w:val="00273073"/>
    <w:rsid w:val="00274B45"/>
    <w:rsid w:val="00275516"/>
    <w:rsid w:val="002768B3"/>
    <w:rsid w:val="002807BB"/>
    <w:rsid w:val="00280D28"/>
    <w:rsid w:val="00287E1C"/>
    <w:rsid w:val="00291656"/>
    <w:rsid w:val="00291937"/>
    <w:rsid w:val="00297C46"/>
    <w:rsid w:val="002A5BA4"/>
    <w:rsid w:val="002B39E9"/>
    <w:rsid w:val="002B53E2"/>
    <w:rsid w:val="002C0388"/>
    <w:rsid w:val="002C3075"/>
    <w:rsid w:val="002C30AA"/>
    <w:rsid w:val="002C3379"/>
    <w:rsid w:val="002C5398"/>
    <w:rsid w:val="002D1743"/>
    <w:rsid w:val="002D272B"/>
    <w:rsid w:val="002D316D"/>
    <w:rsid w:val="002D3E2E"/>
    <w:rsid w:val="002D7D7A"/>
    <w:rsid w:val="002E2E01"/>
    <w:rsid w:val="002E4B7A"/>
    <w:rsid w:val="002E5F5C"/>
    <w:rsid w:val="002E6C9E"/>
    <w:rsid w:val="002E7527"/>
    <w:rsid w:val="002E7BDD"/>
    <w:rsid w:val="002F022B"/>
    <w:rsid w:val="002F3DFC"/>
    <w:rsid w:val="002F513B"/>
    <w:rsid w:val="002F73DF"/>
    <w:rsid w:val="003010B8"/>
    <w:rsid w:val="00301493"/>
    <w:rsid w:val="00301A52"/>
    <w:rsid w:val="00305F0F"/>
    <w:rsid w:val="00312CC1"/>
    <w:rsid w:val="00321030"/>
    <w:rsid w:val="003274DD"/>
    <w:rsid w:val="0033084D"/>
    <w:rsid w:val="003326C6"/>
    <w:rsid w:val="00334335"/>
    <w:rsid w:val="003406DF"/>
    <w:rsid w:val="00347223"/>
    <w:rsid w:val="00352DC0"/>
    <w:rsid w:val="003641BA"/>
    <w:rsid w:val="00365C6D"/>
    <w:rsid w:val="00372A95"/>
    <w:rsid w:val="003765F6"/>
    <w:rsid w:val="003808D5"/>
    <w:rsid w:val="003809EA"/>
    <w:rsid w:val="00380E98"/>
    <w:rsid w:val="00383632"/>
    <w:rsid w:val="00390529"/>
    <w:rsid w:val="00390C5E"/>
    <w:rsid w:val="003914C2"/>
    <w:rsid w:val="00397732"/>
    <w:rsid w:val="003A1A88"/>
    <w:rsid w:val="003A2259"/>
    <w:rsid w:val="003B0501"/>
    <w:rsid w:val="003B4A09"/>
    <w:rsid w:val="003C077F"/>
    <w:rsid w:val="003C36A2"/>
    <w:rsid w:val="003C4C35"/>
    <w:rsid w:val="003C720F"/>
    <w:rsid w:val="003D27B3"/>
    <w:rsid w:val="003D296C"/>
    <w:rsid w:val="003D3DC9"/>
    <w:rsid w:val="003D5AEC"/>
    <w:rsid w:val="003D6FA7"/>
    <w:rsid w:val="003D7D4B"/>
    <w:rsid w:val="003E0A84"/>
    <w:rsid w:val="003E0E7B"/>
    <w:rsid w:val="003E1D2E"/>
    <w:rsid w:val="003E3374"/>
    <w:rsid w:val="003E62B7"/>
    <w:rsid w:val="003E6B90"/>
    <w:rsid w:val="003F1613"/>
    <w:rsid w:val="003F2EE7"/>
    <w:rsid w:val="00406016"/>
    <w:rsid w:val="00416E7C"/>
    <w:rsid w:val="0041730D"/>
    <w:rsid w:val="00426CC1"/>
    <w:rsid w:val="004370F4"/>
    <w:rsid w:val="004429D8"/>
    <w:rsid w:val="00445EC9"/>
    <w:rsid w:val="00446698"/>
    <w:rsid w:val="00454D64"/>
    <w:rsid w:val="004600B3"/>
    <w:rsid w:val="00460338"/>
    <w:rsid w:val="00460A29"/>
    <w:rsid w:val="00460C65"/>
    <w:rsid w:val="004611A1"/>
    <w:rsid w:val="004644F0"/>
    <w:rsid w:val="004653EC"/>
    <w:rsid w:val="00475A8C"/>
    <w:rsid w:val="004805C9"/>
    <w:rsid w:val="00480FF5"/>
    <w:rsid w:val="00481288"/>
    <w:rsid w:val="00494DE6"/>
    <w:rsid w:val="004A1575"/>
    <w:rsid w:val="004B07A5"/>
    <w:rsid w:val="004B0D15"/>
    <w:rsid w:val="004B425F"/>
    <w:rsid w:val="004B791A"/>
    <w:rsid w:val="004C167F"/>
    <w:rsid w:val="004D3E18"/>
    <w:rsid w:val="004E4B94"/>
    <w:rsid w:val="004E5816"/>
    <w:rsid w:val="004E793D"/>
    <w:rsid w:val="004F4EE7"/>
    <w:rsid w:val="00500704"/>
    <w:rsid w:val="005012DE"/>
    <w:rsid w:val="005023FF"/>
    <w:rsid w:val="005055AA"/>
    <w:rsid w:val="0051251F"/>
    <w:rsid w:val="005154BF"/>
    <w:rsid w:val="00536B90"/>
    <w:rsid w:val="00545A49"/>
    <w:rsid w:val="00555B0A"/>
    <w:rsid w:val="00557E2F"/>
    <w:rsid w:val="00562B29"/>
    <w:rsid w:val="00562EFB"/>
    <w:rsid w:val="0056486C"/>
    <w:rsid w:val="0057074A"/>
    <w:rsid w:val="00571980"/>
    <w:rsid w:val="00575C39"/>
    <w:rsid w:val="00583C60"/>
    <w:rsid w:val="005904CD"/>
    <w:rsid w:val="0059091F"/>
    <w:rsid w:val="00592908"/>
    <w:rsid w:val="005A2B26"/>
    <w:rsid w:val="005A6FE7"/>
    <w:rsid w:val="005A7277"/>
    <w:rsid w:val="005B52C6"/>
    <w:rsid w:val="005C15AE"/>
    <w:rsid w:val="005C1C7F"/>
    <w:rsid w:val="005C2366"/>
    <w:rsid w:val="005C4EA1"/>
    <w:rsid w:val="005C7CED"/>
    <w:rsid w:val="005D3062"/>
    <w:rsid w:val="005D4BBD"/>
    <w:rsid w:val="005D6D02"/>
    <w:rsid w:val="005E0FCD"/>
    <w:rsid w:val="005E7F09"/>
    <w:rsid w:val="005F100C"/>
    <w:rsid w:val="005F3390"/>
    <w:rsid w:val="005F423C"/>
    <w:rsid w:val="005F5403"/>
    <w:rsid w:val="005F5653"/>
    <w:rsid w:val="005F66EC"/>
    <w:rsid w:val="005F6EA2"/>
    <w:rsid w:val="00605AC9"/>
    <w:rsid w:val="00613DD4"/>
    <w:rsid w:val="0061492C"/>
    <w:rsid w:val="00614BAC"/>
    <w:rsid w:val="00640424"/>
    <w:rsid w:val="006457CC"/>
    <w:rsid w:val="00652732"/>
    <w:rsid w:val="0065277E"/>
    <w:rsid w:val="00657031"/>
    <w:rsid w:val="006578EA"/>
    <w:rsid w:val="00661043"/>
    <w:rsid w:val="00672387"/>
    <w:rsid w:val="0067389A"/>
    <w:rsid w:val="0067640D"/>
    <w:rsid w:val="00676B7F"/>
    <w:rsid w:val="006770F4"/>
    <w:rsid w:val="006813F8"/>
    <w:rsid w:val="00682B93"/>
    <w:rsid w:val="00690F77"/>
    <w:rsid w:val="00696614"/>
    <w:rsid w:val="00696C43"/>
    <w:rsid w:val="006A0FED"/>
    <w:rsid w:val="006A30A5"/>
    <w:rsid w:val="006B02E6"/>
    <w:rsid w:val="006B4A2D"/>
    <w:rsid w:val="006C14F3"/>
    <w:rsid w:val="006D6023"/>
    <w:rsid w:val="006D63C0"/>
    <w:rsid w:val="006E4318"/>
    <w:rsid w:val="006E5332"/>
    <w:rsid w:val="006E5C98"/>
    <w:rsid w:val="006E6EC1"/>
    <w:rsid w:val="006E7DC0"/>
    <w:rsid w:val="006F0D15"/>
    <w:rsid w:val="006F3E0E"/>
    <w:rsid w:val="006F73FE"/>
    <w:rsid w:val="007035C9"/>
    <w:rsid w:val="00703938"/>
    <w:rsid w:val="00712AD3"/>
    <w:rsid w:val="00712BF6"/>
    <w:rsid w:val="00714153"/>
    <w:rsid w:val="00717274"/>
    <w:rsid w:val="007239DD"/>
    <w:rsid w:val="0072571E"/>
    <w:rsid w:val="007319CD"/>
    <w:rsid w:val="00736793"/>
    <w:rsid w:val="007576B8"/>
    <w:rsid w:val="00757982"/>
    <w:rsid w:val="0076342F"/>
    <w:rsid w:val="00767F36"/>
    <w:rsid w:val="00770380"/>
    <w:rsid w:val="0077228F"/>
    <w:rsid w:val="007826E2"/>
    <w:rsid w:val="0078304B"/>
    <w:rsid w:val="00786102"/>
    <w:rsid w:val="007936DF"/>
    <w:rsid w:val="0079406C"/>
    <w:rsid w:val="007A1FBB"/>
    <w:rsid w:val="007A2ACB"/>
    <w:rsid w:val="007A3BF4"/>
    <w:rsid w:val="007B08F9"/>
    <w:rsid w:val="007B0C23"/>
    <w:rsid w:val="007C2744"/>
    <w:rsid w:val="007C48F0"/>
    <w:rsid w:val="007C66E0"/>
    <w:rsid w:val="007D01FD"/>
    <w:rsid w:val="007D09FB"/>
    <w:rsid w:val="007D46AC"/>
    <w:rsid w:val="007F20B9"/>
    <w:rsid w:val="007F274E"/>
    <w:rsid w:val="0080260E"/>
    <w:rsid w:val="00803B2A"/>
    <w:rsid w:val="00812433"/>
    <w:rsid w:val="00814851"/>
    <w:rsid w:val="008155B0"/>
    <w:rsid w:val="0082097D"/>
    <w:rsid w:val="008235FC"/>
    <w:rsid w:val="00827F1D"/>
    <w:rsid w:val="008312C3"/>
    <w:rsid w:val="00833945"/>
    <w:rsid w:val="00835098"/>
    <w:rsid w:val="008420FA"/>
    <w:rsid w:val="00850D22"/>
    <w:rsid w:val="008627B1"/>
    <w:rsid w:val="00864D1D"/>
    <w:rsid w:val="008730A7"/>
    <w:rsid w:val="00873FF6"/>
    <w:rsid w:val="00874555"/>
    <w:rsid w:val="00880ADB"/>
    <w:rsid w:val="00882B0D"/>
    <w:rsid w:val="008847CC"/>
    <w:rsid w:val="008862EA"/>
    <w:rsid w:val="0088632B"/>
    <w:rsid w:val="00892988"/>
    <w:rsid w:val="00892F02"/>
    <w:rsid w:val="00893D11"/>
    <w:rsid w:val="008950A3"/>
    <w:rsid w:val="008A12B6"/>
    <w:rsid w:val="008A45B6"/>
    <w:rsid w:val="008A744F"/>
    <w:rsid w:val="008A7EDB"/>
    <w:rsid w:val="008B69DA"/>
    <w:rsid w:val="008C0793"/>
    <w:rsid w:val="008C1101"/>
    <w:rsid w:val="008C1E87"/>
    <w:rsid w:val="008C4EC6"/>
    <w:rsid w:val="008D08BE"/>
    <w:rsid w:val="008E3CFB"/>
    <w:rsid w:val="008E4C08"/>
    <w:rsid w:val="008F1ACC"/>
    <w:rsid w:val="008F373B"/>
    <w:rsid w:val="009002FD"/>
    <w:rsid w:val="0090339D"/>
    <w:rsid w:val="00904023"/>
    <w:rsid w:val="0091152A"/>
    <w:rsid w:val="00915295"/>
    <w:rsid w:val="0092354D"/>
    <w:rsid w:val="00925BBE"/>
    <w:rsid w:val="009269CB"/>
    <w:rsid w:val="009305FD"/>
    <w:rsid w:val="00936238"/>
    <w:rsid w:val="0094658C"/>
    <w:rsid w:val="00947FEE"/>
    <w:rsid w:val="0095562B"/>
    <w:rsid w:val="00955F84"/>
    <w:rsid w:val="0095781D"/>
    <w:rsid w:val="009660A8"/>
    <w:rsid w:val="009672D2"/>
    <w:rsid w:val="0097280B"/>
    <w:rsid w:val="00974345"/>
    <w:rsid w:val="009777BF"/>
    <w:rsid w:val="009831E2"/>
    <w:rsid w:val="009862D1"/>
    <w:rsid w:val="00986C3E"/>
    <w:rsid w:val="00991290"/>
    <w:rsid w:val="009918FD"/>
    <w:rsid w:val="009A0F15"/>
    <w:rsid w:val="009A177F"/>
    <w:rsid w:val="009A1E51"/>
    <w:rsid w:val="009A2DC9"/>
    <w:rsid w:val="009A5163"/>
    <w:rsid w:val="009B528D"/>
    <w:rsid w:val="009C1116"/>
    <w:rsid w:val="009C27A5"/>
    <w:rsid w:val="009C57C2"/>
    <w:rsid w:val="009C7330"/>
    <w:rsid w:val="009C7E17"/>
    <w:rsid w:val="009D0790"/>
    <w:rsid w:val="009D19D7"/>
    <w:rsid w:val="009D2226"/>
    <w:rsid w:val="009D34EB"/>
    <w:rsid w:val="009D3CCB"/>
    <w:rsid w:val="009E496C"/>
    <w:rsid w:val="009E68FC"/>
    <w:rsid w:val="009F27F8"/>
    <w:rsid w:val="009F7514"/>
    <w:rsid w:val="009F7815"/>
    <w:rsid w:val="00A04BA1"/>
    <w:rsid w:val="00A05277"/>
    <w:rsid w:val="00A12683"/>
    <w:rsid w:val="00A1293F"/>
    <w:rsid w:val="00A14CD9"/>
    <w:rsid w:val="00A1658C"/>
    <w:rsid w:val="00A16948"/>
    <w:rsid w:val="00A20F31"/>
    <w:rsid w:val="00A2599E"/>
    <w:rsid w:val="00A25B8E"/>
    <w:rsid w:val="00A264A6"/>
    <w:rsid w:val="00A26C61"/>
    <w:rsid w:val="00A31FD5"/>
    <w:rsid w:val="00A3513E"/>
    <w:rsid w:val="00A42F49"/>
    <w:rsid w:val="00A43322"/>
    <w:rsid w:val="00A44201"/>
    <w:rsid w:val="00A45EE8"/>
    <w:rsid w:val="00A537E0"/>
    <w:rsid w:val="00A57848"/>
    <w:rsid w:val="00A61B86"/>
    <w:rsid w:val="00A700CC"/>
    <w:rsid w:val="00A700EC"/>
    <w:rsid w:val="00A731F8"/>
    <w:rsid w:val="00A74492"/>
    <w:rsid w:val="00A75F04"/>
    <w:rsid w:val="00A90550"/>
    <w:rsid w:val="00A907B8"/>
    <w:rsid w:val="00A940A5"/>
    <w:rsid w:val="00A94150"/>
    <w:rsid w:val="00A956E5"/>
    <w:rsid w:val="00A9572D"/>
    <w:rsid w:val="00A95EAA"/>
    <w:rsid w:val="00AA34C9"/>
    <w:rsid w:val="00AA439D"/>
    <w:rsid w:val="00AA4528"/>
    <w:rsid w:val="00AA5767"/>
    <w:rsid w:val="00AA5D71"/>
    <w:rsid w:val="00AA66C7"/>
    <w:rsid w:val="00AB525B"/>
    <w:rsid w:val="00AD20A9"/>
    <w:rsid w:val="00AD25EE"/>
    <w:rsid w:val="00AD27DF"/>
    <w:rsid w:val="00AD3D7A"/>
    <w:rsid w:val="00AD45E1"/>
    <w:rsid w:val="00AE0023"/>
    <w:rsid w:val="00AE18CF"/>
    <w:rsid w:val="00AF1837"/>
    <w:rsid w:val="00AF7A94"/>
    <w:rsid w:val="00B144AB"/>
    <w:rsid w:val="00B16DFD"/>
    <w:rsid w:val="00B26271"/>
    <w:rsid w:val="00B310F3"/>
    <w:rsid w:val="00B35BEE"/>
    <w:rsid w:val="00B37373"/>
    <w:rsid w:val="00B4768A"/>
    <w:rsid w:val="00B51DA1"/>
    <w:rsid w:val="00B52FE8"/>
    <w:rsid w:val="00B53A5C"/>
    <w:rsid w:val="00B55137"/>
    <w:rsid w:val="00B701A5"/>
    <w:rsid w:val="00B764BA"/>
    <w:rsid w:val="00B77BC9"/>
    <w:rsid w:val="00B804EF"/>
    <w:rsid w:val="00B81DDA"/>
    <w:rsid w:val="00B86F8E"/>
    <w:rsid w:val="00B87557"/>
    <w:rsid w:val="00B948AD"/>
    <w:rsid w:val="00B97B21"/>
    <w:rsid w:val="00BA160F"/>
    <w:rsid w:val="00BA45D5"/>
    <w:rsid w:val="00BA6BF3"/>
    <w:rsid w:val="00BB3278"/>
    <w:rsid w:val="00BC087B"/>
    <w:rsid w:val="00BC4ADF"/>
    <w:rsid w:val="00BC5A10"/>
    <w:rsid w:val="00BC6527"/>
    <w:rsid w:val="00BD0D48"/>
    <w:rsid w:val="00BD3F23"/>
    <w:rsid w:val="00BD424D"/>
    <w:rsid w:val="00BD491D"/>
    <w:rsid w:val="00BE4258"/>
    <w:rsid w:val="00BE5740"/>
    <w:rsid w:val="00BE59DB"/>
    <w:rsid w:val="00BE62DE"/>
    <w:rsid w:val="00BF70D7"/>
    <w:rsid w:val="00C03426"/>
    <w:rsid w:val="00C0395B"/>
    <w:rsid w:val="00C05D28"/>
    <w:rsid w:val="00C07F94"/>
    <w:rsid w:val="00C11090"/>
    <w:rsid w:val="00C240DC"/>
    <w:rsid w:val="00C24CBB"/>
    <w:rsid w:val="00C26351"/>
    <w:rsid w:val="00C37BE4"/>
    <w:rsid w:val="00C40BF5"/>
    <w:rsid w:val="00C44681"/>
    <w:rsid w:val="00C50229"/>
    <w:rsid w:val="00C53DA6"/>
    <w:rsid w:val="00C63763"/>
    <w:rsid w:val="00C75EA2"/>
    <w:rsid w:val="00C829F5"/>
    <w:rsid w:val="00C83971"/>
    <w:rsid w:val="00C839C0"/>
    <w:rsid w:val="00C86465"/>
    <w:rsid w:val="00C8767F"/>
    <w:rsid w:val="00C911C1"/>
    <w:rsid w:val="00C97912"/>
    <w:rsid w:val="00CA717A"/>
    <w:rsid w:val="00CB1B22"/>
    <w:rsid w:val="00CB1E5D"/>
    <w:rsid w:val="00CB2127"/>
    <w:rsid w:val="00CB224A"/>
    <w:rsid w:val="00CB6AA7"/>
    <w:rsid w:val="00CC086B"/>
    <w:rsid w:val="00CC1A8A"/>
    <w:rsid w:val="00CC67EF"/>
    <w:rsid w:val="00CC755F"/>
    <w:rsid w:val="00CD0719"/>
    <w:rsid w:val="00CD2944"/>
    <w:rsid w:val="00CE75F6"/>
    <w:rsid w:val="00CF0660"/>
    <w:rsid w:val="00CF4069"/>
    <w:rsid w:val="00D02F8D"/>
    <w:rsid w:val="00D05BCA"/>
    <w:rsid w:val="00D11517"/>
    <w:rsid w:val="00D22EEE"/>
    <w:rsid w:val="00D24084"/>
    <w:rsid w:val="00D33FDE"/>
    <w:rsid w:val="00D4005D"/>
    <w:rsid w:val="00D40502"/>
    <w:rsid w:val="00D41BD7"/>
    <w:rsid w:val="00D41ED2"/>
    <w:rsid w:val="00D46334"/>
    <w:rsid w:val="00D542E4"/>
    <w:rsid w:val="00D5683E"/>
    <w:rsid w:val="00D6257B"/>
    <w:rsid w:val="00D70526"/>
    <w:rsid w:val="00D7257F"/>
    <w:rsid w:val="00D729EE"/>
    <w:rsid w:val="00D7699C"/>
    <w:rsid w:val="00D83627"/>
    <w:rsid w:val="00D8732E"/>
    <w:rsid w:val="00D9097B"/>
    <w:rsid w:val="00D978B6"/>
    <w:rsid w:val="00DA0D5C"/>
    <w:rsid w:val="00DA557B"/>
    <w:rsid w:val="00DB253A"/>
    <w:rsid w:val="00DB62A0"/>
    <w:rsid w:val="00DC0480"/>
    <w:rsid w:val="00DC0EBE"/>
    <w:rsid w:val="00DC25A9"/>
    <w:rsid w:val="00DC26C3"/>
    <w:rsid w:val="00DC6201"/>
    <w:rsid w:val="00DC6961"/>
    <w:rsid w:val="00DD28A5"/>
    <w:rsid w:val="00DD7E84"/>
    <w:rsid w:val="00DE2B14"/>
    <w:rsid w:val="00DE3345"/>
    <w:rsid w:val="00DF0F48"/>
    <w:rsid w:val="00DF2184"/>
    <w:rsid w:val="00DF4F94"/>
    <w:rsid w:val="00E00EFA"/>
    <w:rsid w:val="00E01DB4"/>
    <w:rsid w:val="00E11B28"/>
    <w:rsid w:val="00E125A8"/>
    <w:rsid w:val="00E13B71"/>
    <w:rsid w:val="00E177C9"/>
    <w:rsid w:val="00E2425F"/>
    <w:rsid w:val="00E33280"/>
    <w:rsid w:val="00E34ED8"/>
    <w:rsid w:val="00E35A09"/>
    <w:rsid w:val="00E44260"/>
    <w:rsid w:val="00E455C5"/>
    <w:rsid w:val="00E514CA"/>
    <w:rsid w:val="00E54BA2"/>
    <w:rsid w:val="00E54DB4"/>
    <w:rsid w:val="00E55218"/>
    <w:rsid w:val="00E71C4A"/>
    <w:rsid w:val="00E72EAF"/>
    <w:rsid w:val="00E75CB5"/>
    <w:rsid w:val="00E8125A"/>
    <w:rsid w:val="00E83800"/>
    <w:rsid w:val="00E838B2"/>
    <w:rsid w:val="00E85185"/>
    <w:rsid w:val="00E9380C"/>
    <w:rsid w:val="00E96C21"/>
    <w:rsid w:val="00E97758"/>
    <w:rsid w:val="00EA129E"/>
    <w:rsid w:val="00EA2248"/>
    <w:rsid w:val="00EA3E64"/>
    <w:rsid w:val="00EA666C"/>
    <w:rsid w:val="00EB169C"/>
    <w:rsid w:val="00EB5476"/>
    <w:rsid w:val="00EB6BD0"/>
    <w:rsid w:val="00EC55C3"/>
    <w:rsid w:val="00ED09FB"/>
    <w:rsid w:val="00ED64A0"/>
    <w:rsid w:val="00ED6DF7"/>
    <w:rsid w:val="00ED7616"/>
    <w:rsid w:val="00EE20A1"/>
    <w:rsid w:val="00EE23F8"/>
    <w:rsid w:val="00EE5B40"/>
    <w:rsid w:val="00EE6F94"/>
    <w:rsid w:val="00EF0722"/>
    <w:rsid w:val="00EF3E90"/>
    <w:rsid w:val="00EF5D56"/>
    <w:rsid w:val="00F00616"/>
    <w:rsid w:val="00F00B35"/>
    <w:rsid w:val="00F012EA"/>
    <w:rsid w:val="00F026D5"/>
    <w:rsid w:val="00F036EF"/>
    <w:rsid w:val="00F10822"/>
    <w:rsid w:val="00F23F50"/>
    <w:rsid w:val="00F264DD"/>
    <w:rsid w:val="00F305C7"/>
    <w:rsid w:val="00F33A6A"/>
    <w:rsid w:val="00F41E30"/>
    <w:rsid w:val="00F4205D"/>
    <w:rsid w:val="00F424BA"/>
    <w:rsid w:val="00F43384"/>
    <w:rsid w:val="00F52074"/>
    <w:rsid w:val="00F60530"/>
    <w:rsid w:val="00F703DE"/>
    <w:rsid w:val="00F73064"/>
    <w:rsid w:val="00F74714"/>
    <w:rsid w:val="00F805AB"/>
    <w:rsid w:val="00F81046"/>
    <w:rsid w:val="00F848BA"/>
    <w:rsid w:val="00F8675B"/>
    <w:rsid w:val="00F86EE8"/>
    <w:rsid w:val="00F87048"/>
    <w:rsid w:val="00F875D2"/>
    <w:rsid w:val="00F90417"/>
    <w:rsid w:val="00F905EF"/>
    <w:rsid w:val="00F913A3"/>
    <w:rsid w:val="00F91E9E"/>
    <w:rsid w:val="00F940BA"/>
    <w:rsid w:val="00F96F67"/>
    <w:rsid w:val="00FA058A"/>
    <w:rsid w:val="00FA0D2B"/>
    <w:rsid w:val="00FB3FED"/>
    <w:rsid w:val="00FB59AE"/>
    <w:rsid w:val="00FC6643"/>
    <w:rsid w:val="00FD1094"/>
    <w:rsid w:val="00FD2CDF"/>
    <w:rsid w:val="00FE7719"/>
    <w:rsid w:val="00FF3C06"/>
    <w:rsid w:val="00FF4A8A"/>
    <w:rsid w:val="00FF4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E59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35" w:qFormat="1"/>
    <w:lsdException w:name="table of figures"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D7A"/>
    <w:rPr>
      <w:rFonts w:ascii="Calibri" w:hAnsi="Calibri"/>
      <w:color w:val="000000" w:themeColor="text1"/>
    </w:rPr>
  </w:style>
  <w:style w:type="paragraph" w:styleId="Heading1">
    <w:name w:val="heading 1"/>
    <w:basedOn w:val="HeadingBaseStyle"/>
    <w:next w:val="Normal"/>
    <w:link w:val="Heading1Char"/>
    <w:autoRedefine/>
    <w:uiPriority w:val="9"/>
    <w:qFormat/>
    <w:rsid w:val="00F73064"/>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uiPriority w:val="9"/>
    <w:qFormat/>
    <w:rsid w:val="00A57848"/>
    <w:pPr>
      <w:widowControl w:val="0"/>
      <w:numPr>
        <w:numId w:val="22"/>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uiPriority w:val="9"/>
    <w:qFormat/>
    <w:rsid w:val="005D4BBD"/>
    <w:pPr>
      <w:keepNext/>
      <w:widowControl w:val="0"/>
      <w:tabs>
        <w:tab w:val="left" w:pos="0"/>
      </w:tabs>
      <w:adjustRightInd w:val="0"/>
      <w:spacing w:before="120" w:after="240"/>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uiPriority w:val="9"/>
    <w:qFormat/>
    <w:rsid w:val="008C0793"/>
    <w:pPr>
      <w:numPr>
        <w:ilvl w:val="2"/>
        <w:numId w:val="22"/>
      </w:numPr>
      <w:tabs>
        <w:tab w:val="left" w:pos="680"/>
      </w:tabs>
      <w:spacing w:after="120"/>
      <w:outlineLvl w:val="3"/>
    </w:pPr>
    <w:rPr>
      <w:b/>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uiPriority w:val="9"/>
    <w:rsid w:val="00F73064"/>
    <w:rPr>
      <w:rFonts w:ascii="Arial Bold" w:hAnsi="Arial Bold"/>
      <w:b/>
      <w:smallCaps/>
      <w:color w:val="003157"/>
      <w:sz w:val="36"/>
    </w:rPr>
  </w:style>
  <w:style w:type="character" w:customStyle="1" w:styleId="Heading2Char">
    <w:name w:val="Heading 2 Char"/>
    <w:basedOn w:val="DefaultParagraphFont"/>
    <w:link w:val="Heading2"/>
    <w:uiPriority w:val="9"/>
    <w:rsid w:val="00A57848"/>
    <w:rPr>
      <w:rFonts w:ascii="Arial Bold" w:hAnsi="Arial Bold"/>
      <w:b/>
      <w:smallCaps/>
      <w:color w:val="003157"/>
      <w:sz w:val="32"/>
    </w:rPr>
  </w:style>
  <w:style w:type="character" w:customStyle="1" w:styleId="Heading3Char">
    <w:name w:val="Heading 3 Char"/>
    <w:basedOn w:val="DefaultParagraphFont"/>
    <w:link w:val="Heading3"/>
    <w:uiPriority w:val="9"/>
    <w:rsid w:val="005D4BBD"/>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uiPriority w:val="9"/>
    <w:rsid w:val="008C0793"/>
    <w:rPr>
      <w:rFonts w:ascii="Arial" w:hAnsi="Arial"/>
      <w:b/>
      <w:color w:val="003157"/>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1"/>
    <w:next w:val="Normal"/>
    <w:rsid w:val="002E2E01"/>
    <w:pPr>
      <w:spacing w:before="120" w:after="360"/>
      <w:ind w:right="-11"/>
      <w:jc w:val="left"/>
      <w:outlineLvl w:val="1"/>
    </w:pPr>
    <w:rPr>
      <w:spacing w:val="-8"/>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aliases w:val="b"/>
    <w:basedOn w:val="Normal"/>
    <w:link w:val="BulletChar"/>
    <w:rsid w:val="00F73064"/>
    <w:pPr>
      <w:keepNext/>
      <w:numPr>
        <w:numId w:val="20"/>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20"/>
      </w:numPr>
    </w:pPr>
  </w:style>
  <w:style w:type="paragraph" w:customStyle="1" w:styleId="DoubleDot">
    <w:name w:val="Double Dot"/>
    <w:basedOn w:val="Dash"/>
    <w:rsid w:val="00F73064"/>
    <w:pPr>
      <w:numPr>
        <w:ilvl w:val="2"/>
      </w:numPr>
    </w:pPr>
  </w:style>
  <w:style w:type="paragraph" w:customStyle="1" w:styleId="Figuregraphic">
    <w:name w:val="Figure graphic"/>
    <w:basedOn w:val="Normal"/>
    <w:rsid w:val="00BB3278"/>
    <w:pPr>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B55137"/>
  </w:style>
  <w:style w:type="paragraph" w:customStyle="1" w:styleId="FooterOdd">
    <w:name w:val="Footer Odd"/>
    <w:basedOn w:val="Footer"/>
    <w:rsid w:val="00B55137"/>
  </w:style>
  <w:style w:type="character" w:styleId="FootnoteReference">
    <w:name w:val="footnote reference"/>
    <w:basedOn w:val="DefaultParagraphFont"/>
    <w:uiPriority w:val="99"/>
    <w:rsid w:val="00F73064"/>
    <w:rPr>
      <w:vertAlign w:val="superscript"/>
    </w:rPr>
  </w:style>
  <w:style w:type="paragraph" w:styleId="FootnoteText">
    <w:name w:val="footnote text"/>
    <w:basedOn w:val="Normal"/>
    <w:link w:val="FootnoteTextChar"/>
    <w:uiPriority w:val="99"/>
    <w:rsid w:val="00A57848"/>
    <w:pPr>
      <w:tabs>
        <w:tab w:val="left" w:pos="567"/>
      </w:tabs>
      <w:spacing w:after="0"/>
      <w:ind w:left="567" w:hanging="567"/>
    </w:pPr>
  </w:style>
  <w:style w:type="character" w:customStyle="1" w:styleId="FootnoteTextChar">
    <w:name w:val="Footnote Text Char"/>
    <w:basedOn w:val="DefaultParagraphFont"/>
    <w:link w:val="FootnoteText"/>
    <w:uiPriority w:val="99"/>
    <w:rsid w:val="00A57848"/>
    <w:rPr>
      <w:rFonts w:ascii="Calibri" w:hAnsi="Calibri"/>
      <w:color w:val="000000" w:themeColor="text1"/>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E54DB4"/>
  </w:style>
  <w:style w:type="paragraph" w:customStyle="1" w:styleId="HeaderOdd">
    <w:name w:val="Header Odd"/>
    <w:basedOn w:val="Header"/>
    <w:rsid w:val="00B55137"/>
    <w:pPr>
      <w:jc w:val="right"/>
    </w:pPr>
  </w:style>
  <w:style w:type="character" w:styleId="Hyperlink">
    <w:name w:val="Hyperlink"/>
    <w:basedOn w:val="DefaultParagraphFont"/>
    <w:uiPriority w:val="99"/>
    <w:rsid w:val="00F73064"/>
    <w:rPr>
      <w:color w:val="0000FF" w:themeColor="hyperlink"/>
      <w:u w:val="singl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pPr>
      <w:numPr>
        <w:ilvl w:val="1"/>
        <w:numId w:val="9"/>
      </w:numPr>
    </w:pPr>
  </w:style>
  <w:style w:type="paragraph" w:customStyle="1" w:styleId="OutlineNumbered3">
    <w:name w:val="Outline Numbered 3"/>
    <w:basedOn w:val="Normal"/>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Normal"/>
    <w:rsid w:val="00B948AD"/>
    <w:pPr>
      <w:keepNext/>
      <w:spacing w:before="60" w:after="60" w:line="240" w:lineRule="auto"/>
      <w:jc w:val="center"/>
      <w:outlineLvl w:val="3"/>
    </w:pPr>
    <w:rPr>
      <w:rFonts w:ascii="Arial Bold" w:hAnsi="Arial Bold"/>
      <w:b/>
      <w:color w:val="003157"/>
      <w:sz w:val="20"/>
      <w:szCs w:val="20"/>
      <w:lang w:eastAsia="en-AU"/>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Left"/>
    <w:rsid w:val="00C24CBB"/>
    <w:pPr>
      <w:spacing w:before="20" w:after="20" w:line="240" w:lineRule="auto"/>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Normal"/>
    <w:rsid w:val="006E6EC1"/>
    <w:pPr>
      <w:spacing w:after="0"/>
    </w:pPr>
    <w:rPr>
      <w:color w:val="000000"/>
      <w:sz w:val="20"/>
      <w:szCs w:val="20"/>
    </w:rPr>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F73064"/>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F73064"/>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F73064"/>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iPriority w:val="35"/>
    <w:unhideWhenUsed/>
    <w:qFormat/>
    <w:rsid w:val="00242011"/>
    <w:pPr>
      <w:spacing w:after="0"/>
      <w:jc w:val="center"/>
    </w:pPr>
    <w:rPr>
      <w:rFonts w:ascii="Arial Bold" w:hAnsi="Arial Bold"/>
      <w:b/>
      <w:bCs/>
      <w:color w:val="003157"/>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0733CF"/>
    <w:pPr>
      <w:spacing w:before="1200" w:after="480"/>
      <w:jc w:val="center"/>
    </w:pPr>
    <w:rPr>
      <w:rFonts w:ascii="Arial Bold" w:hAnsi="Arial Bold"/>
      <w:b/>
      <w:smallCaps/>
      <w:kern w:val="28"/>
      <w:sz w:val="56"/>
    </w:rPr>
  </w:style>
  <w:style w:type="character" w:customStyle="1" w:styleId="TitleChar">
    <w:name w:val="Title Char"/>
    <w:basedOn w:val="DefaultParagraphFont"/>
    <w:link w:val="Title"/>
    <w:rsid w:val="000733CF"/>
    <w:rPr>
      <w:rFonts w:ascii="Arial Bold" w:hAnsi="Arial Bold"/>
      <w:b/>
      <w:smallCaps/>
      <w:color w:val="003157"/>
      <w:kern w:val="28"/>
      <w:sz w:val="56"/>
    </w:rPr>
  </w:style>
  <w:style w:type="paragraph" w:styleId="Subtitle">
    <w:name w:val="Subtitle"/>
    <w:basedOn w:val="HeadingBaseStyle"/>
    <w:link w:val="SubtitleChar"/>
    <w:uiPriority w:val="11"/>
    <w:qFormat/>
    <w:rsid w:val="00F73064"/>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uiPriority w:val="11"/>
    <w:rsid w:val="00F7306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9"/>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1"/>
      </w:numPr>
      <w:spacing w:before="40" w:after="40"/>
    </w:pPr>
    <w:rPr>
      <w:rFonts w:ascii="Arial" w:hAnsi="Arial"/>
      <w:sz w:val="18"/>
    </w:rPr>
  </w:style>
  <w:style w:type="paragraph" w:customStyle="1" w:styleId="Heading2NotNumbered">
    <w:name w:val="Heading 2 Not Numbered"/>
    <w:basedOn w:val="Heading2"/>
    <w:rsid w:val="00F73064"/>
    <w:pPr>
      <w:numPr>
        <w:numId w:val="0"/>
      </w:numPr>
    </w:pPr>
  </w:style>
  <w:style w:type="paragraph" w:customStyle="1" w:styleId="Heading3NotNumbered">
    <w:name w:val="Heading 3 Not Numbered"/>
    <w:basedOn w:val="Heading4"/>
    <w:rsid w:val="00F73064"/>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3"/>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F73064"/>
    <w:pPr>
      <w:spacing w:before="120" w:after="20"/>
      <w:jc w:val="center"/>
    </w:pPr>
    <w:rPr>
      <w:sz w:val="24"/>
    </w:rPr>
  </w:style>
  <w:style w:type="paragraph" w:customStyle="1" w:styleId="Tableheading2">
    <w:name w:val="Table heading 2"/>
    <w:basedOn w:val="TableHeading1"/>
    <w:next w:val="Tablegraphic0"/>
    <w:rsid w:val="00F73064"/>
    <w:pPr>
      <w:spacing w:before="0"/>
    </w:pPr>
    <w:rPr>
      <w:sz w:val="22"/>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numbering" w:customStyle="1" w:styleId="NoList1">
    <w:name w:val="No List1"/>
    <w:next w:val="NoList"/>
    <w:uiPriority w:val="99"/>
    <w:semiHidden/>
    <w:unhideWhenUsed/>
    <w:rsid w:val="005A2B26"/>
  </w:style>
  <w:style w:type="table" w:customStyle="1" w:styleId="TableGrid1">
    <w:name w:val="Table Grid1"/>
    <w:basedOn w:val="TableNormal"/>
    <w:next w:val="TableGrid"/>
    <w:uiPriority w:val="59"/>
    <w:rsid w:val="005A2B2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utlineList1">
    <w:name w:val="OutlineList1"/>
    <w:uiPriority w:val="99"/>
    <w:rsid w:val="005A2B26"/>
  </w:style>
  <w:style w:type="numbering" w:customStyle="1" w:styleId="BulletedList1">
    <w:name w:val="Bulleted List1"/>
    <w:uiPriority w:val="99"/>
    <w:rsid w:val="005A2B26"/>
  </w:style>
  <w:style w:type="numbering" w:customStyle="1" w:styleId="BoxBulletedList1">
    <w:name w:val="Box Bulleted List1"/>
    <w:uiPriority w:val="99"/>
    <w:rsid w:val="005A2B26"/>
  </w:style>
  <w:style w:type="numbering" w:customStyle="1" w:styleId="AlphaParagraphList1">
    <w:name w:val="Alpha Paragraph List1"/>
    <w:uiPriority w:val="99"/>
    <w:rsid w:val="005A2B26"/>
  </w:style>
  <w:style w:type="numbering" w:customStyle="1" w:styleId="OneLevelList1">
    <w:name w:val="OneLevelList1"/>
    <w:uiPriority w:val="99"/>
    <w:rsid w:val="005A2B26"/>
  </w:style>
  <w:style w:type="numbering" w:customStyle="1" w:styleId="RecommendationBulletList1">
    <w:name w:val="RecommendationBulletList1"/>
    <w:uiPriority w:val="99"/>
    <w:rsid w:val="005A2B26"/>
  </w:style>
  <w:style w:type="numbering" w:customStyle="1" w:styleId="RomanNumeralList1">
    <w:name w:val="RomanNumeralList1"/>
    <w:uiPriority w:val="99"/>
    <w:rsid w:val="005A2B26"/>
  </w:style>
  <w:style w:type="numbering" w:customStyle="1" w:styleId="ChartandTableFootnoteAlphaList1">
    <w:name w:val="ChartandTableFootnoteAlphaList1"/>
    <w:uiPriority w:val="99"/>
    <w:rsid w:val="005A2B26"/>
  </w:style>
  <w:style w:type="numbering" w:customStyle="1" w:styleId="TableTestBulletList1">
    <w:name w:val="Table Test Bullet List1"/>
    <w:uiPriority w:val="99"/>
    <w:rsid w:val="005A2B26"/>
  </w:style>
  <w:style w:type="numbering" w:customStyle="1" w:styleId="TableTextBulletList1">
    <w:name w:val="Table Text Bullet List1"/>
    <w:uiPriority w:val="99"/>
    <w:rsid w:val="005A2B26"/>
  </w:style>
  <w:style w:type="character" w:customStyle="1" w:styleId="BulletChar">
    <w:name w:val="Bullet Char"/>
    <w:basedOn w:val="DefaultParagraphFont"/>
    <w:link w:val="Bullet"/>
    <w:rsid w:val="005A2B26"/>
    <w:rPr>
      <w:rFonts w:ascii="Calibri" w:hAnsi="Calibri"/>
      <w:color w:val="000000" w:themeColor="text1"/>
    </w:rPr>
  </w:style>
  <w:style w:type="character" w:customStyle="1" w:styleId="OutlineNumbered1Char">
    <w:name w:val="Outline Numbered 1 Char"/>
    <w:basedOn w:val="Heading3Char"/>
    <w:link w:val="OutlineNumbered1"/>
    <w:rsid w:val="005A2B26"/>
    <w:rPr>
      <w:rFonts w:ascii="Calibri" w:eastAsia="Times New Roman" w:hAnsi="Calibri" w:cs="Times New Roman"/>
      <w:color w:val="000000" w:themeColor="text1"/>
      <w:sz w:val="28"/>
      <w:szCs w:val="20"/>
      <w:lang w:val="en-US" w:eastAsia="en-AU"/>
    </w:rPr>
  </w:style>
  <w:style w:type="paragraph" w:styleId="Revision">
    <w:name w:val="Revision"/>
    <w:hidden/>
    <w:uiPriority w:val="99"/>
    <w:semiHidden/>
    <w:rsid w:val="005A2B26"/>
    <w:pPr>
      <w:spacing w:after="0" w:line="240" w:lineRule="auto"/>
    </w:pPr>
    <w:rPr>
      <w:rFonts w:ascii="Calibri" w:hAnsi="Calibri"/>
    </w:rPr>
  </w:style>
  <w:style w:type="table" w:customStyle="1" w:styleId="MTEBNumberedEquation">
    <w:name w:val="MTEBNumberedEquation"/>
    <w:basedOn w:val="TableNormal"/>
    <w:rsid w:val="005A2B26"/>
    <w:tblPr>
      <w:tblCellSpacing w:w="0" w:type="dxa"/>
    </w:tblPr>
    <w:trPr>
      <w:cantSplit/>
      <w:tblCellSpacing w:w="0" w:type="dxa"/>
    </w:trPr>
    <w:tcPr>
      <w:shd w:val="clear" w:color="auto" w:fill="auto"/>
      <w:tcMar>
        <w:top w:w="0" w:type="dxa"/>
        <w:left w:w="0" w:type="dxa"/>
        <w:bottom w:w="0" w:type="dxa"/>
        <w:right w:w="0" w:type="dxa"/>
      </w:tcMar>
    </w:tcPr>
  </w:style>
  <w:style w:type="paragraph" w:customStyle="1" w:styleId="Source">
    <w:name w:val="Source"/>
    <w:basedOn w:val="Normal"/>
    <w:qFormat/>
    <w:rsid w:val="005A2B26"/>
    <w:pPr>
      <w:spacing w:after="240"/>
    </w:pPr>
    <w:rPr>
      <w:color w:val="auto"/>
      <w:sz w:val="20"/>
      <w:szCs w:val="20"/>
      <w:lang w:eastAsia="en-AU"/>
    </w:rPr>
  </w:style>
  <w:style w:type="paragraph" w:customStyle="1" w:styleId="Heading2notnumbered0">
    <w:name w:val="Heading 2 (not numbered)"/>
    <w:basedOn w:val="Heading2"/>
    <w:qFormat/>
    <w:rsid w:val="005A2B26"/>
    <w:pPr>
      <w:numPr>
        <w:numId w:val="0"/>
      </w:numPr>
      <w:spacing w:before="240"/>
    </w:pPr>
  </w:style>
  <w:style w:type="paragraph" w:styleId="ListParagraph">
    <w:name w:val="List Paragraph"/>
    <w:basedOn w:val="Normal"/>
    <w:uiPriority w:val="34"/>
    <w:qFormat/>
    <w:rsid w:val="002D7D7A"/>
    <w:pPr>
      <w:ind w:left="720"/>
      <w:contextualSpacing/>
    </w:pPr>
  </w:style>
  <w:style w:type="paragraph" w:customStyle="1" w:styleId="TableTextLeft2">
    <w:name w:val="Table Text Left 2"/>
    <w:basedOn w:val="TableTextLeft"/>
    <w:rsid w:val="00B948AD"/>
    <w:rPr>
      <w:sz w:val="18"/>
      <w:szCs w:val="18"/>
      <w:lang w:eastAsia="en-AU"/>
    </w:rPr>
  </w:style>
  <w:style w:type="paragraph" w:customStyle="1" w:styleId="TableTextCentered2">
    <w:name w:val="Table Text Centered 2"/>
    <w:basedOn w:val="TableTextCentered"/>
    <w:rsid w:val="00B948AD"/>
    <w:pPr>
      <w:spacing w:before="0" w:after="0"/>
    </w:pPr>
    <w:rPr>
      <w:sz w:val="18"/>
      <w:szCs w:val="18"/>
      <w:lang w:eastAsia="en-AU"/>
    </w:rPr>
  </w:style>
  <w:style w:type="paragraph" w:customStyle="1" w:styleId="Zero">
    <w:name w:val="Zero"/>
    <w:basedOn w:val="Normal"/>
    <w:rsid w:val="00BA45D5"/>
    <w:pPr>
      <w:spacing w:after="0" w:line="240" w:lineRule="auto"/>
    </w:pPr>
    <w:rPr>
      <w:sz w:val="2"/>
      <w:szCs w:val="2"/>
    </w:rPr>
  </w:style>
  <w:style w:type="paragraph" w:customStyle="1" w:styleId="TableColumnHeadingCentred2">
    <w:name w:val="Table Column Heading Centred 2"/>
    <w:basedOn w:val="TableColumnHeadingCentred"/>
    <w:rsid w:val="00BA45D5"/>
    <w:pPr>
      <w:spacing w:before="40" w:after="40"/>
    </w:pPr>
    <w:rPr>
      <w:rFonts w:ascii="Calibri" w:hAnsi="Calibri"/>
      <w:sz w:val="18"/>
      <w:szCs w:val="18"/>
    </w:rPr>
  </w:style>
  <w:style w:type="paragraph" w:customStyle="1" w:styleId="TableColumnHeadingCentred2a">
    <w:name w:val="Table Column Heading Centred 2a"/>
    <w:basedOn w:val="TableColumnHeadingCentred2"/>
    <w:rsid w:val="00BA45D5"/>
    <w:rPr>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35" w:qFormat="1"/>
    <w:lsdException w:name="table of figures"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D7A"/>
    <w:rPr>
      <w:rFonts w:ascii="Calibri" w:hAnsi="Calibri"/>
      <w:color w:val="000000" w:themeColor="text1"/>
    </w:rPr>
  </w:style>
  <w:style w:type="paragraph" w:styleId="Heading1">
    <w:name w:val="heading 1"/>
    <w:basedOn w:val="HeadingBaseStyle"/>
    <w:next w:val="Normal"/>
    <w:link w:val="Heading1Char"/>
    <w:autoRedefine/>
    <w:uiPriority w:val="9"/>
    <w:qFormat/>
    <w:rsid w:val="00F73064"/>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uiPriority w:val="9"/>
    <w:qFormat/>
    <w:rsid w:val="00A57848"/>
    <w:pPr>
      <w:widowControl w:val="0"/>
      <w:numPr>
        <w:numId w:val="22"/>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uiPriority w:val="9"/>
    <w:qFormat/>
    <w:rsid w:val="005D4BBD"/>
    <w:pPr>
      <w:keepNext/>
      <w:widowControl w:val="0"/>
      <w:tabs>
        <w:tab w:val="left" w:pos="0"/>
      </w:tabs>
      <w:adjustRightInd w:val="0"/>
      <w:spacing w:before="120" w:after="240"/>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uiPriority w:val="9"/>
    <w:qFormat/>
    <w:rsid w:val="008C0793"/>
    <w:pPr>
      <w:numPr>
        <w:ilvl w:val="2"/>
        <w:numId w:val="22"/>
      </w:numPr>
      <w:tabs>
        <w:tab w:val="left" w:pos="680"/>
      </w:tabs>
      <w:spacing w:after="120"/>
      <w:outlineLvl w:val="3"/>
    </w:pPr>
    <w:rPr>
      <w:b/>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uiPriority w:val="9"/>
    <w:rsid w:val="00F73064"/>
    <w:rPr>
      <w:rFonts w:ascii="Arial Bold" w:hAnsi="Arial Bold"/>
      <w:b/>
      <w:smallCaps/>
      <w:color w:val="003157"/>
      <w:sz w:val="36"/>
    </w:rPr>
  </w:style>
  <w:style w:type="character" w:customStyle="1" w:styleId="Heading2Char">
    <w:name w:val="Heading 2 Char"/>
    <w:basedOn w:val="DefaultParagraphFont"/>
    <w:link w:val="Heading2"/>
    <w:uiPriority w:val="9"/>
    <w:rsid w:val="00A57848"/>
    <w:rPr>
      <w:rFonts w:ascii="Arial Bold" w:hAnsi="Arial Bold"/>
      <w:b/>
      <w:smallCaps/>
      <w:color w:val="003157"/>
      <w:sz w:val="32"/>
    </w:rPr>
  </w:style>
  <w:style w:type="character" w:customStyle="1" w:styleId="Heading3Char">
    <w:name w:val="Heading 3 Char"/>
    <w:basedOn w:val="DefaultParagraphFont"/>
    <w:link w:val="Heading3"/>
    <w:uiPriority w:val="9"/>
    <w:rsid w:val="005D4BBD"/>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uiPriority w:val="9"/>
    <w:rsid w:val="008C0793"/>
    <w:rPr>
      <w:rFonts w:ascii="Arial" w:hAnsi="Arial"/>
      <w:b/>
      <w:color w:val="003157"/>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rsid w:val="00BB3278"/>
    <w:rPr>
      <w:color w:val="000080"/>
      <w:u w:val="single"/>
    </w:rPr>
  </w:style>
  <w:style w:type="paragraph" w:customStyle="1" w:styleId="ChartGraphic">
    <w:name w:val="Chart Graphic"/>
    <w:basedOn w:val="HeadingBase"/>
    <w:next w:val="Normal"/>
    <w:rsid w:val="00B55137"/>
    <w:pPr>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1"/>
    <w:next w:val="Normal"/>
    <w:rsid w:val="002E2E01"/>
    <w:pPr>
      <w:spacing w:before="120" w:after="360"/>
      <w:ind w:right="-11"/>
      <w:jc w:val="left"/>
      <w:outlineLvl w:val="1"/>
    </w:pPr>
    <w:rPr>
      <w:spacing w:val="-8"/>
    </w:rPr>
  </w:style>
  <w:style w:type="paragraph" w:styleId="BalloonText">
    <w:name w:val="Balloon Text"/>
    <w:basedOn w:val="Normal"/>
    <w:link w:val="BalloonTextChar"/>
    <w:rsid w:val="00F73064"/>
    <w:pPr>
      <w:spacing w:after="0"/>
    </w:pPr>
    <w:rPr>
      <w:rFonts w:ascii="Tahoma" w:hAnsi="Tahoma" w:cs="Tahoma"/>
      <w:sz w:val="16"/>
      <w:szCs w:val="16"/>
    </w:rPr>
  </w:style>
  <w:style w:type="character" w:customStyle="1" w:styleId="BalloonTextChar">
    <w:name w:val="Balloon Text Char"/>
    <w:basedOn w:val="DefaultParagraphFont"/>
    <w:link w:val="BalloonText"/>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5F5653"/>
    <w:pPr>
      <w:numPr>
        <w:numId w:val="2"/>
      </w:numPr>
    </w:p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F73064"/>
    <w:pPr>
      <w:spacing w:before="240" w:after="240"/>
    </w:pPr>
    <w:rPr>
      <w:sz w:val="24"/>
    </w:rPr>
  </w:style>
  <w:style w:type="paragraph" w:customStyle="1" w:styleId="BoxText">
    <w:name w:val="Box Text"/>
    <w:basedOn w:val="BoxTextBase"/>
    <w:rsid w:val="00B55137"/>
  </w:style>
  <w:style w:type="paragraph" w:customStyle="1" w:styleId="Bullet">
    <w:name w:val="Bullet"/>
    <w:aliases w:val="b"/>
    <w:basedOn w:val="Normal"/>
    <w:link w:val="BulletChar"/>
    <w:rsid w:val="00F73064"/>
    <w:pPr>
      <w:keepNext/>
      <w:numPr>
        <w:numId w:val="20"/>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B55137"/>
    <w:pPr>
      <w:spacing w:after="20"/>
      <w:jc w:val="center"/>
    </w:pPr>
    <w:rPr>
      <w:b/>
      <w:sz w:val="24"/>
    </w:rPr>
  </w:style>
  <w:style w:type="paragraph" w:customStyle="1" w:styleId="ChartorTableNote">
    <w:name w:val="Chart or Table Note"/>
    <w:next w:val="Normal"/>
    <w:rsid w:val="00B55137"/>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rsid w:val="00F73064"/>
    <w:pPr>
      <w:numPr>
        <w:ilvl w:val="1"/>
        <w:numId w:val="20"/>
      </w:numPr>
    </w:pPr>
  </w:style>
  <w:style w:type="paragraph" w:customStyle="1" w:styleId="DoubleDot">
    <w:name w:val="Double Dot"/>
    <w:basedOn w:val="Dash"/>
    <w:rsid w:val="00F73064"/>
    <w:pPr>
      <w:numPr>
        <w:ilvl w:val="2"/>
      </w:numPr>
    </w:pPr>
  </w:style>
  <w:style w:type="paragraph" w:customStyle="1" w:styleId="Figuregraphic">
    <w:name w:val="Figure graphic"/>
    <w:basedOn w:val="Normal"/>
    <w:rsid w:val="00BB3278"/>
    <w:pPr>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B55137"/>
  </w:style>
  <w:style w:type="paragraph" w:customStyle="1" w:styleId="FooterOdd">
    <w:name w:val="Footer Odd"/>
    <w:basedOn w:val="Footer"/>
    <w:rsid w:val="00B55137"/>
  </w:style>
  <w:style w:type="character" w:styleId="FootnoteReference">
    <w:name w:val="footnote reference"/>
    <w:basedOn w:val="DefaultParagraphFont"/>
    <w:uiPriority w:val="99"/>
    <w:rsid w:val="00F73064"/>
    <w:rPr>
      <w:vertAlign w:val="superscript"/>
    </w:rPr>
  </w:style>
  <w:style w:type="paragraph" w:styleId="FootnoteText">
    <w:name w:val="footnote text"/>
    <w:basedOn w:val="Normal"/>
    <w:link w:val="FootnoteTextChar"/>
    <w:uiPriority w:val="99"/>
    <w:rsid w:val="00A57848"/>
    <w:pPr>
      <w:tabs>
        <w:tab w:val="left" w:pos="567"/>
      </w:tabs>
      <w:spacing w:after="0"/>
      <w:ind w:left="567" w:hanging="567"/>
    </w:pPr>
  </w:style>
  <w:style w:type="character" w:customStyle="1" w:styleId="FootnoteTextChar">
    <w:name w:val="Footnote Text Char"/>
    <w:basedOn w:val="DefaultParagraphFont"/>
    <w:link w:val="FootnoteText"/>
    <w:uiPriority w:val="99"/>
    <w:rsid w:val="00A57848"/>
    <w:rPr>
      <w:rFonts w:ascii="Calibri" w:hAnsi="Calibri"/>
      <w:color w:val="000000" w:themeColor="text1"/>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rsid w:val="00F73064"/>
    <w:pPr>
      <w:jc w:val="center"/>
    </w:pPr>
    <w:rPr>
      <w:sz w:val="18"/>
    </w:rPr>
  </w:style>
  <w:style w:type="character" w:customStyle="1" w:styleId="HeaderChar">
    <w:name w:val="Header Char"/>
    <w:basedOn w:val="DefaultParagraphFont"/>
    <w:link w:val="Header"/>
    <w:rsid w:val="00460338"/>
    <w:rPr>
      <w:rFonts w:ascii="Arial" w:hAnsi="Arial"/>
      <w:color w:val="003157"/>
      <w:sz w:val="18"/>
    </w:rPr>
  </w:style>
  <w:style w:type="paragraph" w:customStyle="1" w:styleId="HeaderEven">
    <w:name w:val="Header Even"/>
    <w:basedOn w:val="Header"/>
    <w:rsid w:val="00E54DB4"/>
  </w:style>
  <w:style w:type="paragraph" w:customStyle="1" w:styleId="HeaderOdd">
    <w:name w:val="Header Odd"/>
    <w:basedOn w:val="Header"/>
    <w:rsid w:val="00B55137"/>
    <w:pPr>
      <w:jc w:val="right"/>
    </w:pPr>
  </w:style>
  <w:style w:type="character" w:styleId="Hyperlink">
    <w:name w:val="Hyperlink"/>
    <w:basedOn w:val="DefaultParagraphFont"/>
    <w:uiPriority w:val="99"/>
    <w:rsid w:val="00F73064"/>
    <w:rPr>
      <w:color w:val="0000FF" w:themeColor="hyperlink"/>
      <w:u w:val="singl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rsid w:val="003E0E7B"/>
    <w:pPr>
      <w:numPr>
        <w:ilvl w:val="1"/>
        <w:numId w:val="9"/>
      </w:numPr>
    </w:pPr>
  </w:style>
  <w:style w:type="paragraph" w:customStyle="1" w:styleId="OutlineNumbered3">
    <w:name w:val="Outline Numbered 3"/>
    <w:basedOn w:val="Normal"/>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Normal"/>
    <w:rsid w:val="00B948AD"/>
    <w:pPr>
      <w:keepNext/>
      <w:spacing w:before="60" w:after="60" w:line="240" w:lineRule="auto"/>
      <w:jc w:val="center"/>
      <w:outlineLvl w:val="3"/>
    </w:pPr>
    <w:rPr>
      <w:rFonts w:ascii="Arial Bold" w:hAnsi="Arial Bold"/>
      <w:b/>
      <w:color w:val="003157"/>
      <w:sz w:val="20"/>
      <w:szCs w:val="20"/>
      <w:lang w:eastAsia="en-AU"/>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Left"/>
    <w:rsid w:val="00C24CBB"/>
    <w:pPr>
      <w:spacing w:before="20" w:after="20" w:line="240" w:lineRule="auto"/>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Normal"/>
    <w:rsid w:val="006E6EC1"/>
    <w:pPr>
      <w:spacing w:after="0"/>
    </w:pPr>
    <w:rPr>
      <w:color w:val="000000"/>
      <w:sz w:val="20"/>
      <w:szCs w:val="20"/>
    </w:rPr>
  </w:style>
  <w:style w:type="paragraph" w:customStyle="1" w:styleId="TableTextRight">
    <w:name w:val="Table Text Right"/>
    <w:basedOn w:val="TableTextBase"/>
    <w:rsid w:val="00F73064"/>
    <w:pPr>
      <w:jc w:val="right"/>
    </w:pPr>
  </w:style>
  <w:style w:type="paragraph" w:styleId="TOC1">
    <w:name w:val="toc 1"/>
    <w:basedOn w:val="Normal"/>
    <w:next w:val="Normal"/>
    <w:uiPriority w:val="39"/>
    <w:rsid w:val="00F73064"/>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F73064"/>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F73064"/>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iPriority w:val="35"/>
    <w:unhideWhenUsed/>
    <w:qFormat/>
    <w:rsid w:val="00242011"/>
    <w:pPr>
      <w:spacing w:after="0"/>
      <w:jc w:val="center"/>
    </w:pPr>
    <w:rPr>
      <w:rFonts w:ascii="Arial Bold" w:hAnsi="Arial Bold"/>
      <w:b/>
      <w:bCs/>
      <w:color w:val="003157"/>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rsid w:val="00F73064"/>
    <w:rPr>
      <w:b/>
      <w:bCs/>
    </w:rPr>
  </w:style>
  <w:style w:type="character" w:customStyle="1" w:styleId="CommentSubjectChar">
    <w:name w:val="Comment Subject Char"/>
    <w:basedOn w:val="CommentTextChar"/>
    <w:link w:val="CommentSubject"/>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F73064"/>
    <w:pPr>
      <w:spacing w:before="120" w:after="120"/>
      <w:jc w:val="center"/>
    </w:pPr>
    <w:rPr>
      <w:rFonts w:ascii="Arial Bold" w:hAnsi="Arial Bold"/>
      <w:b/>
      <w:sz w:val="24"/>
    </w:rPr>
  </w:style>
  <w:style w:type="paragraph" w:styleId="Title">
    <w:name w:val="Title"/>
    <w:basedOn w:val="HeadingBaseStyle"/>
    <w:link w:val="TitleChar"/>
    <w:autoRedefine/>
    <w:qFormat/>
    <w:rsid w:val="000733CF"/>
    <w:pPr>
      <w:spacing w:before="1200" w:after="480"/>
      <w:jc w:val="center"/>
    </w:pPr>
    <w:rPr>
      <w:rFonts w:ascii="Arial Bold" w:hAnsi="Arial Bold"/>
      <w:b/>
      <w:smallCaps/>
      <w:kern w:val="28"/>
      <w:sz w:val="56"/>
    </w:rPr>
  </w:style>
  <w:style w:type="character" w:customStyle="1" w:styleId="TitleChar">
    <w:name w:val="Title Char"/>
    <w:basedOn w:val="DefaultParagraphFont"/>
    <w:link w:val="Title"/>
    <w:rsid w:val="000733CF"/>
    <w:rPr>
      <w:rFonts w:ascii="Arial Bold" w:hAnsi="Arial Bold"/>
      <w:b/>
      <w:smallCaps/>
      <w:color w:val="003157"/>
      <w:kern w:val="28"/>
      <w:sz w:val="56"/>
    </w:rPr>
  </w:style>
  <w:style w:type="paragraph" w:styleId="Subtitle">
    <w:name w:val="Subtitle"/>
    <w:basedOn w:val="HeadingBaseStyle"/>
    <w:link w:val="SubtitleChar"/>
    <w:uiPriority w:val="11"/>
    <w:qFormat/>
    <w:rsid w:val="00F73064"/>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uiPriority w:val="11"/>
    <w:rsid w:val="00F73064"/>
    <w:rPr>
      <w:rFonts w:ascii="Arial Bold" w:hAnsi="Arial Bold"/>
      <w:b/>
      <w:sz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9"/>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1"/>
      </w:numPr>
      <w:spacing w:before="40" w:after="40"/>
    </w:pPr>
    <w:rPr>
      <w:rFonts w:ascii="Arial" w:hAnsi="Arial"/>
      <w:sz w:val="18"/>
    </w:rPr>
  </w:style>
  <w:style w:type="paragraph" w:customStyle="1" w:styleId="Heading2NotNumbered">
    <w:name w:val="Heading 2 Not Numbered"/>
    <w:basedOn w:val="Heading2"/>
    <w:rsid w:val="00F73064"/>
    <w:pPr>
      <w:numPr>
        <w:numId w:val="0"/>
      </w:numPr>
    </w:pPr>
  </w:style>
  <w:style w:type="paragraph" w:customStyle="1" w:styleId="Heading3NotNumbered">
    <w:name w:val="Heading 3 Not Numbered"/>
    <w:basedOn w:val="Heading4"/>
    <w:rsid w:val="00F73064"/>
    <w:pPr>
      <w:numPr>
        <w:ilvl w:val="0"/>
        <w:numId w:val="0"/>
      </w:numPr>
    </w:pPr>
    <w:rPr>
      <w:b w:val="0"/>
      <w:sz w:val="28"/>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3"/>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F73064"/>
    <w:pPr>
      <w:spacing w:before="120" w:after="20"/>
      <w:jc w:val="center"/>
    </w:pPr>
    <w:rPr>
      <w:sz w:val="24"/>
    </w:rPr>
  </w:style>
  <w:style w:type="paragraph" w:customStyle="1" w:styleId="Tableheading2">
    <w:name w:val="Table heading 2"/>
    <w:basedOn w:val="TableHeading1"/>
    <w:next w:val="Tablegraphic0"/>
    <w:rsid w:val="00F73064"/>
    <w:pPr>
      <w:spacing w:before="0"/>
    </w:pPr>
    <w:rPr>
      <w:sz w:val="22"/>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numbering" w:customStyle="1" w:styleId="NoList1">
    <w:name w:val="No List1"/>
    <w:next w:val="NoList"/>
    <w:uiPriority w:val="99"/>
    <w:semiHidden/>
    <w:unhideWhenUsed/>
    <w:rsid w:val="005A2B26"/>
  </w:style>
  <w:style w:type="table" w:customStyle="1" w:styleId="TableGrid1">
    <w:name w:val="Table Grid1"/>
    <w:basedOn w:val="TableNormal"/>
    <w:next w:val="TableGrid"/>
    <w:uiPriority w:val="59"/>
    <w:rsid w:val="005A2B2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utlineList1">
    <w:name w:val="OutlineList1"/>
    <w:uiPriority w:val="99"/>
    <w:rsid w:val="005A2B26"/>
  </w:style>
  <w:style w:type="numbering" w:customStyle="1" w:styleId="BulletedList1">
    <w:name w:val="Bulleted List1"/>
    <w:uiPriority w:val="99"/>
    <w:rsid w:val="005A2B26"/>
  </w:style>
  <w:style w:type="numbering" w:customStyle="1" w:styleId="BoxBulletedList1">
    <w:name w:val="Box Bulleted List1"/>
    <w:uiPriority w:val="99"/>
    <w:rsid w:val="005A2B26"/>
  </w:style>
  <w:style w:type="numbering" w:customStyle="1" w:styleId="AlphaParagraphList1">
    <w:name w:val="Alpha Paragraph List1"/>
    <w:uiPriority w:val="99"/>
    <w:rsid w:val="005A2B26"/>
  </w:style>
  <w:style w:type="numbering" w:customStyle="1" w:styleId="OneLevelList1">
    <w:name w:val="OneLevelList1"/>
    <w:uiPriority w:val="99"/>
    <w:rsid w:val="005A2B26"/>
  </w:style>
  <w:style w:type="numbering" w:customStyle="1" w:styleId="RecommendationBulletList1">
    <w:name w:val="RecommendationBulletList1"/>
    <w:uiPriority w:val="99"/>
    <w:rsid w:val="005A2B26"/>
  </w:style>
  <w:style w:type="numbering" w:customStyle="1" w:styleId="RomanNumeralList1">
    <w:name w:val="RomanNumeralList1"/>
    <w:uiPriority w:val="99"/>
    <w:rsid w:val="005A2B26"/>
  </w:style>
  <w:style w:type="numbering" w:customStyle="1" w:styleId="ChartandTableFootnoteAlphaList1">
    <w:name w:val="ChartandTableFootnoteAlphaList1"/>
    <w:uiPriority w:val="99"/>
    <w:rsid w:val="005A2B26"/>
  </w:style>
  <w:style w:type="numbering" w:customStyle="1" w:styleId="TableTestBulletList1">
    <w:name w:val="Table Test Bullet List1"/>
    <w:uiPriority w:val="99"/>
    <w:rsid w:val="005A2B26"/>
  </w:style>
  <w:style w:type="numbering" w:customStyle="1" w:styleId="TableTextBulletList1">
    <w:name w:val="Table Text Bullet List1"/>
    <w:uiPriority w:val="99"/>
    <w:rsid w:val="005A2B26"/>
  </w:style>
  <w:style w:type="character" w:customStyle="1" w:styleId="BulletChar">
    <w:name w:val="Bullet Char"/>
    <w:basedOn w:val="DefaultParagraphFont"/>
    <w:link w:val="Bullet"/>
    <w:rsid w:val="005A2B26"/>
    <w:rPr>
      <w:rFonts w:ascii="Calibri" w:hAnsi="Calibri"/>
      <w:color w:val="000000" w:themeColor="text1"/>
    </w:rPr>
  </w:style>
  <w:style w:type="character" w:customStyle="1" w:styleId="OutlineNumbered1Char">
    <w:name w:val="Outline Numbered 1 Char"/>
    <w:basedOn w:val="Heading3Char"/>
    <w:link w:val="OutlineNumbered1"/>
    <w:rsid w:val="005A2B26"/>
    <w:rPr>
      <w:rFonts w:ascii="Calibri" w:eastAsia="Times New Roman" w:hAnsi="Calibri" w:cs="Times New Roman"/>
      <w:color w:val="000000" w:themeColor="text1"/>
      <w:sz w:val="28"/>
      <w:szCs w:val="20"/>
      <w:lang w:val="en-US" w:eastAsia="en-AU"/>
    </w:rPr>
  </w:style>
  <w:style w:type="paragraph" w:styleId="Revision">
    <w:name w:val="Revision"/>
    <w:hidden/>
    <w:uiPriority w:val="99"/>
    <w:semiHidden/>
    <w:rsid w:val="005A2B26"/>
    <w:pPr>
      <w:spacing w:after="0" w:line="240" w:lineRule="auto"/>
    </w:pPr>
    <w:rPr>
      <w:rFonts w:ascii="Calibri" w:hAnsi="Calibri"/>
    </w:rPr>
  </w:style>
  <w:style w:type="table" w:customStyle="1" w:styleId="MTEBNumberedEquation">
    <w:name w:val="MTEBNumberedEquation"/>
    <w:basedOn w:val="TableNormal"/>
    <w:rsid w:val="005A2B26"/>
    <w:tblPr>
      <w:tblCellSpacing w:w="0" w:type="dxa"/>
    </w:tblPr>
    <w:trPr>
      <w:cantSplit/>
      <w:tblCellSpacing w:w="0" w:type="dxa"/>
    </w:trPr>
    <w:tcPr>
      <w:shd w:val="clear" w:color="auto" w:fill="auto"/>
      <w:tcMar>
        <w:top w:w="0" w:type="dxa"/>
        <w:left w:w="0" w:type="dxa"/>
        <w:bottom w:w="0" w:type="dxa"/>
        <w:right w:w="0" w:type="dxa"/>
      </w:tcMar>
    </w:tcPr>
  </w:style>
  <w:style w:type="paragraph" w:customStyle="1" w:styleId="Source">
    <w:name w:val="Source"/>
    <w:basedOn w:val="Normal"/>
    <w:qFormat/>
    <w:rsid w:val="005A2B26"/>
    <w:pPr>
      <w:spacing w:after="240"/>
    </w:pPr>
    <w:rPr>
      <w:color w:val="auto"/>
      <w:sz w:val="20"/>
      <w:szCs w:val="20"/>
      <w:lang w:eastAsia="en-AU"/>
    </w:rPr>
  </w:style>
  <w:style w:type="paragraph" w:customStyle="1" w:styleId="Heading2notnumbered0">
    <w:name w:val="Heading 2 (not numbered)"/>
    <w:basedOn w:val="Heading2"/>
    <w:qFormat/>
    <w:rsid w:val="005A2B26"/>
    <w:pPr>
      <w:numPr>
        <w:numId w:val="0"/>
      </w:numPr>
      <w:spacing w:before="240"/>
    </w:pPr>
  </w:style>
  <w:style w:type="paragraph" w:styleId="ListParagraph">
    <w:name w:val="List Paragraph"/>
    <w:basedOn w:val="Normal"/>
    <w:uiPriority w:val="34"/>
    <w:qFormat/>
    <w:rsid w:val="002D7D7A"/>
    <w:pPr>
      <w:ind w:left="720"/>
      <w:contextualSpacing/>
    </w:pPr>
  </w:style>
  <w:style w:type="paragraph" w:customStyle="1" w:styleId="TableTextLeft2">
    <w:name w:val="Table Text Left 2"/>
    <w:basedOn w:val="TableTextLeft"/>
    <w:rsid w:val="00B948AD"/>
    <w:rPr>
      <w:sz w:val="18"/>
      <w:szCs w:val="18"/>
      <w:lang w:eastAsia="en-AU"/>
    </w:rPr>
  </w:style>
  <w:style w:type="paragraph" w:customStyle="1" w:styleId="TableTextCentered2">
    <w:name w:val="Table Text Centered 2"/>
    <w:basedOn w:val="TableTextCentered"/>
    <w:rsid w:val="00B948AD"/>
    <w:pPr>
      <w:spacing w:before="0" w:after="0"/>
    </w:pPr>
    <w:rPr>
      <w:sz w:val="18"/>
      <w:szCs w:val="18"/>
      <w:lang w:eastAsia="en-AU"/>
    </w:rPr>
  </w:style>
  <w:style w:type="paragraph" w:customStyle="1" w:styleId="Zero">
    <w:name w:val="Zero"/>
    <w:basedOn w:val="Normal"/>
    <w:rsid w:val="00BA45D5"/>
    <w:pPr>
      <w:spacing w:after="0" w:line="240" w:lineRule="auto"/>
    </w:pPr>
    <w:rPr>
      <w:sz w:val="2"/>
      <w:szCs w:val="2"/>
    </w:rPr>
  </w:style>
  <w:style w:type="paragraph" w:customStyle="1" w:styleId="TableColumnHeadingCentred2">
    <w:name w:val="Table Column Heading Centred 2"/>
    <w:basedOn w:val="TableColumnHeadingCentred"/>
    <w:rsid w:val="00BA45D5"/>
    <w:pPr>
      <w:spacing w:before="40" w:after="40"/>
    </w:pPr>
    <w:rPr>
      <w:rFonts w:ascii="Calibri" w:hAnsi="Calibri"/>
      <w:sz w:val="18"/>
      <w:szCs w:val="18"/>
    </w:rPr>
  </w:style>
  <w:style w:type="paragraph" w:customStyle="1" w:styleId="TableColumnHeadingCentred2a">
    <w:name w:val="Table Column Heading Centred 2a"/>
    <w:basedOn w:val="TableColumnHeadingCentred2"/>
    <w:rsid w:val="00BA45D5"/>
    <w:rPr>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013350">
      <w:bodyDiv w:val="1"/>
      <w:marLeft w:val="0"/>
      <w:marRight w:val="0"/>
      <w:marTop w:val="0"/>
      <w:marBottom w:val="0"/>
      <w:divBdr>
        <w:top w:val="none" w:sz="0" w:space="0" w:color="auto"/>
        <w:left w:val="none" w:sz="0" w:space="0" w:color="auto"/>
        <w:bottom w:val="none" w:sz="0" w:space="0" w:color="auto"/>
        <w:right w:val="none" w:sz="0" w:space="0" w:color="auto"/>
      </w:divBdr>
    </w:div>
    <w:div w:id="154548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26" Type="http://schemas.openxmlformats.org/officeDocument/2006/relationships/oleObject" Target="embeddings/oleObject2.bin"/><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hyperlink" Target="http://www.law.upenn.edu/academics/institutes/tax/201112papers/Gravelle.pdf" TargetMode="External"/><Relationship Id="rId50"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6.wmf"/><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image" Target="media/image8.emf"/><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reativecommons.org/licenses/by/3.0/au/deed.en"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chart" Target="charts/chart4.xml"/><Relationship Id="rId49" Type="http://schemas.openxmlformats.org/officeDocument/2006/relationships/hyperlink" Target="http://www.independenteconomics.com.au/information/models/Independent%20CGE%20model%20Dec%202012.pdf" TargetMode="External"/><Relationship Id="rId10" Type="http://schemas.openxmlformats.org/officeDocument/2006/relationships/header" Target="header2.xml"/><Relationship Id="rId19" Type="http://schemas.openxmlformats.org/officeDocument/2006/relationships/hyperlink" Target="http://www.itsanhonour.gov.au" TargetMode="External"/><Relationship Id="rId31" Type="http://schemas.openxmlformats.org/officeDocument/2006/relationships/image" Target="media/image10.emf"/><Relationship Id="rId44" Type="http://schemas.openxmlformats.org/officeDocument/2006/relationships/chart" Target="charts/chart1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wmf"/><Relationship Id="rId27" Type="http://schemas.openxmlformats.org/officeDocument/2006/relationships/image" Target="media/image7.wmf"/><Relationship Id="rId30" Type="http://schemas.openxmlformats.org/officeDocument/2006/relationships/image" Target="media/image9.emf"/><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yperlink" Target="http://www.independenteconomics.com.au/information/models/Independent%20CGE%20model%20Dec%202012.pdf" TargetMode="External"/><Relationship Id="rId8" Type="http://schemas.openxmlformats.org/officeDocument/2006/relationships/endnotes" Target="endnotes.xml"/><Relationship Id="rId51"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6.5351339629554847E-2"/>
          <c:w val="0.89907885304659496"/>
          <c:h val="0.81852001405807184"/>
        </c:manualLayout>
      </c:layout>
      <c:barChart>
        <c:barDir val="col"/>
        <c:grouping val="clustered"/>
        <c:varyColors val="0"/>
        <c:ser>
          <c:idx val="0"/>
          <c:order val="0"/>
          <c:invertIfNegative val="0"/>
          <c:dPt>
            <c:idx val="4"/>
            <c:invertIfNegative val="0"/>
            <c:bubble3D val="0"/>
            <c:spPr>
              <a:solidFill>
                <a:schemeClr val="accent2"/>
              </a:solidFill>
              <a:ln>
                <a:noFill/>
              </a:ln>
            </c:spPr>
          </c:dPt>
          <c:cat>
            <c:strRef>
              <c:f>Income!$A$2:$A$6</c:f>
              <c:strCache>
                <c:ptCount val="5"/>
                <c:pt idx="0">
                  <c:v>Capital income</c:v>
                </c:pt>
                <c:pt idx="1">
                  <c:v>Labour income</c:v>
                </c:pt>
                <c:pt idx="2">
                  <c:v>Indirect taxes</c:v>
                </c:pt>
                <c:pt idx="3">
                  <c:v>Foreign income payments</c:v>
                </c:pt>
                <c:pt idx="4">
                  <c:v>GNI</c:v>
                </c:pt>
              </c:strCache>
            </c:strRef>
          </c:cat>
          <c:val>
            <c:numRef>
              <c:f>Income!$M$2:$M$6</c:f>
              <c:numCache>
                <c:formatCode>0.000</c:formatCode>
                <c:ptCount val="5"/>
                <c:pt idx="0">
                  <c:v>0.32286533840806264</c:v>
                </c:pt>
                <c:pt idx="1">
                  <c:v>0.77490272028986906</c:v>
                </c:pt>
                <c:pt idx="2">
                  <c:v>0.11223257937757042</c:v>
                </c:pt>
                <c:pt idx="3">
                  <c:v>-0.42174924883380582</c:v>
                </c:pt>
                <c:pt idx="4" formatCode="0.00">
                  <c:v>0.78825138924168803</c:v>
                </c:pt>
              </c:numCache>
            </c:numRef>
          </c:val>
        </c:ser>
        <c:dLbls>
          <c:showLegendKey val="0"/>
          <c:showVal val="0"/>
          <c:showCatName val="0"/>
          <c:showSerName val="0"/>
          <c:showPercent val="0"/>
          <c:showBubbleSize val="0"/>
        </c:dLbls>
        <c:gapWidth val="150"/>
        <c:axId val="104412288"/>
        <c:axId val="104413824"/>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104422016"/>
        <c:axId val="104420096"/>
      </c:barChart>
      <c:catAx>
        <c:axId val="104412288"/>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04413824"/>
        <c:crosses val="autoZero"/>
        <c:auto val="1"/>
        <c:lblAlgn val="ctr"/>
        <c:lblOffset val="100"/>
        <c:noMultiLvlLbl val="0"/>
      </c:catAx>
      <c:valAx>
        <c:axId val="104413824"/>
        <c:scaling>
          <c:orientation val="minMax"/>
          <c:max val="0.9"/>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4.3242545501484438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04412288"/>
        <c:crosses val="autoZero"/>
        <c:crossBetween val="between"/>
        <c:majorUnit val="0.30000000000000004"/>
      </c:valAx>
      <c:valAx>
        <c:axId val="104420096"/>
        <c:scaling>
          <c:orientation val="minMax"/>
          <c:max val="0.9"/>
          <c:min val="-0.60000000000000009"/>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9735668287365724"/>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04422016"/>
        <c:crosses val="max"/>
        <c:crossBetween val="between"/>
        <c:majorUnit val="0.30000000000000004"/>
        <c:minorUnit val="0.04"/>
      </c:valAx>
      <c:catAx>
        <c:axId val="104422016"/>
        <c:scaling>
          <c:orientation val="minMax"/>
        </c:scaling>
        <c:delete val="1"/>
        <c:axPos val="b"/>
        <c:majorTickMark val="out"/>
        <c:minorTickMark val="none"/>
        <c:tickLblPos val="nextTo"/>
        <c:crossAx val="10442009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92473118279574E-2"/>
          <c:y val="5.938784722222222E-2"/>
          <c:w val="0.88314695340501792"/>
          <c:h val="0.86812152777777774"/>
        </c:manualLayout>
      </c:layout>
      <c:barChart>
        <c:barDir val="col"/>
        <c:grouping val="clustered"/>
        <c:varyColors val="0"/>
        <c:ser>
          <c:idx val="0"/>
          <c:order val="0"/>
          <c:spPr>
            <a:solidFill>
              <a:schemeClr val="accent1"/>
            </a:solidFill>
          </c:spPr>
          <c:invertIfNegative val="0"/>
          <c:dPt>
            <c:idx val="4"/>
            <c:invertIfNegative val="0"/>
            <c:bubble3D val="0"/>
            <c:spPr>
              <a:solidFill>
                <a:schemeClr val="accent2"/>
              </a:solidFill>
              <a:ln>
                <a:noFill/>
              </a:ln>
            </c:spPr>
          </c:dPt>
          <c:dPt>
            <c:idx val="5"/>
            <c:invertIfNegative val="0"/>
            <c:bubble3D val="0"/>
          </c:dPt>
          <c:cat>
            <c:strRef>
              <c:f>'Expenditure - rounded'!$B$2:$B$6</c:f>
              <c:strCache>
                <c:ptCount val="5"/>
                <c:pt idx="0">
                  <c:v>Consumption</c:v>
                </c:pt>
                <c:pt idx="1">
                  <c:v>Investment</c:v>
                </c:pt>
                <c:pt idx="2">
                  <c:v>Government</c:v>
                </c:pt>
                <c:pt idx="3">
                  <c:v>Net exports</c:v>
                </c:pt>
                <c:pt idx="4">
                  <c:v>GDP</c:v>
                </c:pt>
              </c:strCache>
            </c:strRef>
          </c:cat>
          <c:val>
            <c:numRef>
              <c:f>'Expenditure - rounded'!$K$2:$K$6</c:f>
              <c:numCache>
                <c:formatCode>0.00000000000</c:formatCode>
                <c:ptCount val="5"/>
                <c:pt idx="0">
                  <c:v>0.56999999999999995</c:v>
                </c:pt>
                <c:pt idx="1">
                  <c:v>0.66</c:v>
                </c:pt>
                <c:pt idx="2">
                  <c:v>-0.35</c:v>
                </c:pt>
                <c:pt idx="3">
                  <c:v>0.24</c:v>
                </c:pt>
                <c:pt idx="4">
                  <c:v>1.1200000000000001</c:v>
                </c:pt>
              </c:numCache>
            </c:numRef>
          </c:val>
        </c:ser>
        <c:dLbls>
          <c:showLegendKey val="0"/>
          <c:showVal val="0"/>
          <c:showCatName val="0"/>
          <c:showSerName val="0"/>
          <c:showPercent val="0"/>
          <c:showBubbleSize val="0"/>
        </c:dLbls>
        <c:gapWidth val="150"/>
        <c:axId val="234737024"/>
        <c:axId val="234738816"/>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234292352"/>
        <c:axId val="234740736"/>
      </c:barChart>
      <c:catAx>
        <c:axId val="234737024"/>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4738816"/>
        <c:crosses val="autoZero"/>
        <c:auto val="1"/>
        <c:lblAlgn val="ctr"/>
        <c:lblOffset val="100"/>
        <c:noMultiLvlLbl val="0"/>
      </c:catAx>
      <c:valAx>
        <c:axId val="234738816"/>
        <c:scaling>
          <c:orientation val="minMax"/>
          <c:max val="1.6"/>
          <c:min val="-0.4"/>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US"/>
                  <a:t>Percentage points</a:t>
                </a:r>
              </a:p>
            </c:rich>
          </c:tx>
          <c:layout>
            <c:manualLayout>
              <c:xMode val="edge"/>
              <c:yMode val="edge"/>
              <c:x val="5.8872845934833558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4737024"/>
        <c:crosses val="autoZero"/>
        <c:crossBetween val="between"/>
        <c:majorUnit val="0.4"/>
      </c:valAx>
      <c:valAx>
        <c:axId val="234740736"/>
        <c:scaling>
          <c:orientation val="minMax"/>
          <c:max val="1.6"/>
          <c:min val="-0.4"/>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8932246979237763"/>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34292352"/>
        <c:crosses val="max"/>
        <c:crossBetween val="between"/>
        <c:majorUnit val="0.4"/>
        <c:minorUnit val="0.08"/>
      </c:valAx>
      <c:catAx>
        <c:axId val="234292352"/>
        <c:scaling>
          <c:orientation val="minMax"/>
        </c:scaling>
        <c:delete val="1"/>
        <c:axPos val="b"/>
        <c:majorTickMark val="out"/>
        <c:minorTickMark val="none"/>
        <c:tickLblPos val="nextTo"/>
        <c:crossAx val="23474073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456451612903232E-2"/>
          <c:y val="5.4978125000000003E-2"/>
          <c:w val="0.87301899641577063"/>
          <c:h val="0.79662708333333332"/>
        </c:manualLayout>
      </c:layout>
      <c:barChart>
        <c:barDir val="col"/>
        <c:grouping val="stacked"/>
        <c:varyColors val="0"/>
        <c:ser>
          <c:idx val="0"/>
          <c:order val="0"/>
          <c:tx>
            <c:strRef>
              <c:f>Budget!$H$29</c:f>
              <c:strCache>
                <c:ptCount val="1"/>
                <c:pt idx="0">
                  <c:v>Direct</c:v>
                </c:pt>
              </c:strCache>
            </c:strRef>
          </c:tx>
          <c:spPr>
            <a:solidFill>
              <a:srgbClr val="FF0000"/>
            </a:solidFill>
            <a:ln>
              <a:noFill/>
            </a:ln>
          </c:spPr>
          <c:invertIfNegative val="0"/>
          <c:cat>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cat>
          <c:val>
            <c:numRef>
              <c:f>Budget!$H$30:$H$37</c:f>
              <c:numCache>
                <c:formatCode>0.00</c:formatCode>
                <c:ptCount val="8"/>
                <c:pt idx="0">
                  <c:v>-100</c:v>
                </c:pt>
                <c:pt idx="1">
                  <c:v>0</c:v>
                </c:pt>
                <c:pt idx="2">
                  <c:v>0</c:v>
                </c:pt>
                <c:pt idx="3">
                  <c:v>0</c:v>
                </c:pt>
                <c:pt idx="4">
                  <c:v>0</c:v>
                </c:pt>
                <c:pt idx="5">
                  <c:v>51.067016452732219</c:v>
                </c:pt>
                <c:pt idx="6">
                  <c:v>0</c:v>
                </c:pt>
                <c:pt idx="7">
                  <c:v>-48.932983547267781</c:v>
                </c:pt>
              </c:numCache>
            </c:numRef>
          </c:val>
        </c:ser>
        <c:ser>
          <c:idx val="1"/>
          <c:order val="1"/>
          <c:tx>
            <c:strRef>
              <c:f>Budget!$I$29</c:f>
              <c:strCache>
                <c:ptCount val="1"/>
                <c:pt idx="0">
                  <c:v>Second round</c:v>
                </c:pt>
              </c:strCache>
            </c:strRef>
          </c:tx>
          <c:spPr>
            <a:solidFill>
              <a:schemeClr val="accent1"/>
            </a:solidFill>
            <a:ln>
              <a:noFill/>
            </a:ln>
          </c:spPr>
          <c:invertIfNegative val="0"/>
          <c:cat>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cat>
          <c:val>
            <c:numRef>
              <c:f>Budget!$I$30:$I$37</c:f>
              <c:numCache>
                <c:formatCode>0.00</c:formatCode>
                <c:ptCount val="8"/>
                <c:pt idx="0">
                  <c:v>13.898160605964037</c:v>
                </c:pt>
                <c:pt idx="1">
                  <c:v>12.897102677878047</c:v>
                </c:pt>
                <c:pt idx="2">
                  <c:v>6.7129756041824455</c:v>
                </c:pt>
                <c:pt idx="3">
                  <c:v>10.091537418535177</c:v>
                </c:pt>
                <c:pt idx="4">
                  <c:v>5.3551745486665974</c:v>
                </c:pt>
                <c:pt idx="5">
                  <c:v>0</c:v>
                </c:pt>
                <c:pt idx="6">
                  <c:v>-2.1967606576505913E-2</c:v>
                </c:pt>
                <c:pt idx="7">
                  <c:v>48.932983248649798</c:v>
                </c:pt>
              </c:numCache>
            </c:numRef>
          </c:val>
        </c:ser>
        <c:dLbls>
          <c:showLegendKey val="0"/>
          <c:showVal val="0"/>
          <c:showCatName val="0"/>
          <c:showSerName val="0"/>
          <c:showPercent val="0"/>
          <c:showBubbleSize val="0"/>
        </c:dLbls>
        <c:gapWidth val="150"/>
        <c:overlap val="100"/>
        <c:axId val="234818560"/>
        <c:axId val="234820736"/>
      </c:barChart>
      <c:scatterChart>
        <c:scatterStyle val="lineMarker"/>
        <c:varyColors val="0"/>
        <c:ser>
          <c:idx val="2"/>
          <c:order val="2"/>
          <c:tx>
            <c:strRef>
              <c:f>Budget!$J$29</c:f>
              <c:strCache>
                <c:ptCount val="1"/>
                <c:pt idx="0">
                  <c:v>Net revenue impact</c:v>
                </c:pt>
              </c:strCache>
            </c:strRef>
          </c:tx>
          <c:spPr>
            <a:ln w="28575">
              <a:noFill/>
            </a:ln>
          </c:spPr>
          <c:marker>
            <c:symbol val="circle"/>
            <c:size val="7"/>
            <c:spPr>
              <a:solidFill>
                <a:schemeClr val="tx1"/>
              </a:solidFill>
              <a:ln>
                <a:noFill/>
              </a:ln>
            </c:spPr>
          </c:marker>
          <c:xVal>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xVal>
          <c:yVal>
            <c:numRef>
              <c:f>Budget!$J$30:$J$37</c:f>
              <c:numCache>
                <c:formatCode>0.00</c:formatCode>
                <c:ptCount val="8"/>
                <c:pt idx="0">
                  <c:v>-86.101839394035963</c:v>
                </c:pt>
                <c:pt idx="1">
                  <c:v>12.897102677878047</c:v>
                </c:pt>
                <c:pt idx="2">
                  <c:v>6.7129756041824455</c:v>
                </c:pt>
                <c:pt idx="3">
                  <c:v>10.091537418535177</c:v>
                </c:pt>
                <c:pt idx="4">
                  <c:v>5.3551745486665974</c:v>
                </c:pt>
                <c:pt idx="5">
                  <c:v>51.067016452732219</c:v>
                </c:pt>
                <c:pt idx="6">
                  <c:v>-2.1967606576505913E-2</c:v>
                </c:pt>
                <c:pt idx="7">
                  <c:v>-2.9861798367392112E-7</c:v>
                </c:pt>
              </c:numCache>
            </c:numRef>
          </c:yVal>
          <c:smooth val="0"/>
        </c:ser>
        <c:dLbls>
          <c:showLegendKey val="0"/>
          <c:showVal val="0"/>
          <c:showCatName val="0"/>
          <c:showSerName val="0"/>
          <c:showPercent val="0"/>
          <c:showBubbleSize val="0"/>
        </c:dLbls>
        <c:axId val="234833024"/>
        <c:axId val="234822656"/>
      </c:scatterChart>
      <c:catAx>
        <c:axId val="234818560"/>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4820736"/>
        <c:crosses val="autoZero"/>
        <c:auto val="1"/>
        <c:lblAlgn val="ctr"/>
        <c:lblOffset val="100"/>
        <c:noMultiLvlLbl val="0"/>
      </c:catAx>
      <c:valAx>
        <c:axId val="234820736"/>
        <c:scaling>
          <c:orientation val="minMax"/>
          <c:max val="80"/>
          <c:min val="-100"/>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Cents per dollar</a:t>
                </a:r>
              </a:p>
            </c:rich>
          </c:tx>
          <c:layout>
            <c:manualLayout>
              <c:xMode val="edge"/>
              <c:yMode val="edge"/>
              <c:x val="6.8279569892473121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4818560"/>
        <c:crosses val="autoZero"/>
        <c:crossBetween val="between"/>
        <c:majorUnit val="20"/>
      </c:valAx>
      <c:valAx>
        <c:axId val="234822656"/>
        <c:scaling>
          <c:orientation val="minMax"/>
          <c:max val="80"/>
          <c:min val="-100"/>
        </c:scaling>
        <c:delete val="0"/>
        <c:axPos val="r"/>
        <c:title>
          <c:tx>
            <c:rich>
              <a:bodyPr rot="0" vert="horz"/>
              <a:lstStyle/>
              <a:p>
                <a:pPr>
                  <a:defRPr sz="800" b="0" i="0">
                    <a:solidFill>
                      <a:srgbClr val="000000"/>
                    </a:solidFill>
                    <a:latin typeface="Arial"/>
                    <a:ea typeface="Arial"/>
                    <a:cs typeface="Arial"/>
                  </a:defRPr>
                </a:pPr>
                <a:r>
                  <a:rPr lang="en-AU"/>
                  <a:t>Cents per dollar</a:t>
                </a:r>
              </a:p>
            </c:rich>
          </c:tx>
          <c:layout>
            <c:manualLayout>
              <c:xMode val="edge"/>
              <c:yMode val="edge"/>
              <c:x val="0.80089677419354843"/>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34833024"/>
        <c:crosses val="max"/>
        <c:crossBetween val="between"/>
        <c:majorUnit val="20"/>
      </c:valAx>
      <c:catAx>
        <c:axId val="234833024"/>
        <c:scaling>
          <c:orientation val="minMax"/>
        </c:scaling>
        <c:delete val="1"/>
        <c:axPos val="b"/>
        <c:majorTickMark val="out"/>
        <c:minorTickMark val="none"/>
        <c:tickLblPos val="nextTo"/>
        <c:crossAx val="23482265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9.4412625094802138E-2"/>
          <c:y val="0.12314618055555555"/>
          <c:w val="0.44760709744870036"/>
          <c:h val="6.5464930555555551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5.938784722222222E-2"/>
          <c:w val="0.89907885304659496"/>
          <c:h val="0.83276493055555556"/>
        </c:manualLayout>
      </c:layout>
      <c:barChart>
        <c:barDir val="col"/>
        <c:grouping val="clustered"/>
        <c:varyColors val="0"/>
        <c:ser>
          <c:idx val="0"/>
          <c:order val="0"/>
          <c:invertIfNegative val="0"/>
          <c:dPt>
            <c:idx val="0"/>
            <c:invertIfNegative val="0"/>
            <c:bubble3D val="0"/>
            <c:spPr>
              <a:solidFill>
                <a:schemeClr val="bg1">
                  <a:lumMod val="65000"/>
                </a:schemeClr>
              </a:solidFill>
              <a:ln>
                <a:noFill/>
              </a:ln>
            </c:spPr>
          </c:dPt>
          <c:dPt>
            <c:idx val="1"/>
            <c:invertIfNegative val="0"/>
            <c:bubble3D val="0"/>
            <c:spPr>
              <a:solidFill>
                <a:schemeClr val="bg1">
                  <a:lumMod val="65000"/>
                </a:schemeClr>
              </a:solidFill>
              <a:ln>
                <a:noFill/>
              </a:ln>
            </c:spPr>
          </c:dPt>
          <c:dPt>
            <c:idx val="5"/>
            <c:invertIfNegative val="0"/>
            <c:bubble3D val="0"/>
            <c:spPr>
              <a:solidFill>
                <a:schemeClr val="accent2"/>
              </a:solidFill>
              <a:ln>
                <a:noFill/>
              </a:ln>
            </c:spPr>
          </c:dPt>
          <c:cat>
            <c:strRef>
              <c:f>Welfare!$A$24:$A$29</c:f>
              <c:strCache>
                <c:ptCount val="6"/>
                <c:pt idx="0">
                  <c:v>Fixed factors</c:v>
                </c:pt>
                <c:pt idx="1">
                  <c:v>Variable capital</c:v>
                </c:pt>
                <c:pt idx="2">
                  <c:v>Capital effect</c:v>
                </c:pt>
                <c:pt idx="3">
                  <c:v>Labour effect</c:v>
                </c:pt>
                <c:pt idx="4">
                  <c:v>Lump-sum tax</c:v>
                </c:pt>
                <c:pt idx="5">
                  <c:v>Welfare</c:v>
                </c:pt>
              </c:strCache>
            </c:strRef>
          </c:cat>
          <c:val>
            <c:numRef>
              <c:f>Welfare!$D$24:$D$29</c:f>
              <c:numCache>
                <c:formatCode>0.00</c:formatCode>
                <c:ptCount val="6"/>
                <c:pt idx="0">
                  <c:v>0.28006837173245397</c:v>
                </c:pt>
                <c:pt idx="1">
                  <c:v>-0.25881724948967011</c:v>
                </c:pt>
                <c:pt idx="2">
                  <c:v>2.1251123543529291E-2</c:v>
                </c:pt>
                <c:pt idx="3">
                  <c:v>0.63910553069800558</c:v>
                </c:pt>
                <c:pt idx="4">
                  <c:v>0</c:v>
                </c:pt>
                <c:pt idx="5">
                  <c:v>0.66035665809567912</c:v>
                </c:pt>
              </c:numCache>
            </c:numRef>
          </c:val>
        </c:ser>
        <c:dLbls>
          <c:showLegendKey val="0"/>
          <c:showVal val="0"/>
          <c:showCatName val="0"/>
          <c:showSerName val="0"/>
          <c:showPercent val="0"/>
          <c:showBubbleSize val="0"/>
        </c:dLbls>
        <c:gapWidth val="150"/>
        <c:axId val="235278720"/>
        <c:axId val="235280256"/>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235292544"/>
        <c:axId val="235290624"/>
      </c:barChart>
      <c:catAx>
        <c:axId val="235278720"/>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5280256"/>
        <c:crosses val="autoZero"/>
        <c:auto val="1"/>
        <c:lblAlgn val="ctr"/>
        <c:lblOffset val="100"/>
        <c:noMultiLvlLbl val="0"/>
      </c:catAx>
      <c:valAx>
        <c:axId val="235280256"/>
        <c:scaling>
          <c:orientation val="minMax"/>
          <c:min val="-0.60000000000000009"/>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4.55170818811583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5278720"/>
        <c:crosses val="autoZero"/>
        <c:crossBetween val="between"/>
      </c:valAx>
      <c:valAx>
        <c:axId val="235290624"/>
        <c:scaling>
          <c:orientation val="minMax"/>
          <c:max val="0.8"/>
          <c:min val="-0.60000000000000009"/>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9160127419089765"/>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35292544"/>
        <c:crosses val="max"/>
        <c:crossBetween val="between"/>
        <c:majorUnit val="0.2"/>
        <c:minorUnit val="0.04"/>
      </c:valAx>
      <c:catAx>
        <c:axId val="235292544"/>
        <c:scaling>
          <c:orientation val="minMax"/>
        </c:scaling>
        <c:delete val="1"/>
        <c:axPos val="b"/>
        <c:majorTickMark val="out"/>
        <c:minorTickMark val="none"/>
        <c:tickLblPos val="nextTo"/>
        <c:crossAx val="23529062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6.7742013342287952E-2"/>
          <c:w val="0.88769892473118284"/>
          <c:h val="0.85790173305072559"/>
        </c:manualLayout>
      </c:layout>
      <c:barChart>
        <c:barDir val="col"/>
        <c:grouping val="clustered"/>
        <c:varyColors val="0"/>
        <c:ser>
          <c:idx val="0"/>
          <c:order val="0"/>
          <c:spPr>
            <a:solidFill>
              <a:schemeClr val="accent1"/>
            </a:solidFill>
          </c:spPr>
          <c:invertIfNegative val="0"/>
          <c:dPt>
            <c:idx val="4"/>
            <c:invertIfNegative val="0"/>
            <c:bubble3D val="0"/>
            <c:spPr>
              <a:solidFill>
                <a:schemeClr val="accent2"/>
              </a:solidFill>
              <a:ln>
                <a:noFill/>
              </a:ln>
            </c:spPr>
          </c:dPt>
          <c:dPt>
            <c:idx val="5"/>
            <c:invertIfNegative val="0"/>
            <c:bubble3D val="0"/>
          </c:dPt>
          <c:cat>
            <c:strRef>
              <c:f>'Expenditure - rounded'!$B$2:$B$6</c:f>
              <c:strCache>
                <c:ptCount val="5"/>
                <c:pt idx="0">
                  <c:v>Consumption</c:v>
                </c:pt>
                <c:pt idx="1">
                  <c:v>Investment</c:v>
                </c:pt>
                <c:pt idx="2">
                  <c:v>Government</c:v>
                </c:pt>
                <c:pt idx="3">
                  <c:v>Net exports</c:v>
                </c:pt>
                <c:pt idx="4">
                  <c:v>GDP</c:v>
                </c:pt>
              </c:strCache>
            </c:strRef>
          </c:cat>
          <c:val>
            <c:numRef>
              <c:f>'Expenditure - rounded'!$I$2:$I$6</c:f>
              <c:numCache>
                <c:formatCode>0.00000000000</c:formatCode>
                <c:ptCount val="5"/>
                <c:pt idx="0">
                  <c:v>0.33</c:v>
                </c:pt>
                <c:pt idx="1">
                  <c:v>0.64</c:v>
                </c:pt>
                <c:pt idx="2">
                  <c:v>0</c:v>
                </c:pt>
                <c:pt idx="3">
                  <c:v>0.25</c:v>
                </c:pt>
                <c:pt idx="4">
                  <c:v>1.22</c:v>
                </c:pt>
              </c:numCache>
            </c:numRef>
          </c:val>
        </c:ser>
        <c:dLbls>
          <c:showLegendKey val="0"/>
          <c:showVal val="0"/>
          <c:showCatName val="0"/>
          <c:showSerName val="0"/>
          <c:showPercent val="0"/>
          <c:showBubbleSize val="0"/>
        </c:dLbls>
        <c:gapWidth val="150"/>
        <c:axId val="169218816"/>
        <c:axId val="169220352"/>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169236736"/>
        <c:axId val="169234816"/>
      </c:barChart>
      <c:catAx>
        <c:axId val="169218816"/>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9220352"/>
        <c:crosses val="autoZero"/>
        <c:auto val="1"/>
        <c:lblAlgn val="ctr"/>
        <c:lblOffset val="100"/>
        <c:noMultiLvlLbl val="0"/>
      </c:catAx>
      <c:valAx>
        <c:axId val="169220352"/>
        <c:scaling>
          <c:orientation val="minMax"/>
          <c:max val="1.6"/>
          <c:min val="-0.4"/>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US"/>
                  <a:t>Percentage points</a:t>
                </a:r>
              </a:p>
            </c:rich>
          </c:tx>
          <c:layout>
            <c:manualLayout>
              <c:xMode val="edge"/>
              <c:yMode val="edge"/>
              <c:x val="4.324355324481674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69218816"/>
        <c:crosses val="autoZero"/>
        <c:crossBetween val="between"/>
        <c:majorUnit val="0.4"/>
      </c:valAx>
      <c:valAx>
        <c:axId val="169234816"/>
        <c:scaling>
          <c:orientation val="minMax"/>
          <c:max val="1.6"/>
          <c:min val="-0.4"/>
        </c:scaling>
        <c:delete val="0"/>
        <c:axPos val="r"/>
        <c:title>
          <c:tx>
            <c:rich>
              <a:bodyPr rot="0" vert="horz"/>
              <a:lstStyle/>
              <a:p>
                <a:pPr>
                  <a:defRPr sz="800" b="0" i="0">
                    <a:solidFill>
                      <a:srgbClr val="000000"/>
                    </a:solidFill>
                    <a:latin typeface="Arial"/>
                    <a:ea typeface="Arial"/>
                    <a:cs typeface="Arial"/>
                  </a:defRPr>
                </a:pPr>
                <a:r>
                  <a:rPr lang="en-US"/>
                  <a:t>Percentage points</a:t>
                </a:r>
              </a:p>
            </c:rich>
          </c:tx>
          <c:layout>
            <c:manualLayout>
              <c:xMode val="edge"/>
              <c:yMode val="edge"/>
              <c:x val="0.7865152101888903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69236736"/>
        <c:crosses val="max"/>
        <c:crossBetween val="between"/>
        <c:majorUnit val="0.4"/>
        <c:minorUnit val="0.04"/>
      </c:valAx>
      <c:catAx>
        <c:axId val="169236736"/>
        <c:scaling>
          <c:orientation val="minMax"/>
        </c:scaling>
        <c:delete val="1"/>
        <c:axPos val="b"/>
        <c:majorTickMark val="out"/>
        <c:minorTickMark val="none"/>
        <c:tickLblPos val="nextTo"/>
        <c:crossAx val="16923481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456451612903232E-2"/>
          <c:y val="6.2045800975908942E-2"/>
          <c:w val="0.87301899641577063"/>
          <c:h val="0.74163462948740277"/>
        </c:manualLayout>
      </c:layout>
      <c:barChart>
        <c:barDir val="col"/>
        <c:grouping val="stacked"/>
        <c:varyColors val="0"/>
        <c:ser>
          <c:idx val="0"/>
          <c:order val="0"/>
          <c:tx>
            <c:strRef>
              <c:f>Budget!$B$29</c:f>
              <c:strCache>
                <c:ptCount val="1"/>
                <c:pt idx="0">
                  <c:v>Direct</c:v>
                </c:pt>
              </c:strCache>
            </c:strRef>
          </c:tx>
          <c:spPr>
            <a:solidFill>
              <a:srgbClr val="FF0000"/>
            </a:solidFill>
            <a:ln>
              <a:noFill/>
            </a:ln>
          </c:spPr>
          <c:invertIfNegative val="0"/>
          <c:cat>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cat>
          <c:val>
            <c:numRef>
              <c:f>Budget!$B$30:$B$37</c:f>
              <c:numCache>
                <c:formatCode>0.00</c:formatCode>
                <c:ptCount val="8"/>
                <c:pt idx="0">
                  <c:v>-100</c:v>
                </c:pt>
                <c:pt idx="1">
                  <c:v>0</c:v>
                </c:pt>
                <c:pt idx="2">
                  <c:v>0</c:v>
                </c:pt>
                <c:pt idx="3">
                  <c:v>0</c:v>
                </c:pt>
                <c:pt idx="4">
                  <c:v>0</c:v>
                </c:pt>
                <c:pt idx="5">
                  <c:v>0</c:v>
                </c:pt>
                <c:pt idx="6">
                  <c:v>54.478308869024005</c:v>
                </c:pt>
                <c:pt idx="7">
                  <c:v>-45.521691130975995</c:v>
                </c:pt>
              </c:numCache>
            </c:numRef>
          </c:val>
        </c:ser>
        <c:ser>
          <c:idx val="1"/>
          <c:order val="1"/>
          <c:tx>
            <c:strRef>
              <c:f>Budget!$C$29</c:f>
              <c:strCache>
                <c:ptCount val="1"/>
                <c:pt idx="0">
                  <c:v>Second round</c:v>
                </c:pt>
              </c:strCache>
            </c:strRef>
          </c:tx>
          <c:spPr>
            <a:solidFill>
              <a:schemeClr val="accent1"/>
            </a:solidFill>
            <a:ln>
              <a:noFill/>
            </a:ln>
          </c:spPr>
          <c:invertIfNegative val="0"/>
          <c:cat>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cat>
          <c:val>
            <c:numRef>
              <c:f>Budget!$C$30:$C$37</c:f>
              <c:numCache>
                <c:formatCode>0.00</c:formatCode>
                <c:ptCount val="8"/>
                <c:pt idx="0">
                  <c:v>13.801851622712164</c:v>
                </c:pt>
                <c:pt idx="1">
                  <c:v>15.75379040589309</c:v>
                </c:pt>
                <c:pt idx="2">
                  <c:v>5.366745185899692</c:v>
                </c:pt>
                <c:pt idx="3">
                  <c:v>8.7018060932354597</c:v>
                </c:pt>
                <c:pt idx="4">
                  <c:v>2.908898482190041</c:v>
                </c:pt>
                <c:pt idx="5">
                  <c:v>-1.0114009088603939</c:v>
                </c:pt>
                <c:pt idx="6">
                  <c:v>0</c:v>
                </c:pt>
                <c:pt idx="7">
                  <c:v>45.521690881070057</c:v>
                </c:pt>
              </c:numCache>
            </c:numRef>
          </c:val>
        </c:ser>
        <c:dLbls>
          <c:showLegendKey val="0"/>
          <c:showVal val="0"/>
          <c:showCatName val="0"/>
          <c:showSerName val="0"/>
          <c:showPercent val="0"/>
          <c:showBubbleSize val="0"/>
        </c:dLbls>
        <c:gapWidth val="150"/>
        <c:overlap val="100"/>
        <c:axId val="181360128"/>
        <c:axId val="181362048"/>
      </c:barChart>
      <c:barChart>
        <c:barDir val="col"/>
        <c:grouping val="stacked"/>
        <c:varyColors val="0"/>
        <c:ser>
          <c:idx val="3"/>
          <c:order val="3"/>
          <c:tx>
            <c:v>DUMMY</c:v>
          </c:tx>
          <c:spPr>
            <a:noFill/>
            <a:ln w="25400">
              <a:noFill/>
            </a:ln>
            <a:effectLst/>
          </c:spPr>
          <c:invertIfNegative val="0"/>
        </c:ser>
        <c:dLbls>
          <c:showLegendKey val="0"/>
          <c:showVal val="0"/>
          <c:showCatName val="0"/>
          <c:showSerName val="0"/>
          <c:showPercent val="0"/>
          <c:showBubbleSize val="0"/>
        </c:dLbls>
        <c:gapWidth val="150"/>
        <c:overlap val="100"/>
        <c:axId val="181366144"/>
        <c:axId val="181364224"/>
      </c:barChart>
      <c:scatterChart>
        <c:scatterStyle val="lineMarker"/>
        <c:varyColors val="0"/>
        <c:ser>
          <c:idx val="2"/>
          <c:order val="2"/>
          <c:tx>
            <c:strRef>
              <c:f>Budget!$D$29</c:f>
              <c:strCache>
                <c:ptCount val="1"/>
                <c:pt idx="0">
                  <c:v>Net revenue impact</c:v>
                </c:pt>
              </c:strCache>
            </c:strRef>
          </c:tx>
          <c:spPr>
            <a:ln w="28575">
              <a:noFill/>
            </a:ln>
          </c:spPr>
          <c:marker>
            <c:symbol val="circle"/>
            <c:size val="7"/>
            <c:spPr>
              <a:solidFill>
                <a:schemeClr val="tx1"/>
              </a:solidFill>
              <a:ln>
                <a:noFill/>
              </a:ln>
            </c:spPr>
          </c:marker>
          <c:xVal>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xVal>
          <c:yVal>
            <c:numRef>
              <c:f>Budget!$D$30:$D$37</c:f>
              <c:numCache>
                <c:formatCode>0.00</c:formatCode>
                <c:ptCount val="8"/>
                <c:pt idx="0">
                  <c:v>-86.198148377287836</c:v>
                </c:pt>
                <c:pt idx="1">
                  <c:v>15.75379040589309</c:v>
                </c:pt>
                <c:pt idx="2">
                  <c:v>5.366745185899692</c:v>
                </c:pt>
                <c:pt idx="3">
                  <c:v>8.7018060932354597</c:v>
                </c:pt>
                <c:pt idx="4">
                  <c:v>2.908898482190041</c:v>
                </c:pt>
                <c:pt idx="5">
                  <c:v>-1.0114009088603939</c:v>
                </c:pt>
                <c:pt idx="6">
                  <c:v>54.478308869024005</c:v>
                </c:pt>
                <c:pt idx="7">
                  <c:v>-2.4990593772145075E-7</c:v>
                </c:pt>
              </c:numCache>
            </c:numRef>
          </c:yVal>
          <c:smooth val="0"/>
        </c:ser>
        <c:dLbls>
          <c:showLegendKey val="0"/>
          <c:showVal val="0"/>
          <c:showCatName val="0"/>
          <c:showSerName val="0"/>
          <c:showPercent val="0"/>
          <c:showBubbleSize val="0"/>
        </c:dLbls>
        <c:axId val="181366144"/>
        <c:axId val="181364224"/>
      </c:scatterChart>
      <c:catAx>
        <c:axId val="181360128"/>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1362048"/>
        <c:crosses val="autoZero"/>
        <c:auto val="1"/>
        <c:lblAlgn val="ctr"/>
        <c:lblOffset val="100"/>
        <c:noMultiLvlLbl val="0"/>
      </c:catAx>
      <c:valAx>
        <c:axId val="181362048"/>
        <c:scaling>
          <c:orientation val="minMax"/>
          <c:max val="80"/>
          <c:min val="-100"/>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Cents per dollar</a:t>
                </a:r>
              </a:p>
            </c:rich>
          </c:tx>
          <c:layout>
            <c:manualLayout>
              <c:xMode val="edge"/>
              <c:yMode val="edge"/>
              <c:x val="5.8486156731394665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1360128"/>
        <c:crosses val="autoZero"/>
        <c:crossBetween val="between"/>
        <c:majorUnit val="20"/>
      </c:valAx>
      <c:valAx>
        <c:axId val="181364224"/>
        <c:scaling>
          <c:orientation val="minMax"/>
          <c:max val="80"/>
          <c:min val="-100"/>
        </c:scaling>
        <c:delete val="0"/>
        <c:axPos val="r"/>
        <c:title>
          <c:tx>
            <c:rich>
              <a:bodyPr rot="0" vert="horz"/>
              <a:lstStyle/>
              <a:p>
                <a:pPr>
                  <a:defRPr sz="800" b="0" i="0">
                    <a:solidFill>
                      <a:srgbClr val="000000"/>
                    </a:solidFill>
                    <a:latin typeface="Arial"/>
                    <a:ea typeface="Arial"/>
                    <a:cs typeface="Arial"/>
                  </a:defRPr>
                </a:pPr>
                <a:r>
                  <a:rPr lang="en-AU"/>
                  <a:t>Cents per dollar</a:t>
                </a:r>
              </a:p>
            </c:rich>
          </c:tx>
          <c:layout>
            <c:manualLayout>
              <c:xMode val="edge"/>
              <c:yMode val="edge"/>
              <c:x val="0.80948593003743385"/>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81366144"/>
        <c:crosses val="max"/>
        <c:crossBetween val="between"/>
        <c:majorUnit val="20"/>
      </c:valAx>
      <c:catAx>
        <c:axId val="181366144"/>
        <c:scaling>
          <c:orientation val="minMax"/>
        </c:scaling>
        <c:delete val="1"/>
        <c:axPos val="b"/>
        <c:majorTickMark val="out"/>
        <c:minorTickMark val="none"/>
        <c:tickLblPos val="nextTo"/>
        <c:crossAx val="18136422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0.10784784946236559"/>
          <c:y val="0.12314618055555555"/>
          <c:w val="0.47720316658322892"/>
          <c:h val="6.5464930555555551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5.938784722222222E-2"/>
          <c:w val="0.89907885304659496"/>
          <c:h val="0.83276493055555556"/>
        </c:manualLayout>
      </c:layout>
      <c:barChart>
        <c:barDir val="col"/>
        <c:grouping val="clustered"/>
        <c:varyColors val="0"/>
        <c:ser>
          <c:idx val="0"/>
          <c:order val="0"/>
          <c:invertIfNegative val="0"/>
          <c:dPt>
            <c:idx val="0"/>
            <c:invertIfNegative val="0"/>
            <c:bubble3D val="0"/>
            <c:spPr>
              <a:solidFill>
                <a:schemeClr val="bg1">
                  <a:lumMod val="65000"/>
                </a:schemeClr>
              </a:solidFill>
              <a:ln>
                <a:noFill/>
              </a:ln>
            </c:spPr>
          </c:dPt>
          <c:dPt>
            <c:idx val="1"/>
            <c:invertIfNegative val="0"/>
            <c:bubble3D val="0"/>
            <c:spPr>
              <a:solidFill>
                <a:schemeClr val="bg1">
                  <a:lumMod val="65000"/>
                </a:schemeClr>
              </a:solidFill>
              <a:ln>
                <a:noFill/>
              </a:ln>
            </c:spPr>
          </c:dPt>
          <c:dPt>
            <c:idx val="5"/>
            <c:invertIfNegative val="0"/>
            <c:bubble3D val="0"/>
            <c:spPr>
              <a:solidFill>
                <a:schemeClr val="accent2"/>
              </a:solidFill>
              <a:ln>
                <a:noFill/>
              </a:ln>
            </c:spPr>
          </c:dPt>
          <c:cat>
            <c:strRef>
              <c:f>Welfare!$A$24:$A$29</c:f>
              <c:strCache>
                <c:ptCount val="6"/>
                <c:pt idx="0">
                  <c:v>Fixed factors</c:v>
                </c:pt>
                <c:pt idx="1">
                  <c:v>Variable capital</c:v>
                </c:pt>
                <c:pt idx="2">
                  <c:v>Capital effect</c:v>
                </c:pt>
                <c:pt idx="3">
                  <c:v>Labour effect</c:v>
                </c:pt>
                <c:pt idx="4">
                  <c:v>Lump-sum tax</c:v>
                </c:pt>
                <c:pt idx="5">
                  <c:v>Welfare</c:v>
                </c:pt>
              </c:strCache>
            </c:strRef>
          </c:cat>
          <c:val>
            <c:numRef>
              <c:f>Welfare!$B$24:$B$29</c:f>
              <c:numCache>
                <c:formatCode>0.00</c:formatCode>
                <c:ptCount val="6"/>
                <c:pt idx="0">
                  <c:v>0.26588021742705087</c:v>
                </c:pt>
                <c:pt idx="1">
                  <c:v>-0.25872275136694922</c:v>
                </c:pt>
                <c:pt idx="2">
                  <c:v>7.1574666414704309E-3</c:v>
                </c:pt>
                <c:pt idx="3">
                  <c:v>0.67440179038975356</c:v>
                </c:pt>
                <c:pt idx="4">
                  <c:v>-0.46715488798341076</c:v>
                </c:pt>
                <c:pt idx="5">
                  <c:v>0.21440437094913667</c:v>
                </c:pt>
              </c:numCache>
            </c:numRef>
          </c:val>
        </c:ser>
        <c:dLbls>
          <c:showLegendKey val="0"/>
          <c:showVal val="0"/>
          <c:showCatName val="0"/>
          <c:showSerName val="0"/>
          <c:showPercent val="0"/>
          <c:showBubbleSize val="0"/>
        </c:dLbls>
        <c:gapWidth val="150"/>
        <c:axId val="182455296"/>
        <c:axId val="182457088"/>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182469376"/>
        <c:axId val="182459008"/>
      </c:barChart>
      <c:catAx>
        <c:axId val="182455296"/>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2457088"/>
        <c:crosses val="autoZero"/>
        <c:auto val="1"/>
        <c:lblAlgn val="ctr"/>
        <c:lblOffset val="100"/>
        <c:noMultiLvlLbl val="0"/>
      </c:catAx>
      <c:valAx>
        <c:axId val="182457088"/>
        <c:scaling>
          <c:orientation val="minMax"/>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4.519655682815614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2455296"/>
        <c:crosses val="autoZero"/>
        <c:crossBetween val="between"/>
      </c:valAx>
      <c:valAx>
        <c:axId val="182459008"/>
        <c:scaling>
          <c:orientation val="minMax"/>
          <c:max val="0.8"/>
          <c:min val="-0.60000000000000009"/>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9629983090625112"/>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82469376"/>
        <c:crosses val="max"/>
        <c:crossBetween val="between"/>
        <c:majorUnit val="0.2"/>
        <c:minorUnit val="0.04"/>
      </c:valAx>
      <c:catAx>
        <c:axId val="182469376"/>
        <c:scaling>
          <c:orientation val="minMax"/>
        </c:scaling>
        <c:delete val="1"/>
        <c:axPos val="b"/>
        <c:majorTickMark val="out"/>
        <c:minorTickMark val="none"/>
        <c:tickLblPos val="nextTo"/>
        <c:crossAx val="18245900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5.938784722222222E-2"/>
          <c:w val="0.89907885304659496"/>
          <c:h val="0.83276493055555556"/>
        </c:manualLayout>
      </c:layout>
      <c:barChart>
        <c:barDir val="col"/>
        <c:grouping val="clustered"/>
        <c:varyColors val="0"/>
        <c:ser>
          <c:idx val="0"/>
          <c:order val="0"/>
          <c:invertIfNegative val="0"/>
          <c:dPt>
            <c:idx val="4"/>
            <c:invertIfNegative val="0"/>
            <c:bubble3D val="0"/>
            <c:spPr>
              <a:solidFill>
                <a:schemeClr val="accent2"/>
              </a:solidFill>
              <a:ln>
                <a:noFill/>
              </a:ln>
            </c:spPr>
          </c:dPt>
          <c:cat>
            <c:strRef>
              <c:f>Income!$A$2:$A$6</c:f>
              <c:strCache>
                <c:ptCount val="5"/>
                <c:pt idx="0">
                  <c:v>Capital income</c:v>
                </c:pt>
                <c:pt idx="1">
                  <c:v>Labour income</c:v>
                </c:pt>
                <c:pt idx="2">
                  <c:v>Indirect taxes</c:v>
                </c:pt>
                <c:pt idx="3">
                  <c:v>Foreign income payments</c:v>
                </c:pt>
                <c:pt idx="4">
                  <c:v>GNI</c:v>
                </c:pt>
              </c:strCache>
            </c:strRef>
          </c:cat>
          <c:val>
            <c:numRef>
              <c:f>Income!$N$2:$N$6</c:f>
              <c:numCache>
                <c:formatCode>0.000</c:formatCode>
                <c:ptCount val="5"/>
                <c:pt idx="0">
                  <c:v>0.21374015463718771</c:v>
                </c:pt>
                <c:pt idx="1">
                  <c:v>0.67024051344799629</c:v>
                </c:pt>
                <c:pt idx="2">
                  <c:v>7.87153661188396E-2</c:v>
                </c:pt>
                <c:pt idx="3">
                  <c:v>-0.39386974714420497</c:v>
                </c:pt>
                <c:pt idx="4" formatCode="0.00">
                  <c:v>0.56882628705982019</c:v>
                </c:pt>
              </c:numCache>
            </c:numRef>
          </c:val>
        </c:ser>
        <c:dLbls>
          <c:showLegendKey val="0"/>
          <c:showVal val="0"/>
          <c:showCatName val="0"/>
          <c:showSerName val="0"/>
          <c:showPercent val="0"/>
          <c:showBubbleSize val="0"/>
        </c:dLbls>
        <c:gapWidth val="150"/>
        <c:axId val="183379072"/>
        <c:axId val="183380608"/>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183388800"/>
        <c:axId val="183386880"/>
      </c:barChart>
      <c:catAx>
        <c:axId val="183379072"/>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3380608"/>
        <c:crosses val="autoZero"/>
        <c:auto val="1"/>
        <c:lblAlgn val="ctr"/>
        <c:lblOffset val="100"/>
        <c:noMultiLvlLbl val="0"/>
      </c:catAx>
      <c:valAx>
        <c:axId val="183380608"/>
        <c:scaling>
          <c:orientation val="minMax"/>
          <c:max val="0.9"/>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US"/>
                  <a:t>Percentage points</a:t>
                </a:r>
              </a:p>
            </c:rich>
          </c:tx>
          <c:layout>
            <c:manualLayout>
              <c:xMode val="edge"/>
              <c:yMode val="edge"/>
              <c:x val="4.7643397744751508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3379072"/>
        <c:crosses val="autoZero"/>
        <c:crossBetween val="between"/>
        <c:majorUnit val="0.30000000000000004"/>
      </c:valAx>
      <c:valAx>
        <c:axId val="183386880"/>
        <c:scaling>
          <c:orientation val="minMax"/>
          <c:max val="0.9"/>
          <c:min val="-0.6000000000000002"/>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894713261648745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83388800"/>
        <c:crosses val="max"/>
        <c:crossBetween val="between"/>
        <c:majorUnit val="0.30000000000000004"/>
        <c:minorUnit val="6.0000000000000012E-2"/>
      </c:valAx>
      <c:catAx>
        <c:axId val="183388800"/>
        <c:scaling>
          <c:orientation val="minMax"/>
        </c:scaling>
        <c:delete val="1"/>
        <c:axPos val="b"/>
        <c:majorTickMark val="out"/>
        <c:minorTickMark val="none"/>
        <c:tickLblPos val="nextTo"/>
        <c:crossAx val="1833868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92473118279574E-2"/>
          <c:y val="5.938784722222222E-2"/>
          <c:w val="0.88314695340501792"/>
          <c:h val="0.86812152777777774"/>
        </c:manualLayout>
      </c:layout>
      <c:barChart>
        <c:barDir val="col"/>
        <c:grouping val="clustered"/>
        <c:varyColors val="0"/>
        <c:ser>
          <c:idx val="0"/>
          <c:order val="0"/>
          <c:spPr>
            <a:solidFill>
              <a:schemeClr val="accent1"/>
            </a:solidFill>
          </c:spPr>
          <c:invertIfNegative val="0"/>
          <c:dPt>
            <c:idx val="4"/>
            <c:invertIfNegative val="0"/>
            <c:bubble3D val="0"/>
            <c:spPr>
              <a:solidFill>
                <a:schemeClr val="accent2"/>
              </a:solidFill>
              <a:ln>
                <a:noFill/>
              </a:ln>
            </c:spPr>
          </c:dPt>
          <c:dPt>
            <c:idx val="5"/>
            <c:invertIfNegative val="0"/>
            <c:bubble3D val="0"/>
          </c:dPt>
          <c:cat>
            <c:strRef>
              <c:f>'Expenditure - rounded'!$B$2:$B$6</c:f>
              <c:strCache>
                <c:ptCount val="5"/>
                <c:pt idx="0">
                  <c:v>Consumption</c:v>
                </c:pt>
                <c:pt idx="1">
                  <c:v>Investment</c:v>
                </c:pt>
                <c:pt idx="2">
                  <c:v>Government</c:v>
                </c:pt>
                <c:pt idx="3">
                  <c:v>Net exports</c:v>
                </c:pt>
                <c:pt idx="4">
                  <c:v>GDP</c:v>
                </c:pt>
              </c:strCache>
            </c:strRef>
          </c:cat>
          <c:val>
            <c:numRef>
              <c:f>'Expenditure - rounded'!$J$2:$J$6</c:f>
              <c:numCache>
                <c:formatCode>0.00000000000</c:formatCode>
                <c:ptCount val="5"/>
                <c:pt idx="0">
                  <c:v>0.15</c:v>
                </c:pt>
                <c:pt idx="1">
                  <c:v>0.57999999999999996</c:v>
                </c:pt>
                <c:pt idx="2">
                  <c:v>0</c:v>
                </c:pt>
                <c:pt idx="3">
                  <c:v>0.24</c:v>
                </c:pt>
                <c:pt idx="4">
                  <c:v>0.97</c:v>
                </c:pt>
              </c:numCache>
            </c:numRef>
          </c:val>
        </c:ser>
        <c:dLbls>
          <c:showLegendKey val="0"/>
          <c:showVal val="0"/>
          <c:showCatName val="0"/>
          <c:showSerName val="0"/>
          <c:showPercent val="0"/>
          <c:showBubbleSize val="0"/>
        </c:dLbls>
        <c:gapWidth val="150"/>
        <c:axId val="182642176"/>
        <c:axId val="182643712"/>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222833664"/>
        <c:axId val="222831744"/>
      </c:barChart>
      <c:catAx>
        <c:axId val="182642176"/>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2643712"/>
        <c:crosses val="autoZero"/>
        <c:auto val="1"/>
        <c:lblAlgn val="ctr"/>
        <c:lblOffset val="100"/>
        <c:noMultiLvlLbl val="0"/>
      </c:catAx>
      <c:valAx>
        <c:axId val="182643712"/>
        <c:scaling>
          <c:orientation val="minMax"/>
          <c:max val="1.6"/>
          <c:min val="-0.4"/>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US"/>
                  <a:t>Percentage points</a:t>
                </a:r>
              </a:p>
            </c:rich>
          </c:tx>
          <c:layout>
            <c:manualLayout>
              <c:xMode val="edge"/>
              <c:yMode val="edge"/>
              <c:x val="5.675079840511453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82642176"/>
        <c:crosses val="autoZero"/>
        <c:crossBetween val="between"/>
        <c:majorUnit val="0.4"/>
      </c:valAx>
      <c:valAx>
        <c:axId val="222831744"/>
        <c:scaling>
          <c:orientation val="minMax"/>
          <c:max val="1.6"/>
          <c:min val="-0.4"/>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8947132616487459"/>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22833664"/>
        <c:crosses val="max"/>
        <c:crossBetween val="between"/>
        <c:majorUnit val="0.4"/>
        <c:minorUnit val="0.08"/>
      </c:valAx>
      <c:catAx>
        <c:axId val="222833664"/>
        <c:scaling>
          <c:orientation val="minMax"/>
        </c:scaling>
        <c:delete val="1"/>
        <c:axPos val="b"/>
        <c:majorTickMark val="out"/>
        <c:minorTickMark val="none"/>
        <c:tickLblPos val="nextTo"/>
        <c:crossAx val="22283174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456451612903232E-2"/>
          <c:y val="5.5464353033969224E-2"/>
          <c:w val="0.87301899641577063"/>
          <c:h val="0.76267316985800226"/>
        </c:manualLayout>
      </c:layout>
      <c:barChart>
        <c:barDir val="col"/>
        <c:grouping val="stacked"/>
        <c:varyColors val="0"/>
        <c:ser>
          <c:idx val="0"/>
          <c:order val="0"/>
          <c:tx>
            <c:strRef>
              <c:f>Budget!$E$29</c:f>
              <c:strCache>
                <c:ptCount val="1"/>
                <c:pt idx="0">
                  <c:v>Direct</c:v>
                </c:pt>
              </c:strCache>
            </c:strRef>
          </c:tx>
          <c:spPr>
            <a:solidFill>
              <a:srgbClr val="FF0000"/>
            </a:solidFill>
            <a:ln>
              <a:noFill/>
            </a:ln>
          </c:spPr>
          <c:invertIfNegative val="0"/>
          <c:cat>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cat>
          <c:val>
            <c:numRef>
              <c:f>Budget!$E$30:$E$37</c:f>
              <c:numCache>
                <c:formatCode>0.00</c:formatCode>
                <c:ptCount val="8"/>
                <c:pt idx="0">
                  <c:v>-100</c:v>
                </c:pt>
                <c:pt idx="1">
                  <c:v>65.332543182001999</c:v>
                </c:pt>
                <c:pt idx="2">
                  <c:v>0</c:v>
                </c:pt>
                <c:pt idx="3">
                  <c:v>0</c:v>
                </c:pt>
                <c:pt idx="4">
                  <c:v>0</c:v>
                </c:pt>
                <c:pt idx="5">
                  <c:v>0</c:v>
                </c:pt>
                <c:pt idx="6">
                  <c:v>0</c:v>
                </c:pt>
                <c:pt idx="7">
                  <c:v>-34.667456817998001</c:v>
                </c:pt>
              </c:numCache>
            </c:numRef>
          </c:val>
        </c:ser>
        <c:ser>
          <c:idx val="1"/>
          <c:order val="1"/>
          <c:tx>
            <c:strRef>
              <c:f>Budget!$F$29</c:f>
              <c:strCache>
                <c:ptCount val="1"/>
                <c:pt idx="0">
                  <c:v>Second round</c:v>
                </c:pt>
              </c:strCache>
            </c:strRef>
          </c:tx>
          <c:spPr>
            <a:solidFill>
              <a:schemeClr val="accent1"/>
            </a:solidFill>
            <a:ln>
              <a:noFill/>
            </a:ln>
          </c:spPr>
          <c:invertIfNegative val="0"/>
          <c:cat>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cat>
          <c:val>
            <c:numRef>
              <c:f>Budget!$F$30:$F$37</c:f>
              <c:numCache>
                <c:formatCode>0.00</c:formatCode>
                <c:ptCount val="8"/>
                <c:pt idx="0">
                  <c:v>12.250228575989865</c:v>
                </c:pt>
                <c:pt idx="1">
                  <c:v>14.067564803349683</c:v>
                </c:pt>
                <c:pt idx="2">
                  <c:v>4.0585981848792709</c:v>
                </c:pt>
                <c:pt idx="3">
                  <c:v>6.4154423637969611</c:v>
                </c:pt>
                <c:pt idx="4">
                  <c:v>1.3783250576734183</c:v>
                </c:pt>
                <c:pt idx="5">
                  <c:v>-3.659777166778539</c:v>
                </c:pt>
                <c:pt idx="6">
                  <c:v>0.15707460420647562</c:v>
                </c:pt>
                <c:pt idx="7">
                  <c:v>34.667456423117137</c:v>
                </c:pt>
              </c:numCache>
            </c:numRef>
          </c:val>
        </c:ser>
        <c:dLbls>
          <c:showLegendKey val="0"/>
          <c:showVal val="0"/>
          <c:showCatName val="0"/>
          <c:showSerName val="0"/>
          <c:showPercent val="0"/>
          <c:showBubbleSize val="0"/>
        </c:dLbls>
        <c:gapWidth val="150"/>
        <c:overlap val="100"/>
        <c:axId val="232342656"/>
        <c:axId val="232344576"/>
      </c:barChart>
      <c:scatterChart>
        <c:scatterStyle val="lineMarker"/>
        <c:varyColors val="0"/>
        <c:ser>
          <c:idx val="2"/>
          <c:order val="2"/>
          <c:tx>
            <c:strRef>
              <c:f>Budget!$G$29</c:f>
              <c:strCache>
                <c:ptCount val="1"/>
                <c:pt idx="0">
                  <c:v>Net revenue impact</c:v>
                </c:pt>
              </c:strCache>
            </c:strRef>
          </c:tx>
          <c:spPr>
            <a:ln w="28575">
              <a:noFill/>
            </a:ln>
          </c:spPr>
          <c:marker>
            <c:symbol val="circle"/>
            <c:size val="7"/>
            <c:spPr>
              <a:solidFill>
                <a:schemeClr val="tx1"/>
              </a:solidFill>
              <a:ln>
                <a:noFill/>
              </a:ln>
            </c:spPr>
          </c:marker>
          <c:xVal>
            <c:strRef>
              <c:f>Budget!$A$30:$A$37</c:f>
              <c:strCache>
                <c:ptCount val="8"/>
                <c:pt idx="0">
                  <c:v>Company tax less franking credits</c:v>
                </c:pt>
                <c:pt idx="1">
                  <c:v>Personal income tax</c:v>
                </c:pt>
                <c:pt idx="2">
                  <c:v>Stamp duty &amp; land tax</c:v>
                </c:pt>
                <c:pt idx="3">
                  <c:v>Indirect tax</c:v>
                </c:pt>
                <c:pt idx="4">
                  <c:v>GST</c:v>
                </c:pt>
                <c:pt idx="5">
                  <c:v>Government spending</c:v>
                </c:pt>
                <c:pt idx="6">
                  <c:v>Lump sum tax</c:v>
                </c:pt>
                <c:pt idx="7">
                  <c:v>Total</c:v>
                </c:pt>
              </c:strCache>
            </c:strRef>
          </c:xVal>
          <c:yVal>
            <c:numRef>
              <c:f>Budget!$G$30:$G$37</c:f>
              <c:numCache>
                <c:formatCode>0.00</c:formatCode>
                <c:ptCount val="8"/>
                <c:pt idx="0">
                  <c:v>-87.749771424010135</c:v>
                </c:pt>
                <c:pt idx="1">
                  <c:v>79.400107985351681</c:v>
                </c:pt>
                <c:pt idx="2">
                  <c:v>4.0585981848792709</c:v>
                </c:pt>
                <c:pt idx="3">
                  <c:v>6.4154423637969611</c:v>
                </c:pt>
                <c:pt idx="4">
                  <c:v>1.3783250576734183</c:v>
                </c:pt>
                <c:pt idx="5">
                  <c:v>-3.659777166778539</c:v>
                </c:pt>
                <c:pt idx="6">
                  <c:v>0.15707460420647562</c:v>
                </c:pt>
                <c:pt idx="7">
                  <c:v>-3.9488086400751854E-7</c:v>
                </c:pt>
              </c:numCache>
            </c:numRef>
          </c:yVal>
          <c:smooth val="0"/>
        </c:ser>
        <c:dLbls>
          <c:showLegendKey val="0"/>
          <c:showVal val="0"/>
          <c:showCatName val="0"/>
          <c:showSerName val="0"/>
          <c:showPercent val="0"/>
          <c:showBubbleSize val="0"/>
        </c:dLbls>
        <c:axId val="232348672"/>
        <c:axId val="232346752"/>
      </c:scatterChart>
      <c:catAx>
        <c:axId val="232342656"/>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2344576"/>
        <c:crosses val="autoZero"/>
        <c:auto val="1"/>
        <c:lblAlgn val="ctr"/>
        <c:lblOffset val="100"/>
        <c:noMultiLvlLbl val="0"/>
      </c:catAx>
      <c:valAx>
        <c:axId val="232344576"/>
        <c:scaling>
          <c:orientation val="minMax"/>
          <c:max val="80"/>
          <c:min val="-100"/>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Cents per dollar</a:t>
                </a:r>
              </a:p>
            </c:rich>
          </c:tx>
          <c:layout>
            <c:manualLayout>
              <c:xMode val="edge"/>
              <c:yMode val="edge"/>
              <c:x val="6.144905554838432E-2"/>
              <c:y val="0"/>
            </c:manualLayout>
          </c:layout>
          <c:overlay val="0"/>
        </c:title>
        <c:numFmt formatCode="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2342656"/>
        <c:crosses val="autoZero"/>
        <c:crossBetween val="between"/>
        <c:majorUnit val="20"/>
      </c:valAx>
      <c:valAx>
        <c:axId val="232346752"/>
        <c:scaling>
          <c:orientation val="minMax"/>
          <c:max val="80"/>
          <c:min val="-100"/>
        </c:scaling>
        <c:delete val="0"/>
        <c:axPos val="r"/>
        <c:title>
          <c:tx>
            <c:rich>
              <a:bodyPr rot="0" vert="horz"/>
              <a:lstStyle/>
              <a:p>
                <a:pPr>
                  <a:defRPr sz="800" b="0" i="0">
                    <a:solidFill>
                      <a:srgbClr val="000000"/>
                    </a:solidFill>
                    <a:latin typeface="Arial"/>
                    <a:ea typeface="Arial"/>
                    <a:cs typeface="Arial"/>
                  </a:defRPr>
                </a:pPr>
                <a:r>
                  <a:rPr lang="en-AU"/>
                  <a:t>Cents per dollar</a:t>
                </a:r>
              </a:p>
            </c:rich>
          </c:tx>
          <c:layout>
            <c:manualLayout>
              <c:xMode val="edge"/>
              <c:yMode val="edge"/>
              <c:x val="0.80089677419354843"/>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32348672"/>
        <c:crosses val="max"/>
        <c:crossBetween val="between"/>
        <c:majorUnit val="20"/>
      </c:valAx>
      <c:catAx>
        <c:axId val="232348672"/>
        <c:scaling>
          <c:orientation val="minMax"/>
        </c:scaling>
        <c:delete val="1"/>
        <c:axPos val="b"/>
        <c:majorTickMark val="out"/>
        <c:minorTickMark val="none"/>
        <c:tickLblPos val="nextTo"/>
        <c:crossAx val="2323467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30664567691576516"/>
          <c:y val="9.6569637725824511E-2"/>
          <c:w val="0.49229720682186279"/>
          <c:h val="6.5464930555555551E-2"/>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5.938784722222222E-2"/>
          <c:w val="0.89907885304659496"/>
          <c:h val="0.83276493055555556"/>
        </c:manualLayout>
      </c:layout>
      <c:barChart>
        <c:barDir val="col"/>
        <c:grouping val="clustered"/>
        <c:varyColors val="0"/>
        <c:ser>
          <c:idx val="0"/>
          <c:order val="0"/>
          <c:invertIfNegative val="0"/>
          <c:dPt>
            <c:idx val="0"/>
            <c:invertIfNegative val="0"/>
            <c:bubble3D val="0"/>
            <c:spPr>
              <a:solidFill>
                <a:schemeClr val="bg1">
                  <a:lumMod val="65000"/>
                </a:schemeClr>
              </a:solidFill>
              <a:ln>
                <a:noFill/>
              </a:ln>
            </c:spPr>
          </c:dPt>
          <c:dPt>
            <c:idx val="1"/>
            <c:invertIfNegative val="0"/>
            <c:bubble3D val="0"/>
            <c:spPr>
              <a:solidFill>
                <a:schemeClr val="bg1">
                  <a:lumMod val="65000"/>
                </a:schemeClr>
              </a:solidFill>
              <a:ln>
                <a:noFill/>
              </a:ln>
            </c:spPr>
          </c:dPt>
          <c:dPt>
            <c:idx val="5"/>
            <c:invertIfNegative val="0"/>
            <c:bubble3D val="0"/>
            <c:spPr>
              <a:solidFill>
                <a:schemeClr val="accent2"/>
              </a:solidFill>
              <a:ln>
                <a:noFill/>
              </a:ln>
            </c:spPr>
          </c:dPt>
          <c:cat>
            <c:strRef>
              <c:f>Welfare!$A$24:$A$29</c:f>
              <c:strCache>
                <c:ptCount val="6"/>
                <c:pt idx="0">
                  <c:v>Fixed factors</c:v>
                </c:pt>
                <c:pt idx="1">
                  <c:v>Variable capital</c:v>
                </c:pt>
                <c:pt idx="2">
                  <c:v>Capital effect</c:v>
                </c:pt>
                <c:pt idx="3">
                  <c:v>Labour effect</c:v>
                </c:pt>
                <c:pt idx="4">
                  <c:v>Lump-sum tax</c:v>
                </c:pt>
                <c:pt idx="5">
                  <c:v>Welfare</c:v>
                </c:pt>
              </c:strCache>
            </c:strRef>
          </c:cat>
          <c:val>
            <c:numRef>
              <c:f>Welfare!$C$24:$C$29</c:f>
              <c:numCache>
                <c:formatCode>0.00</c:formatCode>
                <c:ptCount val="6"/>
                <c:pt idx="0">
                  <c:v>0.21334122629134067</c:v>
                </c:pt>
                <c:pt idx="1">
                  <c:v>-0.31964763484725944</c:v>
                </c:pt>
                <c:pt idx="2">
                  <c:v>-0.10630640705854308</c:v>
                </c:pt>
                <c:pt idx="3">
                  <c:v>0.2499326604402706</c:v>
                </c:pt>
                <c:pt idx="4">
                  <c:v>0</c:v>
                </c:pt>
                <c:pt idx="5">
                  <c:v>0.14362625811177046</c:v>
                </c:pt>
              </c:numCache>
            </c:numRef>
          </c:val>
        </c:ser>
        <c:dLbls>
          <c:showLegendKey val="0"/>
          <c:showVal val="0"/>
          <c:showCatName val="0"/>
          <c:showSerName val="0"/>
          <c:showPercent val="0"/>
          <c:showBubbleSize val="0"/>
        </c:dLbls>
        <c:gapWidth val="150"/>
        <c:axId val="232712064"/>
        <c:axId val="232713600"/>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232394112"/>
        <c:axId val="232392192"/>
      </c:barChart>
      <c:catAx>
        <c:axId val="232712064"/>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2713600"/>
        <c:crosses val="autoZero"/>
        <c:auto val="1"/>
        <c:lblAlgn val="ctr"/>
        <c:lblOffset val="100"/>
        <c:noMultiLvlLbl val="0"/>
      </c:catAx>
      <c:valAx>
        <c:axId val="232713600"/>
        <c:scaling>
          <c:orientation val="minMax"/>
          <c:max val="0.8"/>
          <c:min val="-0.60000000000000009"/>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4.55170818811583E-2"/>
              <c:y val="0"/>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2712064"/>
        <c:crosses val="autoZero"/>
        <c:crossBetween val="between"/>
        <c:majorUnit val="0.2"/>
      </c:valAx>
      <c:valAx>
        <c:axId val="232392192"/>
        <c:scaling>
          <c:orientation val="minMax"/>
          <c:max val="0.8"/>
          <c:min val="-0.60000000000000009"/>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940268993015217"/>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32394112"/>
        <c:crosses val="max"/>
        <c:crossBetween val="between"/>
        <c:majorUnit val="0.2"/>
        <c:minorUnit val="0.04"/>
      </c:valAx>
      <c:catAx>
        <c:axId val="232394112"/>
        <c:scaling>
          <c:orientation val="minMax"/>
        </c:scaling>
        <c:delete val="1"/>
        <c:axPos val="b"/>
        <c:majorTickMark val="out"/>
        <c:minorTickMark val="none"/>
        <c:tickLblPos val="nextTo"/>
        <c:crossAx val="23239219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60573476702512E-2"/>
          <c:y val="5.938784722222222E-2"/>
          <c:w val="0.89907885304659496"/>
          <c:h val="0.83276493055555556"/>
        </c:manualLayout>
      </c:layout>
      <c:barChart>
        <c:barDir val="col"/>
        <c:grouping val="clustered"/>
        <c:varyColors val="0"/>
        <c:ser>
          <c:idx val="0"/>
          <c:order val="0"/>
          <c:invertIfNegative val="0"/>
          <c:dPt>
            <c:idx val="4"/>
            <c:invertIfNegative val="0"/>
            <c:bubble3D val="0"/>
            <c:spPr>
              <a:solidFill>
                <a:schemeClr val="accent2"/>
              </a:solidFill>
              <a:ln>
                <a:noFill/>
              </a:ln>
            </c:spPr>
          </c:dPt>
          <c:cat>
            <c:strRef>
              <c:f>Income!$A$2:$A$6</c:f>
              <c:strCache>
                <c:ptCount val="5"/>
                <c:pt idx="0">
                  <c:v>Capital income</c:v>
                </c:pt>
                <c:pt idx="1">
                  <c:v>Labour income</c:v>
                </c:pt>
                <c:pt idx="2">
                  <c:v>Indirect taxes</c:v>
                </c:pt>
                <c:pt idx="3">
                  <c:v>Foreign income payments</c:v>
                </c:pt>
                <c:pt idx="4">
                  <c:v>GNI</c:v>
                </c:pt>
              </c:strCache>
            </c:strRef>
          </c:cat>
          <c:val>
            <c:numRef>
              <c:f>Income!$O$2:$O$6</c:f>
              <c:numCache>
                <c:formatCode>0.000</c:formatCode>
                <c:ptCount val="5"/>
                <c:pt idx="0">
                  <c:v>0.34424437459511298</c:v>
                </c:pt>
                <c:pt idx="1">
                  <c:v>0.62879172778181969</c:v>
                </c:pt>
                <c:pt idx="2">
                  <c:v>0.13621854330440522</c:v>
                </c:pt>
                <c:pt idx="3">
                  <c:v>-0.4228580607948571</c:v>
                </c:pt>
                <c:pt idx="4" formatCode="0.00">
                  <c:v>0.68639658488647037</c:v>
                </c:pt>
              </c:numCache>
            </c:numRef>
          </c:val>
        </c:ser>
        <c:dLbls>
          <c:showLegendKey val="0"/>
          <c:showVal val="0"/>
          <c:showCatName val="0"/>
          <c:showSerName val="0"/>
          <c:showPercent val="0"/>
          <c:showBubbleSize val="0"/>
        </c:dLbls>
        <c:gapWidth val="150"/>
        <c:axId val="234631552"/>
        <c:axId val="234633088"/>
      </c:barChart>
      <c:barChart>
        <c:barDir val="col"/>
        <c:grouping val="clustered"/>
        <c:varyColors val="0"/>
        <c:ser>
          <c:idx val="1"/>
          <c:order val="1"/>
          <c:tx>
            <c:v>DUMMY</c:v>
          </c:tx>
          <c:spPr>
            <a:noFill/>
            <a:ln w="25400">
              <a:noFill/>
            </a:ln>
            <a:effectLst/>
          </c:spPr>
          <c:invertIfNegative val="0"/>
        </c:ser>
        <c:dLbls>
          <c:showLegendKey val="0"/>
          <c:showVal val="0"/>
          <c:showCatName val="0"/>
          <c:showSerName val="0"/>
          <c:showPercent val="0"/>
          <c:showBubbleSize val="0"/>
        </c:dLbls>
        <c:gapWidth val="150"/>
        <c:axId val="234641280"/>
        <c:axId val="234639360"/>
      </c:barChart>
      <c:catAx>
        <c:axId val="234631552"/>
        <c:scaling>
          <c:orientation val="minMax"/>
        </c:scaling>
        <c:delete val="0"/>
        <c:axPos val="b"/>
        <c:majorTickMark val="cross"/>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4633088"/>
        <c:crosses val="autoZero"/>
        <c:auto val="1"/>
        <c:lblAlgn val="ctr"/>
        <c:lblOffset val="100"/>
        <c:noMultiLvlLbl val="0"/>
      </c:catAx>
      <c:valAx>
        <c:axId val="234633088"/>
        <c:scaling>
          <c:orientation val="minMax"/>
          <c:max val="0.9"/>
        </c:scaling>
        <c:delete val="0"/>
        <c:axPos val="l"/>
        <c:majorGridlines>
          <c:spPr>
            <a:ln w="12700">
              <a:noFill/>
              <a:prstDash val="solid"/>
            </a:ln>
          </c:spPr>
        </c:majorGridlines>
        <c:title>
          <c:tx>
            <c:rich>
              <a:bodyPr rot="0" vert="horz"/>
              <a:lstStyle/>
              <a:p>
                <a:pPr>
                  <a:defRPr sz="800" b="0" i="0">
                    <a:solidFill>
                      <a:srgbClr val="000000"/>
                    </a:solidFill>
                    <a:latin typeface="Arial"/>
                    <a:ea typeface="Arial"/>
                    <a:cs typeface="Arial"/>
                  </a:defRPr>
                </a:pPr>
                <a:r>
                  <a:rPr lang="en-US"/>
                  <a:t>Percentage points</a:t>
                </a:r>
              </a:p>
            </c:rich>
          </c:tx>
          <c:layout>
            <c:manualLayout>
              <c:xMode val="edge"/>
              <c:yMode val="edge"/>
              <c:x val="4.55161854768154E-2"/>
              <c:y val="4.404239988193317E-3"/>
            </c:manualLayout>
          </c:layout>
          <c:overlay val="0"/>
        </c:title>
        <c:numFmt formatCode="0.0" sourceLinked="0"/>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234631552"/>
        <c:crosses val="autoZero"/>
        <c:crossBetween val="between"/>
        <c:majorUnit val="0.30000000000000004"/>
      </c:valAx>
      <c:valAx>
        <c:axId val="234639360"/>
        <c:scaling>
          <c:orientation val="minMax"/>
          <c:max val="0.9"/>
          <c:min val="-0.6000000000000002"/>
        </c:scaling>
        <c:delete val="0"/>
        <c:axPos val="r"/>
        <c:title>
          <c:tx>
            <c:rich>
              <a:bodyPr rot="0" vert="horz"/>
              <a:lstStyle/>
              <a:p>
                <a:pPr>
                  <a:defRPr sz="800" b="0" i="0">
                    <a:solidFill>
                      <a:srgbClr val="000000"/>
                    </a:solidFill>
                    <a:latin typeface="Arial"/>
                    <a:ea typeface="Arial"/>
                    <a:cs typeface="Arial"/>
                  </a:defRPr>
                </a:pPr>
                <a:r>
                  <a:rPr lang="en-AU"/>
                  <a:t>Percentage points</a:t>
                </a:r>
              </a:p>
            </c:rich>
          </c:tx>
          <c:layout>
            <c:manualLayout>
              <c:xMode val="edge"/>
              <c:yMode val="edge"/>
              <c:x val="0.79152258443291434"/>
              <c:y val="0"/>
            </c:manualLayout>
          </c:layout>
          <c:overlay val="0"/>
        </c:title>
        <c:numFmt formatCode="0.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234641280"/>
        <c:crosses val="max"/>
        <c:crossBetween val="between"/>
        <c:majorUnit val="0.30000000000000004"/>
        <c:minorUnit val="6.0000000000000012E-2"/>
      </c:valAx>
      <c:catAx>
        <c:axId val="234641280"/>
        <c:scaling>
          <c:orientation val="minMax"/>
        </c:scaling>
        <c:delete val="1"/>
        <c:axPos val="b"/>
        <c:majorTickMark val="out"/>
        <c:minorTickMark val="none"/>
        <c:tickLblPos val="nextTo"/>
        <c:crossAx val="23463936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0.76815</cdr:x>
      <cdr:y>0.05939</cdr:y>
    </cdr:from>
    <cdr:to>
      <cdr:x>0.76871</cdr:x>
      <cdr:y>0.88966</cdr:y>
    </cdr:to>
    <cdr:cxnSp macro="">
      <cdr:nvCxnSpPr>
        <cdr:cNvPr id="2" name="Straight Connector 1"/>
        <cdr:cNvCxnSpPr/>
      </cdr:nvCxnSpPr>
      <cdr:spPr>
        <a:xfrm xmlns:a="http://schemas.openxmlformats.org/drawingml/2006/main" flipH="1">
          <a:off x="4286250" y="171038"/>
          <a:ext cx="3175" cy="2391187"/>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0.77156</cdr:x>
      <cdr:y>0.05939</cdr:y>
    </cdr:from>
    <cdr:to>
      <cdr:x>0.77213</cdr:x>
      <cdr:y>0.93596</cdr:y>
    </cdr:to>
    <cdr:cxnSp macro="">
      <cdr:nvCxnSpPr>
        <cdr:cNvPr id="2" name="Straight Connector 1"/>
        <cdr:cNvCxnSpPr/>
      </cdr:nvCxnSpPr>
      <cdr:spPr>
        <a:xfrm xmlns:a="http://schemas.openxmlformats.org/drawingml/2006/main" flipH="1">
          <a:off x="4305300" y="171037"/>
          <a:ext cx="3180" cy="2524538"/>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0.83415</cdr:x>
      <cdr:y>0.05939</cdr:y>
    </cdr:from>
    <cdr:to>
      <cdr:x>0.83472</cdr:x>
      <cdr:y>0.89297</cdr:y>
    </cdr:to>
    <cdr:cxnSp macro="">
      <cdr:nvCxnSpPr>
        <cdr:cNvPr id="2" name="Straight Connector 1"/>
        <cdr:cNvCxnSpPr/>
      </cdr:nvCxnSpPr>
      <cdr:spPr>
        <a:xfrm xmlns:a="http://schemas.openxmlformats.org/drawingml/2006/main">
          <a:off x="4654550" y="171038"/>
          <a:ext cx="3175" cy="2400712"/>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0.47853</cdr:x>
      <cdr:y>0.89958</cdr:y>
    </cdr:from>
    <cdr:to>
      <cdr:x>0.52291</cdr:x>
      <cdr:y>0.9966</cdr:y>
    </cdr:to>
    <cdr:sp macro="" textlink="">
      <cdr:nvSpPr>
        <cdr:cNvPr id="13" name="TextBox 1"/>
        <cdr:cNvSpPr txBox="1"/>
      </cdr:nvSpPr>
      <cdr:spPr>
        <a:xfrm xmlns:a="http://schemas.openxmlformats.org/drawingml/2006/main">
          <a:off x="2670175" y="25907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0.17468</cdr:x>
      <cdr:y>0.90299</cdr:y>
    </cdr:from>
    <cdr:to>
      <cdr:x>0.21906</cdr:x>
      <cdr:y>1</cdr:y>
    </cdr:to>
    <cdr:sp macro="" textlink="">
      <cdr:nvSpPr>
        <cdr:cNvPr id="14" name="TextBox 1"/>
        <cdr:cNvSpPr txBox="1"/>
      </cdr:nvSpPr>
      <cdr:spPr>
        <a:xfrm xmlns:a="http://schemas.openxmlformats.org/drawingml/2006/main">
          <a:off x="974725"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0.63216</cdr:x>
      <cdr:y>0.90299</cdr:y>
    </cdr:from>
    <cdr:to>
      <cdr:x>0.67654</cdr:x>
      <cdr:y>1</cdr:y>
    </cdr:to>
    <cdr:sp macro="" textlink="">
      <cdr:nvSpPr>
        <cdr:cNvPr id="15" name="TextBox 1"/>
        <cdr:cNvSpPr txBox="1"/>
      </cdr:nvSpPr>
      <cdr:spPr>
        <a:xfrm xmlns:a="http://schemas.openxmlformats.org/drawingml/2006/main">
          <a:off x="3527425"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0.78066</cdr:x>
      <cdr:y>0.90299</cdr:y>
    </cdr:from>
    <cdr:to>
      <cdr:x>0.82504</cdr:x>
      <cdr:y>1</cdr:y>
    </cdr:to>
    <cdr:sp macro="" textlink="">
      <cdr:nvSpPr>
        <cdr:cNvPr id="16" name="TextBox 1"/>
        <cdr:cNvSpPr txBox="1"/>
      </cdr:nvSpPr>
      <cdr:spPr>
        <a:xfrm xmlns:a="http://schemas.openxmlformats.org/drawingml/2006/main">
          <a:off x="4356100"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0.33343</cdr:x>
      <cdr:y>0.90299</cdr:y>
    </cdr:from>
    <cdr:to>
      <cdr:x>0.37781</cdr:x>
      <cdr:y>1</cdr:y>
    </cdr:to>
    <cdr:sp macro="" textlink="">
      <cdr:nvSpPr>
        <cdr:cNvPr id="17" name="TextBox 1"/>
        <cdr:cNvSpPr txBox="1"/>
      </cdr:nvSpPr>
      <cdr:spPr>
        <a:xfrm xmlns:a="http://schemas.openxmlformats.org/drawingml/2006/main">
          <a:off x="1860550"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0.33343</cdr:x>
      <cdr:y>0.06725</cdr:y>
    </cdr:from>
    <cdr:to>
      <cdr:x>0.36757</cdr:x>
      <cdr:y>0.88746</cdr:y>
    </cdr:to>
    <cdr:sp macro="" textlink="">
      <cdr:nvSpPr>
        <cdr:cNvPr id="9" name="Right Brace 8"/>
        <cdr:cNvSpPr/>
      </cdr:nvSpPr>
      <cdr:spPr>
        <a:xfrm xmlns:a="http://schemas.openxmlformats.org/drawingml/2006/main">
          <a:off x="1860550" y="193675"/>
          <a:ext cx="190500" cy="2362199"/>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0.78237</cdr:x>
      <cdr:y>0.07056</cdr:y>
    </cdr:from>
    <cdr:to>
      <cdr:x>0.81651</cdr:x>
      <cdr:y>0.89076</cdr:y>
    </cdr:to>
    <cdr:sp macro="" textlink="">
      <cdr:nvSpPr>
        <cdr:cNvPr id="10" name="Right Brace 9"/>
        <cdr:cNvSpPr/>
      </cdr:nvSpPr>
      <cdr:spPr>
        <a:xfrm xmlns:a="http://schemas.openxmlformats.org/drawingml/2006/main">
          <a:off x="4365625" y="203200"/>
          <a:ext cx="190500" cy="2362199"/>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0.75961</cdr:x>
      <cdr:y>0.05939</cdr:y>
    </cdr:from>
    <cdr:to>
      <cdr:x>0.75961</cdr:x>
      <cdr:y>0.93266</cdr:y>
    </cdr:to>
    <cdr:cxnSp macro="">
      <cdr:nvCxnSpPr>
        <cdr:cNvPr id="2" name="Straight Connector 1"/>
        <cdr:cNvCxnSpPr/>
      </cdr:nvCxnSpPr>
      <cdr:spPr>
        <a:xfrm xmlns:a="http://schemas.openxmlformats.org/drawingml/2006/main">
          <a:off x="4238625" y="171037"/>
          <a:ext cx="0" cy="2515013"/>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0.83415</cdr:x>
      <cdr:y>0.05939</cdr:y>
    </cdr:from>
    <cdr:to>
      <cdr:x>0.83472</cdr:x>
      <cdr:y>0.89297</cdr:y>
    </cdr:to>
    <cdr:cxnSp macro="">
      <cdr:nvCxnSpPr>
        <cdr:cNvPr id="2" name="Straight Connector 1"/>
        <cdr:cNvCxnSpPr/>
      </cdr:nvCxnSpPr>
      <cdr:spPr>
        <a:xfrm xmlns:a="http://schemas.openxmlformats.org/drawingml/2006/main">
          <a:off x="4654550" y="171038"/>
          <a:ext cx="3175" cy="2400712"/>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0.47853</cdr:x>
      <cdr:y>0.89958</cdr:y>
    </cdr:from>
    <cdr:to>
      <cdr:x>0.52291</cdr:x>
      <cdr:y>0.9966</cdr:y>
    </cdr:to>
    <cdr:sp macro="" textlink="">
      <cdr:nvSpPr>
        <cdr:cNvPr id="13" name="TextBox 1"/>
        <cdr:cNvSpPr txBox="1"/>
      </cdr:nvSpPr>
      <cdr:spPr>
        <a:xfrm xmlns:a="http://schemas.openxmlformats.org/drawingml/2006/main">
          <a:off x="2670175" y="25907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0.17468</cdr:x>
      <cdr:y>0.90299</cdr:y>
    </cdr:from>
    <cdr:to>
      <cdr:x>0.21906</cdr:x>
      <cdr:y>1</cdr:y>
    </cdr:to>
    <cdr:sp macro="" textlink="">
      <cdr:nvSpPr>
        <cdr:cNvPr id="14" name="TextBox 1"/>
        <cdr:cNvSpPr txBox="1"/>
      </cdr:nvSpPr>
      <cdr:spPr>
        <a:xfrm xmlns:a="http://schemas.openxmlformats.org/drawingml/2006/main">
          <a:off x="974725"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0.63216</cdr:x>
      <cdr:y>0.90299</cdr:y>
    </cdr:from>
    <cdr:to>
      <cdr:x>0.67654</cdr:x>
      <cdr:y>1</cdr:y>
    </cdr:to>
    <cdr:sp macro="" textlink="">
      <cdr:nvSpPr>
        <cdr:cNvPr id="15" name="TextBox 1"/>
        <cdr:cNvSpPr txBox="1"/>
      </cdr:nvSpPr>
      <cdr:spPr>
        <a:xfrm xmlns:a="http://schemas.openxmlformats.org/drawingml/2006/main">
          <a:off x="3527425"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0.78066</cdr:x>
      <cdr:y>0.90299</cdr:y>
    </cdr:from>
    <cdr:to>
      <cdr:x>0.82504</cdr:x>
      <cdr:y>1</cdr:y>
    </cdr:to>
    <cdr:sp macro="" textlink="">
      <cdr:nvSpPr>
        <cdr:cNvPr id="16" name="TextBox 1"/>
        <cdr:cNvSpPr txBox="1"/>
      </cdr:nvSpPr>
      <cdr:spPr>
        <a:xfrm xmlns:a="http://schemas.openxmlformats.org/drawingml/2006/main">
          <a:off x="4356100"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0.33343</cdr:x>
      <cdr:y>0.90299</cdr:y>
    </cdr:from>
    <cdr:to>
      <cdr:x>0.37781</cdr:x>
      <cdr:y>1</cdr:y>
    </cdr:to>
    <cdr:sp macro="" textlink="">
      <cdr:nvSpPr>
        <cdr:cNvPr id="17" name="TextBox 1"/>
        <cdr:cNvSpPr txBox="1"/>
      </cdr:nvSpPr>
      <cdr:spPr>
        <a:xfrm xmlns:a="http://schemas.openxmlformats.org/drawingml/2006/main">
          <a:off x="1860550"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0.33286</cdr:x>
      <cdr:y>0.06615</cdr:y>
    </cdr:from>
    <cdr:to>
      <cdr:x>0.367</cdr:x>
      <cdr:y>0.88635</cdr:y>
    </cdr:to>
    <cdr:sp macro="" textlink="">
      <cdr:nvSpPr>
        <cdr:cNvPr id="18" name="Right Brace 17"/>
        <cdr:cNvSpPr/>
      </cdr:nvSpPr>
      <cdr:spPr>
        <a:xfrm xmlns:a="http://schemas.openxmlformats.org/drawingml/2006/main">
          <a:off x="1857376" y="190500"/>
          <a:ext cx="190500" cy="2362199"/>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0.78237</cdr:x>
      <cdr:y>0.08378</cdr:y>
    </cdr:from>
    <cdr:to>
      <cdr:x>0.81651</cdr:x>
      <cdr:y>0.90399</cdr:y>
    </cdr:to>
    <cdr:sp macro="" textlink="">
      <cdr:nvSpPr>
        <cdr:cNvPr id="19" name="Right Brace 18"/>
        <cdr:cNvSpPr/>
      </cdr:nvSpPr>
      <cdr:spPr>
        <a:xfrm xmlns:a="http://schemas.openxmlformats.org/drawingml/2006/main">
          <a:off x="4365625" y="241300"/>
          <a:ext cx="190500" cy="2362199"/>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0.76984</cdr:x>
      <cdr:y>0.05939</cdr:y>
    </cdr:from>
    <cdr:to>
      <cdr:x>0.76985</cdr:x>
      <cdr:y>0.88966</cdr:y>
    </cdr:to>
    <cdr:cxnSp macro="">
      <cdr:nvCxnSpPr>
        <cdr:cNvPr id="2" name="Straight Connector 1"/>
        <cdr:cNvCxnSpPr/>
      </cdr:nvCxnSpPr>
      <cdr:spPr>
        <a:xfrm xmlns:a="http://schemas.openxmlformats.org/drawingml/2006/main">
          <a:off x="4295726" y="171038"/>
          <a:ext cx="49" cy="2391187"/>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0.77156</cdr:x>
      <cdr:y>0.05939</cdr:y>
    </cdr:from>
    <cdr:to>
      <cdr:x>0.77213</cdr:x>
      <cdr:y>0.93596</cdr:y>
    </cdr:to>
    <cdr:cxnSp macro="">
      <cdr:nvCxnSpPr>
        <cdr:cNvPr id="2" name="Straight Connector 1"/>
        <cdr:cNvCxnSpPr/>
      </cdr:nvCxnSpPr>
      <cdr:spPr>
        <a:xfrm xmlns:a="http://schemas.openxmlformats.org/drawingml/2006/main" flipH="1">
          <a:off x="4305300" y="171037"/>
          <a:ext cx="3175" cy="2524538"/>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0.83415</cdr:x>
      <cdr:y>0.05939</cdr:y>
    </cdr:from>
    <cdr:to>
      <cdr:x>0.83472</cdr:x>
      <cdr:y>0.89297</cdr:y>
    </cdr:to>
    <cdr:cxnSp macro="">
      <cdr:nvCxnSpPr>
        <cdr:cNvPr id="2" name="Straight Connector 1"/>
        <cdr:cNvCxnSpPr/>
      </cdr:nvCxnSpPr>
      <cdr:spPr>
        <a:xfrm xmlns:a="http://schemas.openxmlformats.org/drawingml/2006/main">
          <a:off x="4654550" y="171038"/>
          <a:ext cx="3175" cy="2400712"/>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0.47853</cdr:x>
      <cdr:y>0.89958</cdr:y>
    </cdr:from>
    <cdr:to>
      <cdr:x>0.52291</cdr:x>
      <cdr:y>0.9966</cdr:y>
    </cdr:to>
    <cdr:sp macro="" textlink="">
      <cdr:nvSpPr>
        <cdr:cNvPr id="13" name="TextBox 1"/>
        <cdr:cNvSpPr txBox="1"/>
      </cdr:nvSpPr>
      <cdr:spPr>
        <a:xfrm xmlns:a="http://schemas.openxmlformats.org/drawingml/2006/main">
          <a:off x="2670175" y="25907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0.17468</cdr:x>
      <cdr:y>0.90299</cdr:y>
    </cdr:from>
    <cdr:to>
      <cdr:x>0.21906</cdr:x>
      <cdr:y>1</cdr:y>
    </cdr:to>
    <cdr:sp macro="" textlink="">
      <cdr:nvSpPr>
        <cdr:cNvPr id="14" name="TextBox 1"/>
        <cdr:cNvSpPr txBox="1"/>
      </cdr:nvSpPr>
      <cdr:spPr>
        <a:xfrm xmlns:a="http://schemas.openxmlformats.org/drawingml/2006/main">
          <a:off x="974725"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0.63216</cdr:x>
      <cdr:y>0.90299</cdr:y>
    </cdr:from>
    <cdr:to>
      <cdr:x>0.67654</cdr:x>
      <cdr:y>1</cdr:y>
    </cdr:to>
    <cdr:sp macro="" textlink="">
      <cdr:nvSpPr>
        <cdr:cNvPr id="15" name="TextBox 1"/>
        <cdr:cNvSpPr txBox="1"/>
      </cdr:nvSpPr>
      <cdr:spPr>
        <a:xfrm xmlns:a="http://schemas.openxmlformats.org/drawingml/2006/main">
          <a:off x="3527425"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0.78066</cdr:x>
      <cdr:y>0.90299</cdr:y>
    </cdr:from>
    <cdr:to>
      <cdr:x>0.82504</cdr:x>
      <cdr:y>1</cdr:y>
    </cdr:to>
    <cdr:sp macro="" textlink="">
      <cdr:nvSpPr>
        <cdr:cNvPr id="16" name="TextBox 1"/>
        <cdr:cNvSpPr txBox="1"/>
      </cdr:nvSpPr>
      <cdr:spPr>
        <a:xfrm xmlns:a="http://schemas.openxmlformats.org/drawingml/2006/main">
          <a:off x="4356100"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0.33343</cdr:x>
      <cdr:y>0.90299</cdr:y>
    </cdr:from>
    <cdr:to>
      <cdr:x>0.37781</cdr:x>
      <cdr:y>1</cdr:y>
    </cdr:to>
    <cdr:sp macro="" textlink="">
      <cdr:nvSpPr>
        <cdr:cNvPr id="17" name="TextBox 1"/>
        <cdr:cNvSpPr txBox="1"/>
      </cdr:nvSpPr>
      <cdr:spPr>
        <a:xfrm xmlns:a="http://schemas.openxmlformats.org/drawingml/2006/main">
          <a:off x="1860550" y="2600599"/>
          <a:ext cx="247650" cy="2794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0.33343</cdr:x>
      <cdr:y>0.07386</cdr:y>
    </cdr:from>
    <cdr:to>
      <cdr:x>0.36757</cdr:x>
      <cdr:y>0.89407</cdr:y>
    </cdr:to>
    <cdr:sp macro="" textlink="">
      <cdr:nvSpPr>
        <cdr:cNvPr id="9" name="Right Brace 8"/>
        <cdr:cNvSpPr/>
      </cdr:nvSpPr>
      <cdr:spPr>
        <a:xfrm xmlns:a="http://schemas.openxmlformats.org/drawingml/2006/main">
          <a:off x="1860550" y="212725"/>
          <a:ext cx="190500" cy="2362199"/>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0.78237</cdr:x>
      <cdr:y>0.07717</cdr:y>
    </cdr:from>
    <cdr:to>
      <cdr:x>0.81651</cdr:x>
      <cdr:y>0.89738</cdr:y>
    </cdr:to>
    <cdr:sp macro="" textlink="">
      <cdr:nvSpPr>
        <cdr:cNvPr id="10" name="Right Brace 9"/>
        <cdr:cNvSpPr/>
      </cdr:nvSpPr>
      <cdr:spPr>
        <a:xfrm xmlns:a="http://schemas.openxmlformats.org/drawingml/2006/main">
          <a:off x="4365625" y="222250"/>
          <a:ext cx="190500" cy="2362199"/>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0.76984</cdr:x>
      <cdr:y>0.05939</cdr:y>
    </cdr:from>
    <cdr:to>
      <cdr:x>0.76985</cdr:x>
      <cdr:y>0.88966</cdr:y>
    </cdr:to>
    <cdr:cxnSp macro="">
      <cdr:nvCxnSpPr>
        <cdr:cNvPr id="2" name="Straight Connector 1"/>
        <cdr:cNvCxnSpPr/>
      </cdr:nvCxnSpPr>
      <cdr:spPr>
        <a:xfrm xmlns:a="http://schemas.openxmlformats.org/drawingml/2006/main">
          <a:off x="4295708" y="171043"/>
          <a:ext cx="67" cy="2391182"/>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Budget Blue">
  <a:themeElements>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reasury">
    <a:dk1>
      <a:sysClr val="windowText" lastClr="000000"/>
    </a:dk1>
    <a:lt1>
      <a:sysClr val="window" lastClr="FFFFFF"/>
    </a:lt1>
    <a:dk2>
      <a:srgbClr val="1F497D"/>
    </a:dk2>
    <a:lt2>
      <a:srgbClr val="EEECE1"/>
    </a:lt2>
    <a:accent1>
      <a:srgbClr val="0000FF"/>
    </a:accent1>
    <a:accent2>
      <a:srgbClr val="FF0000"/>
    </a:accent2>
    <a:accent3>
      <a:srgbClr val="A5A5A5"/>
    </a:accent3>
    <a:accent4>
      <a:srgbClr val="00B050"/>
    </a:accent4>
    <a:accent5>
      <a:srgbClr val="E36C09"/>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BD938-C64E-46D7-8B1B-901F107BC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13567</Words>
  <Characters>77337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Analysis of the long term effects of a company tax cut</vt:lpstr>
    </vt:vector>
  </TitlesOfParts>
  <Company/>
  <LinksUpToDate>false</LinksUpToDate>
  <CharactersWithSpaces>90723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the long term effects of a company tax cut</dc:title>
  <dc:subject/>
  <dc:creator/>
  <cp:keywords/>
  <cp:lastModifiedBy/>
  <cp:revision>1</cp:revision>
  <dcterms:created xsi:type="dcterms:W3CDTF">2016-05-03T07:22:00Z</dcterms:created>
  <dcterms:modified xsi:type="dcterms:W3CDTF">2016-05-03T07:22:00Z</dcterms:modified>
</cp:coreProperties>
</file>