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4853"/>
        <w:gridCol w:w="4753"/>
      </w:tblGrid>
      <w:tr w:rsidR="00B8291E" w:rsidRPr="0087045A" w14:paraId="77E3112F" w14:textId="77777777" w:rsidTr="00877A88">
        <w:tc>
          <w:tcPr>
            <w:tcW w:w="4853" w:type="dxa"/>
            <w:shd w:val="clear" w:color="auto" w:fill="auto"/>
          </w:tcPr>
          <w:p w14:paraId="476C82EC" w14:textId="77777777" w:rsidR="00877A88" w:rsidRPr="0087045A" w:rsidRDefault="00DF0124" w:rsidP="00877A88">
            <w:pPr>
              <w:framePr w:wrap="around" w:vAnchor="page" w:hAnchor="page" w:x="1367" w:y="721"/>
              <w:rPr>
                <w:sz w:val="20"/>
              </w:rPr>
            </w:pPr>
            <w:bookmarkStart w:id="0" w:name="_GoBack"/>
            <w:bookmarkEnd w:id="0"/>
            <w:r w:rsidRPr="0087045A">
              <w:rPr>
                <w:sz w:val="20"/>
              </w:rPr>
              <w:br/>
            </w:r>
            <w:r w:rsidRPr="0087045A">
              <w:rPr>
                <w:noProof/>
                <w:sz w:val="20"/>
              </w:rPr>
              <w:drawing>
                <wp:inline distT="0" distB="0" distL="0" distR="0" wp14:anchorId="3C303752" wp14:editId="20C72872">
                  <wp:extent cx="2019300" cy="2286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20415" r="25201" b="33391"/>
                          <a:stretch>
                            <a:fillRect/>
                          </a:stretch>
                        </pic:blipFill>
                        <pic:spPr bwMode="auto">
                          <a:xfrm>
                            <a:off x="0" y="0"/>
                            <a:ext cx="2019300" cy="228600"/>
                          </a:xfrm>
                          <a:prstGeom prst="rect">
                            <a:avLst/>
                          </a:prstGeom>
                          <a:noFill/>
                          <a:ln w="9525">
                            <a:noFill/>
                            <a:miter lim="800000"/>
                            <a:headEnd/>
                            <a:tailEnd/>
                          </a:ln>
                        </pic:spPr>
                      </pic:pic>
                    </a:graphicData>
                  </a:graphic>
                </wp:inline>
              </w:drawing>
            </w:r>
          </w:p>
          <w:p w14:paraId="28E768E2" w14:textId="77777777" w:rsidR="00877A88" w:rsidRPr="0087045A" w:rsidRDefault="00DF0124" w:rsidP="00877A88">
            <w:pPr>
              <w:framePr w:wrap="around" w:vAnchor="page" w:hAnchor="page" w:x="1367" w:y="721"/>
              <w:ind w:left="57"/>
              <w:rPr>
                <w:sz w:val="16"/>
              </w:rPr>
            </w:pPr>
            <w:r w:rsidRPr="0087045A">
              <w:rPr>
                <w:sz w:val="16"/>
              </w:rPr>
              <w:t>Commonwealth Bank of Australia</w:t>
            </w:r>
            <w:r w:rsidRPr="0087045A">
              <w:rPr>
                <w:sz w:val="16"/>
              </w:rPr>
              <w:br/>
              <w:t>ABN 48 123 123 124</w:t>
            </w:r>
          </w:p>
        </w:tc>
        <w:tc>
          <w:tcPr>
            <w:tcW w:w="4753" w:type="dxa"/>
            <w:shd w:val="clear" w:color="auto" w:fill="auto"/>
          </w:tcPr>
          <w:p w14:paraId="50AF808A" w14:textId="77777777" w:rsidR="00877A88" w:rsidRPr="0087045A" w:rsidRDefault="00DF0124" w:rsidP="00877A88">
            <w:pPr>
              <w:framePr w:wrap="around" w:vAnchor="page" w:hAnchor="page" w:x="1367" w:y="721"/>
              <w:jc w:val="right"/>
              <w:rPr>
                <w:sz w:val="20"/>
              </w:rPr>
            </w:pPr>
            <w:r w:rsidRPr="0087045A">
              <w:rPr>
                <w:noProof/>
              </w:rPr>
              <w:drawing>
                <wp:inline distT="0" distB="0" distL="0" distR="0" wp14:anchorId="13676739" wp14:editId="00EFA5F7">
                  <wp:extent cx="687836" cy="723568"/>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3983" r="25163" b="19005"/>
                          <a:stretch>
                            <a:fillRect/>
                          </a:stretch>
                        </pic:blipFill>
                        <pic:spPr bwMode="auto">
                          <a:xfrm>
                            <a:off x="0" y="0"/>
                            <a:ext cx="690164" cy="726016"/>
                          </a:xfrm>
                          <a:prstGeom prst="rect">
                            <a:avLst/>
                          </a:prstGeom>
                          <a:noFill/>
                          <a:ln w="9525">
                            <a:noFill/>
                            <a:miter lim="800000"/>
                            <a:headEnd/>
                            <a:tailEnd/>
                          </a:ln>
                        </pic:spPr>
                      </pic:pic>
                    </a:graphicData>
                  </a:graphic>
                </wp:inline>
              </w:drawing>
            </w:r>
          </w:p>
        </w:tc>
      </w:tr>
    </w:tbl>
    <w:p w14:paraId="5D173D38" w14:textId="77777777" w:rsidR="00853128" w:rsidRPr="0087045A" w:rsidRDefault="00853128" w:rsidP="003A4ADC">
      <w:pPr>
        <w:spacing w:before="480" w:after="160"/>
        <w:jc w:val="center"/>
        <w:rPr>
          <w:b/>
          <w:sz w:val="28"/>
          <w:szCs w:val="28"/>
        </w:rPr>
      </w:pPr>
    </w:p>
    <w:p w14:paraId="5F948501" w14:textId="77777777" w:rsidR="00853128" w:rsidRPr="0087045A" w:rsidRDefault="005E0731" w:rsidP="003A4ADC">
      <w:pPr>
        <w:spacing w:before="480" w:after="160"/>
        <w:jc w:val="center"/>
        <w:rPr>
          <w:b/>
          <w:sz w:val="28"/>
          <w:szCs w:val="28"/>
        </w:rPr>
      </w:pPr>
      <w:r>
        <w:rPr>
          <w:b/>
          <w:sz w:val="28"/>
          <w:szCs w:val="28"/>
        </w:rPr>
        <w:br/>
      </w:r>
    </w:p>
    <w:p w14:paraId="5FBF5446" w14:textId="77777777" w:rsidR="00E65220" w:rsidRPr="005E0731" w:rsidRDefault="00E65220" w:rsidP="00E65220">
      <w:pPr>
        <w:spacing w:before="480" w:after="160"/>
        <w:jc w:val="center"/>
        <w:rPr>
          <w:b/>
          <w:sz w:val="60"/>
          <w:szCs w:val="60"/>
        </w:rPr>
      </w:pPr>
      <w:r w:rsidRPr="005E0731">
        <w:rPr>
          <w:b/>
          <w:sz w:val="60"/>
          <w:szCs w:val="60"/>
        </w:rPr>
        <w:t>Review into Open Banking</w:t>
      </w:r>
    </w:p>
    <w:p w14:paraId="4A10E443" w14:textId="77777777" w:rsidR="00E65220" w:rsidRPr="005E0731" w:rsidRDefault="00E65220" w:rsidP="00E65220">
      <w:pPr>
        <w:spacing w:before="120" w:after="480"/>
        <w:jc w:val="center"/>
        <w:rPr>
          <w:b/>
          <w:sz w:val="40"/>
          <w:szCs w:val="40"/>
        </w:rPr>
      </w:pPr>
      <w:r w:rsidRPr="005E0731">
        <w:rPr>
          <w:b/>
          <w:sz w:val="40"/>
          <w:szCs w:val="40"/>
        </w:rPr>
        <w:br/>
        <w:t>Commonwealth Bank of Australia Submission to Treasury’s Review</w:t>
      </w:r>
    </w:p>
    <w:p w14:paraId="0511A839" w14:textId="77777777" w:rsidR="00E65220" w:rsidRPr="005E0731" w:rsidRDefault="00E65220" w:rsidP="00E65220">
      <w:pPr>
        <w:spacing w:before="120" w:after="480"/>
        <w:jc w:val="center"/>
        <w:rPr>
          <w:b/>
          <w:sz w:val="40"/>
          <w:szCs w:val="40"/>
        </w:rPr>
      </w:pPr>
    </w:p>
    <w:p w14:paraId="116F49EF" w14:textId="77777777" w:rsidR="00853128" w:rsidRPr="0087045A" w:rsidRDefault="00E65220" w:rsidP="00E65220">
      <w:pPr>
        <w:spacing w:before="120" w:after="480"/>
        <w:jc w:val="center"/>
        <w:rPr>
          <w:b/>
          <w:sz w:val="32"/>
          <w:szCs w:val="32"/>
        </w:rPr>
        <w:sectPr w:rsidR="00853128" w:rsidRPr="0087045A" w:rsidSect="00877A88">
          <w:footerReference w:type="default" r:id="rId16"/>
          <w:pgSz w:w="11906" w:h="16838"/>
          <w:pgMar w:top="1440" w:right="1440" w:bottom="1440" w:left="1440" w:header="708" w:footer="708" w:gutter="0"/>
          <w:cols w:space="708"/>
          <w:docGrid w:linePitch="360"/>
        </w:sectPr>
      </w:pPr>
      <w:r w:rsidRPr="0087045A">
        <w:rPr>
          <w:b/>
          <w:sz w:val="32"/>
          <w:szCs w:val="32"/>
        </w:rPr>
        <w:t>22 September 2017</w:t>
      </w:r>
    </w:p>
    <w:p w14:paraId="75740447" w14:textId="77777777" w:rsidR="00E65220" w:rsidRPr="0087045A" w:rsidRDefault="00E65220" w:rsidP="003A4ADC">
      <w:pPr>
        <w:spacing w:before="480" w:after="160"/>
        <w:jc w:val="center"/>
        <w:rPr>
          <w:b/>
          <w:sz w:val="28"/>
          <w:szCs w:val="28"/>
        </w:rPr>
      </w:pPr>
    </w:p>
    <w:sdt>
      <w:sdtPr>
        <w:rPr>
          <w:b w:val="0"/>
          <w:sz w:val="32"/>
          <w:szCs w:val="32"/>
          <w:lang w:val="en-AU" w:eastAsia="en-AU"/>
        </w:rPr>
        <w:id w:val="582960886"/>
        <w:docPartObj>
          <w:docPartGallery w:val="Table of Contents"/>
          <w:docPartUnique/>
        </w:docPartObj>
      </w:sdtPr>
      <w:sdtEndPr>
        <w:rPr>
          <w:bCs/>
          <w:noProof/>
          <w:sz w:val="22"/>
          <w:szCs w:val="22"/>
        </w:rPr>
      </w:sdtEndPr>
      <w:sdtContent>
        <w:p w14:paraId="7ED5094E" w14:textId="77777777" w:rsidR="0087045A" w:rsidRPr="00261936" w:rsidRDefault="0087045A">
          <w:pPr>
            <w:pStyle w:val="TOCHeading"/>
            <w:rPr>
              <w:sz w:val="32"/>
              <w:szCs w:val="32"/>
            </w:rPr>
          </w:pPr>
          <w:r w:rsidRPr="00261936">
            <w:rPr>
              <w:sz w:val="32"/>
              <w:szCs w:val="32"/>
            </w:rPr>
            <w:t>Contents</w:t>
          </w:r>
        </w:p>
        <w:p w14:paraId="4DD2FCBB" w14:textId="77777777" w:rsidR="00EE597F" w:rsidRDefault="0087045A">
          <w:pPr>
            <w:pStyle w:val="TOC1"/>
            <w:rPr>
              <w:b w:val="0"/>
            </w:rPr>
          </w:pPr>
          <w:r>
            <w:fldChar w:fldCharType="begin"/>
          </w:r>
          <w:r>
            <w:instrText xml:space="preserve"> TOC \o "1-3" \h \z \u </w:instrText>
          </w:r>
          <w:r>
            <w:fldChar w:fldCharType="separate"/>
          </w:r>
          <w:hyperlink w:anchor="_Toc493861268" w:history="1">
            <w:r w:rsidR="00EE597F" w:rsidRPr="008129FC">
              <w:rPr>
                <w:rStyle w:val="Hyperlink"/>
              </w:rPr>
              <w:t>Executive summary</w:t>
            </w:r>
            <w:r w:rsidR="00EE597F">
              <w:rPr>
                <w:webHidden/>
              </w:rPr>
              <w:tab/>
            </w:r>
            <w:r w:rsidR="00EE597F">
              <w:rPr>
                <w:webHidden/>
              </w:rPr>
              <w:fldChar w:fldCharType="begin"/>
            </w:r>
            <w:r w:rsidR="00EE597F">
              <w:rPr>
                <w:webHidden/>
              </w:rPr>
              <w:instrText xml:space="preserve"> PAGEREF _Toc493861268 \h </w:instrText>
            </w:r>
            <w:r w:rsidR="00EE597F">
              <w:rPr>
                <w:webHidden/>
              </w:rPr>
            </w:r>
            <w:r w:rsidR="00EE597F">
              <w:rPr>
                <w:webHidden/>
              </w:rPr>
              <w:fldChar w:fldCharType="separate"/>
            </w:r>
            <w:r w:rsidR="00EE597F">
              <w:rPr>
                <w:webHidden/>
              </w:rPr>
              <w:t>1</w:t>
            </w:r>
            <w:r w:rsidR="00EE597F">
              <w:rPr>
                <w:webHidden/>
              </w:rPr>
              <w:fldChar w:fldCharType="end"/>
            </w:r>
          </w:hyperlink>
        </w:p>
        <w:p w14:paraId="32367477" w14:textId="77777777" w:rsidR="00EE597F" w:rsidRDefault="0009648B">
          <w:pPr>
            <w:pStyle w:val="TOC1"/>
            <w:rPr>
              <w:b w:val="0"/>
            </w:rPr>
          </w:pPr>
          <w:hyperlink w:anchor="_Toc493861269" w:history="1">
            <w:r w:rsidR="00EE597F" w:rsidRPr="008129FC">
              <w:rPr>
                <w:rStyle w:val="Hyperlink"/>
              </w:rPr>
              <w:t>Proposals</w:t>
            </w:r>
            <w:r w:rsidR="00EE597F">
              <w:rPr>
                <w:webHidden/>
              </w:rPr>
              <w:tab/>
            </w:r>
            <w:r w:rsidR="00EE597F">
              <w:rPr>
                <w:webHidden/>
              </w:rPr>
              <w:fldChar w:fldCharType="begin"/>
            </w:r>
            <w:r w:rsidR="00EE597F">
              <w:rPr>
                <w:webHidden/>
              </w:rPr>
              <w:instrText xml:space="preserve"> PAGEREF _Toc493861269 \h </w:instrText>
            </w:r>
            <w:r w:rsidR="00EE597F">
              <w:rPr>
                <w:webHidden/>
              </w:rPr>
            </w:r>
            <w:r w:rsidR="00EE597F">
              <w:rPr>
                <w:webHidden/>
              </w:rPr>
              <w:fldChar w:fldCharType="separate"/>
            </w:r>
            <w:r w:rsidR="00EE597F">
              <w:rPr>
                <w:webHidden/>
              </w:rPr>
              <w:t>1</w:t>
            </w:r>
            <w:r w:rsidR="00EE597F">
              <w:rPr>
                <w:webHidden/>
              </w:rPr>
              <w:fldChar w:fldCharType="end"/>
            </w:r>
          </w:hyperlink>
        </w:p>
        <w:p w14:paraId="6E1ECD99" w14:textId="77777777" w:rsidR="00EE597F" w:rsidRDefault="0009648B">
          <w:pPr>
            <w:pStyle w:val="TOC3"/>
            <w:tabs>
              <w:tab w:val="right" w:leader="dot" w:pos="9016"/>
            </w:tabs>
            <w:rPr>
              <w:noProof/>
            </w:rPr>
          </w:pPr>
          <w:hyperlink w:anchor="_Toc493861270" w:history="1">
            <w:r w:rsidR="00EE597F" w:rsidRPr="008129FC">
              <w:rPr>
                <w:rStyle w:val="Hyperlink"/>
                <w:noProof/>
              </w:rPr>
              <w:t>Figure 1 The benefits of Open Banking</w:t>
            </w:r>
            <w:r w:rsidR="00EE597F">
              <w:rPr>
                <w:noProof/>
                <w:webHidden/>
              </w:rPr>
              <w:tab/>
            </w:r>
            <w:r w:rsidR="00EE597F">
              <w:rPr>
                <w:noProof/>
                <w:webHidden/>
              </w:rPr>
              <w:fldChar w:fldCharType="begin"/>
            </w:r>
            <w:r w:rsidR="00EE597F">
              <w:rPr>
                <w:noProof/>
                <w:webHidden/>
              </w:rPr>
              <w:instrText xml:space="preserve"> PAGEREF _Toc493861270 \h </w:instrText>
            </w:r>
            <w:r w:rsidR="00EE597F">
              <w:rPr>
                <w:noProof/>
                <w:webHidden/>
              </w:rPr>
            </w:r>
            <w:r w:rsidR="00EE597F">
              <w:rPr>
                <w:noProof/>
                <w:webHidden/>
              </w:rPr>
              <w:fldChar w:fldCharType="separate"/>
            </w:r>
            <w:r w:rsidR="00EE597F">
              <w:rPr>
                <w:noProof/>
                <w:webHidden/>
              </w:rPr>
              <w:t>2</w:t>
            </w:r>
            <w:r w:rsidR="00EE597F">
              <w:rPr>
                <w:noProof/>
                <w:webHidden/>
              </w:rPr>
              <w:fldChar w:fldCharType="end"/>
            </w:r>
          </w:hyperlink>
        </w:p>
        <w:p w14:paraId="2EC254A7" w14:textId="77777777" w:rsidR="00EE597F" w:rsidRDefault="0009648B">
          <w:pPr>
            <w:pStyle w:val="TOC1"/>
            <w:rPr>
              <w:b w:val="0"/>
            </w:rPr>
          </w:pPr>
          <w:hyperlink w:anchor="_Toc493861271" w:history="1">
            <w:r w:rsidR="00EE597F" w:rsidRPr="008129FC">
              <w:rPr>
                <w:rStyle w:val="Hyperlink"/>
              </w:rPr>
              <w:t>Section I</w:t>
            </w:r>
            <w:r w:rsidR="00EE597F">
              <w:rPr>
                <w:webHidden/>
              </w:rPr>
              <w:tab/>
            </w:r>
            <w:r w:rsidR="00EE597F">
              <w:rPr>
                <w:webHidden/>
              </w:rPr>
              <w:fldChar w:fldCharType="begin"/>
            </w:r>
            <w:r w:rsidR="00EE597F">
              <w:rPr>
                <w:webHidden/>
              </w:rPr>
              <w:instrText xml:space="preserve"> PAGEREF _Toc493861271 \h </w:instrText>
            </w:r>
            <w:r w:rsidR="00EE597F">
              <w:rPr>
                <w:webHidden/>
              </w:rPr>
            </w:r>
            <w:r w:rsidR="00EE597F">
              <w:rPr>
                <w:webHidden/>
              </w:rPr>
              <w:fldChar w:fldCharType="separate"/>
            </w:r>
            <w:r w:rsidR="00EE597F">
              <w:rPr>
                <w:webHidden/>
              </w:rPr>
              <w:t>3</w:t>
            </w:r>
            <w:r w:rsidR="00EE597F">
              <w:rPr>
                <w:webHidden/>
              </w:rPr>
              <w:fldChar w:fldCharType="end"/>
            </w:r>
          </w:hyperlink>
        </w:p>
        <w:p w14:paraId="70365E0F" w14:textId="77777777" w:rsidR="00EE597F" w:rsidRDefault="0009648B">
          <w:pPr>
            <w:pStyle w:val="TOC3"/>
            <w:tabs>
              <w:tab w:val="right" w:leader="dot" w:pos="9016"/>
            </w:tabs>
            <w:rPr>
              <w:noProof/>
            </w:rPr>
          </w:pPr>
          <w:hyperlink w:anchor="_Toc493861272" w:history="1">
            <w:r w:rsidR="00EE597F" w:rsidRPr="008129FC">
              <w:rPr>
                <w:rStyle w:val="Hyperlink"/>
                <w:noProof/>
              </w:rPr>
              <w:t>Figure 2 The model proposed by the ABA</w:t>
            </w:r>
            <w:r w:rsidR="00EE597F">
              <w:rPr>
                <w:noProof/>
                <w:webHidden/>
              </w:rPr>
              <w:tab/>
            </w:r>
            <w:r w:rsidR="00EE597F">
              <w:rPr>
                <w:noProof/>
                <w:webHidden/>
              </w:rPr>
              <w:fldChar w:fldCharType="begin"/>
            </w:r>
            <w:r w:rsidR="00EE597F">
              <w:rPr>
                <w:noProof/>
                <w:webHidden/>
              </w:rPr>
              <w:instrText xml:space="preserve"> PAGEREF _Toc493861272 \h </w:instrText>
            </w:r>
            <w:r w:rsidR="00EE597F">
              <w:rPr>
                <w:noProof/>
                <w:webHidden/>
              </w:rPr>
            </w:r>
            <w:r w:rsidR="00EE597F">
              <w:rPr>
                <w:noProof/>
                <w:webHidden/>
              </w:rPr>
              <w:fldChar w:fldCharType="separate"/>
            </w:r>
            <w:r w:rsidR="00EE597F">
              <w:rPr>
                <w:noProof/>
                <w:webHidden/>
              </w:rPr>
              <w:t>4</w:t>
            </w:r>
            <w:r w:rsidR="00EE597F">
              <w:rPr>
                <w:noProof/>
                <w:webHidden/>
              </w:rPr>
              <w:fldChar w:fldCharType="end"/>
            </w:r>
          </w:hyperlink>
        </w:p>
        <w:p w14:paraId="70C36C05" w14:textId="77777777" w:rsidR="00EE597F" w:rsidRDefault="0009648B">
          <w:pPr>
            <w:pStyle w:val="TOC3"/>
            <w:tabs>
              <w:tab w:val="right" w:leader="dot" w:pos="9016"/>
            </w:tabs>
            <w:rPr>
              <w:noProof/>
            </w:rPr>
          </w:pPr>
          <w:hyperlink w:anchor="_Toc493861273" w:history="1">
            <w:r w:rsidR="00EE597F" w:rsidRPr="008129FC">
              <w:rPr>
                <w:rStyle w:val="Hyperlink"/>
                <w:noProof/>
              </w:rPr>
              <w:t>Figure 3 Uplifting standards across the banking industry</w:t>
            </w:r>
            <w:r w:rsidR="00EE597F">
              <w:rPr>
                <w:noProof/>
                <w:webHidden/>
              </w:rPr>
              <w:tab/>
            </w:r>
            <w:r w:rsidR="00EE597F">
              <w:rPr>
                <w:noProof/>
                <w:webHidden/>
              </w:rPr>
              <w:fldChar w:fldCharType="begin"/>
            </w:r>
            <w:r w:rsidR="00EE597F">
              <w:rPr>
                <w:noProof/>
                <w:webHidden/>
              </w:rPr>
              <w:instrText xml:space="preserve"> PAGEREF _Toc493861273 \h </w:instrText>
            </w:r>
            <w:r w:rsidR="00EE597F">
              <w:rPr>
                <w:noProof/>
                <w:webHidden/>
              </w:rPr>
            </w:r>
            <w:r w:rsidR="00EE597F">
              <w:rPr>
                <w:noProof/>
                <w:webHidden/>
              </w:rPr>
              <w:fldChar w:fldCharType="separate"/>
            </w:r>
            <w:r w:rsidR="00EE597F">
              <w:rPr>
                <w:noProof/>
                <w:webHidden/>
              </w:rPr>
              <w:t>6</w:t>
            </w:r>
            <w:r w:rsidR="00EE597F">
              <w:rPr>
                <w:noProof/>
                <w:webHidden/>
              </w:rPr>
              <w:fldChar w:fldCharType="end"/>
            </w:r>
          </w:hyperlink>
        </w:p>
        <w:p w14:paraId="1413DE5A" w14:textId="77777777" w:rsidR="00EE597F" w:rsidRDefault="0009648B">
          <w:pPr>
            <w:pStyle w:val="TOC1"/>
            <w:rPr>
              <w:b w:val="0"/>
            </w:rPr>
          </w:pPr>
          <w:hyperlink w:anchor="_Toc493861274" w:history="1">
            <w:r w:rsidR="00EE597F" w:rsidRPr="008129FC">
              <w:rPr>
                <w:rStyle w:val="Hyperlink"/>
              </w:rPr>
              <w:t>Section II</w:t>
            </w:r>
            <w:r w:rsidR="00EE597F">
              <w:rPr>
                <w:webHidden/>
              </w:rPr>
              <w:tab/>
            </w:r>
            <w:r w:rsidR="00EE597F">
              <w:rPr>
                <w:webHidden/>
              </w:rPr>
              <w:fldChar w:fldCharType="begin"/>
            </w:r>
            <w:r w:rsidR="00EE597F">
              <w:rPr>
                <w:webHidden/>
              </w:rPr>
              <w:instrText xml:space="preserve"> PAGEREF _Toc493861274 \h </w:instrText>
            </w:r>
            <w:r w:rsidR="00EE597F">
              <w:rPr>
                <w:webHidden/>
              </w:rPr>
            </w:r>
            <w:r w:rsidR="00EE597F">
              <w:rPr>
                <w:webHidden/>
              </w:rPr>
              <w:fldChar w:fldCharType="separate"/>
            </w:r>
            <w:r w:rsidR="00EE597F">
              <w:rPr>
                <w:webHidden/>
              </w:rPr>
              <w:t>6</w:t>
            </w:r>
            <w:r w:rsidR="00EE597F">
              <w:rPr>
                <w:webHidden/>
              </w:rPr>
              <w:fldChar w:fldCharType="end"/>
            </w:r>
          </w:hyperlink>
        </w:p>
        <w:p w14:paraId="5945D0C6" w14:textId="77777777" w:rsidR="00EE597F" w:rsidRDefault="0009648B">
          <w:pPr>
            <w:pStyle w:val="TOC2"/>
            <w:tabs>
              <w:tab w:val="left" w:pos="660"/>
              <w:tab w:val="right" w:leader="dot" w:pos="9016"/>
            </w:tabs>
            <w:rPr>
              <w:noProof/>
            </w:rPr>
          </w:pPr>
          <w:hyperlink w:anchor="_Toc493861275" w:history="1">
            <w:r w:rsidR="00EE597F" w:rsidRPr="008129FC">
              <w:rPr>
                <w:rStyle w:val="Hyperlink"/>
                <w:noProof/>
              </w:rPr>
              <w:t>A.</w:t>
            </w:r>
            <w:r w:rsidR="00EE597F">
              <w:rPr>
                <w:noProof/>
              </w:rPr>
              <w:tab/>
            </w:r>
            <w:r w:rsidR="00EE597F" w:rsidRPr="008129FC">
              <w:rPr>
                <w:rStyle w:val="Hyperlink"/>
                <w:noProof/>
              </w:rPr>
              <w:t>Consumer education must be a key focus</w:t>
            </w:r>
            <w:r w:rsidR="00EE597F">
              <w:rPr>
                <w:noProof/>
                <w:webHidden/>
              </w:rPr>
              <w:tab/>
            </w:r>
            <w:r w:rsidR="00EE597F">
              <w:rPr>
                <w:noProof/>
                <w:webHidden/>
              </w:rPr>
              <w:fldChar w:fldCharType="begin"/>
            </w:r>
            <w:r w:rsidR="00EE597F">
              <w:rPr>
                <w:noProof/>
                <w:webHidden/>
              </w:rPr>
              <w:instrText xml:space="preserve"> PAGEREF _Toc493861275 \h </w:instrText>
            </w:r>
            <w:r w:rsidR="00EE597F">
              <w:rPr>
                <w:noProof/>
                <w:webHidden/>
              </w:rPr>
            </w:r>
            <w:r w:rsidR="00EE597F">
              <w:rPr>
                <w:noProof/>
                <w:webHidden/>
              </w:rPr>
              <w:fldChar w:fldCharType="separate"/>
            </w:r>
            <w:r w:rsidR="00EE597F">
              <w:rPr>
                <w:noProof/>
                <w:webHidden/>
              </w:rPr>
              <w:t>7</w:t>
            </w:r>
            <w:r w:rsidR="00EE597F">
              <w:rPr>
                <w:noProof/>
                <w:webHidden/>
              </w:rPr>
              <w:fldChar w:fldCharType="end"/>
            </w:r>
          </w:hyperlink>
        </w:p>
        <w:p w14:paraId="666730F7" w14:textId="77777777" w:rsidR="00EE597F" w:rsidRDefault="0009648B">
          <w:pPr>
            <w:pStyle w:val="TOC2"/>
            <w:tabs>
              <w:tab w:val="left" w:pos="660"/>
              <w:tab w:val="right" w:leader="dot" w:pos="9016"/>
            </w:tabs>
            <w:rPr>
              <w:noProof/>
            </w:rPr>
          </w:pPr>
          <w:hyperlink w:anchor="_Toc493861276" w:history="1">
            <w:r w:rsidR="00EE597F" w:rsidRPr="008129FC">
              <w:rPr>
                <w:rStyle w:val="Hyperlink"/>
                <w:noProof/>
              </w:rPr>
              <w:t>B.</w:t>
            </w:r>
            <w:r w:rsidR="00EE597F">
              <w:rPr>
                <w:noProof/>
              </w:rPr>
              <w:tab/>
            </w:r>
            <w:r w:rsidR="00EE597F" w:rsidRPr="008129FC">
              <w:rPr>
                <w:rStyle w:val="Hyperlink"/>
                <w:noProof/>
              </w:rPr>
              <w:t>Digital identity is an early area of opportunity</w:t>
            </w:r>
            <w:r w:rsidR="00EE597F">
              <w:rPr>
                <w:noProof/>
                <w:webHidden/>
              </w:rPr>
              <w:tab/>
            </w:r>
            <w:r w:rsidR="00EE597F">
              <w:rPr>
                <w:noProof/>
                <w:webHidden/>
              </w:rPr>
              <w:fldChar w:fldCharType="begin"/>
            </w:r>
            <w:r w:rsidR="00EE597F">
              <w:rPr>
                <w:noProof/>
                <w:webHidden/>
              </w:rPr>
              <w:instrText xml:space="preserve"> PAGEREF _Toc493861276 \h </w:instrText>
            </w:r>
            <w:r w:rsidR="00EE597F">
              <w:rPr>
                <w:noProof/>
                <w:webHidden/>
              </w:rPr>
            </w:r>
            <w:r w:rsidR="00EE597F">
              <w:rPr>
                <w:noProof/>
                <w:webHidden/>
              </w:rPr>
              <w:fldChar w:fldCharType="separate"/>
            </w:r>
            <w:r w:rsidR="00EE597F">
              <w:rPr>
                <w:noProof/>
                <w:webHidden/>
              </w:rPr>
              <w:t>7</w:t>
            </w:r>
            <w:r w:rsidR="00EE597F">
              <w:rPr>
                <w:noProof/>
                <w:webHidden/>
              </w:rPr>
              <w:fldChar w:fldCharType="end"/>
            </w:r>
          </w:hyperlink>
        </w:p>
        <w:p w14:paraId="1FCE694C" w14:textId="77777777" w:rsidR="00EE597F" w:rsidRDefault="0009648B">
          <w:pPr>
            <w:pStyle w:val="TOC2"/>
            <w:tabs>
              <w:tab w:val="left" w:pos="660"/>
              <w:tab w:val="right" w:leader="dot" w:pos="9016"/>
            </w:tabs>
            <w:rPr>
              <w:noProof/>
            </w:rPr>
          </w:pPr>
          <w:hyperlink w:anchor="_Toc493861277" w:history="1">
            <w:r w:rsidR="00EE597F" w:rsidRPr="008129FC">
              <w:rPr>
                <w:rStyle w:val="Hyperlink"/>
                <w:noProof/>
              </w:rPr>
              <w:t>C.</w:t>
            </w:r>
            <w:r w:rsidR="00EE597F">
              <w:rPr>
                <w:noProof/>
              </w:rPr>
              <w:tab/>
            </w:r>
            <w:r w:rsidR="00EE597F" w:rsidRPr="008129FC">
              <w:rPr>
                <w:rStyle w:val="Hyperlink"/>
                <w:noProof/>
              </w:rPr>
              <w:t>Shared data-types should offer tangible consumer value</w:t>
            </w:r>
            <w:r w:rsidR="00EE597F">
              <w:rPr>
                <w:noProof/>
                <w:webHidden/>
              </w:rPr>
              <w:tab/>
            </w:r>
            <w:r w:rsidR="00EE597F">
              <w:rPr>
                <w:noProof/>
                <w:webHidden/>
              </w:rPr>
              <w:fldChar w:fldCharType="begin"/>
            </w:r>
            <w:r w:rsidR="00EE597F">
              <w:rPr>
                <w:noProof/>
                <w:webHidden/>
              </w:rPr>
              <w:instrText xml:space="preserve"> PAGEREF _Toc493861277 \h </w:instrText>
            </w:r>
            <w:r w:rsidR="00EE597F">
              <w:rPr>
                <w:noProof/>
                <w:webHidden/>
              </w:rPr>
            </w:r>
            <w:r w:rsidR="00EE597F">
              <w:rPr>
                <w:noProof/>
                <w:webHidden/>
              </w:rPr>
              <w:fldChar w:fldCharType="separate"/>
            </w:r>
            <w:r w:rsidR="00EE597F">
              <w:rPr>
                <w:noProof/>
                <w:webHidden/>
              </w:rPr>
              <w:t>8</w:t>
            </w:r>
            <w:r w:rsidR="00EE597F">
              <w:rPr>
                <w:noProof/>
                <w:webHidden/>
              </w:rPr>
              <w:fldChar w:fldCharType="end"/>
            </w:r>
          </w:hyperlink>
        </w:p>
        <w:p w14:paraId="4CAA3BDC" w14:textId="77777777" w:rsidR="00EE597F" w:rsidRDefault="0009648B">
          <w:pPr>
            <w:pStyle w:val="TOC1"/>
            <w:rPr>
              <w:b w:val="0"/>
            </w:rPr>
          </w:pPr>
          <w:hyperlink w:anchor="_Toc493861278" w:history="1">
            <w:r w:rsidR="00EE597F" w:rsidRPr="008129FC">
              <w:rPr>
                <w:rStyle w:val="Hyperlink"/>
              </w:rPr>
              <w:t>Section III</w:t>
            </w:r>
            <w:r w:rsidR="00EE597F">
              <w:rPr>
                <w:webHidden/>
              </w:rPr>
              <w:tab/>
            </w:r>
            <w:r w:rsidR="00EE597F">
              <w:rPr>
                <w:webHidden/>
              </w:rPr>
              <w:fldChar w:fldCharType="begin"/>
            </w:r>
            <w:r w:rsidR="00EE597F">
              <w:rPr>
                <w:webHidden/>
              </w:rPr>
              <w:instrText xml:space="preserve"> PAGEREF _Toc493861278 \h </w:instrText>
            </w:r>
            <w:r w:rsidR="00EE597F">
              <w:rPr>
                <w:webHidden/>
              </w:rPr>
            </w:r>
            <w:r w:rsidR="00EE597F">
              <w:rPr>
                <w:webHidden/>
              </w:rPr>
              <w:fldChar w:fldCharType="separate"/>
            </w:r>
            <w:r w:rsidR="00EE597F">
              <w:rPr>
                <w:webHidden/>
              </w:rPr>
              <w:t>9</w:t>
            </w:r>
            <w:r w:rsidR="00EE597F">
              <w:rPr>
                <w:webHidden/>
              </w:rPr>
              <w:fldChar w:fldCharType="end"/>
            </w:r>
          </w:hyperlink>
        </w:p>
        <w:p w14:paraId="39C74A0D" w14:textId="77777777" w:rsidR="00EE597F" w:rsidRDefault="0009648B">
          <w:pPr>
            <w:pStyle w:val="TOC3"/>
            <w:tabs>
              <w:tab w:val="right" w:leader="dot" w:pos="9016"/>
            </w:tabs>
            <w:rPr>
              <w:noProof/>
            </w:rPr>
          </w:pPr>
          <w:hyperlink w:anchor="_Toc493861279" w:history="1">
            <w:r w:rsidR="00EE597F" w:rsidRPr="008129FC">
              <w:rPr>
                <w:rStyle w:val="Hyperlink"/>
                <w:noProof/>
              </w:rPr>
              <w:t>Figure 4 UK direct implementation costs</w:t>
            </w:r>
            <w:r w:rsidR="00EE597F">
              <w:rPr>
                <w:noProof/>
                <w:webHidden/>
              </w:rPr>
              <w:tab/>
            </w:r>
            <w:r w:rsidR="00EE597F">
              <w:rPr>
                <w:noProof/>
                <w:webHidden/>
              </w:rPr>
              <w:fldChar w:fldCharType="begin"/>
            </w:r>
            <w:r w:rsidR="00EE597F">
              <w:rPr>
                <w:noProof/>
                <w:webHidden/>
              </w:rPr>
              <w:instrText xml:space="preserve"> PAGEREF _Toc493861279 \h </w:instrText>
            </w:r>
            <w:r w:rsidR="00EE597F">
              <w:rPr>
                <w:noProof/>
                <w:webHidden/>
              </w:rPr>
            </w:r>
            <w:r w:rsidR="00EE597F">
              <w:rPr>
                <w:noProof/>
                <w:webHidden/>
              </w:rPr>
              <w:fldChar w:fldCharType="separate"/>
            </w:r>
            <w:r w:rsidR="00EE597F">
              <w:rPr>
                <w:noProof/>
                <w:webHidden/>
              </w:rPr>
              <w:t>9</w:t>
            </w:r>
            <w:r w:rsidR="00EE597F">
              <w:rPr>
                <w:noProof/>
                <w:webHidden/>
              </w:rPr>
              <w:fldChar w:fldCharType="end"/>
            </w:r>
          </w:hyperlink>
        </w:p>
        <w:p w14:paraId="2D70BA7A" w14:textId="77777777" w:rsidR="00EE597F" w:rsidRDefault="0009648B">
          <w:pPr>
            <w:pStyle w:val="TOC1"/>
            <w:rPr>
              <w:b w:val="0"/>
            </w:rPr>
          </w:pPr>
          <w:hyperlink w:anchor="_Toc493861280" w:history="1">
            <w:r w:rsidR="00EE597F" w:rsidRPr="008129FC">
              <w:rPr>
                <w:rStyle w:val="Hyperlink"/>
              </w:rPr>
              <w:t>Closing remarks</w:t>
            </w:r>
            <w:r w:rsidR="00EE597F">
              <w:rPr>
                <w:webHidden/>
              </w:rPr>
              <w:tab/>
            </w:r>
            <w:r w:rsidR="00EE597F">
              <w:rPr>
                <w:webHidden/>
              </w:rPr>
              <w:fldChar w:fldCharType="begin"/>
            </w:r>
            <w:r w:rsidR="00EE597F">
              <w:rPr>
                <w:webHidden/>
              </w:rPr>
              <w:instrText xml:space="preserve"> PAGEREF _Toc493861280 \h </w:instrText>
            </w:r>
            <w:r w:rsidR="00EE597F">
              <w:rPr>
                <w:webHidden/>
              </w:rPr>
            </w:r>
            <w:r w:rsidR="00EE597F">
              <w:rPr>
                <w:webHidden/>
              </w:rPr>
              <w:fldChar w:fldCharType="separate"/>
            </w:r>
            <w:r w:rsidR="00EE597F">
              <w:rPr>
                <w:webHidden/>
              </w:rPr>
              <w:t>10</w:t>
            </w:r>
            <w:r w:rsidR="00EE597F">
              <w:rPr>
                <w:webHidden/>
              </w:rPr>
              <w:fldChar w:fldCharType="end"/>
            </w:r>
          </w:hyperlink>
        </w:p>
        <w:p w14:paraId="58AEA76C" w14:textId="77777777" w:rsidR="0087045A" w:rsidRDefault="0087045A">
          <w:r>
            <w:rPr>
              <w:b/>
              <w:bCs/>
              <w:noProof/>
            </w:rPr>
            <w:fldChar w:fldCharType="end"/>
          </w:r>
        </w:p>
      </w:sdtContent>
    </w:sdt>
    <w:p w14:paraId="3F59B08D" w14:textId="77777777" w:rsidR="00853128" w:rsidRPr="0087045A" w:rsidRDefault="00853128" w:rsidP="003A4ADC">
      <w:pPr>
        <w:spacing w:before="480" w:after="160"/>
        <w:jc w:val="center"/>
        <w:rPr>
          <w:b/>
          <w:sz w:val="28"/>
          <w:szCs w:val="28"/>
        </w:rPr>
        <w:sectPr w:rsidR="00853128" w:rsidRPr="0087045A" w:rsidSect="00877A88">
          <w:pgSz w:w="11906" w:h="16838"/>
          <w:pgMar w:top="1440" w:right="1440" w:bottom="1440" w:left="1440" w:header="708" w:footer="708" w:gutter="0"/>
          <w:cols w:space="708"/>
          <w:docGrid w:linePitch="360"/>
        </w:sectPr>
      </w:pPr>
    </w:p>
    <w:tbl>
      <w:tblPr>
        <w:tblW w:w="9606" w:type="dxa"/>
        <w:tblLayout w:type="fixed"/>
        <w:tblLook w:val="0000" w:firstRow="0" w:lastRow="0" w:firstColumn="0" w:lastColumn="0" w:noHBand="0" w:noVBand="0"/>
      </w:tblPr>
      <w:tblGrid>
        <w:gridCol w:w="4853"/>
        <w:gridCol w:w="4753"/>
      </w:tblGrid>
      <w:tr w:rsidR="00853128" w:rsidRPr="0087045A" w14:paraId="0C5C6CDF" w14:textId="77777777" w:rsidTr="00853128">
        <w:tc>
          <w:tcPr>
            <w:tcW w:w="4853" w:type="dxa"/>
            <w:shd w:val="clear" w:color="auto" w:fill="auto"/>
          </w:tcPr>
          <w:p w14:paraId="6ED6F4A6" w14:textId="77777777" w:rsidR="00853128" w:rsidRPr="0087045A" w:rsidRDefault="00853128" w:rsidP="00853128">
            <w:pPr>
              <w:rPr>
                <w:sz w:val="20"/>
              </w:rPr>
            </w:pPr>
            <w:r w:rsidRPr="0087045A">
              <w:rPr>
                <w:sz w:val="20"/>
              </w:rPr>
              <w:lastRenderedPageBreak/>
              <w:br/>
            </w:r>
            <w:r w:rsidRPr="0087045A">
              <w:rPr>
                <w:noProof/>
                <w:sz w:val="20"/>
              </w:rPr>
              <w:drawing>
                <wp:inline distT="0" distB="0" distL="0" distR="0" wp14:anchorId="04BEA750" wp14:editId="21254C7B">
                  <wp:extent cx="2019300" cy="2286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t="20415" r="25201" b="33391"/>
                          <a:stretch>
                            <a:fillRect/>
                          </a:stretch>
                        </pic:blipFill>
                        <pic:spPr bwMode="auto">
                          <a:xfrm>
                            <a:off x="0" y="0"/>
                            <a:ext cx="2019300" cy="228600"/>
                          </a:xfrm>
                          <a:prstGeom prst="rect">
                            <a:avLst/>
                          </a:prstGeom>
                          <a:noFill/>
                          <a:ln w="9525">
                            <a:noFill/>
                            <a:miter lim="800000"/>
                            <a:headEnd/>
                            <a:tailEnd/>
                          </a:ln>
                        </pic:spPr>
                      </pic:pic>
                    </a:graphicData>
                  </a:graphic>
                </wp:inline>
              </w:drawing>
            </w:r>
          </w:p>
          <w:p w14:paraId="477485EE" w14:textId="77777777" w:rsidR="00853128" w:rsidRPr="0087045A" w:rsidRDefault="00853128" w:rsidP="00853128">
            <w:pPr>
              <w:ind w:left="57"/>
              <w:rPr>
                <w:sz w:val="16"/>
              </w:rPr>
            </w:pPr>
            <w:r w:rsidRPr="0087045A">
              <w:rPr>
                <w:sz w:val="16"/>
              </w:rPr>
              <w:t>Commonwealth Bank of Australia</w:t>
            </w:r>
            <w:r w:rsidRPr="0087045A">
              <w:rPr>
                <w:sz w:val="16"/>
              </w:rPr>
              <w:br/>
              <w:t>ABN 48 123 123 124</w:t>
            </w:r>
          </w:p>
        </w:tc>
        <w:tc>
          <w:tcPr>
            <w:tcW w:w="4753" w:type="dxa"/>
            <w:shd w:val="clear" w:color="auto" w:fill="auto"/>
          </w:tcPr>
          <w:p w14:paraId="5C42DE71" w14:textId="77777777" w:rsidR="00853128" w:rsidRPr="0087045A" w:rsidRDefault="00853128" w:rsidP="00853128">
            <w:pPr>
              <w:jc w:val="right"/>
              <w:rPr>
                <w:sz w:val="20"/>
              </w:rPr>
            </w:pPr>
            <w:r w:rsidRPr="0087045A">
              <w:rPr>
                <w:noProof/>
              </w:rPr>
              <w:drawing>
                <wp:inline distT="0" distB="0" distL="0" distR="0" wp14:anchorId="2EF3D44D" wp14:editId="5B246659">
                  <wp:extent cx="687836" cy="723568"/>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3983" r="25163" b="19005"/>
                          <a:stretch>
                            <a:fillRect/>
                          </a:stretch>
                        </pic:blipFill>
                        <pic:spPr bwMode="auto">
                          <a:xfrm>
                            <a:off x="0" y="0"/>
                            <a:ext cx="690164" cy="726016"/>
                          </a:xfrm>
                          <a:prstGeom prst="rect">
                            <a:avLst/>
                          </a:prstGeom>
                          <a:noFill/>
                          <a:ln w="9525">
                            <a:noFill/>
                            <a:miter lim="800000"/>
                            <a:headEnd/>
                            <a:tailEnd/>
                          </a:ln>
                        </pic:spPr>
                      </pic:pic>
                    </a:graphicData>
                  </a:graphic>
                </wp:inline>
              </w:drawing>
            </w:r>
          </w:p>
        </w:tc>
      </w:tr>
    </w:tbl>
    <w:p w14:paraId="50C955FE" w14:textId="77777777" w:rsidR="00877A88" w:rsidRPr="0087045A" w:rsidRDefault="003A4ADC" w:rsidP="00BE5EA6">
      <w:pPr>
        <w:spacing w:before="120" w:after="160"/>
        <w:jc w:val="center"/>
        <w:rPr>
          <w:b/>
          <w:sz w:val="28"/>
          <w:szCs w:val="28"/>
        </w:rPr>
      </w:pPr>
      <w:r w:rsidRPr="0087045A">
        <w:rPr>
          <w:b/>
          <w:sz w:val="28"/>
          <w:szCs w:val="28"/>
        </w:rPr>
        <w:t>Review into Open Banking</w:t>
      </w:r>
    </w:p>
    <w:p w14:paraId="56F4C6D7" w14:textId="77777777" w:rsidR="003A4ADC" w:rsidRPr="0087045A" w:rsidRDefault="003A4ADC" w:rsidP="00BE5EA6">
      <w:pPr>
        <w:spacing w:before="120" w:after="360"/>
        <w:jc w:val="center"/>
        <w:rPr>
          <w:b/>
        </w:rPr>
      </w:pPr>
      <w:r w:rsidRPr="0087045A">
        <w:rPr>
          <w:b/>
        </w:rPr>
        <w:t>Commonwealth Bank</w:t>
      </w:r>
      <w:r w:rsidR="00922593" w:rsidRPr="0087045A">
        <w:rPr>
          <w:b/>
        </w:rPr>
        <w:t xml:space="preserve"> of Australia</w:t>
      </w:r>
      <w:r w:rsidRPr="0087045A">
        <w:rPr>
          <w:b/>
        </w:rPr>
        <w:t xml:space="preserve"> Submission to </w:t>
      </w:r>
      <w:r w:rsidR="004B7423" w:rsidRPr="0087045A">
        <w:rPr>
          <w:b/>
        </w:rPr>
        <w:t xml:space="preserve">Treasury’s </w:t>
      </w:r>
      <w:r w:rsidRPr="0087045A">
        <w:rPr>
          <w:b/>
        </w:rPr>
        <w:t>Review</w:t>
      </w:r>
    </w:p>
    <w:p w14:paraId="077D1095" w14:textId="77777777" w:rsidR="003A4ADC" w:rsidRPr="00A561AE" w:rsidRDefault="005F5AFB" w:rsidP="00A561AE">
      <w:pPr>
        <w:spacing w:before="240" w:after="160"/>
        <w:rPr>
          <w:rStyle w:val="Heading2Char"/>
          <w:b/>
          <w:i w:val="0"/>
        </w:rPr>
      </w:pPr>
      <w:bookmarkStart w:id="1" w:name="_Toc493861268"/>
      <w:r>
        <w:rPr>
          <w:rStyle w:val="Heading1Char"/>
        </w:rPr>
        <w:t>Executive summary</w:t>
      </w:r>
      <w:bookmarkEnd w:id="1"/>
      <w:r>
        <w:rPr>
          <w:rStyle w:val="Heading1Char"/>
        </w:rPr>
        <w:t xml:space="preserve"> </w:t>
      </w:r>
      <w:r>
        <w:rPr>
          <w:rStyle w:val="Heading1Char"/>
        </w:rPr>
        <w:br/>
      </w:r>
      <w:r w:rsidR="003A4ADC" w:rsidRPr="0087045A">
        <w:rPr>
          <w:rStyle w:val="Heading2Char"/>
        </w:rPr>
        <w:t>The Commonwealth Bank supports Open Banking</w:t>
      </w:r>
    </w:p>
    <w:p w14:paraId="63F1DBE0" w14:textId="77777777" w:rsidR="004B7423" w:rsidRPr="00A561AE" w:rsidRDefault="004B7423" w:rsidP="005F5AFB">
      <w:pPr>
        <w:jc w:val="both"/>
        <w:rPr>
          <w:rStyle w:val="Heading2Char"/>
          <w:b/>
          <w:i w:val="0"/>
        </w:rPr>
      </w:pPr>
      <w:r w:rsidRPr="0087045A">
        <w:rPr>
          <w:sz w:val="21"/>
          <w:szCs w:val="21"/>
        </w:rPr>
        <w:t xml:space="preserve">The Commonwealth Bank welcomes </w:t>
      </w:r>
      <w:r w:rsidR="003A4ADC" w:rsidRPr="0087045A">
        <w:rPr>
          <w:sz w:val="21"/>
          <w:szCs w:val="21"/>
        </w:rPr>
        <w:t>the Treasurer’s initiative to introduce an Open Banking regime in Australia</w:t>
      </w:r>
      <w:r w:rsidR="005F5AFB">
        <w:rPr>
          <w:sz w:val="21"/>
          <w:szCs w:val="21"/>
        </w:rPr>
        <w:t xml:space="preserve"> </w:t>
      </w:r>
      <w:r w:rsidR="00BE5EA6">
        <w:rPr>
          <w:sz w:val="21"/>
          <w:szCs w:val="21"/>
        </w:rPr>
        <w:t xml:space="preserve">and </w:t>
      </w:r>
      <w:r w:rsidR="005F5AFB" w:rsidRPr="0087045A">
        <w:rPr>
          <w:sz w:val="21"/>
          <w:szCs w:val="21"/>
        </w:rPr>
        <w:t>is pleased to submit this paper in response to the Treasurer’s Open Banking Review Issues Paper</w:t>
      </w:r>
      <w:r w:rsidR="003A4ADC" w:rsidRPr="0087045A">
        <w:rPr>
          <w:sz w:val="21"/>
          <w:szCs w:val="21"/>
        </w:rPr>
        <w:t xml:space="preserve">. </w:t>
      </w:r>
    </w:p>
    <w:p w14:paraId="508CFF9C" w14:textId="77777777" w:rsidR="005F5AFB" w:rsidRDefault="00085459" w:rsidP="00360B44">
      <w:pPr>
        <w:jc w:val="both"/>
        <w:rPr>
          <w:sz w:val="21"/>
          <w:szCs w:val="21"/>
        </w:rPr>
      </w:pPr>
      <w:r w:rsidRPr="0087045A">
        <w:rPr>
          <w:sz w:val="21"/>
          <w:szCs w:val="21"/>
        </w:rPr>
        <w:t xml:space="preserve">The Commonwealth Bank is fully aligned with </w:t>
      </w:r>
      <w:r>
        <w:rPr>
          <w:sz w:val="21"/>
          <w:szCs w:val="21"/>
        </w:rPr>
        <w:t xml:space="preserve">the </w:t>
      </w:r>
      <w:r w:rsidR="004B7423" w:rsidRPr="0087045A">
        <w:rPr>
          <w:sz w:val="21"/>
          <w:szCs w:val="21"/>
        </w:rPr>
        <w:t xml:space="preserve">Government’s </w:t>
      </w:r>
      <w:r>
        <w:rPr>
          <w:sz w:val="21"/>
          <w:szCs w:val="21"/>
        </w:rPr>
        <w:t xml:space="preserve">stated </w:t>
      </w:r>
      <w:r w:rsidR="004B7423" w:rsidRPr="0087045A">
        <w:rPr>
          <w:sz w:val="21"/>
          <w:szCs w:val="21"/>
        </w:rPr>
        <w:t>intention</w:t>
      </w:r>
      <w:r>
        <w:rPr>
          <w:sz w:val="21"/>
          <w:szCs w:val="21"/>
        </w:rPr>
        <w:t xml:space="preserve"> </w:t>
      </w:r>
      <w:r w:rsidR="004B7423" w:rsidRPr="0087045A">
        <w:rPr>
          <w:sz w:val="21"/>
          <w:szCs w:val="21"/>
        </w:rPr>
        <w:t>to introduce an Open Banking framework to “allow greater choice for customers, in this case by giving them easier access to, and more control over, data relating to their finances and transactions held by their banks”.</w:t>
      </w:r>
      <w:r>
        <w:rPr>
          <w:sz w:val="21"/>
          <w:szCs w:val="21"/>
        </w:rPr>
        <w:t xml:space="preserve"> </w:t>
      </w:r>
    </w:p>
    <w:p w14:paraId="4C36D857" w14:textId="77777777" w:rsidR="00085459" w:rsidRDefault="00085459" w:rsidP="00085459">
      <w:pPr>
        <w:jc w:val="both"/>
        <w:rPr>
          <w:sz w:val="21"/>
          <w:szCs w:val="21"/>
        </w:rPr>
      </w:pPr>
      <w:r w:rsidRPr="0087045A">
        <w:rPr>
          <w:sz w:val="21"/>
          <w:szCs w:val="21"/>
        </w:rPr>
        <w:t xml:space="preserve">The </w:t>
      </w:r>
      <w:r>
        <w:rPr>
          <w:sz w:val="21"/>
          <w:szCs w:val="21"/>
        </w:rPr>
        <w:t xml:space="preserve">Commonwealth Bank has listened to the Government and worked across industry and other stakeholders to frame a world-leading model for Open Banking. The </w:t>
      </w:r>
      <w:r w:rsidRPr="0087045A">
        <w:rPr>
          <w:sz w:val="21"/>
          <w:szCs w:val="21"/>
        </w:rPr>
        <w:t xml:space="preserve">proposals contained in this submission will </w:t>
      </w:r>
      <w:r>
        <w:rPr>
          <w:sz w:val="21"/>
          <w:szCs w:val="21"/>
        </w:rPr>
        <w:t xml:space="preserve">support the </w:t>
      </w:r>
      <w:r w:rsidRPr="0087045A">
        <w:rPr>
          <w:sz w:val="21"/>
          <w:szCs w:val="21"/>
        </w:rPr>
        <w:t xml:space="preserve">Government to deliver on its promise to implement sustainable Open Banking </w:t>
      </w:r>
      <w:r>
        <w:rPr>
          <w:sz w:val="21"/>
          <w:szCs w:val="21"/>
        </w:rPr>
        <w:t xml:space="preserve">reforms that benefit </w:t>
      </w:r>
      <w:r w:rsidRPr="0087045A">
        <w:rPr>
          <w:sz w:val="21"/>
          <w:szCs w:val="21"/>
        </w:rPr>
        <w:t xml:space="preserve">the </w:t>
      </w:r>
      <w:r>
        <w:rPr>
          <w:sz w:val="21"/>
          <w:szCs w:val="21"/>
        </w:rPr>
        <w:t xml:space="preserve">entire </w:t>
      </w:r>
      <w:r w:rsidRPr="0087045A">
        <w:rPr>
          <w:sz w:val="21"/>
          <w:szCs w:val="21"/>
        </w:rPr>
        <w:t xml:space="preserve">Australian economy. </w:t>
      </w:r>
    </w:p>
    <w:p w14:paraId="6F16652F" w14:textId="77777777" w:rsidR="00085459" w:rsidRDefault="00085459" w:rsidP="00085459">
      <w:pPr>
        <w:jc w:val="both"/>
        <w:rPr>
          <w:sz w:val="21"/>
          <w:szCs w:val="21"/>
        </w:rPr>
      </w:pPr>
      <w:r w:rsidRPr="0087045A">
        <w:rPr>
          <w:sz w:val="21"/>
          <w:szCs w:val="21"/>
        </w:rPr>
        <w:t xml:space="preserve">The Commonwealth Bank is firmly of the view that the </w:t>
      </w:r>
      <w:r>
        <w:rPr>
          <w:sz w:val="21"/>
          <w:szCs w:val="21"/>
        </w:rPr>
        <w:t xml:space="preserve">model for the </w:t>
      </w:r>
      <w:r w:rsidRPr="0087045A">
        <w:rPr>
          <w:sz w:val="21"/>
          <w:szCs w:val="21"/>
        </w:rPr>
        <w:t xml:space="preserve">banking sector </w:t>
      </w:r>
      <w:r>
        <w:rPr>
          <w:sz w:val="21"/>
          <w:szCs w:val="21"/>
        </w:rPr>
        <w:t xml:space="preserve">could </w:t>
      </w:r>
      <w:r w:rsidRPr="0087045A">
        <w:rPr>
          <w:sz w:val="21"/>
          <w:szCs w:val="21"/>
        </w:rPr>
        <w:t>then provide a blueprint for open data reform across other industries.</w:t>
      </w:r>
      <w:r>
        <w:rPr>
          <w:sz w:val="21"/>
          <w:szCs w:val="21"/>
        </w:rPr>
        <w:t xml:space="preserve"> The Commonwealth Bank believes that </w:t>
      </w:r>
      <w:r w:rsidR="001E6C41">
        <w:rPr>
          <w:sz w:val="21"/>
          <w:szCs w:val="21"/>
        </w:rPr>
        <w:t>a successful model needs to</w:t>
      </w:r>
      <w:r>
        <w:rPr>
          <w:sz w:val="21"/>
          <w:szCs w:val="21"/>
        </w:rPr>
        <w:t>:</w:t>
      </w:r>
    </w:p>
    <w:p w14:paraId="4934A546" w14:textId="77777777" w:rsidR="00085459" w:rsidRDefault="00085459" w:rsidP="00085459">
      <w:pPr>
        <w:pStyle w:val="ListParagraph"/>
        <w:numPr>
          <w:ilvl w:val="0"/>
          <w:numId w:val="29"/>
        </w:numPr>
        <w:jc w:val="both"/>
        <w:rPr>
          <w:sz w:val="21"/>
          <w:szCs w:val="21"/>
        </w:rPr>
      </w:pPr>
      <w:r w:rsidRPr="00A66E71">
        <w:rPr>
          <w:sz w:val="21"/>
          <w:szCs w:val="21"/>
        </w:rPr>
        <w:t>be grounded in consumer choice, placing banking customers in control of access to d</w:t>
      </w:r>
      <w:r w:rsidR="00AA2E8B">
        <w:rPr>
          <w:sz w:val="21"/>
          <w:szCs w:val="21"/>
        </w:rPr>
        <w:t>ata;</w:t>
      </w:r>
    </w:p>
    <w:p w14:paraId="03B5492C" w14:textId="77777777" w:rsidR="00085459" w:rsidRPr="00A66E71" w:rsidRDefault="00085459" w:rsidP="00085459">
      <w:pPr>
        <w:pStyle w:val="ListParagraph"/>
        <w:numPr>
          <w:ilvl w:val="0"/>
          <w:numId w:val="29"/>
        </w:numPr>
        <w:jc w:val="both"/>
        <w:rPr>
          <w:sz w:val="21"/>
          <w:szCs w:val="21"/>
        </w:rPr>
      </w:pPr>
      <w:r>
        <w:rPr>
          <w:sz w:val="21"/>
          <w:szCs w:val="21"/>
        </w:rPr>
        <w:t xml:space="preserve">not diminish the level of protection that customers currently receive, particularly in light of ever increasing fraud and cyber threats; and </w:t>
      </w:r>
    </w:p>
    <w:p w14:paraId="5CC4CF2F" w14:textId="77777777" w:rsidR="00085459" w:rsidRPr="00A66E71" w:rsidRDefault="00085459" w:rsidP="00085459">
      <w:pPr>
        <w:pStyle w:val="ListParagraph"/>
        <w:numPr>
          <w:ilvl w:val="0"/>
          <w:numId w:val="29"/>
        </w:numPr>
        <w:jc w:val="both"/>
        <w:rPr>
          <w:sz w:val="21"/>
          <w:szCs w:val="21"/>
        </w:rPr>
      </w:pPr>
      <w:r w:rsidRPr="00A66E71">
        <w:rPr>
          <w:sz w:val="21"/>
          <w:szCs w:val="21"/>
        </w:rPr>
        <w:t xml:space="preserve">encourage market efficiency, using a transparent </w:t>
      </w:r>
      <w:r w:rsidR="00BE5EA6">
        <w:rPr>
          <w:sz w:val="21"/>
          <w:szCs w:val="21"/>
        </w:rPr>
        <w:t xml:space="preserve">streamlined </w:t>
      </w:r>
      <w:r w:rsidRPr="00A66E71">
        <w:rPr>
          <w:sz w:val="21"/>
          <w:szCs w:val="21"/>
        </w:rPr>
        <w:t>accreditation framework to ensure that all participants (both contributors of data as well as recipients) maintain suitable standards.</w:t>
      </w:r>
    </w:p>
    <w:p w14:paraId="054D32BE" w14:textId="77777777" w:rsidR="004B7423" w:rsidRDefault="00085459" w:rsidP="005F5AFB">
      <w:pPr>
        <w:jc w:val="both"/>
        <w:rPr>
          <w:sz w:val="21"/>
          <w:szCs w:val="21"/>
        </w:rPr>
      </w:pPr>
      <w:r>
        <w:rPr>
          <w:sz w:val="21"/>
          <w:szCs w:val="21"/>
        </w:rPr>
        <w:t xml:space="preserve">Executed well, the </w:t>
      </w:r>
      <w:r w:rsidR="004B7423" w:rsidRPr="00D51F92">
        <w:rPr>
          <w:sz w:val="21"/>
          <w:szCs w:val="21"/>
        </w:rPr>
        <w:t xml:space="preserve">Open Banking </w:t>
      </w:r>
      <w:r>
        <w:rPr>
          <w:sz w:val="21"/>
          <w:szCs w:val="21"/>
        </w:rPr>
        <w:t xml:space="preserve">model will drive </w:t>
      </w:r>
      <w:r w:rsidR="004B7423" w:rsidRPr="00D51F92">
        <w:rPr>
          <w:sz w:val="21"/>
          <w:szCs w:val="21"/>
        </w:rPr>
        <w:t xml:space="preserve">sustainable </w:t>
      </w:r>
      <w:r w:rsidRPr="00D51F92">
        <w:rPr>
          <w:sz w:val="21"/>
          <w:szCs w:val="21"/>
        </w:rPr>
        <w:t>competition, innovation and productivity</w:t>
      </w:r>
      <w:r>
        <w:rPr>
          <w:sz w:val="21"/>
          <w:szCs w:val="21"/>
        </w:rPr>
        <w:t xml:space="preserve"> </w:t>
      </w:r>
      <w:r w:rsidR="004B7423" w:rsidRPr="00D51F92">
        <w:rPr>
          <w:sz w:val="21"/>
          <w:szCs w:val="21"/>
        </w:rPr>
        <w:t xml:space="preserve">benefits </w:t>
      </w:r>
      <w:r w:rsidR="002F4214">
        <w:rPr>
          <w:sz w:val="21"/>
          <w:szCs w:val="21"/>
        </w:rPr>
        <w:t>without compromising integrity and trust</w:t>
      </w:r>
      <w:r w:rsidR="004B7423" w:rsidRPr="00D51F92">
        <w:rPr>
          <w:sz w:val="21"/>
          <w:szCs w:val="21"/>
        </w:rPr>
        <w:t>.</w:t>
      </w:r>
    </w:p>
    <w:p w14:paraId="7DA04F61" w14:textId="77777777" w:rsidR="00A66E71" w:rsidRPr="00A561AE" w:rsidRDefault="00A66E71" w:rsidP="00A66E71">
      <w:pPr>
        <w:spacing w:before="240" w:after="160"/>
        <w:rPr>
          <w:rStyle w:val="Heading2Char"/>
          <w:b/>
          <w:i w:val="0"/>
        </w:rPr>
      </w:pPr>
      <w:bookmarkStart w:id="2" w:name="_Toc493861269"/>
      <w:r>
        <w:rPr>
          <w:rStyle w:val="Heading1Char"/>
        </w:rPr>
        <w:t>Proposals</w:t>
      </w:r>
      <w:bookmarkEnd w:id="2"/>
      <w:r>
        <w:rPr>
          <w:rStyle w:val="Heading1Char"/>
        </w:rPr>
        <w:t xml:space="preserve"> </w:t>
      </w:r>
      <w:r>
        <w:rPr>
          <w:rStyle w:val="Heading1Char"/>
        </w:rPr>
        <w:br/>
      </w:r>
      <w:r w:rsidR="006D2417">
        <w:rPr>
          <w:rStyle w:val="Heading2Char"/>
        </w:rPr>
        <w:t>Recommendations to enable</w:t>
      </w:r>
      <w:r w:rsidR="00BE5EA6">
        <w:rPr>
          <w:rStyle w:val="Heading2Char"/>
        </w:rPr>
        <w:t xml:space="preserve"> the</w:t>
      </w:r>
      <w:r w:rsidR="006D2417">
        <w:rPr>
          <w:rStyle w:val="Heading2Char"/>
        </w:rPr>
        <w:t xml:space="preserve"> effective implementation</w:t>
      </w:r>
      <w:r w:rsidRPr="0087045A">
        <w:rPr>
          <w:rStyle w:val="Heading2Char"/>
        </w:rPr>
        <w:t xml:space="preserve"> </w:t>
      </w:r>
      <w:r w:rsidR="006D2417">
        <w:rPr>
          <w:rStyle w:val="Heading2Char"/>
        </w:rPr>
        <w:t xml:space="preserve">of </w:t>
      </w:r>
      <w:r w:rsidRPr="0087045A">
        <w:rPr>
          <w:rStyle w:val="Heading2Char"/>
        </w:rPr>
        <w:t>Open Banking</w:t>
      </w:r>
    </w:p>
    <w:p w14:paraId="0A122A76" w14:textId="77777777" w:rsidR="00360B44" w:rsidRPr="00D51F92" w:rsidRDefault="006D2417" w:rsidP="00360B44">
      <w:pPr>
        <w:jc w:val="both"/>
        <w:rPr>
          <w:sz w:val="21"/>
          <w:szCs w:val="21"/>
        </w:rPr>
      </w:pPr>
      <w:r>
        <w:rPr>
          <w:sz w:val="21"/>
          <w:szCs w:val="21"/>
        </w:rPr>
        <w:t>This submission sets out three proposals that the Commonwealth Bank believes will enable an effective implementation of Open Banking reforms.</w:t>
      </w:r>
    </w:p>
    <w:p w14:paraId="75F3ABD5" w14:textId="77777777" w:rsidR="00B643A4" w:rsidRPr="0087045A" w:rsidRDefault="00360B44" w:rsidP="00360B44">
      <w:pPr>
        <w:spacing w:after="120"/>
        <w:ind w:left="720"/>
        <w:jc w:val="both"/>
        <w:rPr>
          <w:b/>
          <w:i/>
          <w:sz w:val="21"/>
          <w:szCs w:val="21"/>
        </w:rPr>
      </w:pPr>
      <w:r>
        <w:rPr>
          <w:b/>
          <w:i/>
          <w:sz w:val="21"/>
          <w:szCs w:val="21"/>
        </w:rPr>
        <w:t>Proposal</w:t>
      </w:r>
      <w:r w:rsidR="00757EBB" w:rsidRPr="0087045A">
        <w:rPr>
          <w:b/>
          <w:i/>
          <w:sz w:val="21"/>
          <w:szCs w:val="21"/>
        </w:rPr>
        <w:t xml:space="preserve"> 1 – </w:t>
      </w:r>
      <w:r w:rsidR="00FD4A52">
        <w:rPr>
          <w:b/>
          <w:i/>
          <w:sz w:val="21"/>
          <w:szCs w:val="21"/>
        </w:rPr>
        <w:t>Adopt t</w:t>
      </w:r>
      <w:r w:rsidR="00B643A4" w:rsidRPr="0087045A">
        <w:rPr>
          <w:b/>
          <w:i/>
          <w:sz w:val="21"/>
          <w:szCs w:val="21"/>
        </w:rPr>
        <w:t xml:space="preserve">he </w:t>
      </w:r>
      <w:r w:rsidR="00B11142" w:rsidRPr="0087045A">
        <w:rPr>
          <w:b/>
          <w:i/>
          <w:sz w:val="21"/>
          <w:szCs w:val="21"/>
        </w:rPr>
        <w:t xml:space="preserve">industry </w:t>
      </w:r>
      <w:r w:rsidR="00B643A4" w:rsidRPr="0087045A">
        <w:rPr>
          <w:b/>
          <w:i/>
          <w:sz w:val="21"/>
          <w:szCs w:val="21"/>
        </w:rPr>
        <w:t>model</w:t>
      </w:r>
      <w:r w:rsidR="00757EBB" w:rsidRPr="0087045A">
        <w:rPr>
          <w:b/>
          <w:i/>
          <w:sz w:val="21"/>
          <w:szCs w:val="21"/>
        </w:rPr>
        <w:t xml:space="preserve"> </w:t>
      </w:r>
      <w:r w:rsidR="00B11142" w:rsidRPr="0087045A">
        <w:rPr>
          <w:b/>
          <w:i/>
          <w:sz w:val="21"/>
          <w:szCs w:val="21"/>
        </w:rPr>
        <w:t>described by the ABA</w:t>
      </w:r>
    </w:p>
    <w:p w14:paraId="201408B6" w14:textId="77777777" w:rsidR="00A561AE" w:rsidRPr="0087045A" w:rsidRDefault="004B7423" w:rsidP="00123844">
      <w:pPr>
        <w:ind w:left="720"/>
        <w:jc w:val="both"/>
        <w:rPr>
          <w:sz w:val="21"/>
          <w:szCs w:val="21"/>
        </w:rPr>
      </w:pPr>
      <w:r w:rsidRPr="0087045A">
        <w:rPr>
          <w:sz w:val="21"/>
          <w:szCs w:val="21"/>
        </w:rPr>
        <w:t>The Commonwealth Bank has had the opportu</w:t>
      </w:r>
      <w:r w:rsidR="00757EBB" w:rsidRPr="0087045A">
        <w:rPr>
          <w:sz w:val="21"/>
          <w:szCs w:val="21"/>
        </w:rPr>
        <w:t xml:space="preserve">nity to consider, and through our membership contribute to, the submission </w:t>
      </w:r>
      <w:r w:rsidRPr="0087045A">
        <w:rPr>
          <w:sz w:val="21"/>
          <w:szCs w:val="21"/>
        </w:rPr>
        <w:t>produced by the Australian Bankers</w:t>
      </w:r>
      <w:r w:rsidR="00757EBB" w:rsidRPr="0087045A">
        <w:rPr>
          <w:sz w:val="21"/>
          <w:szCs w:val="21"/>
        </w:rPr>
        <w:t>’</w:t>
      </w:r>
      <w:r w:rsidRPr="0087045A">
        <w:rPr>
          <w:sz w:val="21"/>
          <w:szCs w:val="21"/>
        </w:rPr>
        <w:t xml:space="preserve"> Association</w:t>
      </w:r>
      <w:r w:rsidR="00011727">
        <w:rPr>
          <w:sz w:val="21"/>
          <w:szCs w:val="21"/>
        </w:rPr>
        <w:t xml:space="preserve"> (ABA)</w:t>
      </w:r>
      <w:r w:rsidRPr="0087045A">
        <w:rPr>
          <w:sz w:val="21"/>
          <w:szCs w:val="21"/>
        </w:rPr>
        <w:t xml:space="preserve">. The Commonwealth Bank </w:t>
      </w:r>
      <w:r w:rsidR="00757EBB" w:rsidRPr="0087045A">
        <w:rPr>
          <w:sz w:val="21"/>
          <w:szCs w:val="21"/>
        </w:rPr>
        <w:t>is supportive of the operating</w:t>
      </w:r>
      <w:r w:rsidRPr="0087045A">
        <w:rPr>
          <w:sz w:val="21"/>
          <w:szCs w:val="21"/>
        </w:rPr>
        <w:t xml:space="preserve"> model and ‘safe data sharing’ framework </w:t>
      </w:r>
      <w:r w:rsidR="00B11142" w:rsidRPr="0087045A">
        <w:rPr>
          <w:sz w:val="21"/>
          <w:szCs w:val="21"/>
        </w:rPr>
        <w:t xml:space="preserve">described </w:t>
      </w:r>
      <w:r w:rsidRPr="0087045A">
        <w:rPr>
          <w:sz w:val="21"/>
          <w:szCs w:val="21"/>
        </w:rPr>
        <w:t>by the ABA.</w:t>
      </w:r>
      <w:r w:rsidR="008431AC" w:rsidRPr="0087045A">
        <w:rPr>
          <w:sz w:val="21"/>
          <w:szCs w:val="21"/>
        </w:rPr>
        <w:t xml:space="preserve"> </w:t>
      </w:r>
      <w:r w:rsidR="00B643A4" w:rsidRPr="0087045A">
        <w:rPr>
          <w:sz w:val="21"/>
          <w:szCs w:val="21"/>
        </w:rPr>
        <w:t xml:space="preserve">Section I of this submission outlines the Commonwealth Bank’s thoughts regarding the </w:t>
      </w:r>
      <w:r w:rsidR="00757EBB" w:rsidRPr="0087045A">
        <w:rPr>
          <w:sz w:val="21"/>
          <w:szCs w:val="21"/>
        </w:rPr>
        <w:t xml:space="preserve">benefits </w:t>
      </w:r>
      <w:r w:rsidR="00B643A4" w:rsidRPr="0087045A">
        <w:rPr>
          <w:sz w:val="21"/>
          <w:szCs w:val="21"/>
        </w:rPr>
        <w:t xml:space="preserve">of the </w:t>
      </w:r>
      <w:r w:rsidR="00B11142" w:rsidRPr="0087045A">
        <w:rPr>
          <w:sz w:val="21"/>
          <w:szCs w:val="21"/>
        </w:rPr>
        <w:t xml:space="preserve">model outlined in the </w:t>
      </w:r>
      <w:r w:rsidR="00B643A4" w:rsidRPr="0087045A">
        <w:rPr>
          <w:sz w:val="21"/>
          <w:szCs w:val="21"/>
        </w:rPr>
        <w:t xml:space="preserve">ABA’s </w:t>
      </w:r>
      <w:r w:rsidR="00B11142" w:rsidRPr="0087045A">
        <w:rPr>
          <w:sz w:val="21"/>
          <w:szCs w:val="21"/>
        </w:rPr>
        <w:t>submission</w:t>
      </w:r>
      <w:r w:rsidR="00B643A4" w:rsidRPr="0087045A">
        <w:rPr>
          <w:sz w:val="21"/>
          <w:szCs w:val="21"/>
        </w:rPr>
        <w:t>.</w:t>
      </w:r>
    </w:p>
    <w:p w14:paraId="3B9EEB09" w14:textId="77777777" w:rsidR="00B643A4" w:rsidRPr="0087045A" w:rsidRDefault="00360B44" w:rsidP="00360B44">
      <w:pPr>
        <w:spacing w:after="120"/>
        <w:ind w:left="720"/>
        <w:jc w:val="both"/>
        <w:rPr>
          <w:b/>
          <w:i/>
          <w:sz w:val="21"/>
          <w:szCs w:val="21"/>
        </w:rPr>
      </w:pPr>
      <w:r>
        <w:rPr>
          <w:b/>
          <w:i/>
          <w:sz w:val="21"/>
          <w:szCs w:val="21"/>
        </w:rPr>
        <w:t xml:space="preserve">Proposal </w:t>
      </w:r>
      <w:r w:rsidR="00757EBB" w:rsidRPr="0087045A">
        <w:rPr>
          <w:b/>
          <w:i/>
          <w:sz w:val="21"/>
          <w:szCs w:val="21"/>
        </w:rPr>
        <w:t xml:space="preserve">2 </w:t>
      </w:r>
      <w:r w:rsidR="00B643A4" w:rsidRPr="0087045A">
        <w:rPr>
          <w:b/>
          <w:i/>
          <w:sz w:val="21"/>
          <w:szCs w:val="21"/>
        </w:rPr>
        <w:t xml:space="preserve">– </w:t>
      </w:r>
      <w:r w:rsidR="00FD4A52">
        <w:rPr>
          <w:b/>
          <w:i/>
          <w:sz w:val="21"/>
          <w:szCs w:val="21"/>
        </w:rPr>
        <w:t>Encourage t</w:t>
      </w:r>
      <w:r>
        <w:rPr>
          <w:b/>
          <w:i/>
          <w:sz w:val="21"/>
          <w:szCs w:val="21"/>
        </w:rPr>
        <w:t>he banking i</w:t>
      </w:r>
      <w:r w:rsidR="00757EBB" w:rsidRPr="0087045A">
        <w:rPr>
          <w:b/>
          <w:i/>
          <w:sz w:val="21"/>
          <w:szCs w:val="21"/>
        </w:rPr>
        <w:t xml:space="preserve">ndustry </w:t>
      </w:r>
      <w:r w:rsidR="00FD4A52">
        <w:rPr>
          <w:b/>
          <w:i/>
          <w:sz w:val="21"/>
          <w:szCs w:val="21"/>
        </w:rPr>
        <w:t xml:space="preserve">to </w:t>
      </w:r>
      <w:r w:rsidR="00757EBB" w:rsidRPr="0087045A">
        <w:rPr>
          <w:b/>
          <w:i/>
          <w:sz w:val="21"/>
          <w:szCs w:val="21"/>
        </w:rPr>
        <w:t>take proactive steps to implement Open Banking</w:t>
      </w:r>
    </w:p>
    <w:p w14:paraId="5AAB8598" w14:textId="77777777" w:rsidR="00B643A4" w:rsidRPr="0087045A" w:rsidRDefault="00721FB9" w:rsidP="00ED3B07">
      <w:pPr>
        <w:ind w:left="720"/>
        <w:jc w:val="both"/>
        <w:rPr>
          <w:sz w:val="21"/>
          <w:szCs w:val="21"/>
        </w:rPr>
      </w:pPr>
      <w:r>
        <w:rPr>
          <w:sz w:val="21"/>
          <w:szCs w:val="21"/>
        </w:rPr>
        <w:t xml:space="preserve">The </w:t>
      </w:r>
      <w:r w:rsidR="00360B44">
        <w:rPr>
          <w:sz w:val="21"/>
          <w:szCs w:val="21"/>
        </w:rPr>
        <w:t xml:space="preserve">banking industry should take steps to </w:t>
      </w:r>
      <w:r>
        <w:rPr>
          <w:sz w:val="21"/>
          <w:szCs w:val="21"/>
        </w:rPr>
        <w:t xml:space="preserve">proactively commence </w:t>
      </w:r>
      <w:r w:rsidR="00360B44">
        <w:rPr>
          <w:sz w:val="21"/>
          <w:szCs w:val="21"/>
        </w:rPr>
        <w:t>the implementation process. T</w:t>
      </w:r>
      <w:r w:rsidR="00757EBB" w:rsidRPr="0087045A">
        <w:rPr>
          <w:sz w:val="21"/>
          <w:szCs w:val="21"/>
        </w:rPr>
        <w:t xml:space="preserve">he Commonwealth Bank is already </w:t>
      </w:r>
      <w:r w:rsidR="00360B44">
        <w:rPr>
          <w:sz w:val="21"/>
          <w:szCs w:val="21"/>
        </w:rPr>
        <w:t xml:space="preserve">making investments </w:t>
      </w:r>
      <w:r w:rsidR="00757EBB" w:rsidRPr="0087045A">
        <w:rPr>
          <w:sz w:val="21"/>
          <w:szCs w:val="21"/>
        </w:rPr>
        <w:t xml:space="preserve">to ensure it is well-placed to support the Government’s </w:t>
      </w:r>
      <w:r w:rsidR="008021C9">
        <w:rPr>
          <w:sz w:val="21"/>
          <w:szCs w:val="21"/>
        </w:rPr>
        <w:t>objectives</w:t>
      </w:r>
      <w:r w:rsidR="00757EBB" w:rsidRPr="0087045A">
        <w:rPr>
          <w:sz w:val="21"/>
          <w:szCs w:val="21"/>
        </w:rPr>
        <w:t>. Section</w:t>
      </w:r>
      <w:r w:rsidR="005848D1" w:rsidRPr="0087045A">
        <w:rPr>
          <w:sz w:val="21"/>
          <w:szCs w:val="21"/>
        </w:rPr>
        <w:t> </w:t>
      </w:r>
      <w:r w:rsidR="00757EBB" w:rsidRPr="0087045A">
        <w:rPr>
          <w:sz w:val="21"/>
          <w:szCs w:val="21"/>
        </w:rPr>
        <w:t xml:space="preserve">II of this submission outlines </w:t>
      </w:r>
      <w:r>
        <w:rPr>
          <w:sz w:val="21"/>
          <w:szCs w:val="21"/>
        </w:rPr>
        <w:t xml:space="preserve">immediate and </w:t>
      </w:r>
      <w:r w:rsidR="00BE5EA6">
        <w:rPr>
          <w:sz w:val="21"/>
          <w:szCs w:val="21"/>
        </w:rPr>
        <w:t xml:space="preserve">ongoing </w:t>
      </w:r>
      <w:r w:rsidR="00757EBB" w:rsidRPr="0087045A">
        <w:rPr>
          <w:sz w:val="21"/>
          <w:szCs w:val="21"/>
        </w:rPr>
        <w:t>investments that the Commonwealth Bank is making</w:t>
      </w:r>
      <w:r w:rsidR="008431AC" w:rsidRPr="0087045A">
        <w:rPr>
          <w:sz w:val="21"/>
          <w:szCs w:val="21"/>
        </w:rPr>
        <w:t xml:space="preserve"> in relation to</w:t>
      </w:r>
      <w:r w:rsidR="00B643A4" w:rsidRPr="0087045A">
        <w:rPr>
          <w:sz w:val="21"/>
          <w:szCs w:val="21"/>
        </w:rPr>
        <w:t>:</w:t>
      </w:r>
    </w:p>
    <w:p w14:paraId="01310372" w14:textId="77777777" w:rsidR="00B643A4" w:rsidRPr="0087045A" w:rsidRDefault="00B643A4" w:rsidP="00ED3B07">
      <w:pPr>
        <w:pStyle w:val="ListParagraph"/>
        <w:numPr>
          <w:ilvl w:val="0"/>
          <w:numId w:val="17"/>
        </w:numPr>
        <w:ind w:left="1440"/>
        <w:jc w:val="both"/>
        <w:rPr>
          <w:sz w:val="21"/>
          <w:szCs w:val="21"/>
        </w:rPr>
      </w:pPr>
      <w:r w:rsidRPr="0087045A">
        <w:rPr>
          <w:sz w:val="21"/>
          <w:szCs w:val="21"/>
        </w:rPr>
        <w:t>making banking product and service reference data more easily accessible to the market;</w:t>
      </w:r>
    </w:p>
    <w:p w14:paraId="505DDD1E" w14:textId="77777777" w:rsidR="00B643A4" w:rsidRPr="0087045A" w:rsidRDefault="00757EBB" w:rsidP="00ED3B07">
      <w:pPr>
        <w:pStyle w:val="ListParagraph"/>
        <w:numPr>
          <w:ilvl w:val="0"/>
          <w:numId w:val="17"/>
        </w:numPr>
        <w:ind w:left="1440"/>
        <w:jc w:val="both"/>
        <w:rPr>
          <w:sz w:val="21"/>
          <w:szCs w:val="21"/>
        </w:rPr>
      </w:pPr>
      <w:r w:rsidRPr="0087045A">
        <w:rPr>
          <w:sz w:val="21"/>
          <w:szCs w:val="21"/>
        </w:rPr>
        <w:t xml:space="preserve">increasing </w:t>
      </w:r>
      <w:r w:rsidR="00B643A4" w:rsidRPr="0087045A">
        <w:rPr>
          <w:sz w:val="21"/>
          <w:szCs w:val="21"/>
        </w:rPr>
        <w:t>consumer education and literacy</w:t>
      </w:r>
      <w:r w:rsidR="00686840" w:rsidRPr="0087045A">
        <w:rPr>
          <w:sz w:val="21"/>
          <w:szCs w:val="21"/>
        </w:rPr>
        <w:t xml:space="preserve">, including </w:t>
      </w:r>
      <w:r w:rsidR="005848D1" w:rsidRPr="0087045A">
        <w:rPr>
          <w:sz w:val="21"/>
          <w:szCs w:val="21"/>
        </w:rPr>
        <w:t xml:space="preserve">educating customers around insecure data sharing practices and establishing </w:t>
      </w:r>
      <w:r w:rsidR="00686840" w:rsidRPr="0087045A">
        <w:rPr>
          <w:sz w:val="21"/>
          <w:szCs w:val="21"/>
        </w:rPr>
        <w:t>robust support mechanisms</w:t>
      </w:r>
      <w:r w:rsidR="00B643A4" w:rsidRPr="0087045A">
        <w:rPr>
          <w:sz w:val="21"/>
          <w:szCs w:val="21"/>
        </w:rPr>
        <w:t>; and</w:t>
      </w:r>
    </w:p>
    <w:p w14:paraId="3BF8A449" w14:textId="77777777" w:rsidR="00B643A4" w:rsidRPr="0087045A" w:rsidRDefault="00457545" w:rsidP="00ED3B07">
      <w:pPr>
        <w:pStyle w:val="ListParagraph"/>
        <w:numPr>
          <w:ilvl w:val="0"/>
          <w:numId w:val="17"/>
        </w:numPr>
        <w:ind w:left="1440"/>
        <w:jc w:val="both"/>
        <w:rPr>
          <w:sz w:val="21"/>
          <w:szCs w:val="21"/>
        </w:rPr>
      </w:pPr>
      <w:r w:rsidRPr="0087045A">
        <w:rPr>
          <w:sz w:val="21"/>
          <w:szCs w:val="21"/>
        </w:rPr>
        <w:t xml:space="preserve">investing in </w:t>
      </w:r>
      <w:r w:rsidR="00B643A4" w:rsidRPr="0087045A">
        <w:rPr>
          <w:sz w:val="21"/>
          <w:szCs w:val="21"/>
        </w:rPr>
        <w:t xml:space="preserve">digital identity solutions. </w:t>
      </w:r>
    </w:p>
    <w:p w14:paraId="4CC36866" w14:textId="77777777" w:rsidR="00B643A4" w:rsidRPr="0087045A" w:rsidRDefault="00360B44" w:rsidP="00360B44">
      <w:pPr>
        <w:spacing w:after="120"/>
        <w:ind w:left="720"/>
        <w:jc w:val="both"/>
        <w:rPr>
          <w:b/>
          <w:i/>
          <w:sz w:val="21"/>
          <w:szCs w:val="21"/>
        </w:rPr>
      </w:pPr>
      <w:r>
        <w:rPr>
          <w:b/>
          <w:i/>
          <w:sz w:val="21"/>
          <w:szCs w:val="21"/>
        </w:rPr>
        <w:t xml:space="preserve">Proposal </w:t>
      </w:r>
      <w:r w:rsidR="00757EBB" w:rsidRPr="0087045A">
        <w:rPr>
          <w:b/>
          <w:i/>
          <w:sz w:val="21"/>
          <w:szCs w:val="21"/>
        </w:rPr>
        <w:t xml:space="preserve">3 </w:t>
      </w:r>
      <w:r w:rsidR="00B643A4" w:rsidRPr="0087045A">
        <w:rPr>
          <w:b/>
          <w:i/>
          <w:sz w:val="21"/>
          <w:szCs w:val="21"/>
        </w:rPr>
        <w:t xml:space="preserve">– </w:t>
      </w:r>
      <w:r w:rsidR="00FD4A52">
        <w:rPr>
          <w:b/>
          <w:i/>
          <w:sz w:val="21"/>
          <w:szCs w:val="21"/>
        </w:rPr>
        <w:t>E</w:t>
      </w:r>
      <w:r w:rsidR="00ED3B07" w:rsidRPr="0087045A">
        <w:rPr>
          <w:b/>
          <w:i/>
          <w:sz w:val="21"/>
          <w:szCs w:val="21"/>
        </w:rPr>
        <w:t xml:space="preserve">nsure </w:t>
      </w:r>
      <w:r w:rsidR="00B643A4" w:rsidRPr="0087045A">
        <w:rPr>
          <w:b/>
          <w:i/>
          <w:sz w:val="21"/>
          <w:szCs w:val="21"/>
        </w:rPr>
        <w:t>the implementation process</w:t>
      </w:r>
      <w:r w:rsidR="00ED3B07" w:rsidRPr="0087045A">
        <w:rPr>
          <w:b/>
          <w:i/>
          <w:sz w:val="21"/>
          <w:szCs w:val="21"/>
        </w:rPr>
        <w:t xml:space="preserve"> is executed efficiently </w:t>
      </w:r>
    </w:p>
    <w:p w14:paraId="7F88EFC3" w14:textId="77777777" w:rsidR="00B643A4" w:rsidRPr="0087045A" w:rsidRDefault="008E5E8A" w:rsidP="008E5E8A">
      <w:pPr>
        <w:spacing w:before="120" w:after="360"/>
        <w:ind w:left="720"/>
        <w:jc w:val="both"/>
        <w:rPr>
          <w:sz w:val="21"/>
          <w:szCs w:val="21"/>
        </w:rPr>
      </w:pPr>
      <w:r>
        <w:rPr>
          <w:sz w:val="21"/>
          <w:szCs w:val="21"/>
        </w:rPr>
        <w:t xml:space="preserve">The experience from the UK’s implementation of Open Banking suggests the cost to the Government and industry </w:t>
      </w:r>
      <w:r w:rsidR="00721FB9">
        <w:rPr>
          <w:sz w:val="21"/>
          <w:szCs w:val="21"/>
        </w:rPr>
        <w:t xml:space="preserve">will </w:t>
      </w:r>
      <w:r>
        <w:rPr>
          <w:sz w:val="21"/>
          <w:szCs w:val="21"/>
        </w:rPr>
        <w:t xml:space="preserve">be </w:t>
      </w:r>
      <w:r w:rsidR="00721FB9">
        <w:rPr>
          <w:sz w:val="21"/>
          <w:szCs w:val="21"/>
        </w:rPr>
        <w:t>significant</w:t>
      </w:r>
      <w:r w:rsidR="00ED3B07" w:rsidRPr="0087045A">
        <w:rPr>
          <w:sz w:val="21"/>
          <w:szCs w:val="21"/>
        </w:rPr>
        <w:t>.</w:t>
      </w:r>
      <w:r w:rsidR="008431AC" w:rsidRPr="0087045A">
        <w:rPr>
          <w:sz w:val="21"/>
          <w:szCs w:val="21"/>
        </w:rPr>
        <w:t xml:space="preserve"> </w:t>
      </w:r>
      <w:r w:rsidR="00D570BB" w:rsidRPr="0087045A">
        <w:rPr>
          <w:sz w:val="21"/>
          <w:szCs w:val="21"/>
        </w:rPr>
        <w:t xml:space="preserve">Section III of this submission </w:t>
      </w:r>
      <w:r w:rsidR="00ED3B07" w:rsidRPr="0087045A">
        <w:rPr>
          <w:sz w:val="21"/>
          <w:szCs w:val="21"/>
        </w:rPr>
        <w:t>outlines some of that research together with suggestions regarding ways to manage the implementation process efficiently</w:t>
      </w:r>
      <w:r w:rsidR="00D570BB" w:rsidRPr="0087045A">
        <w:rPr>
          <w:sz w:val="21"/>
          <w:szCs w:val="21"/>
        </w:rPr>
        <w:t xml:space="preserve">. </w:t>
      </w:r>
    </w:p>
    <w:tbl>
      <w:tblPr>
        <w:tblStyle w:val="TableGrid"/>
        <w:tblW w:w="0" w:type="auto"/>
        <w:tblInd w:w="720" w:type="dxa"/>
        <w:tblLook w:val="04A0" w:firstRow="1" w:lastRow="0" w:firstColumn="1" w:lastColumn="0" w:noHBand="0" w:noVBand="1"/>
      </w:tblPr>
      <w:tblGrid>
        <w:gridCol w:w="7922"/>
      </w:tblGrid>
      <w:tr w:rsidR="008C659A" w:rsidRPr="0087045A" w14:paraId="25D2A5E1" w14:textId="77777777" w:rsidTr="004C083A">
        <w:tc>
          <w:tcPr>
            <w:tcW w:w="7922" w:type="dxa"/>
          </w:tcPr>
          <w:p w14:paraId="4362FC75" w14:textId="77777777" w:rsidR="008C659A" w:rsidRPr="0087045A" w:rsidRDefault="008C659A" w:rsidP="0087045A">
            <w:pPr>
              <w:pStyle w:val="Heading3"/>
              <w:outlineLvl w:val="2"/>
            </w:pPr>
            <w:bookmarkStart w:id="3" w:name="_Toc493861270"/>
            <w:r w:rsidRPr="0087045A">
              <w:t>Figure 1</w:t>
            </w:r>
            <w:r w:rsidR="0087045A">
              <w:br/>
            </w:r>
            <w:r w:rsidR="008835FD">
              <w:t>The b</w:t>
            </w:r>
            <w:r w:rsidRPr="0087045A">
              <w:t>enefits of Open Banking</w:t>
            </w:r>
            <w:bookmarkEnd w:id="3"/>
          </w:p>
          <w:p w14:paraId="477BEEA4" w14:textId="77777777" w:rsidR="008C659A" w:rsidRPr="0087045A" w:rsidRDefault="008C659A" w:rsidP="00F176CB">
            <w:pPr>
              <w:jc w:val="center"/>
              <w:rPr>
                <w:sz w:val="21"/>
                <w:szCs w:val="21"/>
              </w:rPr>
            </w:pPr>
          </w:p>
          <w:p w14:paraId="787EF71F" w14:textId="77777777" w:rsidR="00924D0B" w:rsidRPr="0087045A" w:rsidRDefault="00FA5871" w:rsidP="00F176CB">
            <w:pPr>
              <w:rPr>
                <w:sz w:val="21"/>
                <w:szCs w:val="21"/>
              </w:rPr>
            </w:pPr>
            <w:r>
              <w:rPr>
                <w:sz w:val="21"/>
                <w:szCs w:val="21"/>
              </w:rPr>
              <w:t xml:space="preserve">The Open Banking model puts consumers in </w:t>
            </w:r>
            <w:r w:rsidR="00416B11">
              <w:rPr>
                <w:sz w:val="21"/>
                <w:szCs w:val="21"/>
              </w:rPr>
              <w:t xml:space="preserve">direct </w:t>
            </w:r>
            <w:r>
              <w:rPr>
                <w:sz w:val="21"/>
                <w:szCs w:val="21"/>
              </w:rPr>
              <w:t xml:space="preserve">control </w:t>
            </w:r>
            <w:r w:rsidR="00721FB9">
              <w:rPr>
                <w:sz w:val="21"/>
                <w:szCs w:val="21"/>
              </w:rPr>
              <w:t xml:space="preserve">of access to </w:t>
            </w:r>
            <w:r w:rsidR="008E5E8A">
              <w:rPr>
                <w:sz w:val="21"/>
                <w:szCs w:val="21"/>
              </w:rPr>
              <w:t xml:space="preserve">data through </w:t>
            </w:r>
            <w:r w:rsidR="00416B11">
              <w:rPr>
                <w:sz w:val="21"/>
                <w:szCs w:val="21"/>
              </w:rPr>
              <w:t>trusted relationships</w:t>
            </w:r>
            <w:r w:rsidR="008E5E8A">
              <w:rPr>
                <w:sz w:val="21"/>
                <w:szCs w:val="21"/>
              </w:rPr>
              <w:t>. It</w:t>
            </w:r>
            <w:r>
              <w:rPr>
                <w:sz w:val="21"/>
                <w:szCs w:val="21"/>
              </w:rPr>
              <w:t xml:space="preserve"> upholds protection and cyber security standards, and features a streamlined accreditation utility. The benefits of this </w:t>
            </w:r>
            <w:r w:rsidR="00FD4A52">
              <w:rPr>
                <w:sz w:val="21"/>
                <w:szCs w:val="21"/>
              </w:rPr>
              <w:t xml:space="preserve">model </w:t>
            </w:r>
            <w:r w:rsidR="00391B9C">
              <w:rPr>
                <w:sz w:val="21"/>
                <w:szCs w:val="21"/>
              </w:rPr>
              <w:t xml:space="preserve">will </w:t>
            </w:r>
            <w:r w:rsidR="00FD4A52">
              <w:rPr>
                <w:sz w:val="21"/>
                <w:szCs w:val="21"/>
              </w:rPr>
              <w:t>extend to consumers, new en</w:t>
            </w:r>
            <w:r w:rsidR="00391B9C">
              <w:rPr>
                <w:sz w:val="21"/>
                <w:szCs w:val="21"/>
              </w:rPr>
              <w:t xml:space="preserve">trants, </w:t>
            </w:r>
            <w:r w:rsidR="00F469F7">
              <w:rPr>
                <w:sz w:val="21"/>
                <w:szCs w:val="21"/>
              </w:rPr>
              <w:t xml:space="preserve">the </w:t>
            </w:r>
            <w:r w:rsidR="00391B9C">
              <w:rPr>
                <w:sz w:val="21"/>
                <w:szCs w:val="21"/>
              </w:rPr>
              <w:t xml:space="preserve">Government and </w:t>
            </w:r>
            <w:r w:rsidR="00FD4A52">
              <w:rPr>
                <w:sz w:val="21"/>
                <w:szCs w:val="21"/>
              </w:rPr>
              <w:t xml:space="preserve">current participants: </w:t>
            </w:r>
          </w:p>
          <w:p w14:paraId="39DB4F88" w14:textId="77777777" w:rsidR="00924D0B" w:rsidRPr="0087045A" w:rsidRDefault="00924D0B" w:rsidP="00F176CB">
            <w:pPr>
              <w:rPr>
                <w:sz w:val="21"/>
                <w:szCs w:val="21"/>
              </w:rPr>
            </w:pPr>
          </w:p>
          <w:p w14:paraId="2D86E435" w14:textId="77777777" w:rsidR="00924D0B" w:rsidRPr="0087045A" w:rsidRDefault="00924D0B" w:rsidP="00445D81">
            <w:pPr>
              <w:spacing w:after="120"/>
              <w:ind w:left="726" w:hanging="284"/>
              <w:rPr>
                <w:sz w:val="21"/>
                <w:szCs w:val="21"/>
              </w:rPr>
            </w:pPr>
            <w:r w:rsidRPr="0087045A">
              <w:rPr>
                <w:sz w:val="21"/>
                <w:szCs w:val="21"/>
              </w:rPr>
              <w:sym w:font="Wingdings" w:char="F0FC"/>
            </w:r>
            <w:r w:rsidRPr="0087045A">
              <w:rPr>
                <w:sz w:val="21"/>
                <w:szCs w:val="21"/>
              </w:rPr>
              <w:t xml:space="preserve">  Consumers will enjoy greater access to data </w:t>
            </w:r>
            <w:r w:rsidR="00FD4A52">
              <w:rPr>
                <w:sz w:val="21"/>
                <w:szCs w:val="21"/>
              </w:rPr>
              <w:t xml:space="preserve">encouraging </w:t>
            </w:r>
            <w:r w:rsidR="00EE597F">
              <w:rPr>
                <w:sz w:val="21"/>
                <w:szCs w:val="21"/>
              </w:rPr>
              <w:t xml:space="preserve">increased  </w:t>
            </w:r>
            <w:r w:rsidR="00FD4A52">
              <w:rPr>
                <w:sz w:val="21"/>
                <w:szCs w:val="21"/>
              </w:rPr>
              <w:t>engagement, product comparison and increased competition</w:t>
            </w:r>
            <w:r w:rsidRPr="0087045A">
              <w:rPr>
                <w:sz w:val="21"/>
                <w:szCs w:val="21"/>
              </w:rPr>
              <w:t>.</w:t>
            </w:r>
          </w:p>
          <w:p w14:paraId="2AED89E4" w14:textId="77777777" w:rsidR="00924D0B" w:rsidRPr="0087045A" w:rsidRDefault="00924D0B" w:rsidP="00445D81">
            <w:pPr>
              <w:spacing w:after="120"/>
              <w:ind w:left="726" w:hanging="284"/>
              <w:rPr>
                <w:sz w:val="21"/>
                <w:szCs w:val="21"/>
              </w:rPr>
            </w:pPr>
            <w:r w:rsidRPr="0087045A">
              <w:rPr>
                <w:sz w:val="21"/>
                <w:szCs w:val="21"/>
              </w:rPr>
              <w:sym w:font="Wingdings" w:char="F0FC"/>
            </w:r>
            <w:r w:rsidRPr="0087045A">
              <w:rPr>
                <w:sz w:val="21"/>
                <w:szCs w:val="21"/>
              </w:rPr>
              <w:t xml:space="preserve">  Consumers will be able to assess the trustworthiness of organis</w:t>
            </w:r>
            <w:r w:rsidR="00EE6F32" w:rsidRPr="0087045A">
              <w:rPr>
                <w:sz w:val="21"/>
                <w:szCs w:val="21"/>
              </w:rPr>
              <w:t>a</w:t>
            </w:r>
            <w:r w:rsidRPr="0087045A">
              <w:rPr>
                <w:sz w:val="21"/>
                <w:szCs w:val="21"/>
              </w:rPr>
              <w:t>tions before sharing their data.</w:t>
            </w:r>
          </w:p>
          <w:p w14:paraId="75CFB1FD" w14:textId="77777777" w:rsidR="00924D0B" w:rsidRDefault="00924D0B" w:rsidP="00445D81">
            <w:pPr>
              <w:spacing w:after="120"/>
              <w:ind w:left="726" w:hanging="284"/>
              <w:rPr>
                <w:sz w:val="21"/>
                <w:szCs w:val="21"/>
              </w:rPr>
            </w:pPr>
            <w:r w:rsidRPr="0087045A">
              <w:rPr>
                <w:sz w:val="21"/>
                <w:szCs w:val="21"/>
              </w:rPr>
              <w:sym w:font="Wingdings" w:char="F0FC"/>
            </w:r>
            <w:r w:rsidRPr="0087045A">
              <w:rPr>
                <w:sz w:val="21"/>
                <w:szCs w:val="21"/>
              </w:rPr>
              <w:t xml:space="preserve">  </w:t>
            </w:r>
            <w:r w:rsidR="00FD4A52">
              <w:rPr>
                <w:sz w:val="21"/>
                <w:szCs w:val="21"/>
              </w:rPr>
              <w:t xml:space="preserve">New market entrants </w:t>
            </w:r>
            <w:r w:rsidRPr="0087045A">
              <w:rPr>
                <w:sz w:val="21"/>
                <w:szCs w:val="21"/>
              </w:rPr>
              <w:t xml:space="preserve">will be able </w:t>
            </w:r>
            <w:r w:rsidR="008E5E8A">
              <w:rPr>
                <w:sz w:val="21"/>
                <w:szCs w:val="21"/>
              </w:rPr>
              <w:t xml:space="preserve">to </w:t>
            </w:r>
            <w:r w:rsidR="00FD4A52">
              <w:rPr>
                <w:sz w:val="21"/>
                <w:szCs w:val="21"/>
              </w:rPr>
              <w:t xml:space="preserve">leverage the </w:t>
            </w:r>
            <w:r w:rsidR="00EE6F32" w:rsidRPr="0087045A">
              <w:rPr>
                <w:sz w:val="21"/>
                <w:szCs w:val="21"/>
              </w:rPr>
              <w:t xml:space="preserve">distribution </w:t>
            </w:r>
            <w:r w:rsidR="00FD4A52">
              <w:rPr>
                <w:sz w:val="21"/>
                <w:szCs w:val="21"/>
              </w:rPr>
              <w:t>reach of the established participants</w:t>
            </w:r>
            <w:r w:rsidRPr="0087045A">
              <w:rPr>
                <w:sz w:val="21"/>
                <w:szCs w:val="21"/>
              </w:rPr>
              <w:t>.</w:t>
            </w:r>
          </w:p>
          <w:p w14:paraId="3BEC1FA9" w14:textId="77777777" w:rsidR="00391B9C" w:rsidRPr="0087045A" w:rsidRDefault="00391B9C" w:rsidP="00445D81">
            <w:pPr>
              <w:spacing w:after="120"/>
              <w:ind w:left="726" w:hanging="284"/>
              <w:rPr>
                <w:sz w:val="21"/>
                <w:szCs w:val="21"/>
              </w:rPr>
            </w:pPr>
            <w:r w:rsidRPr="0087045A">
              <w:rPr>
                <w:sz w:val="21"/>
                <w:szCs w:val="21"/>
              </w:rPr>
              <w:sym w:font="Wingdings" w:char="F0FC"/>
            </w:r>
            <w:r w:rsidRPr="0087045A">
              <w:rPr>
                <w:sz w:val="21"/>
                <w:szCs w:val="21"/>
              </w:rPr>
              <w:t xml:space="preserve">  </w:t>
            </w:r>
            <w:r>
              <w:rPr>
                <w:sz w:val="21"/>
                <w:szCs w:val="21"/>
              </w:rPr>
              <w:t>New market entrants will have clarity of what standard they need to reach to participate in the Open Banking model.</w:t>
            </w:r>
          </w:p>
          <w:p w14:paraId="6C876DAF" w14:textId="77777777" w:rsidR="008C659A" w:rsidRDefault="00924D0B" w:rsidP="00391B9C">
            <w:pPr>
              <w:spacing w:after="120"/>
              <w:ind w:left="726" w:hanging="284"/>
              <w:rPr>
                <w:sz w:val="21"/>
                <w:szCs w:val="21"/>
              </w:rPr>
            </w:pPr>
            <w:r w:rsidRPr="0087045A">
              <w:rPr>
                <w:sz w:val="21"/>
                <w:szCs w:val="21"/>
              </w:rPr>
              <w:sym w:font="Wingdings" w:char="F0FC"/>
            </w:r>
            <w:r w:rsidRPr="0087045A">
              <w:rPr>
                <w:sz w:val="21"/>
                <w:szCs w:val="21"/>
              </w:rPr>
              <w:t xml:space="preserve">  </w:t>
            </w:r>
            <w:r w:rsidR="00391B9C">
              <w:rPr>
                <w:sz w:val="21"/>
                <w:szCs w:val="21"/>
              </w:rPr>
              <w:t xml:space="preserve">Established participants will be able to offer new competitive </w:t>
            </w:r>
            <w:r w:rsidR="00FA5871">
              <w:rPr>
                <w:sz w:val="21"/>
                <w:szCs w:val="21"/>
              </w:rPr>
              <w:t xml:space="preserve">services and </w:t>
            </w:r>
            <w:r w:rsidR="00391B9C">
              <w:rPr>
                <w:sz w:val="21"/>
                <w:szCs w:val="21"/>
              </w:rPr>
              <w:t xml:space="preserve">innovative </w:t>
            </w:r>
            <w:r w:rsidR="00FA5871">
              <w:rPr>
                <w:sz w:val="21"/>
                <w:szCs w:val="21"/>
              </w:rPr>
              <w:t>partnerships</w:t>
            </w:r>
            <w:r w:rsidR="00391B9C">
              <w:rPr>
                <w:sz w:val="21"/>
                <w:szCs w:val="21"/>
              </w:rPr>
              <w:t>, enabled by greater access to data across the industry</w:t>
            </w:r>
            <w:r w:rsidR="00FD4A52">
              <w:rPr>
                <w:sz w:val="21"/>
                <w:szCs w:val="21"/>
              </w:rPr>
              <w:t>.</w:t>
            </w:r>
          </w:p>
          <w:p w14:paraId="2287C3DE" w14:textId="77777777" w:rsidR="00391B9C" w:rsidRDefault="00391B9C" w:rsidP="00391B9C">
            <w:pPr>
              <w:spacing w:after="120"/>
              <w:ind w:left="726" w:hanging="284"/>
              <w:rPr>
                <w:sz w:val="21"/>
                <w:szCs w:val="21"/>
              </w:rPr>
            </w:pPr>
            <w:r w:rsidRPr="0087045A">
              <w:rPr>
                <w:sz w:val="21"/>
                <w:szCs w:val="21"/>
              </w:rPr>
              <w:sym w:font="Wingdings" w:char="F0FC"/>
            </w:r>
            <w:r w:rsidRPr="0087045A">
              <w:rPr>
                <w:sz w:val="21"/>
                <w:szCs w:val="21"/>
              </w:rPr>
              <w:t xml:space="preserve">  </w:t>
            </w:r>
            <w:r>
              <w:rPr>
                <w:sz w:val="21"/>
                <w:szCs w:val="21"/>
              </w:rPr>
              <w:t>Government can use the Open Banking model as a template for other industries.</w:t>
            </w:r>
          </w:p>
          <w:p w14:paraId="4D71E7B3" w14:textId="77777777" w:rsidR="00AA2E8B" w:rsidRPr="0087045A" w:rsidRDefault="00391B9C" w:rsidP="00F469F7">
            <w:pPr>
              <w:spacing w:after="240"/>
              <w:ind w:left="726" w:hanging="284"/>
              <w:rPr>
                <w:sz w:val="21"/>
                <w:szCs w:val="21"/>
              </w:rPr>
            </w:pPr>
            <w:r w:rsidRPr="0087045A">
              <w:rPr>
                <w:sz w:val="21"/>
                <w:szCs w:val="21"/>
              </w:rPr>
              <w:sym w:font="Wingdings" w:char="F0FC"/>
            </w:r>
            <w:r w:rsidRPr="0087045A">
              <w:rPr>
                <w:sz w:val="21"/>
                <w:szCs w:val="21"/>
              </w:rPr>
              <w:t xml:space="preserve">  </w:t>
            </w:r>
            <w:r>
              <w:rPr>
                <w:sz w:val="21"/>
                <w:szCs w:val="21"/>
              </w:rPr>
              <w:t xml:space="preserve">Government can use the Accreditation Utility to define </w:t>
            </w:r>
            <w:r w:rsidR="00FA5871">
              <w:rPr>
                <w:sz w:val="21"/>
                <w:szCs w:val="21"/>
              </w:rPr>
              <w:t xml:space="preserve">and continually uplift </w:t>
            </w:r>
            <w:r>
              <w:rPr>
                <w:sz w:val="21"/>
                <w:szCs w:val="21"/>
              </w:rPr>
              <w:t xml:space="preserve">cyber standards </w:t>
            </w:r>
            <w:r w:rsidR="008E5E8A">
              <w:rPr>
                <w:sz w:val="21"/>
                <w:szCs w:val="21"/>
              </w:rPr>
              <w:t>and other consumer protections</w:t>
            </w:r>
            <w:r w:rsidR="00FA5871">
              <w:rPr>
                <w:sz w:val="21"/>
                <w:szCs w:val="21"/>
              </w:rPr>
              <w:t>.</w:t>
            </w:r>
          </w:p>
        </w:tc>
      </w:tr>
    </w:tbl>
    <w:p w14:paraId="1D327924" w14:textId="77777777" w:rsidR="008E5E8A" w:rsidRDefault="008E5E8A" w:rsidP="00A561AE">
      <w:pPr>
        <w:spacing w:before="360"/>
        <w:rPr>
          <w:rStyle w:val="Heading1Char"/>
        </w:rPr>
      </w:pPr>
    </w:p>
    <w:p w14:paraId="345E09BC" w14:textId="77777777" w:rsidR="004B7423" w:rsidRPr="00A561AE" w:rsidRDefault="00473D18" w:rsidP="00A561AE">
      <w:pPr>
        <w:spacing w:before="360"/>
        <w:rPr>
          <w:b/>
        </w:rPr>
      </w:pPr>
      <w:bookmarkStart w:id="4" w:name="_Toc493861271"/>
      <w:r w:rsidRPr="0087045A">
        <w:rPr>
          <w:rStyle w:val="Heading1Char"/>
        </w:rPr>
        <w:t>Section I</w:t>
      </w:r>
      <w:bookmarkEnd w:id="4"/>
      <w:r w:rsidR="00A561AE">
        <w:rPr>
          <w:rStyle w:val="Heading1Char"/>
        </w:rPr>
        <w:br/>
      </w:r>
      <w:r w:rsidRPr="0087045A">
        <w:rPr>
          <w:rStyle w:val="Heading2Char"/>
        </w:rPr>
        <w:t xml:space="preserve">The Commonwealth Bank supports the </w:t>
      </w:r>
      <w:r w:rsidR="00B11142" w:rsidRPr="0087045A">
        <w:rPr>
          <w:rStyle w:val="Heading2Char"/>
        </w:rPr>
        <w:t xml:space="preserve">model described by the </w:t>
      </w:r>
      <w:r w:rsidRPr="0087045A">
        <w:rPr>
          <w:rStyle w:val="Heading2Char"/>
        </w:rPr>
        <w:t>ABA</w:t>
      </w:r>
      <w:r w:rsidRPr="0087045A">
        <w:t xml:space="preserve"> </w:t>
      </w:r>
    </w:p>
    <w:p w14:paraId="16A838DB" w14:textId="77777777" w:rsidR="00473D18" w:rsidRDefault="00473D18" w:rsidP="003A4ADC">
      <w:pPr>
        <w:jc w:val="both"/>
        <w:rPr>
          <w:sz w:val="21"/>
          <w:szCs w:val="21"/>
        </w:rPr>
      </w:pPr>
      <w:r w:rsidRPr="0087045A">
        <w:rPr>
          <w:sz w:val="21"/>
          <w:szCs w:val="21"/>
        </w:rPr>
        <w:t>The Australian Bankers’ Association submission</w:t>
      </w:r>
      <w:r w:rsidRPr="0087045A">
        <w:rPr>
          <w:rStyle w:val="FootnoteReference"/>
          <w:sz w:val="21"/>
          <w:szCs w:val="21"/>
        </w:rPr>
        <w:footnoteReference w:id="1"/>
      </w:r>
      <w:r w:rsidRPr="0087045A">
        <w:rPr>
          <w:sz w:val="21"/>
          <w:szCs w:val="21"/>
        </w:rPr>
        <w:t xml:space="preserve"> outlines a proposal for implementing Open Banking that comprises (i) an operating model, overseen by </w:t>
      </w:r>
      <w:r w:rsidR="00F469F7">
        <w:rPr>
          <w:sz w:val="21"/>
          <w:szCs w:val="21"/>
        </w:rPr>
        <w:t xml:space="preserve">the </w:t>
      </w:r>
      <w:r w:rsidRPr="0087045A">
        <w:rPr>
          <w:sz w:val="21"/>
          <w:szCs w:val="21"/>
        </w:rPr>
        <w:t xml:space="preserve">Government, that is based on </w:t>
      </w:r>
      <w:r w:rsidR="006D2417">
        <w:rPr>
          <w:sz w:val="21"/>
          <w:szCs w:val="21"/>
        </w:rPr>
        <w:t xml:space="preserve">participants (both organisations transferring data as well as data </w:t>
      </w:r>
      <w:r w:rsidRPr="0087045A">
        <w:rPr>
          <w:sz w:val="21"/>
          <w:szCs w:val="21"/>
        </w:rPr>
        <w:t>recipients</w:t>
      </w:r>
      <w:r w:rsidR="006D2417">
        <w:rPr>
          <w:sz w:val="21"/>
          <w:szCs w:val="21"/>
        </w:rPr>
        <w:t>)</w:t>
      </w:r>
      <w:r w:rsidRPr="0087045A">
        <w:rPr>
          <w:sz w:val="21"/>
          <w:szCs w:val="21"/>
        </w:rPr>
        <w:t xml:space="preserve"> being accredited so that consumers have confidence that their data will be h</w:t>
      </w:r>
      <w:r w:rsidR="00215FAC">
        <w:rPr>
          <w:sz w:val="21"/>
          <w:szCs w:val="21"/>
        </w:rPr>
        <w:t>andled</w:t>
      </w:r>
      <w:r w:rsidR="00D463AA">
        <w:rPr>
          <w:sz w:val="21"/>
          <w:szCs w:val="21"/>
        </w:rPr>
        <w:t xml:space="preserve"> according</w:t>
      </w:r>
      <w:r w:rsidR="00215FAC">
        <w:rPr>
          <w:sz w:val="21"/>
          <w:szCs w:val="21"/>
        </w:rPr>
        <w:t xml:space="preserve"> to the highest standards</w:t>
      </w:r>
      <w:r w:rsidRPr="0087045A">
        <w:rPr>
          <w:sz w:val="21"/>
          <w:szCs w:val="21"/>
        </w:rPr>
        <w:t xml:space="preserve"> and (ii) a consumer oriented mechanism for data sharing that is triggered by </w:t>
      </w:r>
      <w:r w:rsidR="00EE597F">
        <w:rPr>
          <w:sz w:val="21"/>
          <w:szCs w:val="21"/>
        </w:rPr>
        <w:t xml:space="preserve">clear informed </w:t>
      </w:r>
      <w:r w:rsidRPr="0087045A">
        <w:rPr>
          <w:sz w:val="21"/>
          <w:szCs w:val="21"/>
        </w:rPr>
        <w:t>choice, which puts consumers in control.</w:t>
      </w:r>
      <w:r w:rsidR="00360B44">
        <w:rPr>
          <w:rStyle w:val="FootnoteReference"/>
          <w:sz w:val="21"/>
          <w:szCs w:val="21"/>
        </w:rPr>
        <w:footnoteReference w:id="2"/>
      </w:r>
    </w:p>
    <w:p w14:paraId="4E99EEF1" w14:textId="77777777" w:rsidR="006D2417" w:rsidRPr="0087045A" w:rsidRDefault="006D2417" w:rsidP="006D2417">
      <w:pPr>
        <w:jc w:val="both"/>
        <w:rPr>
          <w:sz w:val="21"/>
          <w:szCs w:val="21"/>
        </w:rPr>
      </w:pPr>
      <w:r w:rsidRPr="0087045A">
        <w:rPr>
          <w:sz w:val="21"/>
          <w:szCs w:val="21"/>
        </w:rPr>
        <w:t xml:space="preserve">The Commonwealth Bank has had the opportunity to consider the ABA’s submission in advance and, through our membership, contribute to its development. The Commonwealth Bank </w:t>
      </w:r>
      <w:r w:rsidR="008E5E8A">
        <w:rPr>
          <w:sz w:val="21"/>
          <w:szCs w:val="21"/>
        </w:rPr>
        <w:t xml:space="preserve">supports </w:t>
      </w:r>
      <w:r w:rsidRPr="0087045A">
        <w:rPr>
          <w:sz w:val="21"/>
          <w:szCs w:val="21"/>
        </w:rPr>
        <w:t>the model</w:t>
      </w:r>
      <w:r w:rsidR="008E5E8A">
        <w:rPr>
          <w:sz w:val="21"/>
          <w:szCs w:val="21"/>
        </w:rPr>
        <w:t xml:space="preserve"> and notes that </w:t>
      </w:r>
      <w:r w:rsidR="00EE597F">
        <w:rPr>
          <w:sz w:val="21"/>
          <w:szCs w:val="21"/>
        </w:rPr>
        <w:t xml:space="preserve">it </w:t>
      </w:r>
      <w:r w:rsidR="008E5E8A">
        <w:rPr>
          <w:sz w:val="21"/>
          <w:szCs w:val="21"/>
        </w:rPr>
        <w:t>offers s</w:t>
      </w:r>
      <w:r>
        <w:rPr>
          <w:sz w:val="21"/>
          <w:szCs w:val="21"/>
        </w:rPr>
        <w:t xml:space="preserve">pecific </w:t>
      </w:r>
      <w:r w:rsidRPr="0087045A">
        <w:rPr>
          <w:sz w:val="21"/>
          <w:szCs w:val="21"/>
        </w:rPr>
        <w:t>advantages.</w:t>
      </w:r>
      <w:r>
        <w:rPr>
          <w:sz w:val="21"/>
          <w:szCs w:val="21"/>
        </w:rPr>
        <w:t xml:space="preserve"> </w:t>
      </w:r>
    </w:p>
    <w:p w14:paraId="02707509" w14:textId="77777777" w:rsidR="006D2417" w:rsidRPr="0087045A" w:rsidRDefault="006D2417" w:rsidP="006D2417">
      <w:pPr>
        <w:jc w:val="both"/>
        <w:rPr>
          <w:sz w:val="21"/>
          <w:szCs w:val="21"/>
        </w:rPr>
      </w:pPr>
      <w:r w:rsidRPr="0087045A">
        <w:rPr>
          <w:sz w:val="21"/>
          <w:szCs w:val="21"/>
        </w:rPr>
        <w:t xml:space="preserve">Firstly, the ABA’s data sharing framework is centred </w:t>
      </w:r>
      <w:r w:rsidR="00416B11">
        <w:rPr>
          <w:sz w:val="21"/>
          <w:szCs w:val="21"/>
        </w:rPr>
        <w:t>on</w:t>
      </w:r>
      <w:r w:rsidRPr="0087045A">
        <w:rPr>
          <w:sz w:val="21"/>
          <w:szCs w:val="21"/>
        </w:rPr>
        <w:t xml:space="preserve"> informed </w:t>
      </w:r>
      <w:r>
        <w:rPr>
          <w:sz w:val="21"/>
          <w:szCs w:val="21"/>
        </w:rPr>
        <w:t xml:space="preserve">consumer </w:t>
      </w:r>
      <w:r w:rsidRPr="0087045A">
        <w:rPr>
          <w:sz w:val="21"/>
          <w:szCs w:val="21"/>
        </w:rPr>
        <w:t>consent. There are specific points in the proposed data sharing process where the user is prompted to nominate:</w:t>
      </w:r>
    </w:p>
    <w:p w14:paraId="2F4699CF" w14:textId="77777777" w:rsidR="006D2417" w:rsidRPr="0087045A" w:rsidRDefault="006D2417" w:rsidP="006D2417">
      <w:pPr>
        <w:pStyle w:val="ListParagraph"/>
        <w:numPr>
          <w:ilvl w:val="0"/>
          <w:numId w:val="18"/>
        </w:numPr>
        <w:jc w:val="both"/>
        <w:rPr>
          <w:sz w:val="21"/>
          <w:szCs w:val="21"/>
        </w:rPr>
      </w:pPr>
      <w:r w:rsidRPr="0087045A">
        <w:rPr>
          <w:sz w:val="21"/>
          <w:szCs w:val="21"/>
        </w:rPr>
        <w:t xml:space="preserve">the </w:t>
      </w:r>
      <w:r w:rsidR="00721FB9">
        <w:rPr>
          <w:sz w:val="21"/>
          <w:szCs w:val="21"/>
        </w:rPr>
        <w:t>accredited participant to receive data</w:t>
      </w:r>
      <w:r w:rsidRPr="0087045A">
        <w:rPr>
          <w:sz w:val="21"/>
          <w:szCs w:val="21"/>
        </w:rPr>
        <w:t>;</w:t>
      </w:r>
    </w:p>
    <w:p w14:paraId="4287753D" w14:textId="77777777" w:rsidR="006D2417" w:rsidRPr="0087045A" w:rsidRDefault="006D2417" w:rsidP="006D2417">
      <w:pPr>
        <w:pStyle w:val="ListParagraph"/>
        <w:numPr>
          <w:ilvl w:val="0"/>
          <w:numId w:val="18"/>
        </w:numPr>
        <w:jc w:val="both"/>
        <w:rPr>
          <w:sz w:val="21"/>
          <w:szCs w:val="21"/>
        </w:rPr>
      </w:pPr>
      <w:r w:rsidRPr="0087045A">
        <w:rPr>
          <w:sz w:val="21"/>
          <w:szCs w:val="21"/>
        </w:rPr>
        <w:t>the type of data to be shared</w:t>
      </w:r>
      <w:r>
        <w:rPr>
          <w:sz w:val="21"/>
          <w:szCs w:val="21"/>
        </w:rPr>
        <w:t>, including date range and level of detail</w:t>
      </w:r>
      <w:r w:rsidRPr="0087045A">
        <w:rPr>
          <w:sz w:val="21"/>
          <w:szCs w:val="21"/>
        </w:rPr>
        <w:t>;</w:t>
      </w:r>
    </w:p>
    <w:p w14:paraId="61A98A3D" w14:textId="77777777" w:rsidR="006D2417" w:rsidRPr="0087045A" w:rsidRDefault="006D2417" w:rsidP="006D2417">
      <w:pPr>
        <w:pStyle w:val="ListParagraph"/>
        <w:numPr>
          <w:ilvl w:val="0"/>
          <w:numId w:val="18"/>
        </w:numPr>
        <w:jc w:val="both"/>
        <w:rPr>
          <w:sz w:val="21"/>
          <w:szCs w:val="21"/>
        </w:rPr>
      </w:pPr>
      <w:r w:rsidRPr="0087045A">
        <w:rPr>
          <w:sz w:val="21"/>
          <w:szCs w:val="21"/>
        </w:rPr>
        <w:t xml:space="preserve">the permitted use </w:t>
      </w:r>
      <w:r w:rsidR="008E5E8A">
        <w:rPr>
          <w:sz w:val="21"/>
          <w:szCs w:val="21"/>
        </w:rPr>
        <w:t xml:space="preserve">case for the </w:t>
      </w:r>
      <w:r w:rsidRPr="0087045A">
        <w:rPr>
          <w:sz w:val="21"/>
          <w:szCs w:val="21"/>
        </w:rPr>
        <w:t>data;</w:t>
      </w:r>
    </w:p>
    <w:p w14:paraId="40292146" w14:textId="77777777" w:rsidR="006D2417" w:rsidRPr="0087045A" w:rsidRDefault="006D2417" w:rsidP="006D2417">
      <w:pPr>
        <w:pStyle w:val="ListParagraph"/>
        <w:numPr>
          <w:ilvl w:val="0"/>
          <w:numId w:val="18"/>
        </w:numPr>
        <w:jc w:val="both"/>
        <w:rPr>
          <w:sz w:val="21"/>
          <w:szCs w:val="21"/>
        </w:rPr>
      </w:pPr>
      <w:r w:rsidRPr="0087045A">
        <w:rPr>
          <w:sz w:val="21"/>
          <w:szCs w:val="21"/>
        </w:rPr>
        <w:t>whether the user agrees to receive marketing; and</w:t>
      </w:r>
    </w:p>
    <w:p w14:paraId="04EE4F7A" w14:textId="77777777" w:rsidR="006D2417" w:rsidRPr="0087045A" w:rsidRDefault="006D2417" w:rsidP="006D2417">
      <w:pPr>
        <w:pStyle w:val="ListParagraph"/>
        <w:numPr>
          <w:ilvl w:val="0"/>
          <w:numId w:val="18"/>
        </w:numPr>
        <w:jc w:val="both"/>
        <w:rPr>
          <w:sz w:val="21"/>
          <w:szCs w:val="21"/>
        </w:rPr>
      </w:pPr>
      <w:r w:rsidRPr="0087045A">
        <w:rPr>
          <w:sz w:val="21"/>
          <w:szCs w:val="21"/>
        </w:rPr>
        <w:t xml:space="preserve">whether or not the user wishes to revoke consent. </w:t>
      </w:r>
    </w:p>
    <w:p w14:paraId="456BB504" w14:textId="77777777" w:rsidR="006D2417" w:rsidRDefault="006D2417" w:rsidP="006D2417">
      <w:pPr>
        <w:jc w:val="both"/>
        <w:rPr>
          <w:sz w:val="21"/>
          <w:szCs w:val="21"/>
        </w:rPr>
      </w:pPr>
      <w:r w:rsidRPr="0087045A">
        <w:rPr>
          <w:sz w:val="21"/>
          <w:szCs w:val="21"/>
        </w:rPr>
        <w:t xml:space="preserve">Ensuring </w:t>
      </w:r>
      <w:r>
        <w:rPr>
          <w:sz w:val="21"/>
          <w:szCs w:val="21"/>
        </w:rPr>
        <w:t xml:space="preserve">consumers </w:t>
      </w:r>
      <w:r w:rsidRPr="0087045A">
        <w:rPr>
          <w:sz w:val="21"/>
          <w:szCs w:val="21"/>
        </w:rPr>
        <w:t xml:space="preserve">consider </w:t>
      </w:r>
      <w:r>
        <w:rPr>
          <w:sz w:val="21"/>
          <w:szCs w:val="21"/>
        </w:rPr>
        <w:t xml:space="preserve">and consent to </w:t>
      </w:r>
      <w:r w:rsidRPr="0087045A">
        <w:rPr>
          <w:sz w:val="21"/>
          <w:szCs w:val="21"/>
        </w:rPr>
        <w:t xml:space="preserve">each of these items </w:t>
      </w:r>
      <w:r>
        <w:rPr>
          <w:sz w:val="21"/>
          <w:szCs w:val="21"/>
        </w:rPr>
        <w:t xml:space="preserve">will place </w:t>
      </w:r>
      <w:r w:rsidR="008E5E8A">
        <w:rPr>
          <w:sz w:val="21"/>
          <w:szCs w:val="21"/>
        </w:rPr>
        <w:t xml:space="preserve">them </w:t>
      </w:r>
      <w:r w:rsidRPr="0087045A">
        <w:rPr>
          <w:sz w:val="21"/>
          <w:szCs w:val="21"/>
        </w:rPr>
        <w:t>firmly in control of access to data. This approach takes the industry forward by removing the need for insecure practices such as unauthorised password sharing and screen-scraping which has been referred to by UK Open Banking as “a model that is both brittle and insecure”.</w:t>
      </w:r>
      <w:r w:rsidRPr="0087045A">
        <w:rPr>
          <w:rStyle w:val="FootnoteReference"/>
          <w:sz w:val="21"/>
          <w:szCs w:val="21"/>
        </w:rPr>
        <w:footnoteReference w:id="3"/>
      </w:r>
    </w:p>
    <w:p w14:paraId="500C2F0C" w14:textId="77777777" w:rsidR="00AA2E8B" w:rsidRPr="0087045A" w:rsidRDefault="00AA2E8B" w:rsidP="00AA2E8B">
      <w:pPr>
        <w:spacing w:before="240"/>
        <w:jc w:val="both"/>
        <w:rPr>
          <w:sz w:val="21"/>
          <w:szCs w:val="21"/>
        </w:rPr>
      </w:pPr>
      <w:r w:rsidRPr="0087045A">
        <w:rPr>
          <w:sz w:val="21"/>
          <w:szCs w:val="21"/>
        </w:rPr>
        <w:t xml:space="preserve">Secondly, the banking sector operating model proposed by the ABA offers strong consumer assurance by being accreditation based. This provides an opportunity for </w:t>
      </w:r>
      <w:r>
        <w:rPr>
          <w:sz w:val="21"/>
          <w:szCs w:val="21"/>
        </w:rPr>
        <w:t xml:space="preserve">the </w:t>
      </w:r>
      <w:r w:rsidRPr="0087045A">
        <w:rPr>
          <w:sz w:val="21"/>
          <w:szCs w:val="21"/>
        </w:rPr>
        <w:t xml:space="preserve">Government to work with </w:t>
      </w:r>
      <w:r>
        <w:rPr>
          <w:sz w:val="21"/>
          <w:szCs w:val="21"/>
        </w:rPr>
        <w:t xml:space="preserve">the banking </w:t>
      </w:r>
      <w:r w:rsidRPr="0087045A">
        <w:rPr>
          <w:sz w:val="21"/>
          <w:szCs w:val="21"/>
        </w:rPr>
        <w:t>industry to frame standards that will uplift performance and security across industry. The Commonwealth Bank believes key criteria for accreditation should include:</w:t>
      </w:r>
    </w:p>
    <w:p w14:paraId="7E75BBF8" w14:textId="77777777" w:rsidR="00AA2E8B" w:rsidRPr="0087045A" w:rsidRDefault="00AA2E8B" w:rsidP="00AA2E8B">
      <w:pPr>
        <w:pStyle w:val="ListParagraph"/>
        <w:numPr>
          <w:ilvl w:val="0"/>
          <w:numId w:val="23"/>
        </w:numPr>
        <w:spacing w:before="240"/>
        <w:jc w:val="both"/>
        <w:rPr>
          <w:sz w:val="21"/>
          <w:szCs w:val="21"/>
        </w:rPr>
      </w:pPr>
      <w:r w:rsidRPr="0087045A">
        <w:rPr>
          <w:sz w:val="21"/>
          <w:szCs w:val="21"/>
        </w:rPr>
        <w:t xml:space="preserve">a level of maturity of an organisation’s systems and processes; </w:t>
      </w:r>
    </w:p>
    <w:p w14:paraId="05B9066B" w14:textId="77777777" w:rsidR="00AA2E8B" w:rsidRPr="0087045A" w:rsidRDefault="00AA2E8B" w:rsidP="00AA2E8B">
      <w:pPr>
        <w:pStyle w:val="ListParagraph"/>
        <w:numPr>
          <w:ilvl w:val="0"/>
          <w:numId w:val="23"/>
        </w:numPr>
        <w:spacing w:before="240"/>
        <w:jc w:val="both"/>
        <w:rPr>
          <w:sz w:val="21"/>
          <w:szCs w:val="21"/>
        </w:rPr>
      </w:pPr>
      <w:r w:rsidRPr="0087045A">
        <w:rPr>
          <w:sz w:val="21"/>
          <w:szCs w:val="21"/>
        </w:rPr>
        <w:t>assurances that data shared is kept securely and remains onshore;</w:t>
      </w:r>
    </w:p>
    <w:p w14:paraId="2637EAF3" w14:textId="77777777" w:rsidR="00AA2E8B" w:rsidRPr="0087045A" w:rsidRDefault="00AA2E8B" w:rsidP="00AA2E8B">
      <w:pPr>
        <w:pStyle w:val="ListParagraph"/>
        <w:numPr>
          <w:ilvl w:val="0"/>
          <w:numId w:val="23"/>
        </w:numPr>
        <w:spacing w:before="240"/>
        <w:jc w:val="both"/>
        <w:rPr>
          <w:sz w:val="21"/>
          <w:szCs w:val="21"/>
        </w:rPr>
      </w:pPr>
      <w:r w:rsidRPr="0087045A">
        <w:rPr>
          <w:sz w:val="21"/>
          <w:szCs w:val="21"/>
        </w:rPr>
        <w:t>due diligence regarding the financial stability and probity of data recipient entities</w:t>
      </w:r>
      <w:r>
        <w:rPr>
          <w:sz w:val="21"/>
          <w:szCs w:val="21"/>
        </w:rPr>
        <w:t xml:space="preserve">, ensuring that all </w:t>
      </w:r>
      <w:r w:rsidR="00EE597F">
        <w:rPr>
          <w:sz w:val="21"/>
          <w:szCs w:val="21"/>
        </w:rPr>
        <w:t xml:space="preserve">accredited </w:t>
      </w:r>
      <w:r>
        <w:rPr>
          <w:sz w:val="21"/>
          <w:szCs w:val="21"/>
        </w:rPr>
        <w:t>participants in the model meet customer requirements and expectations</w:t>
      </w:r>
      <w:r w:rsidRPr="0087045A">
        <w:rPr>
          <w:sz w:val="21"/>
          <w:szCs w:val="21"/>
        </w:rPr>
        <w:t xml:space="preserve">; </w:t>
      </w:r>
    </w:p>
    <w:p w14:paraId="4A3D28F8" w14:textId="77777777" w:rsidR="00AA2E8B" w:rsidRPr="0087045A" w:rsidRDefault="00AA2E8B" w:rsidP="00AA2E8B">
      <w:pPr>
        <w:pStyle w:val="ListParagraph"/>
        <w:numPr>
          <w:ilvl w:val="0"/>
          <w:numId w:val="23"/>
        </w:numPr>
        <w:spacing w:before="240" w:after="240"/>
        <w:jc w:val="both"/>
        <w:rPr>
          <w:sz w:val="21"/>
          <w:szCs w:val="21"/>
        </w:rPr>
      </w:pPr>
      <w:r w:rsidRPr="0087045A">
        <w:rPr>
          <w:sz w:val="21"/>
          <w:szCs w:val="21"/>
        </w:rPr>
        <w:t>assessments that the necessary legal and regulatory standards and approvals are secured and then maintained on an ongoing basis; and</w:t>
      </w:r>
    </w:p>
    <w:p w14:paraId="275990E1" w14:textId="77777777" w:rsidR="00AA2E8B" w:rsidRPr="0087045A" w:rsidRDefault="00AA2E8B" w:rsidP="00AA2E8B">
      <w:pPr>
        <w:pStyle w:val="ListParagraph"/>
        <w:numPr>
          <w:ilvl w:val="0"/>
          <w:numId w:val="23"/>
        </w:numPr>
        <w:spacing w:before="240" w:after="240"/>
        <w:jc w:val="both"/>
        <w:rPr>
          <w:sz w:val="21"/>
          <w:szCs w:val="21"/>
        </w:rPr>
      </w:pPr>
      <w:r>
        <w:rPr>
          <w:sz w:val="21"/>
          <w:szCs w:val="21"/>
        </w:rPr>
        <w:t xml:space="preserve">ensuring </w:t>
      </w:r>
      <w:r w:rsidR="00EE597F">
        <w:rPr>
          <w:sz w:val="21"/>
          <w:szCs w:val="21"/>
        </w:rPr>
        <w:t xml:space="preserve">accredited participants </w:t>
      </w:r>
      <w:r w:rsidRPr="0087045A">
        <w:rPr>
          <w:sz w:val="21"/>
          <w:szCs w:val="21"/>
        </w:rPr>
        <w:t xml:space="preserve">that have custody of </w:t>
      </w:r>
      <w:r>
        <w:rPr>
          <w:sz w:val="21"/>
          <w:szCs w:val="21"/>
        </w:rPr>
        <w:t xml:space="preserve">consumer </w:t>
      </w:r>
      <w:r w:rsidRPr="0087045A">
        <w:rPr>
          <w:sz w:val="21"/>
          <w:szCs w:val="21"/>
        </w:rPr>
        <w:t>data maintain levels of insurance commensurate with the data held.</w:t>
      </w:r>
    </w:p>
    <w:p w14:paraId="3217D8F6" w14:textId="77777777" w:rsidR="00AA2E8B" w:rsidRDefault="00AA2E8B" w:rsidP="006D2417">
      <w:pPr>
        <w:jc w:val="both"/>
        <w:rPr>
          <w:sz w:val="21"/>
          <w:szCs w:val="21"/>
        </w:rPr>
      </w:pPr>
    </w:p>
    <w:tbl>
      <w:tblPr>
        <w:tblStyle w:val="TableGrid"/>
        <w:tblW w:w="0" w:type="auto"/>
        <w:tblInd w:w="720" w:type="dxa"/>
        <w:tblLook w:val="04A0" w:firstRow="1" w:lastRow="0" w:firstColumn="1" w:lastColumn="0" w:noHBand="0" w:noVBand="1"/>
      </w:tblPr>
      <w:tblGrid>
        <w:gridCol w:w="7780"/>
      </w:tblGrid>
      <w:tr w:rsidR="00424C1E" w:rsidRPr="0087045A" w14:paraId="23D90FBB" w14:textId="77777777" w:rsidTr="000C3CD5">
        <w:tc>
          <w:tcPr>
            <w:tcW w:w="7780" w:type="dxa"/>
            <w:tcBorders>
              <w:top w:val="single" w:sz="4" w:space="0" w:color="auto"/>
              <w:left w:val="single" w:sz="4" w:space="0" w:color="auto"/>
              <w:bottom w:val="single" w:sz="4" w:space="0" w:color="auto"/>
              <w:right w:val="single" w:sz="4" w:space="0" w:color="auto"/>
            </w:tcBorders>
          </w:tcPr>
          <w:p w14:paraId="57EB2B4F" w14:textId="77777777" w:rsidR="00424C1E" w:rsidRPr="0087045A" w:rsidRDefault="00F30D99" w:rsidP="0087045A">
            <w:pPr>
              <w:pStyle w:val="Heading3"/>
              <w:outlineLvl w:val="2"/>
            </w:pPr>
            <w:bookmarkStart w:id="5" w:name="_Toc493861272"/>
            <w:r w:rsidRPr="0087045A">
              <w:t>Figure 2</w:t>
            </w:r>
            <w:r w:rsidR="0087045A">
              <w:br/>
            </w:r>
            <w:r w:rsidR="008835FD">
              <w:t>The m</w:t>
            </w:r>
            <w:r w:rsidR="00424C1E" w:rsidRPr="0087045A">
              <w:t xml:space="preserve">odel </w:t>
            </w:r>
            <w:r w:rsidR="008835FD">
              <w:t>p</w:t>
            </w:r>
            <w:r w:rsidR="00424C1E" w:rsidRPr="0087045A">
              <w:t>roposed by the ABA</w:t>
            </w:r>
            <w:bookmarkEnd w:id="5"/>
          </w:p>
          <w:p w14:paraId="73E95CA6" w14:textId="77777777" w:rsidR="00424C1E" w:rsidRPr="0087045A" w:rsidRDefault="00424C1E">
            <w:pPr>
              <w:jc w:val="center"/>
              <w:rPr>
                <w:sz w:val="21"/>
                <w:szCs w:val="21"/>
              </w:rPr>
            </w:pPr>
          </w:p>
          <w:p w14:paraId="5A943C2C" w14:textId="77777777" w:rsidR="00E43793" w:rsidRPr="0087045A" w:rsidRDefault="00424C1E">
            <w:pPr>
              <w:rPr>
                <w:sz w:val="21"/>
                <w:szCs w:val="21"/>
              </w:rPr>
            </w:pPr>
            <w:r w:rsidRPr="0087045A">
              <w:rPr>
                <w:sz w:val="21"/>
                <w:szCs w:val="21"/>
              </w:rPr>
              <w:t xml:space="preserve">The Open Banking model proposed by the ABA is designed to place consumers in better control of their financial data, protecting them from data misuse and cybersecurity risks. </w:t>
            </w:r>
          </w:p>
          <w:p w14:paraId="03D5452C" w14:textId="77777777" w:rsidR="00E43793" w:rsidRPr="0087045A" w:rsidRDefault="00E43793" w:rsidP="000C3CD5">
            <w:pPr>
              <w:ind w:right="-108"/>
              <w:rPr>
                <w:sz w:val="21"/>
                <w:szCs w:val="21"/>
              </w:rPr>
            </w:pPr>
          </w:p>
          <w:p w14:paraId="27CB4CA7" w14:textId="77777777" w:rsidR="00E43793" w:rsidRPr="0087045A" w:rsidRDefault="000479E6" w:rsidP="000479E6">
            <w:pPr>
              <w:jc w:val="center"/>
              <w:rPr>
                <w:sz w:val="21"/>
                <w:szCs w:val="21"/>
              </w:rPr>
            </w:pPr>
            <w:r>
              <w:rPr>
                <w:noProof/>
              </w:rPr>
              <w:drawing>
                <wp:inline distT="0" distB="0" distL="0" distR="0" wp14:anchorId="1E775AC2" wp14:editId="63E18E5B">
                  <wp:extent cx="4387272" cy="233508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5154" cy="2339277"/>
                          </a:xfrm>
                          <a:prstGeom prst="rect">
                            <a:avLst/>
                          </a:prstGeom>
                        </pic:spPr>
                      </pic:pic>
                    </a:graphicData>
                  </a:graphic>
                </wp:inline>
              </w:drawing>
            </w:r>
          </w:p>
          <w:p w14:paraId="3D4867D4" w14:textId="77777777" w:rsidR="00E43793" w:rsidRPr="0087045A" w:rsidRDefault="00E43793">
            <w:pPr>
              <w:rPr>
                <w:sz w:val="21"/>
                <w:szCs w:val="21"/>
              </w:rPr>
            </w:pPr>
          </w:p>
          <w:p w14:paraId="1DC3FC98" w14:textId="77777777" w:rsidR="00172333" w:rsidRPr="0087045A" w:rsidRDefault="00172333">
            <w:pPr>
              <w:rPr>
                <w:sz w:val="21"/>
                <w:szCs w:val="21"/>
              </w:rPr>
            </w:pPr>
            <w:r w:rsidRPr="0087045A">
              <w:rPr>
                <w:sz w:val="21"/>
                <w:szCs w:val="21"/>
              </w:rPr>
              <w:t>Under this model:</w:t>
            </w:r>
          </w:p>
          <w:p w14:paraId="02BE1F20" w14:textId="77777777" w:rsidR="00424C1E" w:rsidRPr="0087045A" w:rsidRDefault="00424C1E" w:rsidP="00424C1E">
            <w:pPr>
              <w:pStyle w:val="ListParagraph"/>
              <w:numPr>
                <w:ilvl w:val="0"/>
                <w:numId w:val="26"/>
              </w:numPr>
              <w:spacing w:line="276" w:lineRule="auto"/>
              <w:rPr>
                <w:sz w:val="21"/>
                <w:szCs w:val="21"/>
              </w:rPr>
            </w:pPr>
            <w:r w:rsidRPr="0087045A">
              <w:rPr>
                <w:sz w:val="21"/>
                <w:szCs w:val="21"/>
              </w:rPr>
              <w:t>Consumers will provide informed consent via clear and efficient mechanisms before transferring any of their financial data to recipients.</w:t>
            </w:r>
            <w:r w:rsidR="00B529DD">
              <w:rPr>
                <w:sz w:val="21"/>
                <w:szCs w:val="21"/>
              </w:rPr>
              <w:t xml:space="preserve"> Data should only be transferred where there is an appropriate use case to support access.</w:t>
            </w:r>
          </w:p>
          <w:p w14:paraId="52BCC22D" w14:textId="77777777" w:rsidR="00424C1E" w:rsidRPr="0087045A" w:rsidRDefault="00424C1E" w:rsidP="00424C1E">
            <w:pPr>
              <w:pStyle w:val="ListParagraph"/>
              <w:numPr>
                <w:ilvl w:val="0"/>
                <w:numId w:val="26"/>
              </w:numPr>
              <w:spacing w:line="276" w:lineRule="auto"/>
              <w:rPr>
                <w:sz w:val="21"/>
                <w:szCs w:val="21"/>
              </w:rPr>
            </w:pPr>
            <w:r w:rsidRPr="0087045A">
              <w:rPr>
                <w:sz w:val="21"/>
                <w:szCs w:val="21"/>
              </w:rPr>
              <w:t>Banks and licensed third party participants will meet accreditation standards determined by economy-wide government regulation as well as industry specific safeguards.</w:t>
            </w:r>
          </w:p>
          <w:p w14:paraId="2E7210FE" w14:textId="77777777" w:rsidR="00424C1E" w:rsidRPr="0087045A" w:rsidRDefault="00424C1E" w:rsidP="00424C1E">
            <w:pPr>
              <w:pStyle w:val="ListParagraph"/>
              <w:numPr>
                <w:ilvl w:val="0"/>
                <w:numId w:val="26"/>
              </w:numPr>
              <w:spacing w:line="276" w:lineRule="auto"/>
              <w:rPr>
                <w:sz w:val="21"/>
                <w:szCs w:val="21"/>
              </w:rPr>
            </w:pPr>
            <w:r w:rsidRPr="0087045A">
              <w:rPr>
                <w:sz w:val="21"/>
                <w:szCs w:val="21"/>
              </w:rPr>
              <w:t xml:space="preserve">An Accreditation Utility will publish standards, provide once-off accreditation to participants, </w:t>
            </w:r>
            <w:r w:rsidR="00A824C5">
              <w:rPr>
                <w:sz w:val="21"/>
                <w:szCs w:val="21"/>
              </w:rPr>
              <w:t xml:space="preserve">set accreditation fees and charges, </w:t>
            </w:r>
            <w:r w:rsidRPr="0087045A">
              <w:rPr>
                <w:sz w:val="21"/>
                <w:szCs w:val="21"/>
              </w:rPr>
              <w:t>conduct assessments for regular re-accreditation and monitor compliance. The Utility will also remove accreditation on expiry or breach, and be supported by an economy of certifiers, auditors and specialists.</w:t>
            </w:r>
          </w:p>
          <w:p w14:paraId="6902A62E" w14:textId="77777777" w:rsidR="00424C1E" w:rsidRPr="0087045A" w:rsidRDefault="00424C1E" w:rsidP="00E43793">
            <w:pPr>
              <w:pStyle w:val="ListParagraph"/>
              <w:numPr>
                <w:ilvl w:val="0"/>
                <w:numId w:val="26"/>
              </w:numPr>
              <w:spacing w:line="276" w:lineRule="auto"/>
              <w:rPr>
                <w:sz w:val="21"/>
                <w:szCs w:val="21"/>
              </w:rPr>
            </w:pPr>
            <w:r w:rsidRPr="0087045A">
              <w:rPr>
                <w:sz w:val="21"/>
                <w:szCs w:val="21"/>
              </w:rPr>
              <w:t xml:space="preserve">Government will provide oversight, by establishing an </w:t>
            </w:r>
            <w:r w:rsidR="00360B44">
              <w:rPr>
                <w:sz w:val="21"/>
                <w:szCs w:val="21"/>
              </w:rPr>
              <w:t>industry</w:t>
            </w:r>
            <w:r w:rsidRPr="0087045A">
              <w:rPr>
                <w:sz w:val="21"/>
                <w:szCs w:val="21"/>
              </w:rPr>
              <w:t xml:space="preserve">-wide data sharing regulatory framework that subjects data users to minimum data security, privacy and consumer protection standards. </w:t>
            </w:r>
            <w:r w:rsidR="00A561AE">
              <w:rPr>
                <w:sz w:val="21"/>
                <w:szCs w:val="21"/>
              </w:rPr>
              <w:t xml:space="preserve">A key initiative will be the </w:t>
            </w:r>
            <w:r w:rsidRPr="0087045A">
              <w:rPr>
                <w:sz w:val="21"/>
                <w:szCs w:val="21"/>
              </w:rPr>
              <w:t>intro</w:t>
            </w:r>
            <w:r w:rsidR="00A561AE">
              <w:rPr>
                <w:sz w:val="21"/>
                <w:szCs w:val="21"/>
              </w:rPr>
              <w:t>duction of</w:t>
            </w:r>
            <w:r w:rsidRPr="0087045A">
              <w:rPr>
                <w:sz w:val="21"/>
                <w:szCs w:val="21"/>
              </w:rPr>
              <w:t xml:space="preserve"> legislation to establish a Comprehensive Consumer Right to data.</w:t>
            </w:r>
          </w:p>
          <w:p w14:paraId="25AE1E9C" w14:textId="77777777" w:rsidR="00424C1E" w:rsidRPr="0087045A" w:rsidRDefault="00424C1E" w:rsidP="00E52194">
            <w:pPr>
              <w:rPr>
                <w:sz w:val="21"/>
                <w:szCs w:val="21"/>
              </w:rPr>
            </w:pPr>
          </w:p>
        </w:tc>
      </w:tr>
    </w:tbl>
    <w:p w14:paraId="593D303B" w14:textId="77777777" w:rsidR="00424C1E" w:rsidRPr="0087045A" w:rsidRDefault="00424C1E" w:rsidP="003503A1">
      <w:pPr>
        <w:spacing w:after="120"/>
        <w:jc w:val="both"/>
        <w:rPr>
          <w:sz w:val="21"/>
          <w:szCs w:val="21"/>
        </w:rPr>
      </w:pPr>
    </w:p>
    <w:p w14:paraId="1B702339" w14:textId="77777777" w:rsidR="00A561AE" w:rsidRDefault="00A561AE" w:rsidP="006D2417">
      <w:pPr>
        <w:jc w:val="both"/>
        <w:rPr>
          <w:sz w:val="21"/>
          <w:szCs w:val="21"/>
        </w:rPr>
      </w:pPr>
      <w:r w:rsidRPr="0087045A">
        <w:rPr>
          <w:sz w:val="21"/>
          <w:szCs w:val="21"/>
        </w:rPr>
        <w:t>A key benefit of a model that is consumer oriented and accreditation based is that it confirms security as a priority. The fact that the data sharing model described by the ABA relies on consumer</w:t>
      </w:r>
      <w:r w:rsidR="00EE597F">
        <w:rPr>
          <w:sz w:val="21"/>
          <w:szCs w:val="21"/>
        </w:rPr>
        <w:t xml:space="preserve"> </w:t>
      </w:r>
      <w:r w:rsidRPr="0087045A">
        <w:rPr>
          <w:sz w:val="21"/>
          <w:szCs w:val="21"/>
        </w:rPr>
        <w:t>initiated data transfers rather than APIs means that, in the event of a security breach, perpetrators will be unable to unilaterally extract large volumes of consumer data.</w:t>
      </w:r>
      <w:r w:rsidR="00245313">
        <w:rPr>
          <w:sz w:val="21"/>
          <w:szCs w:val="21"/>
        </w:rPr>
        <w:t xml:space="preserve"> This is important in the face of increasing threats from </w:t>
      </w:r>
      <w:r w:rsidR="00721FB9">
        <w:rPr>
          <w:sz w:val="21"/>
          <w:szCs w:val="21"/>
        </w:rPr>
        <w:t xml:space="preserve">criminal organisations and </w:t>
      </w:r>
      <w:r w:rsidR="00245313">
        <w:rPr>
          <w:sz w:val="21"/>
          <w:szCs w:val="21"/>
        </w:rPr>
        <w:t>rogue states.</w:t>
      </w:r>
      <w:r w:rsidR="006D2417">
        <w:rPr>
          <w:sz w:val="21"/>
          <w:szCs w:val="21"/>
        </w:rPr>
        <w:t xml:space="preserve"> </w:t>
      </w:r>
    </w:p>
    <w:p w14:paraId="380408BD" w14:textId="77777777" w:rsidR="008C659A" w:rsidRPr="0087045A" w:rsidRDefault="00924D0B" w:rsidP="003A4ADC">
      <w:pPr>
        <w:jc w:val="both"/>
        <w:rPr>
          <w:sz w:val="21"/>
          <w:szCs w:val="21"/>
        </w:rPr>
      </w:pPr>
      <w:r w:rsidRPr="0087045A">
        <w:rPr>
          <w:sz w:val="21"/>
          <w:szCs w:val="21"/>
        </w:rPr>
        <w:t>Furthermore, th</w:t>
      </w:r>
      <w:r w:rsidR="00DF4A28" w:rsidRPr="0087045A">
        <w:rPr>
          <w:sz w:val="21"/>
          <w:szCs w:val="21"/>
        </w:rPr>
        <w:t xml:space="preserve">e de-centralised nature of the </w:t>
      </w:r>
      <w:r w:rsidR="00011727">
        <w:rPr>
          <w:sz w:val="21"/>
          <w:szCs w:val="21"/>
        </w:rPr>
        <w:t xml:space="preserve">model </w:t>
      </w:r>
      <w:r w:rsidR="00DF4A28" w:rsidRPr="0087045A">
        <w:rPr>
          <w:sz w:val="21"/>
          <w:szCs w:val="21"/>
        </w:rPr>
        <w:t xml:space="preserve">minimises the risk of wholesale </w:t>
      </w:r>
      <w:r w:rsidRPr="0087045A">
        <w:rPr>
          <w:sz w:val="21"/>
          <w:szCs w:val="21"/>
        </w:rPr>
        <w:t xml:space="preserve">data compromise. </w:t>
      </w:r>
      <w:r w:rsidR="008C659A" w:rsidRPr="0087045A">
        <w:rPr>
          <w:sz w:val="21"/>
          <w:szCs w:val="21"/>
        </w:rPr>
        <w:t xml:space="preserve">The </w:t>
      </w:r>
      <w:r w:rsidR="00DF4A28" w:rsidRPr="0087045A">
        <w:rPr>
          <w:sz w:val="21"/>
          <w:szCs w:val="21"/>
        </w:rPr>
        <w:t xml:space="preserve">recently publicised data leak suffered by Equifax </w:t>
      </w:r>
      <w:r w:rsidR="00D463AA">
        <w:rPr>
          <w:sz w:val="21"/>
          <w:szCs w:val="21"/>
        </w:rPr>
        <w:t xml:space="preserve">in the United States </w:t>
      </w:r>
      <w:r w:rsidR="00DF4A28" w:rsidRPr="0087045A">
        <w:rPr>
          <w:sz w:val="21"/>
          <w:szCs w:val="21"/>
        </w:rPr>
        <w:t xml:space="preserve">highlights the vulnerabilities associated with a centralised data </w:t>
      </w:r>
      <w:r w:rsidR="00C41E4E">
        <w:rPr>
          <w:sz w:val="21"/>
          <w:szCs w:val="21"/>
        </w:rPr>
        <w:t>repository.</w:t>
      </w:r>
      <w:r w:rsidR="00DF4A28" w:rsidRPr="0087045A">
        <w:rPr>
          <w:rStyle w:val="FootnoteReference"/>
          <w:sz w:val="21"/>
          <w:szCs w:val="21"/>
        </w:rPr>
        <w:footnoteReference w:id="4"/>
      </w:r>
      <w:r w:rsidR="00DF4A28" w:rsidRPr="0087045A">
        <w:rPr>
          <w:sz w:val="21"/>
          <w:szCs w:val="21"/>
        </w:rPr>
        <w:t xml:space="preserve"> </w:t>
      </w:r>
      <w:r w:rsidR="009356B8" w:rsidRPr="0087045A">
        <w:rPr>
          <w:sz w:val="21"/>
          <w:szCs w:val="21"/>
        </w:rPr>
        <w:t xml:space="preserve">The proposed </w:t>
      </w:r>
      <w:r w:rsidR="00011727">
        <w:rPr>
          <w:sz w:val="21"/>
          <w:szCs w:val="21"/>
        </w:rPr>
        <w:t xml:space="preserve">model </w:t>
      </w:r>
      <w:r w:rsidR="00245313">
        <w:rPr>
          <w:sz w:val="21"/>
          <w:szCs w:val="21"/>
        </w:rPr>
        <w:t xml:space="preserve">would also be consistently applied to any </w:t>
      </w:r>
      <w:r w:rsidR="009356B8" w:rsidRPr="0087045A">
        <w:rPr>
          <w:sz w:val="21"/>
          <w:szCs w:val="21"/>
        </w:rPr>
        <w:t xml:space="preserve">overseas based technology </w:t>
      </w:r>
      <w:r w:rsidR="00245313">
        <w:rPr>
          <w:sz w:val="21"/>
          <w:szCs w:val="21"/>
        </w:rPr>
        <w:t>companies seeking to access customer data</w:t>
      </w:r>
      <w:r w:rsidR="009356B8" w:rsidRPr="0087045A">
        <w:rPr>
          <w:sz w:val="21"/>
          <w:szCs w:val="21"/>
        </w:rPr>
        <w:t>.</w:t>
      </w:r>
    </w:p>
    <w:p w14:paraId="0DD01BFF" w14:textId="77777777" w:rsidR="0087045A" w:rsidRDefault="008C659A" w:rsidP="0087045A">
      <w:pPr>
        <w:jc w:val="both"/>
        <w:rPr>
          <w:sz w:val="21"/>
          <w:szCs w:val="21"/>
        </w:rPr>
      </w:pPr>
      <w:r w:rsidRPr="0087045A">
        <w:rPr>
          <w:sz w:val="21"/>
          <w:szCs w:val="21"/>
        </w:rPr>
        <w:t xml:space="preserve">Finally, the </w:t>
      </w:r>
      <w:r w:rsidR="00895CCC" w:rsidRPr="0087045A">
        <w:rPr>
          <w:sz w:val="21"/>
          <w:szCs w:val="21"/>
        </w:rPr>
        <w:t>ABA</w:t>
      </w:r>
      <w:r w:rsidR="00315A2E" w:rsidRPr="0087045A">
        <w:rPr>
          <w:sz w:val="21"/>
          <w:szCs w:val="21"/>
        </w:rPr>
        <w:t xml:space="preserve"> model also offers strong productivity benefits</w:t>
      </w:r>
      <w:r w:rsidR="00457545" w:rsidRPr="0087045A">
        <w:rPr>
          <w:sz w:val="21"/>
          <w:szCs w:val="21"/>
        </w:rPr>
        <w:t xml:space="preserve"> for smaller players, such as Fintechs</w:t>
      </w:r>
      <w:r w:rsidR="00315A2E" w:rsidRPr="0087045A">
        <w:rPr>
          <w:sz w:val="21"/>
          <w:szCs w:val="21"/>
        </w:rPr>
        <w:t>. Instead of organisations having to approach each bank individually, accreditation will entitle an organisation to apply for the opportunity to receive data once consumer approval has been secured.</w:t>
      </w:r>
      <w:r w:rsidR="002F4214">
        <w:rPr>
          <w:sz w:val="21"/>
          <w:szCs w:val="21"/>
        </w:rPr>
        <w:t xml:space="preserve"> The Commonwealth Bank already partners with a number of start-ups and Fintechs</w:t>
      </w:r>
      <w:r w:rsidR="00F14160">
        <w:rPr>
          <w:sz w:val="21"/>
          <w:szCs w:val="21"/>
        </w:rPr>
        <w:t>. An accessible Open Banking model will foster further innovation by increasing the level of interaction amongst market participants.</w:t>
      </w:r>
      <w:r w:rsidR="00E82648" w:rsidRPr="0087045A">
        <w:rPr>
          <w:sz w:val="21"/>
          <w:szCs w:val="21"/>
        </w:rPr>
        <w:t xml:space="preserve"> Furthermore, the ABA’s proposal presumes that Open Banking participants are prepared to reciprocate by also </w:t>
      </w:r>
      <w:r w:rsidR="00457545" w:rsidRPr="0087045A">
        <w:rPr>
          <w:sz w:val="21"/>
          <w:szCs w:val="21"/>
        </w:rPr>
        <w:t xml:space="preserve">allowing consumers to direct the transfer of their data to other third parties. </w:t>
      </w:r>
      <w:r w:rsidR="00E82648" w:rsidRPr="0087045A">
        <w:rPr>
          <w:sz w:val="21"/>
          <w:szCs w:val="21"/>
        </w:rPr>
        <w:t>This principle of reciprocity is key to creating a ‘network effect’ to quickly advance Open Banking implementation.</w:t>
      </w:r>
    </w:p>
    <w:p w14:paraId="03CEB73E" w14:textId="77777777" w:rsidR="001960B3" w:rsidRPr="001960B3" w:rsidRDefault="001E6C41" w:rsidP="003A4ADC">
      <w:pPr>
        <w:jc w:val="both"/>
        <w:rPr>
          <w:i/>
        </w:rPr>
      </w:pPr>
      <w:r>
        <w:rPr>
          <w:i/>
        </w:rPr>
        <w:t>Continuously i</w:t>
      </w:r>
      <w:r w:rsidR="001960B3" w:rsidRPr="001960B3">
        <w:rPr>
          <w:i/>
        </w:rPr>
        <w:t>mproving Open Banking</w:t>
      </w:r>
    </w:p>
    <w:p w14:paraId="2C588271" w14:textId="77777777" w:rsidR="005D04CC" w:rsidRPr="0087045A" w:rsidRDefault="00CF54D7" w:rsidP="003A4ADC">
      <w:pPr>
        <w:jc w:val="both"/>
        <w:rPr>
          <w:sz w:val="21"/>
          <w:szCs w:val="21"/>
        </w:rPr>
      </w:pPr>
      <w:r w:rsidRPr="0087045A">
        <w:rPr>
          <w:sz w:val="21"/>
          <w:szCs w:val="21"/>
        </w:rPr>
        <w:t xml:space="preserve">Whilst the model proposed by the ABA provides a </w:t>
      </w:r>
      <w:r w:rsidR="001A20C9">
        <w:rPr>
          <w:sz w:val="21"/>
          <w:szCs w:val="21"/>
        </w:rPr>
        <w:t>sound</w:t>
      </w:r>
      <w:r w:rsidRPr="0087045A">
        <w:rPr>
          <w:sz w:val="21"/>
          <w:szCs w:val="21"/>
        </w:rPr>
        <w:t xml:space="preserve"> basis from which Open Banking can potentially be implemented, the Commonwealth Bank notes that the model can </w:t>
      </w:r>
      <w:r w:rsidR="003A11E6" w:rsidRPr="0087045A">
        <w:rPr>
          <w:sz w:val="21"/>
          <w:szCs w:val="21"/>
        </w:rPr>
        <w:t>be further</w:t>
      </w:r>
      <w:r w:rsidRPr="0087045A">
        <w:rPr>
          <w:sz w:val="21"/>
          <w:szCs w:val="21"/>
        </w:rPr>
        <w:t xml:space="preserve"> refined and improved</w:t>
      </w:r>
      <w:r w:rsidR="003A11E6" w:rsidRPr="0087045A">
        <w:rPr>
          <w:sz w:val="21"/>
          <w:szCs w:val="21"/>
        </w:rPr>
        <w:t xml:space="preserve"> over time</w:t>
      </w:r>
      <w:r w:rsidRPr="0087045A">
        <w:rPr>
          <w:sz w:val="21"/>
          <w:szCs w:val="21"/>
        </w:rPr>
        <w:t xml:space="preserve">. </w:t>
      </w:r>
      <w:r w:rsidR="001B21FB">
        <w:rPr>
          <w:sz w:val="21"/>
          <w:szCs w:val="21"/>
        </w:rPr>
        <w:t>T</w:t>
      </w:r>
      <w:r w:rsidRPr="0087045A">
        <w:rPr>
          <w:sz w:val="21"/>
          <w:szCs w:val="21"/>
        </w:rPr>
        <w:t xml:space="preserve">o ensure that </w:t>
      </w:r>
      <w:r w:rsidR="00522BBC" w:rsidRPr="0087045A">
        <w:rPr>
          <w:sz w:val="21"/>
          <w:szCs w:val="21"/>
        </w:rPr>
        <w:t>efforts expended on banking can be replicated</w:t>
      </w:r>
      <w:r w:rsidR="00AF18F1" w:rsidRPr="0087045A">
        <w:rPr>
          <w:sz w:val="21"/>
          <w:szCs w:val="21"/>
        </w:rPr>
        <w:t xml:space="preserve"> across sectors</w:t>
      </w:r>
      <w:r w:rsidR="00522BBC" w:rsidRPr="0087045A">
        <w:rPr>
          <w:sz w:val="21"/>
          <w:szCs w:val="21"/>
        </w:rPr>
        <w:t>, the Commonwealth Bank believes that the following common principles should be adhered to.</w:t>
      </w:r>
    </w:p>
    <w:p w14:paraId="5A90F660" w14:textId="77777777" w:rsidR="00390703" w:rsidRPr="001B21FB" w:rsidRDefault="00390703" w:rsidP="001B21FB">
      <w:pPr>
        <w:pStyle w:val="ListParagraph"/>
        <w:numPr>
          <w:ilvl w:val="0"/>
          <w:numId w:val="28"/>
        </w:numPr>
        <w:ind w:left="709"/>
        <w:jc w:val="both"/>
        <w:rPr>
          <w:sz w:val="21"/>
          <w:szCs w:val="21"/>
        </w:rPr>
      </w:pPr>
      <w:r w:rsidRPr="001B21FB">
        <w:rPr>
          <w:sz w:val="21"/>
          <w:szCs w:val="21"/>
        </w:rPr>
        <w:t xml:space="preserve">Open Banking reforms should result in consumers being better off. This means </w:t>
      </w:r>
      <w:r w:rsidR="001B21FB" w:rsidRPr="001B21FB">
        <w:rPr>
          <w:sz w:val="21"/>
          <w:szCs w:val="21"/>
        </w:rPr>
        <w:t xml:space="preserve">creating </w:t>
      </w:r>
      <w:r w:rsidRPr="001B21FB">
        <w:rPr>
          <w:sz w:val="21"/>
          <w:szCs w:val="21"/>
        </w:rPr>
        <w:t xml:space="preserve">solutions that </w:t>
      </w:r>
      <w:r w:rsidR="00BE5EA6">
        <w:rPr>
          <w:sz w:val="21"/>
          <w:szCs w:val="21"/>
        </w:rPr>
        <w:t xml:space="preserve">allow </w:t>
      </w:r>
      <w:r w:rsidRPr="001B21FB">
        <w:rPr>
          <w:sz w:val="21"/>
          <w:szCs w:val="21"/>
        </w:rPr>
        <w:t xml:space="preserve">consumers </w:t>
      </w:r>
      <w:r w:rsidR="00BE5EA6">
        <w:rPr>
          <w:sz w:val="21"/>
          <w:szCs w:val="21"/>
        </w:rPr>
        <w:t xml:space="preserve">to </w:t>
      </w:r>
      <w:r w:rsidRPr="001B21FB">
        <w:rPr>
          <w:sz w:val="21"/>
          <w:szCs w:val="21"/>
        </w:rPr>
        <w:t>receive the productivity benefits associated with greater access to data</w:t>
      </w:r>
      <w:r w:rsidR="00BE5EA6">
        <w:rPr>
          <w:sz w:val="21"/>
          <w:szCs w:val="21"/>
        </w:rPr>
        <w:t>,</w:t>
      </w:r>
      <w:r w:rsidRPr="001B21FB">
        <w:rPr>
          <w:sz w:val="21"/>
          <w:szCs w:val="21"/>
        </w:rPr>
        <w:t xml:space="preserve"> without increasing their exposure to data misuse and mishandling. To achieve this, reforms must be designed with a view to placing consumers in control over access to data. </w:t>
      </w:r>
    </w:p>
    <w:p w14:paraId="0648AC1A" w14:textId="77777777" w:rsidR="00390703" w:rsidRPr="0087045A" w:rsidRDefault="001B21FB" w:rsidP="001B21FB">
      <w:pPr>
        <w:pStyle w:val="ListParagraph"/>
        <w:numPr>
          <w:ilvl w:val="0"/>
          <w:numId w:val="28"/>
        </w:numPr>
        <w:ind w:left="709"/>
        <w:jc w:val="both"/>
        <w:rPr>
          <w:sz w:val="21"/>
          <w:szCs w:val="21"/>
        </w:rPr>
      </w:pPr>
      <w:r>
        <w:rPr>
          <w:sz w:val="21"/>
          <w:szCs w:val="21"/>
        </w:rPr>
        <w:t>T</w:t>
      </w:r>
      <w:r w:rsidR="00390703" w:rsidRPr="0087045A">
        <w:rPr>
          <w:sz w:val="21"/>
          <w:szCs w:val="21"/>
        </w:rPr>
        <w:t xml:space="preserve">here should be clear incentives for existing market players as well as new entrants to participate. The Commonwealth Bank is of the view that a </w:t>
      </w:r>
      <w:r w:rsidR="00011727">
        <w:rPr>
          <w:sz w:val="21"/>
          <w:szCs w:val="21"/>
        </w:rPr>
        <w:t xml:space="preserve">constructive model </w:t>
      </w:r>
      <w:r w:rsidR="00D463AA">
        <w:rPr>
          <w:sz w:val="21"/>
          <w:szCs w:val="21"/>
        </w:rPr>
        <w:t xml:space="preserve">that provides natural incentives for take-up </w:t>
      </w:r>
      <w:r w:rsidR="00390703" w:rsidRPr="0087045A">
        <w:rPr>
          <w:sz w:val="21"/>
          <w:szCs w:val="21"/>
        </w:rPr>
        <w:t>should be based on principles of reciprocity. Participants seeking access to consumer data should be prepared to (i) meet high levels of operational integrity and (ii) be prepared to share data when requested by consumers.</w:t>
      </w:r>
    </w:p>
    <w:p w14:paraId="2CFF1226" w14:textId="77777777" w:rsidR="00390703" w:rsidRPr="0087045A" w:rsidRDefault="001B21FB" w:rsidP="001B21FB">
      <w:pPr>
        <w:pStyle w:val="ListParagraph"/>
        <w:numPr>
          <w:ilvl w:val="0"/>
          <w:numId w:val="28"/>
        </w:numPr>
        <w:ind w:left="709"/>
        <w:jc w:val="both"/>
        <w:rPr>
          <w:sz w:val="21"/>
          <w:szCs w:val="21"/>
        </w:rPr>
      </w:pPr>
      <w:r>
        <w:rPr>
          <w:sz w:val="21"/>
          <w:szCs w:val="21"/>
        </w:rPr>
        <w:t>M</w:t>
      </w:r>
      <w:r w:rsidR="00011727">
        <w:rPr>
          <w:sz w:val="21"/>
          <w:szCs w:val="21"/>
        </w:rPr>
        <w:t xml:space="preserve">odels </w:t>
      </w:r>
      <w:r w:rsidR="00390703" w:rsidRPr="0087045A">
        <w:rPr>
          <w:sz w:val="21"/>
          <w:szCs w:val="21"/>
        </w:rPr>
        <w:t>need to be interoperable across industries. This means ensuring that data sharing is approached with the same values and principles regardless of sector.</w:t>
      </w:r>
    </w:p>
    <w:p w14:paraId="50681831" w14:textId="77777777" w:rsidR="00956376" w:rsidRPr="0087045A" w:rsidRDefault="00EE48B8" w:rsidP="003A4ADC">
      <w:pPr>
        <w:jc w:val="both"/>
        <w:rPr>
          <w:sz w:val="21"/>
          <w:szCs w:val="21"/>
        </w:rPr>
      </w:pPr>
      <w:r w:rsidRPr="0087045A">
        <w:rPr>
          <w:sz w:val="21"/>
          <w:szCs w:val="21"/>
        </w:rPr>
        <w:t>The Commonwealth Bank’s research suggests that other adjacent industries such as Superannuation and Energy are also exploring a trust-based accreditation approach.</w:t>
      </w:r>
      <w:r w:rsidR="00895CCC" w:rsidRPr="0087045A">
        <w:rPr>
          <w:rStyle w:val="FootnoteReference"/>
          <w:sz w:val="21"/>
          <w:szCs w:val="21"/>
        </w:rPr>
        <w:footnoteReference w:id="5"/>
      </w:r>
      <w:r w:rsidRPr="0087045A">
        <w:rPr>
          <w:sz w:val="21"/>
          <w:szCs w:val="21"/>
        </w:rPr>
        <w:t xml:space="preserve"> This submission recommends refining a workable framework for banking as an initial step so that Open Banking can be implemented without delay. As a further phase of activity, </w:t>
      </w:r>
      <w:r w:rsidR="00F469F7">
        <w:rPr>
          <w:sz w:val="21"/>
          <w:szCs w:val="21"/>
        </w:rPr>
        <w:t xml:space="preserve">the </w:t>
      </w:r>
      <w:r w:rsidRPr="0087045A">
        <w:rPr>
          <w:sz w:val="21"/>
          <w:szCs w:val="21"/>
        </w:rPr>
        <w:t>Government and</w:t>
      </w:r>
      <w:r w:rsidR="00F469F7">
        <w:rPr>
          <w:sz w:val="21"/>
          <w:szCs w:val="21"/>
        </w:rPr>
        <w:t xml:space="preserve"> the banking</w:t>
      </w:r>
      <w:r w:rsidRPr="0087045A">
        <w:rPr>
          <w:sz w:val="21"/>
          <w:szCs w:val="21"/>
        </w:rPr>
        <w:t xml:space="preserve"> industry should work together to investigate opportunities for cross-sector standards and assurances.</w:t>
      </w:r>
    </w:p>
    <w:p w14:paraId="4474E837" w14:textId="77777777" w:rsidR="006D2417" w:rsidRPr="0087045A" w:rsidRDefault="00CF54D7" w:rsidP="006D2417">
      <w:pPr>
        <w:spacing w:after="360"/>
        <w:jc w:val="both"/>
        <w:rPr>
          <w:sz w:val="21"/>
          <w:szCs w:val="21"/>
        </w:rPr>
      </w:pPr>
      <w:r w:rsidRPr="0087045A">
        <w:rPr>
          <w:sz w:val="21"/>
          <w:szCs w:val="21"/>
        </w:rPr>
        <w:t xml:space="preserve">The Commonwealth Bank takes this opportunity to note the efforts of the ABA to work across its member base to develop a proposal that banks are in a position to adopt. The Commonwealth Bank believes the </w:t>
      </w:r>
      <w:r w:rsidR="00721FB9">
        <w:rPr>
          <w:sz w:val="21"/>
          <w:szCs w:val="21"/>
        </w:rPr>
        <w:t xml:space="preserve">ABA model </w:t>
      </w:r>
      <w:r w:rsidRPr="0087045A">
        <w:rPr>
          <w:sz w:val="21"/>
          <w:szCs w:val="21"/>
        </w:rPr>
        <w:t xml:space="preserve">is directionally sound and recommends that </w:t>
      </w:r>
      <w:r w:rsidR="00F469F7">
        <w:rPr>
          <w:sz w:val="21"/>
          <w:szCs w:val="21"/>
        </w:rPr>
        <w:t xml:space="preserve">the </w:t>
      </w:r>
      <w:r w:rsidRPr="0087045A">
        <w:rPr>
          <w:sz w:val="21"/>
          <w:szCs w:val="21"/>
        </w:rPr>
        <w:t xml:space="preserve">Government consider it as a </w:t>
      </w:r>
      <w:r w:rsidR="00721FB9">
        <w:rPr>
          <w:sz w:val="21"/>
          <w:szCs w:val="21"/>
        </w:rPr>
        <w:t xml:space="preserve">practical implementation of </w:t>
      </w:r>
      <w:r w:rsidRPr="0087045A">
        <w:rPr>
          <w:sz w:val="21"/>
          <w:szCs w:val="21"/>
        </w:rPr>
        <w:t xml:space="preserve">Open Banking. </w:t>
      </w:r>
    </w:p>
    <w:tbl>
      <w:tblPr>
        <w:tblStyle w:val="TableGrid"/>
        <w:tblW w:w="0" w:type="auto"/>
        <w:tblInd w:w="720" w:type="dxa"/>
        <w:tblLook w:val="04A0" w:firstRow="1" w:lastRow="0" w:firstColumn="1" w:lastColumn="0" w:noHBand="0" w:noVBand="1"/>
      </w:tblPr>
      <w:tblGrid>
        <w:gridCol w:w="7639"/>
      </w:tblGrid>
      <w:tr w:rsidR="006D2417" w:rsidRPr="0087045A" w14:paraId="0E38D14A" w14:textId="77777777" w:rsidTr="007D18A1">
        <w:tc>
          <w:tcPr>
            <w:tcW w:w="7639" w:type="dxa"/>
          </w:tcPr>
          <w:p w14:paraId="53FD6CB5" w14:textId="77777777" w:rsidR="006D2417" w:rsidRPr="0087045A" w:rsidRDefault="006D2417" w:rsidP="007D18A1">
            <w:pPr>
              <w:pStyle w:val="Heading3"/>
              <w:outlineLvl w:val="2"/>
            </w:pPr>
            <w:bookmarkStart w:id="6" w:name="_Toc493861273"/>
            <w:r w:rsidRPr="0087045A">
              <w:t>Figure 3</w:t>
            </w:r>
            <w:r>
              <w:br/>
            </w:r>
            <w:r w:rsidRPr="0087045A">
              <w:t>Uplifting</w:t>
            </w:r>
            <w:r>
              <w:t xml:space="preserve"> standards a</w:t>
            </w:r>
            <w:r w:rsidRPr="0087045A">
              <w:t xml:space="preserve">cross </w:t>
            </w:r>
            <w:r>
              <w:t>the banking i</w:t>
            </w:r>
            <w:r w:rsidRPr="0087045A">
              <w:t>ndustry</w:t>
            </w:r>
            <w:bookmarkEnd w:id="6"/>
          </w:p>
          <w:p w14:paraId="3C4036B8" w14:textId="77777777" w:rsidR="006D2417" w:rsidRPr="0087045A" w:rsidRDefault="006D2417" w:rsidP="007D18A1">
            <w:pPr>
              <w:jc w:val="center"/>
              <w:rPr>
                <w:sz w:val="21"/>
                <w:szCs w:val="21"/>
              </w:rPr>
            </w:pPr>
          </w:p>
          <w:p w14:paraId="067FF7F4" w14:textId="77777777" w:rsidR="006D2417" w:rsidRPr="0087045A" w:rsidRDefault="006D2417" w:rsidP="007D18A1">
            <w:pPr>
              <w:rPr>
                <w:sz w:val="21"/>
                <w:szCs w:val="21"/>
              </w:rPr>
            </w:pPr>
            <w:r w:rsidRPr="0087045A">
              <w:rPr>
                <w:sz w:val="21"/>
                <w:szCs w:val="21"/>
              </w:rPr>
              <w:t>Regulated financial institutions must comply with a range of mandatory standards that set firm levels of compliance for data handling and processes. For instance, APRA prudential standard CPS 231 and Practice Guides CPG 234 and 235 address risks associated with handling data and dealing with third parties.</w:t>
            </w:r>
          </w:p>
          <w:p w14:paraId="76580D93" w14:textId="77777777" w:rsidR="006D2417" w:rsidRPr="0087045A" w:rsidRDefault="006D2417" w:rsidP="007D18A1">
            <w:pPr>
              <w:rPr>
                <w:sz w:val="21"/>
                <w:szCs w:val="21"/>
              </w:rPr>
            </w:pPr>
          </w:p>
          <w:p w14:paraId="2B0DBA9D" w14:textId="77777777" w:rsidR="006D2417" w:rsidRPr="0087045A" w:rsidRDefault="006D2417" w:rsidP="007D18A1">
            <w:pPr>
              <w:rPr>
                <w:sz w:val="21"/>
                <w:szCs w:val="21"/>
              </w:rPr>
            </w:pPr>
            <w:r w:rsidRPr="0087045A">
              <w:rPr>
                <w:sz w:val="21"/>
                <w:szCs w:val="21"/>
              </w:rPr>
              <w:t>Those standards set out APRA’s expectations for regulated financial institutions to consider and address risks such as:</w:t>
            </w:r>
          </w:p>
          <w:p w14:paraId="48BCD667" w14:textId="77777777" w:rsidR="006D2417" w:rsidRPr="0087045A" w:rsidRDefault="006D2417" w:rsidP="007D18A1">
            <w:pPr>
              <w:rPr>
                <w:sz w:val="21"/>
                <w:szCs w:val="21"/>
              </w:rPr>
            </w:pPr>
            <w:r w:rsidRPr="0087045A">
              <w:rPr>
                <w:sz w:val="21"/>
                <w:szCs w:val="21"/>
              </w:rPr>
              <w:t xml:space="preserve"> </w:t>
            </w:r>
          </w:p>
          <w:p w14:paraId="0F79FE32" w14:textId="77777777" w:rsidR="006D2417" w:rsidRPr="0087045A" w:rsidRDefault="006D2417" w:rsidP="007D18A1">
            <w:pPr>
              <w:pStyle w:val="ListParagraph"/>
              <w:numPr>
                <w:ilvl w:val="0"/>
                <w:numId w:val="22"/>
              </w:numPr>
              <w:rPr>
                <w:sz w:val="21"/>
                <w:szCs w:val="21"/>
              </w:rPr>
            </w:pPr>
            <w:r w:rsidRPr="0087045A">
              <w:rPr>
                <w:sz w:val="21"/>
                <w:szCs w:val="21"/>
              </w:rPr>
              <w:t>fraud due to theft of data;</w:t>
            </w:r>
          </w:p>
          <w:p w14:paraId="5619704C" w14:textId="77777777" w:rsidR="006D2417" w:rsidRPr="0087045A" w:rsidRDefault="006D2417" w:rsidP="007D18A1">
            <w:pPr>
              <w:pStyle w:val="ListParagraph"/>
              <w:numPr>
                <w:ilvl w:val="0"/>
                <w:numId w:val="22"/>
              </w:numPr>
              <w:rPr>
                <w:sz w:val="21"/>
                <w:szCs w:val="21"/>
              </w:rPr>
            </w:pPr>
            <w:r w:rsidRPr="0087045A">
              <w:rPr>
                <w:sz w:val="21"/>
                <w:szCs w:val="21"/>
              </w:rPr>
              <w:t>business disruption due to data corruption or unavailability;</w:t>
            </w:r>
          </w:p>
          <w:p w14:paraId="28F5ECED" w14:textId="77777777" w:rsidR="006D2417" w:rsidRPr="0087045A" w:rsidRDefault="006D2417" w:rsidP="007D18A1">
            <w:pPr>
              <w:pStyle w:val="ListParagraph"/>
              <w:numPr>
                <w:ilvl w:val="0"/>
                <w:numId w:val="22"/>
              </w:numPr>
              <w:rPr>
                <w:sz w:val="21"/>
                <w:szCs w:val="21"/>
              </w:rPr>
            </w:pPr>
            <w:r w:rsidRPr="0087045A">
              <w:rPr>
                <w:sz w:val="21"/>
                <w:szCs w:val="21"/>
              </w:rPr>
              <w:t>delivery failure due to inaccurate data;</w:t>
            </w:r>
          </w:p>
          <w:p w14:paraId="7D8F075A" w14:textId="77777777" w:rsidR="006D2417" w:rsidRPr="0087045A" w:rsidRDefault="006D2417" w:rsidP="007D18A1">
            <w:pPr>
              <w:pStyle w:val="ListParagraph"/>
              <w:numPr>
                <w:ilvl w:val="0"/>
                <w:numId w:val="22"/>
              </w:numPr>
              <w:rPr>
                <w:sz w:val="21"/>
                <w:szCs w:val="21"/>
              </w:rPr>
            </w:pPr>
            <w:r w:rsidRPr="0087045A">
              <w:rPr>
                <w:sz w:val="21"/>
                <w:szCs w:val="21"/>
              </w:rPr>
              <w:t xml:space="preserve">breach of </w:t>
            </w:r>
            <w:r w:rsidR="00B529DD">
              <w:rPr>
                <w:sz w:val="21"/>
                <w:szCs w:val="21"/>
              </w:rPr>
              <w:t xml:space="preserve">regulatory </w:t>
            </w:r>
            <w:r w:rsidRPr="0087045A">
              <w:rPr>
                <w:sz w:val="21"/>
                <w:szCs w:val="21"/>
              </w:rPr>
              <w:t xml:space="preserve">obligations resulting from </w:t>
            </w:r>
            <w:r w:rsidR="00B529DD">
              <w:rPr>
                <w:sz w:val="21"/>
                <w:szCs w:val="21"/>
              </w:rPr>
              <w:t xml:space="preserve">unauthorised </w:t>
            </w:r>
            <w:r w:rsidRPr="0087045A">
              <w:rPr>
                <w:sz w:val="21"/>
                <w:szCs w:val="21"/>
              </w:rPr>
              <w:t>disclosure; and</w:t>
            </w:r>
          </w:p>
          <w:p w14:paraId="7319FDEE" w14:textId="77777777" w:rsidR="006D2417" w:rsidRPr="0087045A" w:rsidRDefault="006D2417" w:rsidP="007D18A1">
            <w:pPr>
              <w:pStyle w:val="ListParagraph"/>
              <w:numPr>
                <w:ilvl w:val="0"/>
                <w:numId w:val="22"/>
              </w:numPr>
              <w:rPr>
                <w:sz w:val="21"/>
                <w:szCs w:val="21"/>
              </w:rPr>
            </w:pPr>
            <w:r w:rsidRPr="0087045A">
              <w:rPr>
                <w:sz w:val="21"/>
                <w:szCs w:val="21"/>
              </w:rPr>
              <w:t>controls to ensure adequate data quality and data security, particularly in arrangements involving third parties.</w:t>
            </w:r>
          </w:p>
          <w:p w14:paraId="472F856D" w14:textId="77777777" w:rsidR="006D2417" w:rsidRPr="0087045A" w:rsidRDefault="006D2417" w:rsidP="007D18A1">
            <w:pPr>
              <w:rPr>
                <w:sz w:val="21"/>
                <w:szCs w:val="21"/>
              </w:rPr>
            </w:pPr>
            <w:r w:rsidRPr="0087045A">
              <w:rPr>
                <w:sz w:val="21"/>
                <w:szCs w:val="21"/>
              </w:rPr>
              <w:t xml:space="preserve"> </w:t>
            </w:r>
          </w:p>
          <w:p w14:paraId="051E8B15" w14:textId="77777777" w:rsidR="006D2417" w:rsidRPr="0087045A" w:rsidRDefault="006D2417" w:rsidP="007D18A1">
            <w:pPr>
              <w:rPr>
                <w:sz w:val="21"/>
                <w:szCs w:val="21"/>
              </w:rPr>
            </w:pPr>
            <w:r w:rsidRPr="0087045A">
              <w:rPr>
                <w:sz w:val="21"/>
                <w:szCs w:val="21"/>
              </w:rPr>
              <w:t>Once customer financial data leaves the custody of a regulated financial institution and is transferred to an unregulated entity, important controls such as the above may no longer apply. It is important that this potential exposure is covered by applying the right safeguards to all O</w:t>
            </w:r>
            <w:r w:rsidRPr="00613F75">
              <w:rPr>
                <w:sz w:val="21"/>
                <w:szCs w:val="21"/>
              </w:rPr>
              <w:t>pen Banking participants. This can be achieved through a well-designed accreditation model.</w:t>
            </w:r>
          </w:p>
          <w:p w14:paraId="7FCA47FE" w14:textId="77777777" w:rsidR="006D2417" w:rsidRPr="0087045A" w:rsidRDefault="006D2417" w:rsidP="007D18A1">
            <w:pPr>
              <w:rPr>
                <w:sz w:val="21"/>
                <w:szCs w:val="21"/>
              </w:rPr>
            </w:pPr>
          </w:p>
        </w:tc>
      </w:tr>
    </w:tbl>
    <w:p w14:paraId="34C1BAA8" w14:textId="77777777" w:rsidR="00315A2E" w:rsidRPr="00A561AE" w:rsidRDefault="00315A2E" w:rsidP="00A561AE">
      <w:pPr>
        <w:spacing w:before="360"/>
        <w:rPr>
          <w:b/>
        </w:rPr>
      </w:pPr>
      <w:bookmarkStart w:id="7" w:name="_Toc493861274"/>
      <w:r w:rsidRPr="0087045A">
        <w:rPr>
          <w:rStyle w:val="Heading1Char"/>
        </w:rPr>
        <w:t>Section II</w:t>
      </w:r>
      <w:bookmarkEnd w:id="7"/>
      <w:r w:rsidR="00A561AE">
        <w:rPr>
          <w:rStyle w:val="Heading1Char"/>
        </w:rPr>
        <w:br/>
      </w:r>
      <w:r w:rsidRPr="0087045A">
        <w:rPr>
          <w:rStyle w:val="Heading2Char"/>
        </w:rPr>
        <w:t xml:space="preserve">Proactive measures that industry can take </w:t>
      </w:r>
    </w:p>
    <w:p w14:paraId="07229068" w14:textId="77777777" w:rsidR="0005242A" w:rsidRPr="0087045A" w:rsidRDefault="0005242A" w:rsidP="00315A2E">
      <w:pPr>
        <w:jc w:val="both"/>
        <w:rPr>
          <w:sz w:val="21"/>
          <w:szCs w:val="21"/>
        </w:rPr>
      </w:pPr>
      <w:r w:rsidRPr="0087045A">
        <w:rPr>
          <w:sz w:val="21"/>
          <w:szCs w:val="21"/>
        </w:rPr>
        <w:t xml:space="preserve">The Commonwealth Bank recognises the </w:t>
      </w:r>
      <w:r w:rsidR="00315A2E" w:rsidRPr="0087045A">
        <w:rPr>
          <w:sz w:val="21"/>
          <w:szCs w:val="21"/>
        </w:rPr>
        <w:t xml:space="preserve">potential productivity </w:t>
      </w:r>
      <w:r w:rsidRPr="0087045A">
        <w:rPr>
          <w:sz w:val="21"/>
          <w:szCs w:val="21"/>
        </w:rPr>
        <w:t>gains of increasing consumers’ ability to access and control access to their data</w:t>
      </w:r>
      <w:r w:rsidR="00315A2E" w:rsidRPr="0087045A">
        <w:rPr>
          <w:sz w:val="21"/>
          <w:szCs w:val="21"/>
        </w:rPr>
        <w:t xml:space="preserve">. The Commonwealth Bank </w:t>
      </w:r>
      <w:r w:rsidRPr="0087045A">
        <w:rPr>
          <w:sz w:val="21"/>
          <w:szCs w:val="21"/>
        </w:rPr>
        <w:t xml:space="preserve">welcomes </w:t>
      </w:r>
      <w:r w:rsidR="00F469F7">
        <w:rPr>
          <w:sz w:val="21"/>
          <w:szCs w:val="21"/>
        </w:rPr>
        <w:t xml:space="preserve">the </w:t>
      </w:r>
      <w:r w:rsidRPr="0087045A">
        <w:rPr>
          <w:sz w:val="21"/>
          <w:szCs w:val="21"/>
        </w:rPr>
        <w:t>Government’s initiative to unlock benefits to consumers and the economy.</w:t>
      </w:r>
    </w:p>
    <w:p w14:paraId="540AA34C" w14:textId="77777777" w:rsidR="00947B9B" w:rsidRPr="0087045A" w:rsidRDefault="0005242A" w:rsidP="00947B9B">
      <w:pPr>
        <w:jc w:val="both"/>
        <w:rPr>
          <w:sz w:val="21"/>
          <w:szCs w:val="21"/>
        </w:rPr>
      </w:pPr>
      <w:r w:rsidRPr="0087045A">
        <w:rPr>
          <w:sz w:val="21"/>
          <w:szCs w:val="21"/>
        </w:rPr>
        <w:t>Framing the appropriate regulatory model should not be rushed.</w:t>
      </w:r>
      <w:r w:rsidR="00FE448C" w:rsidRPr="0087045A">
        <w:rPr>
          <w:sz w:val="21"/>
          <w:szCs w:val="21"/>
        </w:rPr>
        <w:t xml:space="preserve"> </w:t>
      </w:r>
      <w:r w:rsidR="00947B9B" w:rsidRPr="0087045A">
        <w:rPr>
          <w:sz w:val="21"/>
          <w:szCs w:val="21"/>
        </w:rPr>
        <w:t xml:space="preserve">The Commonwealth Bank </w:t>
      </w:r>
      <w:r w:rsidR="001B21FB">
        <w:rPr>
          <w:sz w:val="21"/>
          <w:szCs w:val="21"/>
        </w:rPr>
        <w:t xml:space="preserve">expects </w:t>
      </w:r>
      <w:r w:rsidR="00947B9B" w:rsidRPr="0087045A">
        <w:rPr>
          <w:sz w:val="21"/>
          <w:szCs w:val="21"/>
        </w:rPr>
        <w:t xml:space="preserve">that the implementation of a regulatory framework for Open Banking will require substantial legislative changes. </w:t>
      </w:r>
      <w:r w:rsidR="00FE448C" w:rsidRPr="0087045A">
        <w:rPr>
          <w:sz w:val="21"/>
          <w:szCs w:val="21"/>
        </w:rPr>
        <w:t xml:space="preserve">Assuming the Productivity Commission’s recommendations are endorsed, </w:t>
      </w:r>
      <w:r w:rsidR="00F469F7">
        <w:rPr>
          <w:sz w:val="21"/>
          <w:szCs w:val="21"/>
        </w:rPr>
        <w:t xml:space="preserve">the </w:t>
      </w:r>
      <w:r w:rsidR="00FE448C" w:rsidRPr="0087045A">
        <w:rPr>
          <w:sz w:val="21"/>
          <w:szCs w:val="21"/>
        </w:rPr>
        <w:t>Government would look to enact</w:t>
      </w:r>
      <w:r w:rsidR="00947B9B" w:rsidRPr="0087045A">
        <w:rPr>
          <w:sz w:val="21"/>
          <w:szCs w:val="21"/>
        </w:rPr>
        <w:t xml:space="preserve"> </w:t>
      </w:r>
      <w:r w:rsidR="00FE448C" w:rsidRPr="0087045A">
        <w:rPr>
          <w:sz w:val="21"/>
          <w:szCs w:val="21"/>
        </w:rPr>
        <w:t xml:space="preserve">a new </w:t>
      </w:r>
      <w:r w:rsidR="00947B9B" w:rsidRPr="0087045A">
        <w:rPr>
          <w:i/>
          <w:sz w:val="21"/>
          <w:szCs w:val="21"/>
        </w:rPr>
        <w:t>Data Sharing and Release Act</w:t>
      </w:r>
      <w:r w:rsidR="00FE448C" w:rsidRPr="0087045A">
        <w:rPr>
          <w:sz w:val="21"/>
          <w:szCs w:val="21"/>
        </w:rPr>
        <w:t>.</w:t>
      </w:r>
      <w:r w:rsidR="00947B9B" w:rsidRPr="0087045A">
        <w:rPr>
          <w:sz w:val="21"/>
          <w:szCs w:val="21"/>
        </w:rPr>
        <w:t xml:space="preserve"> </w:t>
      </w:r>
      <w:r w:rsidR="00E82648" w:rsidRPr="0087045A">
        <w:rPr>
          <w:sz w:val="21"/>
          <w:szCs w:val="21"/>
        </w:rPr>
        <w:t xml:space="preserve">Following that, a </w:t>
      </w:r>
      <w:r w:rsidR="00FE448C" w:rsidRPr="0087045A">
        <w:rPr>
          <w:sz w:val="21"/>
          <w:szCs w:val="21"/>
        </w:rPr>
        <w:t>range of existing laws and regulations will also need review and amendment</w:t>
      </w:r>
      <w:r w:rsidR="00956376" w:rsidRPr="0087045A">
        <w:rPr>
          <w:sz w:val="21"/>
          <w:szCs w:val="21"/>
        </w:rPr>
        <w:t>.</w:t>
      </w:r>
      <w:r w:rsidR="00956376" w:rsidRPr="0087045A">
        <w:rPr>
          <w:rStyle w:val="FootnoteReference"/>
          <w:sz w:val="21"/>
          <w:szCs w:val="21"/>
        </w:rPr>
        <w:footnoteReference w:id="6"/>
      </w:r>
      <w:r w:rsidR="00947B9B" w:rsidRPr="0087045A">
        <w:rPr>
          <w:sz w:val="21"/>
          <w:szCs w:val="21"/>
        </w:rPr>
        <w:t xml:space="preserve"> </w:t>
      </w:r>
    </w:p>
    <w:p w14:paraId="37277952" w14:textId="77777777" w:rsidR="00315A2E" w:rsidRPr="0087045A" w:rsidRDefault="00947B9B" w:rsidP="0005242A">
      <w:pPr>
        <w:jc w:val="both"/>
        <w:rPr>
          <w:sz w:val="21"/>
          <w:szCs w:val="21"/>
        </w:rPr>
      </w:pPr>
      <w:r w:rsidRPr="0087045A">
        <w:rPr>
          <w:sz w:val="21"/>
          <w:szCs w:val="21"/>
        </w:rPr>
        <w:t>Inevitably, legislative change will take time.  In order to ensure consumers have better access and control over their financial data as soon as possible, the Commonwealth Bank is prepared to immediately</w:t>
      </w:r>
      <w:r w:rsidR="001C1020" w:rsidRPr="0087045A">
        <w:rPr>
          <w:sz w:val="21"/>
          <w:szCs w:val="21"/>
        </w:rPr>
        <w:t xml:space="preserve"> </w:t>
      </w:r>
      <w:r w:rsidR="00FE448C" w:rsidRPr="0087045A">
        <w:rPr>
          <w:sz w:val="21"/>
          <w:szCs w:val="21"/>
        </w:rPr>
        <w:t>take steps</w:t>
      </w:r>
      <w:r w:rsidR="00215FAC">
        <w:rPr>
          <w:sz w:val="21"/>
          <w:szCs w:val="21"/>
        </w:rPr>
        <w:t xml:space="preserve"> to</w:t>
      </w:r>
      <w:r w:rsidR="00FE448C" w:rsidRPr="0087045A">
        <w:rPr>
          <w:sz w:val="21"/>
          <w:szCs w:val="21"/>
        </w:rPr>
        <w:t xml:space="preserve"> </w:t>
      </w:r>
      <w:r w:rsidRPr="0087045A">
        <w:rPr>
          <w:sz w:val="21"/>
          <w:szCs w:val="21"/>
        </w:rPr>
        <w:t>introduce the data sharing model proposed by the ABA</w:t>
      </w:r>
      <w:r w:rsidR="00FE448C" w:rsidRPr="0087045A">
        <w:rPr>
          <w:sz w:val="21"/>
          <w:szCs w:val="21"/>
        </w:rPr>
        <w:t xml:space="preserve">. This will enable </w:t>
      </w:r>
      <w:r w:rsidR="00F469F7">
        <w:rPr>
          <w:sz w:val="21"/>
          <w:szCs w:val="21"/>
        </w:rPr>
        <w:t xml:space="preserve">the </w:t>
      </w:r>
      <w:r w:rsidR="0005242A" w:rsidRPr="0087045A">
        <w:rPr>
          <w:sz w:val="21"/>
          <w:szCs w:val="21"/>
        </w:rPr>
        <w:t xml:space="preserve">Government </w:t>
      </w:r>
      <w:r w:rsidR="00D56617" w:rsidRPr="0087045A">
        <w:rPr>
          <w:sz w:val="21"/>
          <w:szCs w:val="21"/>
        </w:rPr>
        <w:t xml:space="preserve">to </w:t>
      </w:r>
      <w:r w:rsidR="00FE448C" w:rsidRPr="0087045A">
        <w:rPr>
          <w:sz w:val="21"/>
          <w:szCs w:val="21"/>
        </w:rPr>
        <w:t xml:space="preserve">start </w:t>
      </w:r>
      <w:r w:rsidR="0005242A" w:rsidRPr="0087045A">
        <w:rPr>
          <w:sz w:val="21"/>
          <w:szCs w:val="21"/>
        </w:rPr>
        <w:t>deliver</w:t>
      </w:r>
      <w:r w:rsidR="00FE448C" w:rsidRPr="0087045A">
        <w:rPr>
          <w:sz w:val="21"/>
          <w:szCs w:val="21"/>
        </w:rPr>
        <w:t>ing</w:t>
      </w:r>
      <w:r w:rsidR="0005242A" w:rsidRPr="0087045A">
        <w:rPr>
          <w:sz w:val="21"/>
          <w:szCs w:val="21"/>
        </w:rPr>
        <w:t xml:space="preserve"> on the promise of open data </w:t>
      </w:r>
      <w:r w:rsidR="00FE448C" w:rsidRPr="0087045A">
        <w:rPr>
          <w:sz w:val="21"/>
          <w:szCs w:val="21"/>
        </w:rPr>
        <w:t xml:space="preserve">benefits </w:t>
      </w:r>
      <w:r w:rsidR="0005242A" w:rsidRPr="0087045A">
        <w:rPr>
          <w:sz w:val="21"/>
          <w:szCs w:val="21"/>
        </w:rPr>
        <w:t>in the coming 12 months</w:t>
      </w:r>
      <w:r w:rsidR="00FE448C" w:rsidRPr="0087045A">
        <w:rPr>
          <w:sz w:val="21"/>
          <w:szCs w:val="21"/>
        </w:rPr>
        <w:t xml:space="preserve"> whilst work continues to draft suitable new legislation</w:t>
      </w:r>
      <w:r w:rsidR="0005242A" w:rsidRPr="0087045A">
        <w:rPr>
          <w:sz w:val="21"/>
          <w:szCs w:val="21"/>
        </w:rPr>
        <w:t>.</w:t>
      </w:r>
    </w:p>
    <w:p w14:paraId="0066090C" w14:textId="77777777" w:rsidR="00C1359C" w:rsidRPr="0087045A" w:rsidRDefault="00C1359C" w:rsidP="0005242A">
      <w:pPr>
        <w:jc w:val="both"/>
        <w:rPr>
          <w:sz w:val="21"/>
          <w:szCs w:val="21"/>
        </w:rPr>
      </w:pPr>
      <w:r w:rsidRPr="0087045A">
        <w:rPr>
          <w:sz w:val="21"/>
          <w:szCs w:val="21"/>
        </w:rPr>
        <w:t xml:space="preserve">This section of the submission sets out </w:t>
      </w:r>
      <w:r w:rsidR="00E82648" w:rsidRPr="0087045A">
        <w:rPr>
          <w:sz w:val="21"/>
          <w:szCs w:val="21"/>
        </w:rPr>
        <w:t>further</w:t>
      </w:r>
      <w:r w:rsidRPr="0087045A">
        <w:rPr>
          <w:sz w:val="21"/>
          <w:szCs w:val="21"/>
        </w:rPr>
        <w:t xml:space="preserve"> areas of opportunity where the Commonwealth Bank is committed to moving quickly to deliver outcomes that will support Open Banking in Australia. The Commonwealth Bank recommends that</w:t>
      </w:r>
      <w:r w:rsidR="001B21FB">
        <w:rPr>
          <w:sz w:val="21"/>
          <w:szCs w:val="21"/>
        </w:rPr>
        <w:t xml:space="preserve"> the</w:t>
      </w:r>
      <w:r w:rsidRPr="0087045A">
        <w:rPr>
          <w:sz w:val="21"/>
          <w:szCs w:val="21"/>
        </w:rPr>
        <w:t xml:space="preserve"> Government and industry consider these </w:t>
      </w:r>
      <w:r w:rsidR="006A2052" w:rsidRPr="0087045A">
        <w:rPr>
          <w:sz w:val="21"/>
          <w:szCs w:val="21"/>
        </w:rPr>
        <w:t>initiatives as areas for early action.</w:t>
      </w:r>
      <w:r w:rsidR="00A824C5">
        <w:rPr>
          <w:sz w:val="21"/>
          <w:szCs w:val="21"/>
        </w:rPr>
        <w:t xml:space="preserve"> Importantly, certain regulatory waivers or interim measures from </w:t>
      </w:r>
      <w:r w:rsidR="00F469F7">
        <w:rPr>
          <w:sz w:val="21"/>
          <w:szCs w:val="21"/>
        </w:rPr>
        <w:t xml:space="preserve">the </w:t>
      </w:r>
      <w:r w:rsidR="00A824C5">
        <w:rPr>
          <w:sz w:val="21"/>
          <w:szCs w:val="21"/>
        </w:rPr>
        <w:t>Government may be required in order to support industry action.</w:t>
      </w:r>
    </w:p>
    <w:p w14:paraId="6575C50F" w14:textId="77777777" w:rsidR="0005242A" w:rsidRPr="0087045A" w:rsidRDefault="00C1359C" w:rsidP="0087045A">
      <w:pPr>
        <w:pStyle w:val="Heading2"/>
      </w:pPr>
      <w:bookmarkStart w:id="8" w:name="_Toc493861275"/>
      <w:r w:rsidRPr="0087045A">
        <w:t>A.</w:t>
      </w:r>
      <w:r w:rsidRPr="0087045A">
        <w:tab/>
      </w:r>
      <w:r w:rsidR="00713323" w:rsidRPr="0087045A">
        <w:t xml:space="preserve">Consumer </w:t>
      </w:r>
      <w:r w:rsidRPr="0087045A">
        <w:t>e</w:t>
      </w:r>
      <w:r w:rsidR="00713323" w:rsidRPr="0087045A">
        <w:t>ducation</w:t>
      </w:r>
      <w:r w:rsidRPr="0087045A">
        <w:t xml:space="preserve"> must be a key focus</w:t>
      </w:r>
      <w:bookmarkEnd w:id="8"/>
    </w:p>
    <w:p w14:paraId="7215B706" w14:textId="77777777" w:rsidR="007828C7" w:rsidRPr="0087045A" w:rsidRDefault="0005242A" w:rsidP="0005242A">
      <w:pPr>
        <w:jc w:val="both"/>
        <w:rPr>
          <w:sz w:val="21"/>
          <w:szCs w:val="21"/>
        </w:rPr>
      </w:pPr>
      <w:r w:rsidRPr="0087045A">
        <w:rPr>
          <w:sz w:val="21"/>
          <w:szCs w:val="21"/>
        </w:rPr>
        <w:t>The importance of consumer education and support has been repeatedly emphasised by experts reflecting on the experiences of the UK government in establishing its Open Banking regime.</w:t>
      </w:r>
      <w:r w:rsidRPr="0087045A">
        <w:rPr>
          <w:rStyle w:val="FootnoteReference"/>
          <w:sz w:val="21"/>
          <w:szCs w:val="21"/>
        </w:rPr>
        <w:footnoteReference w:id="7"/>
      </w:r>
      <w:r w:rsidRPr="0087045A">
        <w:rPr>
          <w:sz w:val="21"/>
          <w:szCs w:val="21"/>
        </w:rPr>
        <w:t xml:space="preserve"> </w:t>
      </w:r>
    </w:p>
    <w:p w14:paraId="461B62F5" w14:textId="77777777" w:rsidR="0005242A" w:rsidRPr="0087045A" w:rsidRDefault="0005242A" w:rsidP="0005242A">
      <w:pPr>
        <w:jc w:val="both"/>
        <w:rPr>
          <w:sz w:val="21"/>
          <w:szCs w:val="21"/>
        </w:rPr>
      </w:pPr>
      <w:r w:rsidRPr="0087045A">
        <w:rPr>
          <w:sz w:val="21"/>
          <w:szCs w:val="21"/>
        </w:rPr>
        <w:t>Research</w:t>
      </w:r>
      <w:r w:rsidR="007828C7" w:rsidRPr="0087045A">
        <w:rPr>
          <w:rStyle w:val="FootnoteReference"/>
          <w:sz w:val="21"/>
          <w:szCs w:val="21"/>
        </w:rPr>
        <w:footnoteReference w:id="8"/>
      </w:r>
      <w:r w:rsidRPr="0087045A">
        <w:rPr>
          <w:sz w:val="21"/>
          <w:szCs w:val="21"/>
        </w:rPr>
        <w:t xml:space="preserve"> in the UK shows that 90% of adults have never heard of Open Banking. </w:t>
      </w:r>
      <w:r w:rsidR="007828C7" w:rsidRPr="0087045A">
        <w:rPr>
          <w:sz w:val="21"/>
          <w:szCs w:val="21"/>
        </w:rPr>
        <w:t>Further</w:t>
      </w:r>
      <w:r w:rsidR="00C55EC4">
        <w:rPr>
          <w:sz w:val="21"/>
          <w:szCs w:val="21"/>
        </w:rPr>
        <w:t>more,</w:t>
      </w:r>
      <w:r w:rsidR="007828C7" w:rsidRPr="0087045A">
        <w:rPr>
          <w:sz w:val="21"/>
          <w:szCs w:val="21"/>
        </w:rPr>
        <w:t xml:space="preserve"> 26% of the UK savings market and 20% of the mortgage market claim to have some awareness of Open Banking, but generally do not know or understand the details of Open Banking or what it could mean for them. In fact, 67</w:t>
      </w:r>
      <w:r w:rsidRPr="0087045A">
        <w:rPr>
          <w:sz w:val="21"/>
          <w:szCs w:val="21"/>
        </w:rPr>
        <w:t xml:space="preserve">% of respondents </w:t>
      </w:r>
      <w:r w:rsidR="007828C7" w:rsidRPr="0087045A">
        <w:rPr>
          <w:sz w:val="21"/>
          <w:szCs w:val="21"/>
        </w:rPr>
        <w:t xml:space="preserve">expressed a concern that under the Open Banking model proposed by the UK government </w:t>
      </w:r>
      <w:r w:rsidRPr="0087045A">
        <w:rPr>
          <w:sz w:val="21"/>
          <w:szCs w:val="21"/>
        </w:rPr>
        <w:t xml:space="preserve">their data </w:t>
      </w:r>
      <w:r w:rsidR="007828C7" w:rsidRPr="0087045A">
        <w:rPr>
          <w:sz w:val="21"/>
          <w:szCs w:val="21"/>
        </w:rPr>
        <w:t>would fall into the wrong hands.</w:t>
      </w:r>
    </w:p>
    <w:p w14:paraId="23B01B8F" w14:textId="77777777" w:rsidR="00713323" w:rsidRPr="0087045A" w:rsidRDefault="0005242A" w:rsidP="009D1EAF">
      <w:pPr>
        <w:jc w:val="both"/>
        <w:rPr>
          <w:sz w:val="21"/>
          <w:szCs w:val="21"/>
        </w:rPr>
      </w:pPr>
      <w:r w:rsidRPr="001B21FB">
        <w:rPr>
          <w:sz w:val="21"/>
          <w:szCs w:val="21"/>
        </w:rPr>
        <w:t xml:space="preserve">This </w:t>
      </w:r>
      <w:r w:rsidR="007828C7" w:rsidRPr="001B21FB">
        <w:rPr>
          <w:sz w:val="21"/>
          <w:szCs w:val="21"/>
        </w:rPr>
        <w:t>lack of understanding and confidence has undermined</w:t>
      </w:r>
      <w:r w:rsidRPr="001B21FB">
        <w:rPr>
          <w:sz w:val="21"/>
          <w:szCs w:val="21"/>
        </w:rPr>
        <w:t xml:space="preserve"> </w:t>
      </w:r>
      <w:r w:rsidR="007828C7" w:rsidRPr="001B21FB">
        <w:rPr>
          <w:sz w:val="21"/>
          <w:szCs w:val="21"/>
        </w:rPr>
        <w:t xml:space="preserve">the UK government’s efforts to introduce an effective data sharing </w:t>
      </w:r>
      <w:r w:rsidR="00011727" w:rsidRPr="001B21FB">
        <w:rPr>
          <w:sz w:val="21"/>
          <w:szCs w:val="21"/>
        </w:rPr>
        <w:t>framework</w:t>
      </w:r>
      <w:r w:rsidR="007828C7" w:rsidRPr="0087045A">
        <w:rPr>
          <w:sz w:val="21"/>
          <w:szCs w:val="21"/>
        </w:rPr>
        <w:t xml:space="preserve">. </w:t>
      </w:r>
      <w:r w:rsidRPr="0087045A">
        <w:rPr>
          <w:sz w:val="21"/>
          <w:szCs w:val="21"/>
        </w:rPr>
        <w:t xml:space="preserve">The Commonwealth Bank’s view </w:t>
      </w:r>
      <w:r w:rsidR="007828C7" w:rsidRPr="0087045A">
        <w:rPr>
          <w:sz w:val="21"/>
          <w:szCs w:val="21"/>
        </w:rPr>
        <w:t xml:space="preserve">is that </w:t>
      </w:r>
      <w:r w:rsidR="00F469F7">
        <w:rPr>
          <w:sz w:val="21"/>
          <w:szCs w:val="21"/>
        </w:rPr>
        <w:t xml:space="preserve">the </w:t>
      </w:r>
      <w:r w:rsidR="007828C7" w:rsidRPr="0087045A">
        <w:rPr>
          <w:sz w:val="21"/>
          <w:szCs w:val="21"/>
        </w:rPr>
        <w:t xml:space="preserve">Government and </w:t>
      </w:r>
      <w:r w:rsidR="00F469F7">
        <w:rPr>
          <w:sz w:val="21"/>
          <w:szCs w:val="21"/>
        </w:rPr>
        <w:t xml:space="preserve">the banking </w:t>
      </w:r>
      <w:r w:rsidR="007828C7" w:rsidRPr="0087045A">
        <w:rPr>
          <w:sz w:val="21"/>
          <w:szCs w:val="21"/>
        </w:rPr>
        <w:t xml:space="preserve">industry should work together, learning from the UK, and </w:t>
      </w:r>
      <w:r w:rsidRPr="0087045A">
        <w:rPr>
          <w:sz w:val="21"/>
          <w:szCs w:val="21"/>
        </w:rPr>
        <w:t xml:space="preserve">educate consumers on the </w:t>
      </w:r>
      <w:r w:rsidR="007828C7" w:rsidRPr="0087045A">
        <w:rPr>
          <w:sz w:val="21"/>
          <w:szCs w:val="21"/>
        </w:rPr>
        <w:t>proposed benefits of Open Banking and also how to engage in a way that does not reduce their confidence in the security of the system</w:t>
      </w:r>
      <w:r w:rsidRPr="0087045A">
        <w:rPr>
          <w:sz w:val="21"/>
          <w:szCs w:val="21"/>
        </w:rPr>
        <w:t xml:space="preserve">. </w:t>
      </w:r>
    </w:p>
    <w:p w14:paraId="361E0C86" w14:textId="77777777" w:rsidR="009D1EAF" w:rsidRPr="0087045A" w:rsidRDefault="007828C7" w:rsidP="009D1EAF">
      <w:pPr>
        <w:jc w:val="both"/>
        <w:rPr>
          <w:sz w:val="21"/>
          <w:szCs w:val="21"/>
        </w:rPr>
      </w:pPr>
      <w:r w:rsidRPr="0087045A">
        <w:rPr>
          <w:sz w:val="21"/>
          <w:szCs w:val="21"/>
        </w:rPr>
        <w:t xml:space="preserve">Accordingly, the Commonwealth Bank </w:t>
      </w:r>
      <w:r w:rsidR="009D1EAF" w:rsidRPr="0087045A">
        <w:rPr>
          <w:sz w:val="21"/>
          <w:szCs w:val="21"/>
        </w:rPr>
        <w:t xml:space="preserve">is already taking proactive steps to lift the levels of understanding amongst its customers around safe data sharing practices, drawing heavily on existing </w:t>
      </w:r>
      <w:r w:rsidR="00F469F7">
        <w:rPr>
          <w:sz w:val="21"/>
          <w:szCs w:val="21"/>
        </w:rPr>
        <w:t>g</w:t>
      </w:r>
      <w:r w:rsidR="009D1EAF" w:rsidRPr="0087045A">
        <w:rPr>
          <w:sz w:val="21"/>
          <w:szCs w:val="21"/>
        </w:rPr>
        <w:t xml:space="preserve">overnment standards as well as lessons from industry best practice. </w:t>
      </w:r>
    </w:p>
    <w:p w14:paraId="39D346C6" w14:textId="77777777" w:rsidR="00DF4A28" w:rsidRPr="0087045A" w:rsidRDefault="00174C7E" w:rsidP="009D1EAF">
      <w:pPr>
        <w:jc w:val="both"/>
        <w:rPr>
          <w:sz w:val="21"/>
          <w:szCs w:val="21"/>
        </w:rPr>
      </w:pPr>
      <w:r w:rsidRPr="0087045A">
        <w:rPr>
          <w:sz w:val="21"/>
          <w:szCs w:val="21"/>
        </w:rPr>
        <w:t>In addition to education around security practices,</w:t>
      </w:r>
      <w:r w:rsidR="00B529DD">
        <w:rPr>
          <w:rStyle w:val="FootnoteReference"/>
          <w:sz w:val="21"/>
          <w:szCs w:val="21"/>
        </w:rPr>
        <w:footnoteReference w:id="9"/>
      </w:r>
      <w:r w:rsidRPr="0087045A">
        <w:rPr>
          <w:sz w:val="21"/>
          <w:szCs w:val="21"/>
        </w:rPr>
        <w:t xml:space="preserve"> the Commonwealth Bank already invests heavily in a comprehensive customer support capability aimed at providing assistance for its customers. Support takes the form of tools and resources to </w:t>
      </w:r>
      <w:r w:rsidR="00D56617" w:rsidRPr="0087045A">
        <w:rPr>
          <w:sz w:val="21"/>
          <w:szCs w:val="21"/>
        </w:rPr>
        <w:t>help</w:t>
      </w:r>
      <w:r w:rsidRPr="0087045A">
        <w:rPr>
          <w:sz w:val="21"/>
          <w:szCs w:val="21"/>
        </w:rPr>
        <w:t xml:space="preserve"> customers avoid potentially unsafe data sharing activities, such as disclosing their log-ins and password credentials to third parties, as well as providing frontline support in the event </w:t>
      </w:r>
      <w:r w:rsidR="00DF4A28" w:rsidRPr="0087045A">
        <w:rPr>
          <w:sz w:val="21"/>
          <w:szCs w:val="21"/>
        </w:rPr>
        <w:t>of concerns around data misuse.</w:t>
      </w:r>
    </w:p>
    <w:p w14:paraId="794EE874" w14:textId="77777777" w:rsidR="00DF4A28" w:rsidRPr="0087045A" w:rsidRDefault="00174C7E" w:rsidP="009D1EAF">
      <w:pPr>
        <w:jc w:val="both"/>
        <w:rPr>
          <w:sz w:val="21"/>
          <w:szCs w:val="21"/>
        </w:rPr>
      </w:pPr>
      <w:r w:rsidRPr="0087045A">
        <w:rPr>
          <w:sz w:val="21"/>
          <w:szCs w:val="21"/>
        </w:rPr>
        <w:t xml:space="preserve">This submission strongly recommends that resources be focussed on </w:t>
      </w:r>
      <w:r w:rsidR="00DF4A28" w:rsidRPr="0087045A">
        <w:rPr>
          <w:sz w:val="21"/>
          <w:szCs w:val="21"/>
        </w:rPr>
        <w:t xml:space="preserve">a comprehensive education programme across the banking sector aimed at </w:t>
      </w:r>
      <w:r w:rsidRPr="0087045A">
        <w:rPr>
          <w:sz w:val="21"/>
          <w:szCs w:val="21"/>
        </w:rPr>
        <w:t xml:space="preserve">ensuring consumers have </w:t>
      </w:r>
      <w:r w:rsidR="00DF4A28" w:rsidRPr="0087045A">
        <w:rPr>
          <w:sz w:val="21"/>
          <w:szCs w:val="21"/>
        </w:rPr>
        <w:t xml:space="preserve">resources and </w:t>
      </w:r>
      <w:r w:rsidRPr="0087045A">
        <w:rPr>
          <w:sz w:val="21"/>
          <w:szCs w:val="21"/>
        </w:rPr>
        <w:t>support in relation to Open Banking.</w:t>
      </w:r>
      <w:r w:rsidRPr="0087045A">
        <w:rPr>
          <w:rStyle w:val="FootnoteReference"/>
          <w:sz w:val="21"/>
          <w:szCs w:val="21"/>
        </w:rPr>
        <w:footnoteReference w:id="10"/>
      </w:r>
    </w:p>
    <w:p w14:paraId="633891C4" w14:textId="77777777" w:rsidR="00F67F7D" w:rsidRPr="0087045A" w:rsidRDefault="00174C7E" w:rsidP="0087045A">
      <w:pPr>
        <w:pStyle w:val="Heading2"/>
      </w:pPr>
      <w:r w:rsidRPr="0087045A" w:rsidDel="00174C7E">
        <w:t xml:space="preserve"> </w:t>
      </w:r>
      <w:bookmarkStart w:id="9" w:name="_Toc493861276"/>
      <w:r w:rsidR="00873E1C">
        <w:t>B</w:t>
      </w:r>
      <w:r w:rsidR="00C1359C" w:rsidRPr="0087045A">
        <w:t>.</w:t>
      </w:r>
      <w:r w:rsidR="00C1359C" w:rsidRPr="0087045A">
        <w:tab/>
      </w:r>
      <w:r w:rsidR="00F67F7D" w:rsidRPr="0087045A">
        <w:t xml:space="preserve">Digital </w:t>
      </w:r>
      <w:r w:rsidR="00BE5EA6">
        <w:t>i</w:t>
      </w:r>
      <w:r w:rsidR="00F67F7D" w:rsidRPr="0087045A">
        <w:t>dentity</w:t>
      </w:r>
      <w:r w:rsidR="006A2052" w:rsidRPr="0087045A">
        <w:t xml:space="preserve"> </w:t>
      </w:r>
      <w:r w:rsidR="007B4736" w:rsidRPr="0087045A">
        <w:t xml:space="preserve">is an early area of </w:t>
      </w:r>
      <w:r w:rsidR="006A2052" w:rsidRPr="0087045A">
        <w:t>opportunity</w:t>
      </w:r>
      <w:bookmarkEnd w:id="9"/>
    </w:p>
    <w:p w14:paraId="0C3CEE23" w14:textId="77777777" w:rsidR="00F466F1" w:rsidRPr="0087045A" w:rsidRDefault="001B21FB" w:rsidP="00F466F1">
      <w:pPr>
        <w:jc w:val="both"/>
        <w:rPr>
          <w:sz w:val="21"/>
          <w:szCs w:val="21"/>
        </w:rPr>
      </w:pPr>
      <w:r>
        <w:rPr>
          <w:sz w:val="21"/>
          <w:szCs w:val="21"/>
        </w:rPr>
        <w:t xml:space="preserve">One potential productivity gain from </w:t>
      </w:r>
      <w:r w:rsidR="00416B11">
        <w:rPr>
          <w:sz w:val="21"/>
          <w:szCs w:val="21"/>
        </w:rPr>
        <w:t>o</w:t>
      </w:r>
      <w:r w:rsidR="00F466F1" w:rsidRPr="0087045A">
        <w:rPr>
          <w:sz w:val="21"/>
          <w:szCs w:val="21"/>
        </w:rPr>
        <w:t xml:space="preserve">pen </w:t>
      </w:r>
      <w:r w:rsidR="00416B11">
        <w:rPr>
          <w:sz w:val="21"/>
          <w:szCs w:val="21"/>
        </w:rPr>
        <w:t>d</w:t>
      </w:r>
      <w:r w:rsidR="00F466F1" w:rsidRPr="0087045A">
        <w:rPr>
          <w:sz w:val="21"/>
          <w:szCs w:val="21"/>
        </w:rPr>
        <w:t xml:space="preserve">ata reforms </w:t>
      </w:r>
      <w:r>
        <w:rPr>
          <w:sz w:val="21"/>
          <w:szCs w:val="21"/>
        </w:rPr>
        <w:t xml:space="preserve">may be the delivery of </w:t>
      </w:r>
      <w:r w:rsidR="00F466F1" w:rsidRPr="0087045A">
        <w:rPr>
          <w:sz w:val="21"/>
          <w:szCs w:val="21"/>
        </w:rPr>
        <w:t>solutions that allow consumers to verify their identity digitally. The banking sector, together with government agencies, are highly-trusted repositories for identity verification.</w:t>
      </w:r>
      <w:r w:rsidR="00F466F1">
        <w:rPr>
          <w:sz w:val="21"/>
          <w:szCs w:val="21"/>
        </w:rPr>
        <w:t xml:space="preserve"> </w:t>
      </w:r>
    </w:p>
    <w:p w14:paraId="188877B4" w14:textId="77777777" w:rsidR="00F466F1" w:rsidRPr="0087045A" w:rsidRDefault="00F466F1" w:rsidP="00F466F1">
      <w:pPr>
        <w:jc w:val="both"/>
        <w:rPr>
          <w:sz w:val="21"/>
          <w:szCs w:val="21"/>
        </w:rPr>
      </w:pPr>
      <w:r w:rsidRPr="0087045A">
        <w:rPr>
          <w:sz w:val="21"/>
          <w:szCs w:val="21"/>
        </w:rPr>
        <w:t xml:space="preserve">The Commonwealth Bank has started trialling innovations that allow consumers to verify certain identity fields with other participants in the digital economy. Whilst these initiatives are still in their infancy, early experiences suggest that there is a demand for identity verification services. </w:t>
      </w:r>
      <w:r w:rsidR="00A824C5">
        <w:rPr>
          <w:sz w:val="21"/>
          <w:szCs w:val="21"/>
        </w:rPr>
        <w:t>Digital identity offerings could incorporate a range of features such a</w:t>
      </w:r>
      <w:r w:rsidR="001B21FB">
        <w:rPr>
          <w:sz w:val="21"/>
          <w:szCs w:val="21"/>
        </w:rPr>
        <w:t>s</w:t>
      </w:r>
      <w:r w:rsidR="00A824C5">
        <w:rPr>
          <w:sz w:val="21"/>
          <w:szCs w:val="21"/>
        </w:rPr>
        <w:t xml:space="preserve"> Know Your Customer (KYC) checks </w:t>
      </w:r>
      <w:r w:rsidR="001B21FB">
        <w:rPr>
          <w:sz w:val="21"/>
          <w:szCs w:val="21"/>
        </w:rPr>
        <w:t xml:space="preserve">for </w:t>
      </w:r>
      <w:r w:rsidR="00A824C5">
        <w:rPr>
          <w:sz w:val="21"/>
          <w:szCs w:val="21"/>
        </w:rPr>
        <w:t xml:space="preserve">verification of individual identity data fields. </w:t>
      </w:r>
      <w:r>
        <w:rPr>
          <w:sz w:val="21"/>
          <w:szCs w:val="21"/>
        </w:rPr>
        <w:t xml:space="preserve">A key challenge to overcome will be the regulatory requirements associated with complex data fields. For instance, </w:t>
      </w:r>
      <w:r w:rsidR="00A824C5">
        <w:rPr>
          <w:sz w:val="21"/>
          <w:szCs w:val="21"/>
        </w:rPr>
        <w:t xml:space="preserve">KYC </w:t>
      </w:r>
      <w:r>
        <w:rPr>
          <w:sz w:val="21"/>
          <w:szCs w:val="21"/>
        </w:rPr>
        <w:t xml:space="preserve">data consists of highly sensitive data, and any intention to share it will need to take in to account data privacy and security regulations, and the security capabilities of the end receiver of the data. </w:t>
      </w:r>
    </w:p>
    <w:p w14:paraId="4664F6B4" w14:textId="77777777" w:rsidR="00F67F7D" w:rsidRPr="0087045A" w:rsidRDefault="00F466F1" w:rsidP="00F466F1">
      <w:pPr>
        <w:jc w:val="both"/>
        <w:rPr>
          <w:sz w:val="21"/>
          <w:szCs w:val="21"/>
        </w:rPr>
      </w:pPr>
      <w:r w:rsidRPr="0087045A">
        <w:rPr>
          <w:sz w:val="21"/>
          <w:szCs w:val="21"/>
        </w:rPr>
        <w:t>Work has also commenced to assess the suitability of data sharing technology alternatives in the digital identity space. For instance, the Commonwealth Bank is participating in Government-initiated data sharing systems, such as with the Australian Taxation Office in relation to superannuation data that leverage</w:t>
      </w:r>
      <w:r w:rsidR="00BE5EA6">
        <w:rPr>
          <w:sz w:val="21"/>
          <w:szCs w:val="21"/>
        </w:rPr>
        <w:t>s</w:t>
      </w:r>
      <w:r w:rsidRPr="0087045A">
        <w:rPr>
          <w:sz w:val="21"/>
          <w:szCs w:val="21"/>
        </w:rPr>
        <w:t xml:space="preserve"> verification mechanisms through standard identifiers, such as a Tax File Number.</w:t>
      </w:r>
      <w:r w:rsidR="00D463AA">
        <w:rPr>
          <w:sz w:val="21"/>
          <w:szCs w:val="21"/>
        </w:rPr>
        <w:t xml:space="preserve"> The Commonwealth Bank will continue to engage in constructive dialogue with </w:t>
      </w:r>
      <w:r w:rsidR="001B21FB">
        <w:rPr>
          <w:sz w:val="21"/>
          <w:szCs w:val="21"/>
        </w:rPr>
        <w:t xml:space="preserve">the </w:t>
      </w:r>
      <w:r w:rsidR="00D463AA">
        <w:rPr>
          <w:sz w:val="21"/>
          <w:szCs w:val="21"/>
        </w:rPr>
        <w:t>Government around potential benefits offered by digital identity innovation.</w:t>
      </w:r>
    </w:p>
    <w:p w14:paraId="2A5927B7" w14:textId="77777777" w:rsidR="00E870A1" w:rsidRPr="0087045A" w:rsidRDefault="00873E1C" w:rsidP="0087045A">
      <w:pPr>
        <w:pStyle w:val="Heading2"/>
      </w:pPr>
      <w:bookmarkStart w:id="10" w:name="_Toc493861277"/>
      <w:r>
        <w:t>C</w:t>
      </w:r>
      <w:r w:rsidR="00C1359C" w:rsidRPr="0087045A">
        <w:t>.</w:t>
      </w:r>
      <w:r w:rsidR="00C1359C" w:rsidRPr="0087045A">
        <w:tab/>
      </w:r>
      <w:r w:rsidR="00E10067" w:rsidRPr="0087045A">
        <w:t>Shared data-types should offer</w:t>
      </w:r>
      <w:r w:rsidR="006A2052" w:rsidRPr="0087045A">
        <w:t xml:space="preserve"> tangible consumer value</w:t>
      </w:r>
      <w:bookmarkEnd w:id="10"/>
      <w:r w:rsidR="006A2052" w:rsidRPr="0087045A">
        <w:t xml:space="preserve"> </w:t>
      </w:r>
    </w:p>
    <w:p w14:paraId="39556688" w14:textId="77777777" w:rsidR="00B1266C" w:rsidRPr="0087045A" w:rsidRDefault="006F5A8F" w:rsidP="00DA4A5C">
      <w:pPr>
        <w:spacing w:after="240"/>
        <w:jc w:val="both"/>
        <w:rPr>
          <w:sz w:val="21"/>
          <w:szCs w:val="21"/>
        </w:rPr>
      </w:pPr>
      <w:r w:rsidRPr="0087045A">
        <w:rPr>
          <w:sz w:val="21"/>
          <w:szCs w:val="21"/>
        </w:rPr>
        <w:t>Phase 1 of the UK government’s implementation of Open Banking included increasing access to service and product and reference data such as published interest rates and product terms.</w:t>
      </w:r>
      <w:r w:rsidRPr="0087045A">
        <w:rPr>
          <w:rStyle w:val="FootnoteReference"/>
          <w:sz w:val="21"/>
          <w:szCs w:val="21"/>
        </w:rPr>
        <w:footnoteReference w:id="11"/>
      </w:r>
      <w:r w:rsidRPr="0087045A">
        <w:rPr>
          <w:sz w:val="21"/>
          <w:szCs w:val="21"/>
        </w:rPr>
        <w:t xml:space="preserve"> There are productivity benefits with </w:t>
      </w:r>
      <w:r w:rsidR="00315A2E" w:rsidRPr="0087045A">
        <w:rPr>
          <w:sz w:val="21"/>
          <w:szCs w:val="21"/>
        </w:rPr>
        <w:t xml:space="preserve">making </w:t>
      </w:r>
      <w:r w:rsidRPr="0087045A">
        <w:rPr>
          <w:sz w:val="21"/>
          <w:szCs w:val="21"/>
        </w:rPr>
        <w:t>this information available in a standardised, easily accessible form. New market entrants are able to create business models leveraging this data, enabling consumers to compare product offerings with increased accuracy and reliance.</w:t>
      </w:r>
    </w:p>
    <w:p w14:paraId="1C4B3B16" w14:textId="77777777" w:rsidR="00631443" w:rsidRDefault="009629AA" w:rsidP="009629AA">
      <w:pPr>
        <w:jc w:val="both"/>
        <w:rPr>
          <w:sz w:val="21"/>
          <w:szCs w:val="21"/>
        </w:rPr>
      </w:pPr>
      <w:r w:rsidRPr="0087045A">
        <w:rPr>
          <w:sz w:val="21"/>
          <w:szCs w:val="21"/>
        </w:rPr>
        <w:t>The Commonwealth Bank recommends that the initial phase of Open Banking in Australia also include this initiative. The Commonwealth Bank has already commenced work to identify the data fields that, when exposed, will provide the market with greater access to valuable service and product data.</w:t>
      </w:r>
    </w:p>
    <w:p w14:paraId="0D268001" w14:textId="77777777" w:rsidR="001A5B5D" w:rsidRDefault="001A5B5D" w:rsidP="007A0DDF">
      <w:pPr>
        <w:jc w:val="both"/>
        <w:rPr>
          <w:sz w:val="21"/>
          <w:szCs w:val="21"/>
        </w:rPr>
      </w:pPr>
      <w:r>
        <w:rPr>
          <w:sz w:val="21"/>
          <w:szCs w:val="21"/>
        </w:rPr>
        <w:t>Whilst a Comprehensive Consumer Right could effectively apply to an undefined range of data, a phased implementation approach is recommended, considering the practical challenges associated with sharing certain data-types as well as the specific legal and consumer consent requirements that need to be addressed. Accordingly</w:t>
      </w:r>
      <w:r w:rsidRPr="0087045A">
        <w:rPr>
          <w:sz w:val="21"/>
          <w:szCs w:val="21"/>
        </w:rPr>
        <w:t xml:space="preserve">, the Commonwealth Bank </w:t>
      </w:r>
      <w:r>
        <w:rPr>
          <w:sz w:val="21"/>
          <w:szCs w:val="21"/>
        </w:rPr>
        <w:t>suggests</w:t>
      </w:r>
      <w:r w:rsidRPr="0087045A">
        <w:rPr>
          <w:sz w:val="21"/>
          <w:szCs w:val="21"/>
        </w:rPr>
        <w:t xml:space="preserve"> that transaction account information is considered as a data set to be shared in Phase 1. Transaction accounts represent a product type where the consent issues associated with sharing data, as well as the complexities</w:t>
      </w:r>
      <w:r>
        <w:rPr>
          <w:sz w:val="21"/>
          <w:szCs w:val="21"/>
        </w:rPr>
        <w:t xml:space="preserve"> in banking regulations are solva</w:t>
      </w:r>
      <w:r w:rsidRPr="0087045A">
        <w:rPr>
          <w:sz w:val="21"/>
          <w:szCs w:val="21"/>
        </w:rPr>
        <w:t>ble within a reasonable timeframe.</w:t>
      </w:r>
      <w:r>
        <w:rPr>
          <w:sz w:val="21"/>
          <w:szCs w:val="21"/>
        </w:rPr>
        <w:t xml:space="preserve"> Highly sensitive data types or information associated with complex financial products will naturally carry complications that must be worked through.</w:t>
      </w:r>
    </w:p>
    <w:p w14:paraId="19096502" w14:textId="77777777" w:rsidR="00B1266C" w:rsidRPr="0087045A" w:rsidRDefault="00AA2E8B" w:rsidP="00721FB9">
      <w:pPr>
        <w:spacing w:after="240"/>
        <w:jc w:val="both"/>
        <w:rPr>
          <w:sz w:val="21"/>
          <w:szCs w:val="21"/>
        </w:rPr>
      </w:pPr>
      <w:r w:rsidRPr="0087045A">
        <w:rPr>
          <w:sz w:val="21"/>
          <w:szCs w:val="21"/>
        </w:rPr>
        <w:t xml:space="preserve">The Commonwealth Bank also recognises </w:t>
      </w:r>
      <w:r>
        <w:rPr>
          <w:sz w:val="21"/>
          <w:szCs w:val="21"/>
        </w:rPr>
        <w:t xml:space="preserve">the </w:t>
      </w:r>
      <w:r w:rsidRPr="0087045A">
        <w:rPr>
          <w:sz w:val="21"/>
          <w:szCs w:val="21"/>
        </w:rPr>
        <w:t>Government’s intention to support small business</w:t>
      </w:r>
      <w:r>
        <w:rPr>
          <w:sz w:val="21"/>
          <w:szCs w:val="21"/>
        </w:rPr>
        <w:t>es</w:t>
      </w:r>
      <w:r w:rsidRPr="0087045A">
        <w:rPr>
          <w:sz w:val="21"/>
          <w:szCs w:val="21"/>
        </w:rPr>
        <w:t xml:space="preserve">. The Commonwealth Bank has already invested heavily in capabilities to enable sharing of data with accounting software integrators in order to provide small business customers with financial tools and resources. </w:t>
      </w:r>
      <w:r>
        <w:rPr>
          <w:sz w:val="21"/>
          <w:szCs w:val="21"/>
        </w:rPr>
        <w:t>Specifically, t</w:t>
      </w:r>
      <w:r w:rsidRPr="0087045A">
        <w:rPr>
          <w:sz w:val="21"/>
          <w:szCs w:val="21"/>
        </w:rPr>
        <w:t xml:space="preserve">he Commonwealth Bank is already working with large </w:t>
      </w:r>
      <w:r>
        <w:rPr>
          <w:sz w:val="21"/>
          <w:szCs w:val="21"/>
        </w:rPr>
        <w:t xml:space="preserve">established providers </w:t>
      </w:r>
      <w:r w:rsidRPr="0087045A">
        <w:rPr>
          <w:sz w:val="21"/>
          <w:szCs w:val="21"/>
        </w:rPr>
        <w:t xml:space="preserve">such as MYOB and Xero, as well as other smaller software competitors. The Commonwealth Bank believes that there are added complexities with sharing small business transaction account data. This is largely due to the </w:t>
      </w:r>
      <w:r>
        <w:rPr>
          <w:sz w:val="21"/>
          <w:szCs w:val="21"/>
        </w:rPr>
        <w:t xml:space="preserve">broad </w:t>
      </w:r>
      <w:r w:rsidRPr="0087045A">
        <w:rPr>
          <w:sz w:val="21"/>
          <w:szCs w:val="21"/>
        </w:rPr>
        <w:t xml:space="preserve">range of legal structures that small businesses use (eg sole traders, partnerships, trust arrangements and incorporated entities). However, if </w:t>
      </w:r>
      <w:r>
        <w:rPr>
          <w:sz w:val="21"/>
          <w:szCs w:val="21"/>
        </w:rPr>
        <w:t xml:space="preserve">the </w:t>
      </w:r>
      <w:r w:rsidRPr="0087045A">
        <w:rPr>
          <w:sz w:val="21"/>
          <w:szCs w:val="21"/>
        </w:rPr>
        <w:t xml:space="preserve">Government is committed to including small business transaction account information in the early phases of Open Banking, the Commonwealth Bank will direct resources to work with regulators and industry to support that outcome. </w:t>
      </w:r>
    </w:p>
    <w:p w14:paraId="1874AB83" w14:textId="77777777" w:rsidR="00DA4A5C" w:rsidRPr="00873E1C" w:rsidRDefault="00DA4A5C" w:rsidP="00721FB9">
      <w:pPr>
        <w:spacing w:before="240"/>
      </w:pPr>
      <w:bookmarkStart w:id="11" w:name="_Toc493861278"/>
      <w:r w:rsidRPr="0087045A">
        <w:rPr>
          <w:rStyle w:val="Heading1Char"/>
        </w:rPr>
        <w:t>Section III</w:t>
      </w:r>
      <w:bookmarkEnd w:id="11"/>
      <w:r w:rsidR="000615AB">
        <w:rPr>
          <w:rStyle w:val="Heading1Char"/>
        </w:rPr>
        <w:t xml:space="preserve"> </w:t>
      </w:r>
      <w:r w:rsidR="008B5C76">
        <w:rPr>
          <w:rStyle w:val="Heading1Char"/>
        </w:rPr>
        <w:br/>
      </w:r>
      <w:r w:rsidRPr="00873E1C">
        <w:rPr>
          <w:rStyle w:val="Heading2Char"/>
        </w:rPr>
        <w:t>The true cost</w:t>
      </w:r>
      <w:r w:rsidR="002D39DD" w:rsidRPr="00873E1C">
        <w:rPr>
          <w:rStyle w:val="Heading2Char"/>
        </w:rPr>
        <w:t>s and benefits</w:t>
      </w:r>
      <w:r w:rsidRPr="00873E1C">
        <w:rPr>
          <w:rStyle w:val="Heading2Char"/>
        </w:rPr>
        <w:t xml:space="preserve"> to the economy of implementing Open Banking</w:t>
      </w:r>
      <w:r w:rsidRPr="00873E1C">
        <w:t xml:space="preserve"> </w:t>
      </w:r>
    </w:p>
    <w:p w14:paraId="4EE47364" w14:textId="77777777" w:rsidR="0007729B" w:rsidRPr="0087045A" w:rsidRDefault="0007729B" w:rsidP="0007729B">
      <w:pPr>
        <w:jc w:val="both"/>
        <w:rPr>
          <w:sz w:val="21"/>
          <w:szCs w:val="21"/>
        </w:rPr>
      </w:pPr>
      <w:r w:rsidRPr="0087045A">
        <w:rPr>
          <w:sz w:val="21"/>
          <w:szCs w:val="21"/>
        </w:rPr>
        <w:t xml:space="preserve">The Treasury’s Issues Paper specifically seeks input regarding the cost of implementing Open Banking in Australia. The Commonwealth Bank notes that the cost of implementing Open Banking can vary significantly, and that careful planning will allow </w:t>
      </w:r>
      <w:r w:rsidR="00F469F7">
        <w:rPr>
          <w:sz w:val="21"/>
          <w:szCs w:val="21"/>
        </w:rPr>
        <w:t xml:space="preserve">the </w:t>
      </w:r>
      <w:r w:rsidRPr="0087045A">
        <w:rPr>
          <w:sz w:val="21"/>
          <w:szCs w:val="21"/>
        </w:rPr>
        <w:t>Government and industry to jointly achiev</w:t>
      </w:r>
      <w:r w:rsidR="00C06D18" w:rsidRPr="0087045A">
        <w:rPr>
          <w:sz w:val="21"/>
          <w:szCs w:val="21"/>
        </w:rPr>
        <w:t>e the outlined objectives while</w:t>
      </w:r>
      <w:r w:rsidRPr="0087045A">
        <w:rPr>
          <w:sz w:val="21"/>
          <w:szCs w:val="21"/>
        </w:rPr>
        <w:t xml:space="preserve"> minimising associated costs. The Commonwealth Bank supports the Government’s intentions of embedding learnings from implementation of the Open Banking standard in the UK, and outlines key areas for consideration below.</w:t>
      </w:r>
    </w:p>
    <w:p w14:paraId="2D2BA303" w14:textId="77777777" w:rsidR="00011727" w:rsidRDefault="00C06D18" w:rsidP="0007729B">
      <w:pPr>
        <w:jc w:val="both"/>
        <w:rPr>
          <w:sz w:val="21"/>
          <w:szCs w:val="21"/>
        </w:rPr>
      </w:pPr>
      <w:r w:rsidRPr="0087045A">
        <w:rPr>
          <w:sz w:val="21"/>
          <w:szCs w:val="21"/>
        </w:rPr>
        <w:t>A</w:t>
      </w:r>
      <w:r w:rsidR="0007729B" w:rsidRPr="0087045A">
        <w:rPr>
          <w:sz w:val="21"/>
          <w:szCs w:val="21"/>
        </w:rPr>
        <w:t xml:space="preserve">nalysis of the </w:t>
      </w:r>
      <w:r w:rsidR="005B1AD8" w:rsidRPr="0087045A">
        <w:rPr>
          <w:sz w:val="21"/>
          <w:szCs w:val="21"/>
        </w:rPr>
        <w:t>g</w:t>
      </w:r>
      <w:r w:rsidR="0007729B" w:rsidRPr="0087045A">
        <w:rPr>
          <w:sz w:val="21"/>
          <w:szCs w:val="21"/>
        </w:rPr>
        <w:t xml:space="preserve">overnment-led implementation of Open Banking in the UK suggests upfront implementation cost for participants </w:t>
      </w:r>
      <w:r w:rsidR="004D4EF9" w:rsidRPr="0087045A">
        <w:rPr>
          <w:sz w:val="21"/>
          <w:szCs w:val="21"/>
        </w:rPr>
        <w:t>can be substantial.  Research indicates that in the UK, the</w:t>
      </w:r>
      <w:r w:rsidRPr="0087045A">
        <w:rPr>
          <w:sz w:val="21"/>
          <w:szCs w:val="21"/>
        </w:rPr>
        <w:t xml:space="preserve"> average</w:t>
      </w:r>
      <w:r w:rsidR="004D4EF9" w:rsidRPr="0087045A">
        <w:rPr>
          <w:sz w:val="21"/>
          <w:szCs w:val="21"/>
        </w:rPr>
        <w:t xml:space="preserve"> </w:t>
      </w:r>
      <w:r w:rsidR="00721FB9">
        <w:rPr>
          <w:sz w:val="21"/>
          <w:szCs w:val="21"/>
        </w:rPr>
        <w:t xml:space="preserve">direct </w:t>
      </w:r>
      <w:r w:rsidR="004D4EF9" w:rsidRPr="0087045A">
        <w:rPr>
          <w:sz w:val="21"/>
          <w:szCs w:val="21"/>
        </w:rPr>
        <w:t>cost of implementing Open Banking and associated payments</w:t>
      </w:r>
      <w:r w:rsidRPr="0087045A">
        <w:rPr>
          <w:sz w:val="21"/>
          <w:szCs w:val="21"/>
        </w:rPr>
        <w:t xml:space="preserve"> reforms run to between GBP 150-</w:t>
      </w:r>
      <w:r w:rsidR="004D4EF9" w:rsidRPr="0087045A">
        <w:rPr>
          <w:sz w:val="21"/>
          <w:szCs w:val="21"/>
        </w:rPr>
        <w:t>200 million per institution, and costs have run as high as GBP 300 million for particular banks</w:t>
      </w:r>
      <w:r w:rsidR="00952402">
        <w:rPr>
          <w:sz w:val="21"/>
          <w:szCs w:val="21"/>
        </w:rPr>
        <w:t xml:space="preserve"> (see breakdown in Figure 4)</w:t>
      </w:r>
      <w:r w:rsidR="004D4EF9" w:rsidRPr="0087045A">
        <w:rPr>
          <w:sz w:val="21"/>
          <w:szCs w:val="21"/>
        </w:rPr>
        <w:t xml:space="preserve">. </w:t>
      </w:r>
      <w:r w:rsidR="00011727">
        <w:rPr>
          <w:sz w:val="21"/>
          <w:szCs w:val="21"/>
        </w:rPr>
        <w:t xml:space="preserve">It is noted that these figures do </w:t>
      </w:r>
      <w:r w:rsidR="004D4EF9" w:rsidRPr="0087045A">
        <w:rPr>
          <w:sz w:val="21"/>
          <w:szCs w:val="21"/>
        </w:rPr>
        <w:t>not include ongoing costs</w:t>
      </w:r>
      <w:r w:rsidR="00011727">
        <w:rPr>
          <w:sz w:val="21"/>
          <w:szCs w:val="21"/>
        </w:rPr>
        <w:t xml:space="preserve"> such as operating expenses as well as </w:t>
      </w:r>
      <w:r w:rsidR="00721FB9">
        <w:rPr>
          <w:sz w:val="21"/>
          <w:szCs w:val="21"/>
        </w:rPr>
        <w:t xml:space="preserve">the indirect financial burden of change impacts and </w:t>
      </w:r>
      <w:r w:rsidR="00011727">
        <w:rPr>
          <w:sz w:val="21"/>
          <w:szCs w:val="21"/>
        </w:rPr>
        <w:t>the cost of servicing and supporting consumers</w:t>
      </w:r>
      <w:r w:rsidR="004D4EF9" w:rsidRPr="0087045A">
        <w:rPr>
          <w:sz w:val="21"/>
          <w:szCs w:val="21"/>
        </w:rPr>
        <w:t xml:space="preserve">. </w:t>
      </w:r>
      <w:r w:rsidR="00952402">
        <w:rPr>
          <w:sz w:val="21"/>
          <w:szCs w:val="21"/>
        </w:rPr>
        <w:t>Allowing for indirect costs, financial impact may run as high as GBP 500 million for some participants.</w:t>
      </w:r>
    </w:p>
    <w:p w14:paraId="7E198234" w14:textId="77777777" w:rsidR="00CA64AD" w:rsidRDefault="004D4EF9" w:rsidP="00721FB9">
      <w:pPr>
        <w:jc w:val="both"/>
        <w:rPr>
          <w:sz w:val="21"/>
          <w:szCs w:val="21"/>
        </w:rPr>
      </w:pPr>
      <w:r w:rsidRPr="0087045A">
        <w:rPr>
          <w:sz w:val="21"/>
          <w:szCs w:val="21"/>
        </w:rPr>
        <w:t>These high figures are understandable</w:t>
      </w:r>
      <w:r w:rsidR="00C06D18" w:rsidRPr="0087045A">
        <w:rPr>
          <w:sz w:val="21"/>
          <w:szCs w:val="21"/>
        </w:rPr>
        <w:t xml:space="preserve"> given the technical complexity of the UK model. </w:t>
      </w:r>
      <w:r w:rsidR="008B5C76">
        <w:rPr>
          <w:sz w:val="21"/>
          <w:szCs w:val="21"/>
        </w:rPr>
        <w:t xml:space="preserve">The Commonwealth Bank’s own inquiries suggest that </w:t>
      </w:r>
      <w:r w:rsidR="00C06D18" w:rsidRPr="0087045A">
        <w:rPr>
          <w:sz w:val="21"/>
          <w:szCs w:val="21"/>
        </w:rPr>
        <w:t>the standard API solution has required more than 36,000 lines of specifications to be developed for industry consumption.</w:t>
      </w:r>
      <w:r w:rsidR="00E43321">
        <w:rPr>
          <w:sz w:val="21"/>
          <w:szCs w:val="21"/>
        </w:rPr>
        <w:t xml:space="preserve"> </w:t>
      </w:r>
      <w:r w:rsidR="003503A1" w:rsidRPr="003503A1">
        <w:rPr>
          <w:sz w:val="21"/>
          <w:szCs w:val="21"/>
        </w:rPr>
        <w:t xml:space="preserve"> </w:t>
      </w:r>
    </w:p>
    <w:tbl>
      <w:tblPr>
        <w:tblStyle w:val="TableGrid"/>
        <w:tblW w:w="0" w:type="auto"/>
        <w:tblInd w:w="720" w:type="dxa"/>
        <w:tblLook w:val="04A0" w:firstRow="1" w:lastRow="0" w:firstColumn="1" w:lastColumn="0" w:noHBand="0" w:noVBand="1"/>
      </w:tblPr>
      <w:tblGrid>
        <w:gridCol w:w="7723"/>
      </w:tblGrid>
      <w:tr w:rsidR="00631B41" w:rsidRPr="0087045A" w14:paraId="71D0D667" w14:textId="77777777" w:rsidTr="00CA64AD">
        <w:tc>
          <w:tcPr>
            <w:tcW w:w="7723" w:type="dxa"/>
          </w:tcPr>
          <w:p w14:paraId="33A4F61C" w14:textId="77777777" w:rsidR="000034B3" w:rsidRPr="0087045A" w:rsidRDefault="00F348B0" w:rsidP="000034B3">
            <w:pPr>
              <w:pStyle w:val="Heading3"/>
              <w:outlineLvl w:val="2"/>
            </w:pPr>
            <w:r>
              <w:br w:type="page"/>
            </w:r>
            <w:bookmarkStart w:id="12" w:name="_Toc493861279"/>
            <w:r w:rsidR="00631B41" w:rsidRPr="0087045A">
              <w:t xml:space="preserve">Figure </w:t>
            </w:r>
            <w:r w:rsidR="00952402">
              <w:t>4</w:t>
            </w:r>
            <w:r w:rsidR="008835FD">
              <w:br/>
              <w:t xml:space="preserve">UK </w:t>
            </w:r>
            <w:r w:rsidR="00952402">
              <w:t xml:space="preserve">direct </w:t>
            </w:r>
            <w:r w:rsidR="008835FD">
              <w:t>implementation costs</w:t>
            </w:r>
            <w:bookmarkEnd w:id="12"/>
          </w:p>
          <w:p w14:paraId="5A825554" w14:textId="77777777" w:rsidR="000034B3" w:rsidRPr="0087045A" w:rsidRDefault="00952402" w:rsidP="000034B3">
            <w:pPr>
              <w:spacing w:before="120"/>
              <w:rPr>
                <w:sz w:val="21"/>
                <w:szCs w:val="21"/>
              </w:rPr>
            </w:pPr>
            <w:r>
              <w:rPr>
                <w:noProof/>
                <w:sz w:val="21"/>
                <w:szCs w:val="21"/>
              </w:rPr>
              <w:drawing>
                <wp:inline distT="0" distB="0" distL="0" distR="0" wp14:anchorId="5F1F16A4" wp14:editId="46B48CC3">
                  <wp:extent cx="4767209" cy="3309289"/>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9680" cy="3311004"/>
                          </a:xfrm>
                          <a:prstGeom prst="rect">
                            <a:avLst/>
                          </a:prstGeom>
                          <a:noFill/>
                        </pic:spPr>
                      </pic:pic>
                    </a:graphicData>
                  </a:graphic>
                </wp:inline>
              </w:drawing>
            </w:r>
          </w:p>
          <w:p w14:paraId="55106A74" w14:textId="77777777" w:rsidR="00631B41" w:rsidRPr="0087045A" w:rsidRDefault="00631B41" w:rsidP="00DD54FF">
            <w:pPr>
              <w:jc w:val="both"/>
              <w:rPr>
                <w:sz w:val="21"/>
                <w:szCs w:val="21"/>
              </w:rPr>
            </w:pPr>
          </w:p>
        </w:tc>
      </w:tr>
    </w:tbl>
    <w:p w14:paraId="73BE2DB1" w14:textId="77777777" w:rsidR="00631B41" w:rsidRPr="0087045A" w:rsidRDefault="00631B41" w:rsidP="0007729B">
      <w:pPr>
        <w:jc w:val="both"/>
        <w:rPr>
          <w:sz w:val="21"/>
          <w:szCs w:val="21"/>
        </w:rPr>
      </w:pPr>
    </w:p>
    <w:p w14:paraId="61EBDE4D" w14:textId="77777777" w:rsidR="00721FB9" w:rsidRPr="0087045A" w:rsidRDefault="00721FB9" w:rsidP="00721FB9">
      <w:pPr>
        <w:jc w:val="both"/>
        <w:rPr>
          <w:sz w:val="21"/>
          <w:szCs w:val="21"/>
        </w:rPr>
      </w:pPr>
      <w:r w:rsidRPr="0087045A">
        <w:rPr>
          <w:sz w:val="21"/>
          <w:szCs w:val="21"/>
        </w:rPr>
        <w:t xml:space="preserve">In addition, </w:t>
      </w:r>
      <w:r>
        <w:rPr>
          <w:sz w:val="21"/>
          <w:szCs w:val="21"/>
        </w:rPr>
        <w:t xml:space="preserve">the Commonwealth Bank’s inquiries </w:t>
      </w:r>
      <w:r w:rsidRPr="0087045A">
        <w:rPr>
          <w:sz w:val="21"/>
          <w:szCs w:val="21"/>
        </w:rPr>
        <w:t>suggest that market participants have increased headcount significantl</w:t>
      </w:r>
      <w:r>
        <w:rPr>
          <w:sz w:val="21"/>
          <w:szCs w:val="21"/>
        </w:rPr>
        <w:t xml:space="preserve">y, in some cases by more than 150 </w:t>
      </w:r>
      <w:r w:rsidRPr="0087045A">
        <w:rPr>
          <w:sz w:val="21"/>
          <w:szCs w:val="21"/>
        </w:rPr>
        <w:t xml:space="preserve">full time resources, in order to meet the demands of an Open Banking regime. The cost to government is also material – the </w:t>
      </w:r>
      <w:r>
        <w:rPr>
          <w:sz w:val="21"/>
          <w:szCs w:val="21"/>
        </w:rPr>
        <w:t xml:space="preserve">published </w:t>
      </w:r>
      <w:r w:rsidRPr="0087045A">
        <w:rPr>
          <w:sz w:val="21"/>
          <w:szCs w:val="21"/>
        </w:rPr>
        <w:t xml:space="preserve">annual operating budget of the UK government’s Implementation Entity </w:t>
      </w:r>
      <w:r>
        <w:rPr>
          <w:sz w:val="21"/>
          <w:szCs w:val="21"/>
        </w:rPr>
        <w:t xml:space="preserve">has been set at </w:t>
      </w:r>
      <w:r w:rsidRPr="0087045A">
        <w:rPr>
          <w:sz w:val="21"/>
          <w:szCs w:val="21"/>
        </w:rPr>
        <w:t>GBP 70 million.</w:t>
      </w:r>
      <w:r>
        <w:rPr>
          <w:rStyle w:val="FootnoteReference"/>
          <w:sz w:val="21"/>
          <w:szCs w:val="21"/>
        </w:rPr>
        <w:footnoteReference w:id="12"/>
      </w:r>
      <w:r w:rsidRPr="0087045A" w:rsidDel="004D4EF9">
        <w:rPr>
          <w:sz w:val="21"/>
          <w:szCs w:val="21"/>
        </w:rPr>
        <w:t xml:space="preserve"> </w:t>
      </w:r>
      <w:r w:rsidRPr="0087045A">
        <w:rPr>
          <w:sz w:val="21"/>
          <w:szCs w:val="21"/>
        </w:rPr>
        <w:t>These costs comprise of three categories:</w:t>
      </w:r>
    </w:p>
    <w:p w14:paraId="30BC2BAE" w14:textId="77777777" w:rsidR="00721FB9" w:rsidRPr="0087045A" w:rsidRDefault="00721FB9" w:rsidP="00721FB9">
      <w:pPr>
        <w:pStyle w:val="ListParagraph"/>
        <w:numPr>
          <w:ilvl w:val="0"/>
          <w:numId w:val="19"/>
        </w:numPr>
        <w:jc w:val="both"/>
        <w:rPr>
          <w:sz w:val="21"/>
          <w:szCs w:val="21"/>
        </w:rPr>
      </w:pPr>
      <w:r w:rsidRPr="0087045A">
        <w:rPr>
          <w:sz w:val="21"/>
          <w:szCs w:val="21"/>
        </w:rPr>
        <w:t>technology costs, including system build and integration;</w:t>
      </w:r>
    </w:p>
    <w:p w14:paraId="3DE487C8" w14:textId="77777777" w:rsidR="00721FB9" w:rsidRPr="0087045A" w:rsidRDefault="00721FB9" w:rsidP="00721FB9">
      <w:pPr>
        <w:pStyle w:val="ListParagraph"/>
        <w:numPr>
          <w:ilvl w:val="0"/>
          <w:numId w:val="19"/>
        </w:numPr>
        <w:jc w:val="both"/>
        <w:rPr>
          <w:sz w:val="21"/>
          <w:szCs w:val="21"/>
        </w:rPr>
      </w:pPr>
      <w:r w:rsidRPr="0087045A">
        <w:rPr>
          <w:sz w:val="21"/>
          <w:szCs w:val="21"/>
        </w:rPr>
        <w:t>business costs, including change management, risk and regulation; and</w:t>
      </w:r>
    </w:p>
    <w:p w14:paraId="0339C7C5" w14:textId="77777777" w:rsidR="00721FB9" w:rsidRDefault="00721FB9" w:rsidP="00721FB9">
      <w:pPr>
        <w:pStyle w:val="ListParagraph"/>
        <w:numPr>
          <w:ilvl w:val="0"/>
          <w:numId w:val="19"/>
        </w:numPr>
        <w:jc w:val="both"/>
        <w:rPr>
          <w:sz w:val="21"/>
          <w:szCs w:val="21"/>
        </w:rPr>
      </w:pPr>
      <w:r w:rsidRPr="0087045A">
        <w:rPr>
          <w:sz w:val="21"/>
          <w:szCs w:val="21"/>
        </w:rPr>
        <w:t>industry costs, including administration of the Implementation Entity and the development and maintenance of standards.</w:t>
      </w:r>
    </w:p>
    <w:p w14:paraId="5AB18850" w14:textId="77777777" w:rsidR="00721FB9" w:rsidRDefault="00721FB9" w:rsidP="00721FB9">
      <w:pPr>
        <w:spacing w:after="240"/>
        <w:jc w:val="both"/>
        <w:rPr>
          <w:sz w:val="21"/>
          <w:szCs w:val="21"/>
        </w:rPr>
      </w:pPr>
      <w:r w:rsidRPr="003503A1">
        <w:rPr>
          <w:sz w:val="21"/>
          <w:szCs w:val="21"/>
        </w:rPr>
        <w:t>Implementing change to support Open Banking reforms is not only a technology project but also requires large investments to change bu</w:t>
      </w:r>
      <w:r>
        <w:rPr>
          <w:sz w:val="21"/>
          <w:szCs w:val="21"/>
        </w:rPr>
        <w:t>siness processes, and contribution</w:t>
      </w:r>
      <w:r w:rsidRPr="003503A1">
        <w:rPr>
          <w:sz w:val="21"/>
          <w:szCs w:val="21"/>
        </w:rPr>
        <w:t xml:space="preserve"> to an industry-wide process</w:t>
      </w:r>
      <w:r>
        <w:rPr>
          <w:sz w:val="21"/>
          <w:szCs w:val="21"/>
        </w:rPr>
        <w:t xml:space="preserve"> for setting and monitoring standards</w:t>
      </w:r>
      <w:r w:rsidRPr="003503A1">
        <w:rPr>
          <w:sz w:val="21"/>
          <w:szCs w:val="21"/>
        </w:rPr>
        <w:t xml:space="preserve">. In some cases UK participants have identified business implementation costs of a similar scale to, if not in excess of, technology costs.  In particular, significant resourcing has been allocated to manage business change and for data quality assurance.  </w:t>
      </w:r>
    </w:p>
    <w:p w14:paraId="67C7444C" w14:textId="77777777" w:rsidR="007A0DDF" w:rsidRDefault="007A0DDF" w:rsidP="00721FB9">
      <w:pPr>
        <w:spacing w:after="240"/>
        <w:jc w:val="both"/>
        <w:rPr>
          <w:sz w:val="21"/>
          <w:szCs w:val="21"/>
        </w:rPr>
      </w:pPr>
      <w:r w:rsidRPr="0087045A">
        <w:rPr>
          <w:sz w:val="21"/>
          <w:szCs w:val="21"/>
        </w:rPr>
        <w:t>The wide variance in costs to market participants is also noteworthy. The advice received by the Commonwealth Bank suggests that the cost range is primarily due to differences in the maturity and complexity of existing systems.</w:t>
      </w:r>
    </w:p>
    <w:p w14:paraId="62940348" w14:textId="77777777" w:rsidR="007A0DDF" w:rsidRPr="0087045A" w:rsidRDefault="007A0DDF" w:rsidP="007A0DDF">
      <w:pPr>
        <w:jc w:val="both"/>
        <w:rPr>
          <w:sz w:val="21"/>
          <w:szCs w:val="21"/>
        </w:rPr>
      </w:pPr>
      <w:r w:rsidRPr="0087045A">
        <w:rPr>
          <w:sz w:val="21"/>
          <w:szCs w:val="21"/>
        </w:rPr>
        <w:t xml:space="preserve">The variable and potentially high costs of implementing Open Banking should not be a deterrent to the pursuit of good policy. However, </w:t>
      </w:r>
      <w:r w:rsidR="001E6C41">
        <w:rPr>
          <w:sz w:val="21"/>
          <w:szCs w:val="21"/>
        </w:rPr>
        <w:t xml:space="preserve">practical design choices can be made to moderate </w:t>
      </w:r>
      <w:r w:rsidRPr="0087045A">
        <w:rPr>
          <w:sz w:val="21"/>
          <w:szCs w:val="21"/>
        </w:rPr>
        <w:t xml:space="preserve">the </w:t>
      </w:r>
      <w:r w:rsidR="001E6C41">
        <w:rPr>
          <w:sz w:val="21"/>
          <w:szCs w:val="21"/>
        </w:rPr>
        <w:t xml:space="preserve">execution risk and </w:t>
      </w:r>
      <w:r w:rsidRPr="0087045A">
        <w:rPr>
          <w:sz w:val="21"/>
          <w:szCs w:val="21"/>
        </w:rPr>
        <w:t xml:space="preserve">potential financial burden </w:t>
      </w:r>
      <w:r w:rsidR="001E6C41">
        <w:rPr>
          <w:sz w:val="21"/>
          <w:szCs w:val="21"/>
        </w:rPr>
        <w:t xml:space="preserve">on </w:t>
      </w:r>
      <w:r w:rsidRPr="0087045A">
        <w:rPr>
          <w:sz w:val="21"/>
          <w:szCs w:val="21"/>
        </w:rPr>
        <w:t xml:space="preserve">the </w:t>
      </w:r>
      <w:r w:rsidR="001E6C41">
        <w:rPr>
          <w:sz w:val="21"/>
          <w:szCs w:val="21"/>
        </w:rPr>
        <w:t>industry</w:t>
      </w:r>
      <w:r w:rsidRPr="0087045A">
        <w:rPr>
          <w:sz w:val="21"/>
          <w:szCs w:val="21"/>
        </w:rPr>
        <w:t>.</w:t>
      </w:r>
    </w:p>
    <w:p w14:paraId="634EBBAB" w14:textId="77777777" w:rsidR="007A0DDF" w:rsidRPr="0087045A" w:rsidRDefault="007A0DDF" w:rsidP="007A0DDF">
      <w:pPr>
        <w:jc w:val="both"/>
        <w:rPr>
          <w:sz w:val="21"/>
          <w:szCs w:val="21"/>
        </w:rPr>
      </w:pPr>
      <w:r w:rsidRPr="0087045A">
        <w:rPr>
          <w:sz w:val="21"/>
          <w:szCs w:val="21"/>
        </w:rPr>
        <w:t xml:space="preserve">The Commonwealth Bank recommends that </w:t>
      </w:r>
      <w:r>
        <w:rPr>
          <w:sz w:val="21"/>
          <w:szCs w:val="21"/>
        </w:rPr>
        <w:t xml:space="preserve">the </w:t>
      </w:r>
      <w:r w:rsidRPr="0087045A">
        <w:rPr>
          <w:sz w:val="21"/>
          <w:szCs w:val="21"/>
        </w:rPr>
        <w:t xml:space="preserve">Government consider a technology neutral approach to regulating Open Banking. This allows industry to find the most suitable technology to execute on </w:t>
      </w:r>
      <w:r>
        <w:rPr>
          <w:sz w:val="21"/>
          <w:szCs w:val="21"/>
        </w:rPr>
        <w:t xml:space="preserve">the </w:t>
      </w:r>
      <w:r w:rsidRPr="0087045A">
        <w:rPr>
          <w:sz w:val="21"/>
          <w:szCs w:val="21"/>
        </w:rPr>
        <w:t xml:space="preserve">Government’s direction. As an example, the ABA has recommended focussing on the customer experience and that outcome could be effectively enabled by existing data-sharing technologies </w:t>
      </w:r>
      <w:r>
        <w:rPr>
          <w:sz w:val="21"/>
          <w:szCs w:val="21"/>
        </w:rPr>
        <w:t xml:space="preserve">such as a secure data extract. </w:t>
      </w:r>
    </w:p>
    <w:p w14:paraId="5E827925" w14:textId="77777777" w:rsidR="007A0DDF" w:rsidRDefault="007A0DDF" w:rsidP="007A0DDF">
      <w:pPr>
        <w:rPr>
          <w:sz w:val="21"/>
          <w:szCs w:val="21"/>
        </w:rPr>
      </w:pPr>
      <w:r w:rsidRPr="0087045A">
        <w:rPr>
          <w:sz w:val="21"/>
          <w:szCs w:val="21"/>
        </w:rPr>
        <w:t xml:space="preserve">The other clear benefit of a technology neutral approach is that it enables </w:t>
      </w:r>
      <w:r>
        <w:rPr>
          <w:sz w:val="21"/>
          <w:szCs w:val="21"/>
        </w:rPr>
        <w:t xml:space="preserve">the </w:t>
      </w:r>
      <w:r w:rsidRPr="0087045A">
        <w:rPr>
          <w:sz w:val="21"/>
          <w:szCs w:val="21"/>
        </w:rPr>
        <w:t xml:space="preserve">Government’s open data reforms to evolve with technological developments and leaves </w:t>
      </w:r>
      <w:r>
        <w:rPr>
          <w:sz w:val="21"/>
          <w:szCs w:val="21"/>
        </w:rPr>
        <w:t xml:space="preserve">the banking </w:t>
      </w:r>
      <w:r w:rsidRPr="0087045A">
        <w:rPr>
          <w:sz w:val="21"/>
          <w:szCs w:val="21"/>
        </w:rPr>
        <w:t>industry free to identify technology solutions that can operate across sectors, thereby fulfilling the overall goal of a true open data economy.</w:t>
      </w:r>
    </w:p>
    <w:p w14:paraId="4E6E5B1B" w14:textId="77777777" w:rsidR="00B1266C" w:rsidRPr="008B5C76" w:rsidRDefault="00B1266C" w:rsidP="007A0DDF">
      <w:pPr>
        <w:spacing w:before="360"/>
        <w:rPr>
          <w:b/>
        </w:rPr>
      </w:pPr>
      <w:bookmarkStart w:id="13" w:name="_Toc493861280"/>
      <w:r w:rsidRPr="0087045A">
        <w:rPr>
          <w:rStyle w:val="Heading1Char"/>
        </w:rPr>
        <w:t xml:space="preserve">Closing </w:t>
      </w:r>
      <w:r w:rsidR="00EE597F">
        <w:rPr>
          <w:rStyle w:val="Heading1Char"/>
        </w:rPr>
        <w:t>r</w:t>
      </w:r>
      <w:r w:rsidRPr="0087045A">
        <w:rPr>
          <w:rStyle w:val="Heading1Char"/>
        </w:rPr>
        <w:t>emarks</w:t>
      </w:r>
      <w:bookmarkEnd w:id="13"/>
      <w:r w:rsidR="008B5C76">
        <w:rPr>
          <w:rStyle w:val="Heading1Char"/>
        </w:rPr>
        <w:br/>
      </w:r>
      <w:r w:rsidR="00726584" w:rsidRPr="00873E1C">
        <w:rPr>
          <w:rStyle w:val="Heading2Char"/>
        </w:rPr>
        <w:t xml:space="preserve">Open Banking – </w:t>
      </w:r>
      <w:r w:rsidR="008835FD">
        <w:rPr>
          <w:rStyle w:val="Heading2Char"/>
        </w:rPr>
        <w:t xml:space="preserve">delivering benefits for </w:t>
      </w:r>
      <w:r w:rsidR="00726584" w:rsidRPr="00873E1C">
        <w:rPr>
          <w:rStyle w:val="Heading2Char"/>
        </w:rPr>
        <w:t xml:space="preserve">all </w:t>
      </w:r>
      <w:r w:rsidR="008835FD">
        <w:rPr>
          <w:rStyle w:val="Heading2Char"/>
        </w:rPr>
        <w:t>parts of the Australian economy</w:t>
      </w:r>
    </w:p>
    <w:p w14:paraId="7AA9EC67" w14:textId="77777777" w:rsidR="00726584" w:rsidRPr="0087045A" w:rsidRDefault="003A4ADC" w:rsidP="003A4ADC">
      <w:pPr>
        <w:jc w:val="both"/>
        <w:rPr>
          <w:sz w:val="21"/>
          <w:szCs w:val="21"/>
        </w:rPr>
      </w:pPr>
      <w:r w:rsidRPr="0087045A">
        <w:rPr>
          <w:sz w:val="21"/>
          <w:szCs w:val="21"/>
        </w:rPr>
        <w:t>Since the announcement of the Productivity Commission Inquiry into Data Availability and Use, the Commonwealth Bank has been actively engaging with policy-makers at all levels as well as industry bodies in relation to</w:t>
      </w:r>
      <w:r w:rsidR="008835FD">
        <w:rPr>
          <w:sz w:val="21"/>
          <w:szCs w:val="21"/>
        </w:rPr>
        <w:t xml:space="preserve"> the</w:t>
      </w:r>
      <w:r w:rsidRPr="0087045A">
        <w:rPr>
          <w:sz w:val="21"/>
          <w:szCs w:val="21"/>
        </w:rPr>
        <w:t xml:space="preserve"> Government’s proposed reforms. </w:t>
      </w:r>
      <w:r w:rsidR="00711E46" w:rsidRPr="0087045A">
        <w:rPr>
          <w:sz w:val="21"/>
          <w:szCs w:val="21"/>
        </w:rPr>
        <w:t xml:space="preserve">Throughout that process, the </w:t>
      </w:r>
      <w:r w:rsidRPr="0087045A">
        <w:rPr>
          <w:sz w:val="21"/>
          <w:szCs w:val="21"/>
        </w:rPr>
        <w:t xml:space="preserve">Commonwealth Bank </w:t>
      </w:r>
      <w:r w:rsidR="00877A88" w:rsidRPr="0087045A">
        <w:rPr>
          <w:sz w:val="21"/>
          <w:szCs w:val="21"/>
        </w:rPr>
        <w:t>has gained a</w:t>
      </w:r>
      <w:r w:rsidR="008835FD">
        <w:rPr>
          <w:sz w:val="21"/>
          <w:szCs w:val="21"/>
        </w:rPr>
        <w:t xml:space="preserve"> greater </w:t>
      </w:r>
      <w:r w:rsidR="00877A88" w:rsidRPr="0087045A">
        <w:rPr>
          <w:sz w:val="21"/>
          <w:szCs w:val="21"/>
        </w:rPr>
        <w:t xml:space="preserve">understanding of </w:t>
      </w:r>
      <w:r w:rsidR="008835FD">
        <w:rPr>
          <w:sz w:val="21"/>
          <w:szCs w:val="21"/>
        </w:rPr>
        <w:t xml:space="preserve">the </w:t>
      </w:r>
      <w:r w:rsidR="00726584" w:rsidRPr="0087045A">
        <w:rPr>
          <w:sz w:val="21"/>
          <w:szCs w:val="21"/>
        </w:rPr>
        <w:t xml:space="preserve">Government’s proposed aims and </w:t>
      </w:r>
      <w:r w:rsidR="00711E46" w:rsidRPr="0087045A">
        <w:rPr>
          <w:sz w:val="21"/>
          <w:szCs w:val="21"/>
        </w:rPr>
        <w:t xml:space="preserve">the Commonwealth Bank </w:t>
      </w:r>
      <w:r w:rsidR="00726584" w:rsidRPr="0087045A">
        <w:rPr>
          <w:sz w:val="21"/>
          <w:szCs w:val="21"/>
        </w:rPr>
        <w:t xml:space="preserve">is fully aligned with the goal of delivering Open Banking </w:t>
      </w:r>
      <w:r w:rsidR="00011727">
        <w:rPr>
          <w:sz w:val="21"/>
          <w:szCs w:val="21"/>
        </w:rPr>
        <w:t xml:space="preserve">reforms </w:t>
      </w:r>
      <w:r w:rsidR="00726584" w:rsidRPr="0087045A">
        <w:rPr>
          <w:sz w:val="21"/>
          <w:szCs w:val="21"/>
        </w:rPr>
        <w:t>that benefit consumers across the economy.</w:t>
      </w:r>
    </w:p>
    <w:p w14:paraId="63DF2433" w14:textId="77777777" w:rsidR="00711E46" w:rsidRPr="0087045A" w:rsidRDefault="00726584" w:rsidP="003A4ADC">
      <w:pPr>
        <w:jc w:val="both"/>
        <w:rPr>
          <w:sz w:val="21"/>
          <w:szCs w:val="21"/>
        </w:rPr>
      </w:pPr>
      <w:r w:rsidRPr="0087045A">
        <w:rPr>
          <w:sz w:val="21"/>
          <w:szCs w:val="21"/>
        </w:rPr>
        <w:t xml:space="preserve">Through this submission, the Commonwealth Bank </w:t>
      </w:r>
      <w:r w:rsidR="00711E46" w:rsidRPr="0087045A">
        <w:rPr>
          <w:sz w:val="21"/>
          <w:szCs w:val="21"/>
        </w:rPr>
        <w:t xml:space="preserve">has </w:t>
      </w:r>
      <w:r w:rsidR="00677A8C">
        <w:rPr>
          <w:sz w:val="21"/>
          <w:szCs w:val="21"/>
        </w:rPr>
        <w:t xml:space="preserve">provided </w:t>
      </w:r>
      <w:r w:rsidRPr="0087045A">
        <w:rPr>
          <w:sz w:val="21"/>
          <w:szCs w:val="21"/>
        </w:rPr>
        <w:t xml:space="preserve">analysis and solutions </w:t>
      </w:r>
      <w:r w:rsidR="003A4ADC" w:rsidRPr="0087045A">
        <w:rPr>
          <w:sz w:val="21"/>
          <w:szCs w:val="21"/>
        </w:rPr>
        <w:t xml:space="preserve">to ensure that </w:t>
      </w:r>
      <w:r w:rsidR="008835FD">
        <w:rPr>
          <w:sz w:val="21"/>
          <w:szCs w:val="21"/>
        </w:rPr>
        <w:t xml:space="preserve">the </w:t>
      </w:r>
      <w:r w:rsidRPr="0087045A">
        <w:rPr>
          <w:sz w:val="21"/>
          <w:szCs w:val="21"/>
        </w:rPr>
        <w:t xml:space="preserve">Government </w:t>
      </w:r>
      <w:r w:rsidR="003A4ADC" w:rsidRPr="0087045A">
        <w:rPr>
          <w:sz w:val="21"/>
          <w:szCs w:val="21"/>
        </w:rPr>
        <w:t>is able to frame a balanced and sustainable operating model</w:t>
      </w:r>
      <w:r w:rsidR="00677A8C">
        <w:rPr>
          <w:sz w:val="21"/>
          <w:szCs w:val="21"/>
        </w:rPr>
        <w:t xml:space="preserve"> for Open Banking</w:t>
      </w:r>
      <w:r w:rsidR="003A4ADC" w:rsidRPr="0087045A">
        <w:rPr>
          <w:sz w:val="21"/>
          <w:szCs w:val="21"/>
        </w:rPr>
        <w:t xml:space="preserve">. If implemented properly, with collaboration between </w:t>
      </w:r>
      <w:r w:rsidR="008835FD">
        <w:rPr>
          <w:sz w:val="21"/>
          <w:szCs w:val="21"/>
        </w:rPr>
        <w:t xml:space="preserve">the </w:t>
      </w:r>
      <w:r w:rsidR="003A4ADC" w:rsidRPr="0087045A">
        <w:rPr>
          <w:sz w:val="21"/>
          <w:szCs w:val="21"/>
        </w:rPr>
        <w:t xml:space="preserve">Government and the private sector, the banking sector has the opportunity to offer a precedent for open data reform across the economy. </w:t>
      </w:r>
    </w:p>
    <w:p w14:paraId="027CB13E" w14:textId="77777777" w:rsidR="007B4736" w:rsidRPr="0087045A" w:rsidRDefault="00711E46" w:rsidP="003A4ADC">
      <w:pPr>
        <w:jc w:val="both"/>
        <w:rPr>
          <w:sz w:val="21"/>
          <w:szCs w:val="21"/>
        </w:rPr>
      </w:pPr>
      <w:r w:rsidRPr="0087045A">
        <w:rPr>
          <w:sz w:val="21"/>
          <w:szCs w:val="21"/>
        </w:rPr>
        <w:t>For more than a century, t</w:t>
      </w:r>
      <w:r w:rsidR="00877A88" w:rsidRPr="0087045A">
        <w:rPr>
          <w:sz w:val="21"/>
          <w:szCs w:val="21"/>
        </w:rPr>
        <w:t xml:space="preserve">he Commonwealth Bank </w:t>
      </w:r>
      <w:r w:rsidRPr="0087045A">
        <w:rPr>
          <w:sz w:val="21"/>
          <w:szCs w:val="21"/>
        </w:rPr>
        <w:t>has operated as a bank for all Australians. The Commonwealth Bank is committed</w:t>
      </w:r>
      <w:r w:rsidR="00877A88" w:rsidRPr="0087045A">
        <w:rPr>
          <w:sz w:val="21"/>
          <w:szCs w:val="21"/>
        </w:rPr>
        <w:t xml:space="preserve"> to securing and enhancing the financial wellbeing of all parts of the Australian </w:t>
      </w:r>
      <w:r w:rsidRPr="0087045A">
        <w:rPr>
          <w:sz w:val="21"/>
          <w:szCs w:val="21"/>
        </w:rPr>
        <w:t>economy</w:t>
      </w:r>
      <w:r w:rsidR="00877A88" w:rsidRPr="0087045A">
        <w:rPr>
          <w:sz w:val="21"/>
          <w:szCs w:val="21"/>
        </w:rPr>
        <w:t xml:space="preserve">. </w:t>
      </w:r>
      <w:r w:rsidRPr="0087045A">
        <w:rPr>
          <w:sz w:val="21"/>
          <w:szCs w:val="21"/>
        </w:rPr>
        <w:t>That firm commitment to financial inclusion is one important way in which the Commonwealth Bank contributes to a fair and prosperous Australian economy. The Commonwealth Bank pursues this vision by providing tangible resources for all Australians.</w:t>
      </w:r>
      <w:r w:rsidRPr="0087045A">
        <w:rPr>
          <w:rStyle w:val="FootnoteReference"/>
          <w:sz w:val="21"/>
          <w:szCs w:val="21"/>
        </w:rPr>
        <w:footnoteReference w:id="13"/>
      </w:r>
      <w:r w:rsidRPr="0087045A">
        <w:rPr>
          <w:sz w:val="21"/>
          <w:szCs w:val="21"/>
        </w:rPr>
        <w:t xml:space="preserve"> </w:t>
      </w:r>
      <w:r w:rsidR="00BE5EA6">
        <w:rPr>
          <w:sz w:val="21"/>
          <w:szCs w:val="21"/>
        </w:rPr>
        <w:t xml:space="preserve">As a signatory to </w:t>
      </w:r>
      <w:r w:rsidR="00677A8C">
        <w:rPr>
          <w:sz w:val="21"/>
          <w:szCs w:val="21"/>
        </w:rPr>
        <w:t xml:space="preserve">the </w:t>
      </w:r>
      <w:r w:rsidRPr="0087045A">
        <w:rPr>
          <w:sz w:val="21"/>
          <w:szCs w:val="21"/>
        </w:rPr>
        <w:t>Code of Banking Practice, t</w:t>
      </w:r>
      <w:r w:rsidR="00877A88" w:rsidRPr="0087045A">
        <w:rPr>
          <w:sz w:val="21"/>
          <w:szCs w:val="21"/>
        </w:rPr>
        <w:t xml:space="preserve">he </w:t>
      </w:r>
      <w:r w:rsidR="00EA6ED3" w:rsidRPr="0087045A">
        <w:rPr>
          <w:sz w:val="21"/>
          <w:szCs w:val="21"/>
        </w:rPr>
        <w:t xml:space="preserve">Commonwealth Bank has </w:t>
      </w:r>
      <w:r w:rsidRPr="0087045A">
        <w:rPr>
          <w:sz w:val="21"/>
          <w:szCs w:val="21"/>
        </w:rPr>
        <w:t xml:space="preserve">re-affirmed </w:t>
      </w:r>
      <w:r w:rsidR="00EA6ED3" w:rsidRPr="0087045A">
        <w:rPr>
          <w:sz w:val="21"/>
          <w:szCs w:val="21"/>
        </w:rPr>
        <w:t xml:space="preserve">its service commitment to Australians with </w:t>
      </w:r>
      <w:r w:rsidR="00BE5EA6">
        <w:rPr>
          <w:sz w:val="21"/>
          <w:szCs w:val="21"/>
        </w:rPr>
        <w:t xml:space="preserve">diverse </w:t>
      </w:r>
      <w:r w:rsidR="008F038B">
        <w:rPr>
          <w:sz w:val="21"/>
          <w:szCs w:val="21"/>
        </w:rPr>
        <w:t>needs and customers in remote I</w:t>
      </w:r>
      <w:r w:rsidR="00EA6ED3" w:rsidRPr="0087045A">
        <w:rPr>
          <w:sz w:val="21"/>
          <w:szCs w:val="21"/>
        </w:rPr>
        <w:t>ndigenous communities.</w:t>
      </w:r>
      <w:r w:rsidR="00877A88" w:rsidRPr="0087045A">
        <w:rPr>
          <w:rStyle w:val="FootnoteReference"/>
          <w:sz w:val="21"/>
          <w:szCs w:val="21"/>
        </w:rPr>
        <w:footnoteReference w:id="14"/>
      </w:r>
      <w:r w:rsidR="00877A88" w:rsidRPr="0087045A">
        <w:rPr>
          <w:sz w:val="21"/>
          <w:szCs w:val="21"/>
        </w:rPr>
        <w:t xml:space="preserve"> </w:t>
      </w:r>
    </w:p>
    <w:p w14:paraId="04A83C8B" w14:textId="77777777" w:rsidR="007B4736" w:rsidRPr="0087045A" w:rsidRDefault="007B4736" w:rsidP="003A4ADC">
      <w:pPr>
        <w:jc w:val="both"/>
        <w:rPr>
          <w:sz w:val="21"/>
          <w:szCs w:val="21"/>
        </w:rPr>
      </w:pPr>
      <w:r w:rsidRPr="0087045A">
        <w:rPr>
          <w:sz w:val="21"/>
          <w:szCs w:val="21"/>
        </w:rPr>
        <w:t xml:space="preserve">This </w:t>
      </w:r>
      <w:r w:rsidR="008835FD">
        <w:rPr>
          <w:sz w:val="21"/>
          <w:szCs w:val="21"/>
        </w:rPr>
        <w:t xml:space="preserve">focus on </w:t>
      </w:r>
      <w:r w:rsidRPr="0087045A">
        <w:rPr>
          <w:sz w:val="21"/>
          <w:szCs w:val="21"/>
        </w:rPr>
        <w:t xml:space="preserve">financial inclusion and support is central to the way that the Commonwealth Bank operates. </w:t>
      </w:r>
      <w:r w:rsidR="00EA6ED3" w:rsidRPr="0087045A">
        <w:rPr>
          <w:sz w:val="21"/>
          <w:szCs w:val="21"/>
        </w:rPr>
        <w:t xml:space="preserve">The Commonwealth Bank strongly believes that Open Banking should </w:t>
      </w:r>
      <w:r w:rsidRPr="0087045A">
        <w:rPr>
          <w:sz w:val="21"/>
          <w:szCs w:val="21"/>
        </w:rPr>
        <w:t xml:space="preserve">likewise </w:t>
      </w:r>
      <w:r w:rsidR="00EA6ED3" w:rsidRPr="0087045A">
        <w:rPr>
          <w:sz w:val="21"/>
          <w:szCs w:val="21"/>
        </w:rPr>
        <w:t xml:space="preserve">be implemented in a way that delivers benefits to </w:t>
      </w:r>
      <w:r w:rsidR="00AA2E8B">
        <w:rPr>
          <w:sz w:val="21"/>
          <w:szCs w:val="21"/>
        </w:rPr>
        <w:t xml:space="preserve">Australia and </w:t>
      </w:r>
      <w:r w:rsidR="00EA6ED3" w:rsidRPr="0087045A">
        <w:rPr>
          <w:sz w:val="21"/>
          <w:szCs w:val="21"/>
        </w:rPr>
        <w:t xml:space="preserve">all </w:t>
      </w:r>
      <w:r w:rsidR="00AA2E8B">
        <w:rPr>
          <w:sz w:val="21"/>
          <w:szCs w:val="21"/>
        </w:rPr>
        <w:t>consumers</w:t>
      </w:r>
      <w:r w:rsidR="00EA6ED3" w:rsidRPr="0087045A">
        <w:rPr>
          <w:sz w:val="21"/>
          <w:szCs w:val="21"/>
        </w:rPr>
        <w:t xml:space="preserve">. </w:t>
      </w:r>
    </w:p>
    <w:p w14:paraId="452749A2" w14:textId="77777777" w:rsidR="00877A88" w:rsidRPr="0087045A" w:rsidRDefault="00EA6ED3" w:rsidP="003A4ADC">
      <w:pPr>
        <w:jc w:val="both"/>
        <w:rPr>
          <w:sz w:val="21"/>
          <w:szCs w:val="21"/>
        </w:rPr>
      </w:pPr>
      <w:r w:rsidRPr="0087045A">
        <w:rPr>
          <w:sz w:val="21"/>
          <w:szCs w:val="21"/>
        </w:rPr>
        <w:t xml:space="preserve">The initiatives outlined in this submission have been framed with a view to supporting </w:t>
      </w:r>
      <w:r w:rsidR="00F469F7">
        <w:rPr>
          <w:sz w:val="21"/>
          <w:szCs w:val="21"/>
        </w:rPr>
        <w:t xml:space="preserve">the </w:t>
      </w:r>
      <w:r w:rsidRPr="0087045A">
        <w:rPr>
          <w:sz w:val="21"/>
          <w:szCs w:val="21"/>
        </w:rPr>
        <w:t>Government’s policy goals and also delivering on the Commonwealth Bank’s commitment to its customers.</w:t>
      </w:r>
    </w:p>
    <w:p w14:paraId="0F40B1FA" w14:textId="77777777" w:rsidR="003A4ADC" w:rsidRPr="0087045A" w:rsidRDefault="00726584" w:rsidP="00E82648">
      <w:pPr>
        <w:jc w:val="both"/>
        <w:rPr>
          <w:sz w:val="21"/>
          <w:szCs w:val="21"/>
        </w:rPr>
      </w:pPr>
      <w:r w:rsidRPr="0087045A">
        <w:rPr>
          <w:sz w:val="21"/>
          <w:szCs w:val="21"/>
        </w:rPr>
        <w:t xml:space="preserve">The Commonwealth Bank </w:t>
      </w:r>
      <w:r w:rsidR="00B11142" w:rsidRPr="0087045A">
        <w:rPr>
          <w:sz w:val="21"/>
          <w:szCs w:val="21"/>
        </w:rPr>
        <w:t xml:space="preserve">is pleased to </w:t>
      </w:r>
      <w:r w:rsidRPr="0087045A">
        <w:rPr>
          <w:sz w:val="21"/>
          <w:szCs w:val="21"/>
        </w:rPr>
        <w:t xml:space="preserve">recommend this submission for </w:t>
      </w:r>
      <w:r w:rsidR="00F469F7">
        <w:rPr>
          <w:sz w:val="21"/>
          <w:szCs w:val="21"/>
        </w:rPr>
        <w:t xml:space="preserve">the </w:t>
      </w:r>
      <w:r w:rsidRPr="0087045A">
        <w:rPr>
          <w:sz w:val="21"/>
          <w:szCs w:val="21"/>
        </w:rPr>
        <w:t>Government’s consideration.</w:t>
      </w:r>
    </w:p>
    <w:p w14:paraId="3FF885C2" w14:textId="77777777" w:rsidR="003A4ADC" w:rsidRPr="008F038B" w:rsidRDefault="003A4ADC" w:rsidP="00BD2979">
      <w:pPr>
        <w:tabs>
          <w:tab w:val="left" w:pos="1134"/>
        </w:tabs>
        <w:rPr>
          <w:sz w:val="21"/>
          <w:szCs w:val="21"/>
        </w:rPr>
      </w:pPr>
    </w:p>
    <w:sectPr w:rsidR="003A4ADC" w:rsidRPr="008F038B" w:rsidSect="005E0731">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52860" w14:textId="77777777" w:rsidR="00FD61BA" w:rsidRDefault="00FD61BA">
      <w:pPr>
        <w:spacing w:after="0" w:line="240" w:lineRule="auto"/>
      </w:pPr>
      <w:r>
        <w:separator/>
      </w:r>
    </w:p>
  </w:endnote>
  <w:endnote w:type="continuationSeparator" w:id="0">
    <w:p w14:paraId="1835530F" w14:textId="77777777" w:rsidR="00FD61BA" w:rsidRDefault="00FD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13366"/>
      <w:docPartObj>
        <w:docPartGallery w:val="Page Numbers (Bottom of Page)"/>
        <w:docPartUnique/>
      </w:docPartObj>
    </w:sdtPr>
    <w:sdtEndPr>
      <w:rPr>
        <w:noProof/>
      </w:rPr>
    </w:sdtEndPr>
    <w:sdtContent>
      <w:p w14:paraId="78F0D9C0" w14:textId="77777777" w:rsidR="00A36338" w:rsidRDefault="0009648B">
        <w:pPr>
          <w:pStyle w:val="Footer"/>
          <w:jc w:val="right"/>
        </w:pPr>
      </w:p>
    </w:sdtContent>
  </w:sdt>
  <w:p w14:paraId="4ADEA584" w14:textId="77777777" w:rsidR="00A36338" w:rsidRDefault="00A36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70377"/>
      <w:docPartObj>
        <w:docPartGallery w:val="Page Numbers (Bottom of Page)"/>
        <w:docPartUnique/>
      </w:docPartObj>
    </w:sdtPr>
    <w:sdtEndPr>
      <w:rPr>
        <w:noProof/>
      </w:rPr>
    </w:sdtEndPr>
    <w:sdtContent>
      <w:p w14:paraId="13D6AD0A" w14:textId="77777777" w:rsidR="005E0731" w:rsidRDefault="005E0731">
        <w:pPr>
          <w:pStyle w:val="Footer"/>
          <w:jc w:val="right"/>
        </w:pPr>
        <w:r>
          <w:fldChar w:fldCharType="begin"/>
        </w:r>
        <w:r>
          <w:instrText xml:space="preserve"> PAGE   \* MERGEFORMAT </w:instrText>
        </w:r>
        <w:r>
          <w:fldChar w:fldCharType="separate"/>
        </w:r>
        <w:r w:rsidR="00752111">
          <w:rPr>
            <w:noProof/>
          </w:rPr>
          <w:t>11</w:t>
        </w:r>
        <w:r>
          <w:rPr>
            <w:noProof/>
          </w:rPr>
          <w:fldChar w:fldCharType="end"/>
        </w:r>
      </w:p>
    </w:sdtContent>
  </w:sdt>
  <w:p w14:paraId="2DB90EF5" w14:textId="77777777" w:rsidR="005E0731" w:rsidRDefault="005E0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8DFFF" w14:textId="77777777" w:rsidR="00FD61BA" w:rsidRDefault="00FD61BA">
      <w:pPr>
        <w:spacing w:after="0" w:line="240" w:lineRule="auto"/>
      </w:pPr>
      <w:r>
        <w:separator/>
      </w:r>
    </w:p>
  </w:footnote>
  <w:footnote w:type="continuationSeparator" w:id="0">
    <w:p w14:paraId="747756EB" w14:textId="77777777" w:rsidR="00FD61BA" w:rsidRDefault="00FD61BA">
      <w:pPr>
        <w:spacing w:after="0" w:line="240" w:lineRule="auto"/>
      </w:pPr>
      <w:r>
        <w:continuationSeparator/>
      </w:r>
    </w:p>
  </w:footnote>
  <w:footnote w:id="1">
    <w:p w14:paraId="14A83FDB" w14:textId="77777777" w:rsidR="00F176CB" w:rsidRPr="006C6735" w:rsidRDefault="00F176CB">
      <w:pPr>
        <w:pStyle w:val="FootnoteText"/>
        <w:rPr>
          <w:sz w:val="16"/>
          <w:szCs w:val="16"/>
        </w:rPr>
      </w:pPr>
      <w:r w:rsidRPr="006C6735">
        <w:rPr>
          <w:rStyle w:val="FootnoteReference"/>
          <w:sz w:val="16"/>
          <w:szCs w:val="16"/>
        </w:rPr>
        <w:footnoteRef/>
      </w:r>
      <w:r w:rsidRPr="006C6735">
        <w:rPr>
          <w:sz w:val="16"/>
          <w:szCs w:val="16"/>
        </w:rPr>
        <w:t xml:space="preserve"> Australian Bankers’ Association, “Review into Open Banking in Australia”, September 2017.</w:t>
      </w:r>
    </w:p>
  </w:footnote>
  <w:footnote w:id="2">
    <w:p w14:paraId="15A66D95" w14:textId="77777777" w:rsidR="00360B44" w:rsidRDefault="00360B44">
      <w:pPr>
        <w:pStyle w:val="FootnoteText"/>
      </w:pPr>
      <w:r>
        <w:rPr>
          <w:rStyle w:val="FootnoteReference"/>
        </w:rPr>
        <w:footnoteRef/>
      </w:r>
      <w:r>
        <w:t xml:space="preserve"> </w:t>
      </w:r>
      <w:r w:rsidRPr="00360B44">
        <w:rPr>
          <w:sz w:val="16"/>
          <w:szCs w:val="16"/>
        </w:rPr>
        <w:t>For more than 10 years Commonwealth Bank customers have had the ability to extract their transaction data into CSV files. This functionality is free of charge and enables customers to access their data securely. The framework contemplated by the ABA would provide customers with an additional means of access and transferring data.</w:t>
      </w:r>
    </w:p>
  </w:footnote>
  <w:footnote w:id="3">
    <w:p w14:paraId="2CC6A95F" w14:textId="77777777" w:rsidR="006D2417" w:rsidRPr="006C6735" w:rsidRDefault="006D2417" w:rsidP="006D2417">
      <w:pPr>
        <w:pStyle w:val="FootnoteText"/>
        <w:rPr>
          <w:sz w:val="16"/>
          <w:szCs w:val="16"/>
        </w:rPr>
      </w:pPr>
      <w:r w:rsidRPr="006C6735">
        <w:rPr>
          <w:rStyle w:val="FootnoteReference"/>
          <w:sz w:val="16"/>
          <w:szCs w:val="16"/>
        </w:rPr>
        <w:footnoteRef/>
      </w:r>
      <w:r w:rsidRPr="006C6735">
        <w:rPr>
          <w:sz w:val="16"/>
          <w:szCs w:val="16"/>
        </w:rPr>
        <w:t xml:space="preserve"> UK Open Banking OIDC Security Profile, available online at: </w:t>
      </w:r>
      <w:hyperlink r:id="rId1" w:history="1">
        <w:r w:rsidRPr="006C6735">
          <w:rPr>
            <w:rStyle w:val="Hyperlink"/>
            <w:sz w:val="16"/>
            <w:szCs w:val="16"/>
            <w:u w:val="none"/>
          </w:rPr>
          <w:t>https://www.openbanking.org.uk/read-write-apis/security-profile/id1-0-1/</w:t>
        </w:r>
      </w:hyperlink>
    </w:p>
  </w:footnote>
  <w:footnote w:id="4">
    <w:p w14:paraId="5C5C7CD9" w14:textId="77777777" w:rsidR="00F176CB" w:rsidRPr="006C6735" w:rsidRDefault="00F176CB" w:rsidP="009356B8">
      <w:pPr>
        <w:spacing w:after="0" w:line="240" w:lineRule="auto"/>
        <w:rPr>
          <w:sz w:val="16"/>
          <w:szCs w:val="16"/>
        </w:rPr>
      </w:pPr>
      <w:r w:rsidRPr="006C6735">
        <w:rPr>
          <w:rStyle w:val="FootnoteReference"/>
          <w:sz w:val="16"/>
          <w:szCs w:val="16"/>
        </w:rPr>
        <w:footnoteRef/>
      </w:r>
      <w:r w:rsidRPr="006C6735">
        <w:rPr>
          <w:sz w:val="16"/>
          <w:szCs w:val="16"/>
        </w:rPr>
        <w:t xml:space="preserve"> </w:t>
      </w:r>
      <w:r w:rsidR="00C41E4E">
        <w:rPr>
          <w:sz w:val="16"/>
          <w:szCs w:val="16"/>
        </w:rPr>
        <w:t>On 7 September 2017, Equifax disclosed that the company had suffered a data breach, impacting 143 million customers. The compromised data was of a highly sensitive nature, including names and social security numbers. See The Australian Financial Review, “Equifax data breach proves big wake-up call”, 20 September 2017, page 25.</w:t>
      </w:r>
    </w:p>
  </w:footnote>
  <w:footnote w:id="5">
    <w:p w14:paraId="632E7AC7" w14:textId="77777777" w:rsidR="00F176CB" w:rsidRPr="006C6735" w:rsidRDefault="00F176CB">
      <w:pPr>
        <w:pStyle w:val="FootnoteText"/>
        <w:rPr>
          <w:sz w:val="16"/>
          <w:szCs w:val="16"/>
        </w:rPr>
      </w:pPr>
      <w:r w:rsidRPr="006C6735">
        <w:rPr>
          <w:rStyle w:val="FootnoteReference"/>
          <w:sz w:val="16"/>
          <w:szCs w:val="16"/>
        </w:rPr>
        <w:footnoteRef/>
      </w:r>
      <w:r w:rsidRPr="006C6735">
        <w:rPr>
          <w:sz w:val="16"/>
          <w:szCs w:val="16"/>
        </w:rPr>
        <w:t xml:space="preserve"> The superannuation industry’s Superannuation Transaction Network (STN) is an example of an accreditation-based regime to support data sharing. Compliance with the STN is monitored by a self-funded independent body established in 2016 known as the Gateway Network Governance Body, which is endorsed and monitored closely by the Australian Taxation Office.</w:t>
      </w:r>
    </w:p>
  </w:footnote>
  <w:footnote w:id="6">
    <w:p w14:paraId="09291E5B" w14:textId="77777777" w:rsidR="00F176CB" w:rsidRPr="006C6735" w:rsidRDefault="00F176CB">
      <w:pPr>
        <w:pStyle w:val="FootnoteText"/>
        <w:rPr>
          <w:sz w:val="16"/>
          <w:szCs w:val="16"/>
        </w:rPr>
      </w:pPr>
      <w:r w:rsidRPr="006C6735">
        <w:rPr>
          <w:rStyle w:val="FootnoteReference"/>
          <w:sz w:val="16"/>
          <w:szCs w:val="16"/>
        </w:rPr>
        <w:footnoteRef/>
      </w:r>
      <w:r w:rsidRPr="006C6735">
        <w:rPr>
          <w:sz w:val="16"/>
          <w:szCs w:val="16"/>
        </w:rPr>
        <w:t xml:space="preserve"> Initially, it is assumed that affected regulations would include: (i) the Privacy Act and subordinate legislation, (ii) banking regulations such as the National Consumer Credit Protection Act and ePayments Code, and (iii) umbrella legislation such as the ASIC Act, Corporations Act and the Australian Consumer Law. The eventual list of affected laws will depend on the form of any new data access laws.</w:t>
      </w:r>
    </w:p>
  </w:footnote>
  <w:footnote w:id="7">
    <w:p w14:paraId="097E386B" w14:textId="77777777" w:rsidR="00F176CB" w:rsidRPr="006C6735" w:rsidRDefault="00F176CB">
      <w:pPr>
        <w:pStyle w:val="FootnoteText"/>
        <w:rPr>
          <w:sz w:val="16"/>
          <w:szCs w:val="16"/>
        </w:rPr>
      </w:pPr>
      <w:r w:rsidRPr="006C6735">
        <w:rPr>
          <w:rStyle w:val="FootnoteReference"/>
          <w:sz w:val="16"/>
          <w:szCs w:val="16"/>
        </w:rPr>
        <w:footnoteRef/>
      </w:r>
      <w:r w:rsidRPr="006C6735">
        <w:rPr>
          <w:sz w:val="16"/>
          <w:szCs w:val="16"/>
        </w:rPr>
        <w:t xml:space="preserve"> ABA Open Data Symposium, April 2017. Addresses by David Beardmore, Open Banking Institute and Mike Booth, Director Ernst &amp; Young</w:t>
      </w:r>
      <w:r w:rsidRPr="006C6735">
        <w:rPr>
          <w:rFonts w:eastAsia="Times New Roman" w:cs="Arial"/>
          <w:sz w:val="16"/>
          <w:szCs w:val="16"/>
          <w:lang w:val="en-GB" w:eastAsia="en-GB"/>
        </w:rPr>
        <w:t xml:space="preserve"> discussed the need to educate customers on how their data may be used and its privacy implications, and ensuring that an appropriate and well-understood customer consent regime is introduced as a key step for establishing Open Data </w:t>
      </w:r>
      <w:r w:rsidR="00011727" w:rsidRPr="006C6735">
        <w:rPr>
          <w:rFonts w:eastAsia="Times New Roman" w:cs="Arial"/>
          <w:sz w:val="16"/>
          <w:szCs w:val="16"/>
          <w:lang w:val="en-GB" w:eastAsia="en-GB"/>
        </w:rPr>
        <w:t>reforms</w:t>
      </w:r>
      <w:r w:rsidRPr="006C6735">
        <w:rPr>
          <w:rFonts w:eastAsia="Times New Roman" w:cs="Arial"/>
          <w:sz w:val="16"/>
          <w:szCs w:val="16"/>
          <w:lang w:val="en-GB" w:eastAsia="en-GB"/>
        </w:rPr>
        <w:t>.</w:t>
      </w:r>
    </w:p>
  </w:footnote>
  <w:footnote w:id="8">
    <w:p w14:paraId="4A470C8E" w14:textId="77777777" w:rsidR="00F176CB" w:rsidRPr="00CA64AD" w:rsidRDefault="00F176CB">
      <w:pPr>
        <w:pStyle w:val="FootnoteText"/>
        <w:rPr>
          <w:rFonts w:cs="Arial"/>
          <w:sz w:val="16"/>
          <w:szCs w:val="16"/>
        </w:rPr>
      </w:pPr>
      <w:r w:rsidRPr="006C6735">
        <w:rPr>
          <w:rStyle w:val="FootnoteReference"/>
          <w:sz w:val="16"/>
          <w:szCs w:val="16"/>
        </w:rPr>
        <w:footnoteRef/>
      </w:r>
      <w:r w:rsidRPr="006C6735">
        <w:rPr>
          <w:sz w:val="16"/>
          <w:szCs w:val="16"/>
        </w:rPr>
        <w:t xml:space="preserve"> </w:t>
      </w:r>
      <w:r w:rsidR="006C6735" w:rsidRPr="006C6735">
        <w:rPr>
          <w:rFonts w:cs="Arial"/>
          <w:sz w:val="16"/>
          <w:szCs w:val="16"/>
        </w:rPr>
        <w:t xml:space="preserve">Equifax/YouGov, </w:t>
      </w:r>
      <w:r w:rsidRPr="006C6735">
        <w:rPr>
          <w:rFonts w:cs="Arial"/>
          <w:sz w:val="16"/>
          <w:szCs w:val="16"/>
        </w:rPr>
        <w:t>“Use of Personal Data”, October 2016, available online at:</w:t>
      </w:r>
      <w:r w:rsidRPr="00CA64AD">
        <w:rPr>
          <w:rFonts w:cs="Arial"/>
          <w:sz w:val="16"/>
          <w:szCs w:val="16"/>
        </w:rPr>
        <w:t xml:space="preserve"> </w:t>
      </w:r>
      <w:hyperlink r:id="rId2" w:history="1">
        <w:r w:rsidRPr="00CA64AD">
          <w:rPr>
            <w:rStyle w:val="Hyperlink"/>
            <w:sz w:val="16"/>
            <w:szCs w:val="16"/>
            <w:u w:val="none"/>
          </w:rPr>
          <w:t>http://www.equifax.com/assets/unitedkingdom/yougov_survey_use_of_personal_data.pdf</w:t>
        </w:r>
      </w:hyperlink>
    </w:p>
  </w:footnote>
  <w:footnote w:id="9">
    <w:p w14:paraId="22B97975" w14:textId="77777777" w:rsidR="00B529DD" w:rsidRDefault="00B529DD">
      <w:pPr>
        <w:pStyle w:val="FootnoteText"/>
      </w:pPr>
      <w:r w:rsidRPr="00CA64AD">
        <w:rPr>
          <w:rStyle w:val="FootnoteReference"/>
          <w:sz w:val="16"/>
          <w:szCs w:val="16"/>
        </w:rPr>
        <w:footnoteRef/>
      </w:r>
      <w:r w:rsidRPr="00CA64AD">
        <w:t xml:space="preserve"> </w:t>
      </w:r>
      <w:r w:rsidRPr="00CA64AD">
        <w:rPr>
          <w:sz w:val="16"/>
          <w:szCs w:val="16"/>
        </w:rPr>
        <w:t xml:space="preserve">In recent years, the Commonwealth Bank Group has invested over $100 million per annum on its cyber defences, with the </w:t>
      </w:r>
      <w:r w:rsidRPr="00B529DD">
        <w:rPr>
          <w:sz w:val="16"/>
          <w:szCs w:val="16"/>
        </w:rPr>
        <w:t xml:space="preserve">ultimate purpose of maintaining and enhancing the trust that Commonwealth Bank’s customers have in its business and minimising fraud loss for customers. </w:t>
      </w:r>
      <w:r>
        <w:rPr>
          <w:sz w:val="16"/>
          <w:szCs w:val="16"/>
        </w:rPr>
        <w:t xml:space="preserve">Opening remarks of </w:t>
      </w:r>
      <w:r w:rsidRPr="00B529DD">
        <w:rPr>
          <w:sz w:val="16"/>
          <w:szCs w:val="16"/>
        </w:rPr>
        <w:t>ABA Open Data Symposium</w:t>
      </w:r>
      <w:r>
        <w:rPr>
          <w:sz w:val="16"/>
          <w:szCs w:val="16"/>
        </w:rPr>
        <w:t>, April 2017.</w:t>
      </w:r>
    </w:p>
  </w:footnote>
  <w:footnote w:id="10">
    <w:p w14:paraId="40753720" w14:textId="77777777" w:rsidR="00F176CB" w:rsidRPr="006C6735" w:rsidRDefault="00F176CB" w:rsidP="00174C7E">
      <w:pPr>
        <w:pStyle w:val="FootnoteText"/>
        <w:rPr>
          <w:sz w:val="16"/>
          <w:szCs w:val="16"/>
        </w:rPr>
      </w:pPr>
      <w:r w:rsidRPr="006C6735">
        <w:rPr>
          <w:rStyle w:val="FootnoteReference"/>
          <w:sz w:val="16"/>
          <w:szCs w:val="16"/>
        </w:rPr>
        <w:footnoteRef/>
      </w:r>
      <w:r w:rsidRPr="006C6735">
        <w:rPr>
          <w:sz w:val="16"/>
          <w:szCs w:val="16"/>
        </w:rPr>
        <w:t xml:space="preserve"> Whilst specific input has been sought from consumer groups and advocacy bodies for implementation of the Open Banking standard in the UK, a consumer communications and outreach program is still under development to improve overall awareness of the benefits of Open Banking. However, existing, related initiatives include Nesta’s </w:t>
      </w:r>
      <w:r w:rsidRPr="006C6735">
        <w:rPr>
          <w:i/>
          <w:sz w:val="16"/>
          <w:szCs w:val="16"/>
        </w:rPr>
        <w:t>Open Up Challenge</w:t>
      </w:r>
      <w:r w:rsidRPr="006C6735">
        <w:rPr>
          <w:sz w:val="16"/>
          <w:szCs w:val="16"/>
        </w:rPr>
        <w:t xml:space="preserve"> to advocate crowd-sourced development of beneficial use cases for Small Businesses, and Bacs Payment Schemes Limited’s obligation to increase customer awareness and confidence in Current Account Switching Service (CASS). See </w:t>
      </w:r>
      <w:r w:rsidRPr="006C6735">
        <w:rPr>
          <w:i/>
          <w:sz w:val="16"/>
          <w:szCs w:val="16"/>
        </w:rPr>
        <w:t>Retail banking market investigation – Final report</w:t>
      </w:r>
      <w:r w:rsidR="00F348B0" w:rsidRPr="006C6735">
        <w:rPr>
          <w:sz w:val="16"/>
          <w:szCs w:val="16"/>
        </w:rPr>
        <w:t>, August 2016, pages xl, xlv.</w:t>
      </w:r>
    </w:p>
  </w:footnote>
  <w:footnote w:id="11">
    <w:p w14:paraId="6BD09440" w14:textId="77777777" w:rsidR="00F176CB" w:rsidRPr="006C6735" w:rsidRDefault="00F176CB">
      <w:pPr>
        <w:pStyle w:val="FootnoteText"/>
        <w:rPr>
          <w:sz w:val="16"/>
          <w:szCs w:val="16"/>
        </w:rPr>
      </w:pPr>
      <w:r w:rsidRPr="006C6735">
        <w:rPr>
          <w:rStyle w:val="FootnoteReference"/>
          <w:sz w:val="16"/>
          <w:szCs w:val="16"/>
        </w:rPr>
        <w:footnoteRef/>
      </w:r>
      <w:r w:rsidRPr="006C6735">
        <w:rPr>
          <w:sz w:val="16"/>
          <w:szCs w:val="16"/>
        </w:rPr>
        <w:t xml:space="preserve"> </w:t>
      </w:r>
      <w:r w:rsidRPr="006C6735">
        <w:rPr>
          <w:i/>
          <w:sz w:val="16"/>
          <w:szCs w:val="16"/>
        </w:rPr>
        <w:t>Retail banking market investigation – Final report</w:t>
      </w:r>
      <w:r w:rsidRPr="006C6735">
        <w:rPr>
          <w:sz w:val="16"/>
          <w:szCs w:val="16"/>
        </w:rPr>
        <w:t>, August 2016, page 442</w:t>
      </w:r>
      <w:r w:rsidR="00F348B0" w:rsidRPr="006C6735">
        <w:rPr>
          <w:sz w:val="16"/>
          <w:szCs w:val="16"/>
        </w:rPr>
        <w:t>.</w:t>
      </w:r>
    </w:p>
  </w:footnote>
  <w:footnote w:id="12">
    <w:p w14:paraId="3BD43BFC" w14:textId="77777777" w:rsidR="00721FB9" w:rsidRPr="008835FD" w:rsidRDefault="00721FB9" w:rsidP="00721FB9">
      <w:pPr>
        <w:spacing w:after="0" w:line="240" w:lineRule="auto"/>
        <w:rPr>
          <w:color w:val="1F497D"/>
          <w:lang w:eastAsia="en-US"/>
        </w:rPr>
      </w:pPr>
      <w:r w:rsidRPr="006C6735">
        <w:rPr>
          <w:rStyle w:val="FootnoteReference"/>
          <w:sz w:val="16"/>
          <w:szCs w:val="16"/>
        </w:rPr>
        <w:footnoteRef/>
      </w:r>
      <w:r w:rsidRPr="006C6735">
        <w:rPr>
          <w:sz w:val="16"/>
          <w:szCs w:val="16"/>
        </w:rPr>
        <w:t xml:space="preserve"> </w:t>
      </w:r>
      <w:r w:rsidRPr="007F54A7">
        <w:rPr>
          <w:sz w:val="16"/>
          <w:szCs w:val="16"/>
        </w:rPr>
        <w:t>C</w:t>
      </w:r>
      <w:r>
        <w:rPr>
          <w:sz w:val="16"/>
          <w:szCs w:val="16"/>
        </w:rPr>
        <w:t xml:space="preserve">ompetition and Markets Authority </w:t>
      </w:r>
      <w:r w:rsidRPr="007F54A7">
        <w:rPr>
          <w:sz w:val="16"/>
          <w:szCs w:val="16"/>
        </w:rPr>
        <w:t>reference during the UK Treasury Select Committee hearing</w:t>
      </w:r>
      <w:r>
        <w:rPr>
          <w:sz w:val="16"/>
          <w:szCs w:val="16"/>
        </w:rPr>
        <w:t xml:space="preserve">, 1 November 2016. </w:t>
      </w:r>
      <w:hyperlink r:id="rId3" w:history="1">
        <w:r w:rsidRPr="00CA64AD">
          <w:rPr>
            <w:rStyle w:val="Hyperlink"/>
            <w:sz w:val="16"/>
            <w:szCs w:val="16"/>
            <w:u w:val="none"/>
            <w:lang w:eastAsia="en-US"/>
          </w:rPr>
          <w:t>https://www.parliament.uk/business/committees/committees-a-z/commons-select/treasury-committee/inquiries1/parliament-2015/retail-banking-market-review-16-17/</w:t>
        </w:r>
      </w:hyperlink>
    </w:p>
  </w:footnote>
  <w:footnote w:id="13">
    <w:p w14:paraId="580DF934" w14:textId="77777777" w:rsidR="00F176CB" w:rsidRPr="006C6735" w:rsidRDefault="00F176CB">
      <w:pPr>
        <w:pStyle w:val="FootnoteText"/>
        <w:rPr>
          <w:sz w:val="16"/>
          <w:szCs w:val="16"/>
        </w:rPr>
      </w:pPr>
      <w:r w:rsidRPr="006C6735">
        <w:rPr>
          <w:rStyle w:val="FootnoteReference"/>
          <w:sz w:val="16"/>
          <w:szCs w:val="16"/>
        </w:rPr>
        <w:footnoteRef/>
      </w:r>
      <w:r w:rsidRPr="006C6735">
        <w:rPr>
          <w:sz w:val="16"/>
          <w:szCs w:val="16"/>
        </w:rPr>
        <w:t xml:space="preserve"> For example, 97% of all branches are wheelchair accessible and 100% of Commonwealth Bank ATMs are audio enabled. The Commonwealth Bank also offers specialist banking services customised for Aboriginal and Torres Strait Islander customers in remote Australia via the Indigenous Customer Assistance Line (ICAL). </w:t>
      </w:r>
    </w:p>
  </w:footnote>
  <w:footnote w:id="14">
    <w:p w14:paraId="2B1E24BF" w14:textId="77777777" w:rsidR="00F176CB" w:rsidRPr="006C6735" w:rsidRDefault="00F176CB">
      <w:pPr>
        <w:pStyle w:val="FootnoteText"/>
        <w:rPr>
          <w:sz w:val="16"/>
          <w:szCs w:val="16"/>
        </w:rPr>
      </w:pPr>
      <w:r w:rsidRPr="006C6735">
        <w:rPr>
          <w:rStyle w:val="FootnoteReference"/>
          <w:sz w:val="16"/>
          <w:szCs w:val="16"/>
        </w:rPr>
        <w:footnoteRef/>
      </w:r>
      <w:r w:rsidRPr="006C6735">
        <w:rPr>
          <w:sz w:val="16"/>
          <w:szCs w:val="16"/>
        </w:rPr>
        <w:t xml:space="preserve"> </w:t>
      </w:r>
      <w:r w:rsidRPr="00457CC3">
        <w:rPr>
          <w:i/>
          <w:sz w:val="16"/>
          <w:szCs w:val="16"/>
        </w:rPr>
        <w:t>C</w:t>
      </w:r>
      <w:r w:rsidR="00F348B0" w:rsidRPr="00457CC3">
        <w:rPr>
          <w:rFonts w:ascii="Calibri" w:hAnsi="Calibri"/>
          <w:i/>
          <w:sz w:val="16"/>
          <w:szCs w:val="16"/>
          <w:lang w:eastAsia="en-US"/>
        </w:rPr>
        <w:t>ode of Banking Practice</w:t>
      </w:r>
      <w:r w:rsidR="00F348B0" w:rsidRPr="006C6735">
        <w:rPr>
          <w:rFonts w:ascii="Calibri" w:hAnsi="Calibri"/>
          <w:sz w:val="16"/>
          <w:szCs w:val="16"/>
          <w:lang w:eastAsia="en-US"/>
        </w:rPr>
        <w:t>, 2013, available online at:</w:t>
      </w:r>
      <w:r w:rsidRPr="006C6735">
        <w:rPr>
          <w:rFonts w:ascii="Calibri" w:hAnsi="Calibri"/>
          <w:sz w:val="16"/>
          <w:szCs w:val="16"/>
          <w:lang w:eastAsia="en-US"/>
        </w:rPr>
        <w:t xml:space="preserve"> </w:t>
      </w:r>
      <w:hyperlink r:id="rId4" w:history="1">
        <w:r w:rsidRPr="006C6735">
          <w:rPr>
            <w:rStyle w:val="Hyperlink"/>
            <w:rFonts w:ascii="Calibri" w:hAnsi="Calibri"/>
            <w:sz w:val="16"/>
            <w:szCs w:val="16"/>
            <w:u w:val="none"/>
            <w:lang w:eastAsia="en-US"/>
          </w:rPr>
          <w:t>https://www.commbank.com.au/content/dam/commbank/about-us/download-printed-forms/CodeofBankingPractice_ADB2555_0604.pdf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CCF"/>
    <w:multiLevelType w:val="hybridMultilevel"/>
    <w:tmpl w:val="C1A09772"/>
    <w:lvl w:ilvl="0" w:tplc="90D02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CC3B0D"/>
    <w:multiLevelType w:val="multilevel"/>
    <w:tmpl w:val="DDEEB8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050E1529"/>
    <w:multiLevelType w:val="hybridMultilevel"/>
    <w:tmpl w:val="83803BF6"/>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nsid w:val="07C960DF"/>
    <w:multiLevelType w:val="hybridMultilevel"/>
    <w:tmpl w:val="2D1C0620"/>
    <w:lvl w:ilvl="0" w:tplc="90D02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6816F6"/>
    <w:multiLevelType w:val="hybridMultilevel"/>
    <w:tmpl w:val="A1A49D36"/>
    <w:lvl w:ilvl="0" w:tplc="CF6020FA">
      <w:start w:val="7"/>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0513863"/>
    <w:multiLevelType w:val="hybridMultilevel"/>
    <w:tmpl w:val="D2709CFE"/>
    <w:lvl w:ilvl="0" w:tplc="31D64B40">
      <w:start w:val="1"/>
      <w:numFmt w:val="lowerLetter"/>
      <w:lvlText w:val="(%1)"/>
      <w:lvlJc w:val="left"/>
      <w:pPr>
        <w:tabs>
          <w:tab w:val="num" w:pos="1080"/>
        </w:tabs>
        <w:ind w:left="1080" w:hanging="360"/>
      </w:pPr>
      <w:rPr>
        <w:rFonts w:hint="default"/>
      </w:rPr>
    </w:lvl>
    <w:lvl w:ilvl="1" w:tplc="3CF61DD6">
      <w:start w:val="1"/>
      <w:numFmt w:val="lowerLetter"/>
      <w:lvlText w:val="%2."/>
      <w:lvlJc w:val="left"/>
      <w:pPr>
        <w:tabs>
          <w:tab w:val="num" w:pos="1800"/>
        </w:tabs>
        <w:ind w:left="1800" w:hanging="360"/>
      </w:pPr>
    </w:lvl>
    <w:lvl w:ilvl="2" w:tplc="E9283EEA" w:tentative="1">
      <w:start w:val="1"/>
      <w:numFmt w:val="lowerRoman"/>
      <w:lvlText w:val="%3."/>
      <w:lvlJc w:val="right"/>
      <w:pPr>
        <w:tabs>
          <w:tab w:val="num" w:pos="2520"/>
        </w:tabs>
        <w:ind w:left="2520" w:hanging="180"/>
      </w:pPr>
    </w:lvl>
    <w:lvl w:ilvl="3" w:tplc="1CAA0D62" w:tentative="1">
      <w:start w:val="1"/>
      <w:numFmt w:val="decimal"/>
      <w:lvlText w:val="%4."/>
      <w:lvlJc w:val="left"/>
      <w:pPr>
        <w:tabs>
          <w:tab w:val="num" w:pos="3240"/>
        </w:tabs>
        <w:ind w:left="3240" w:hanging="360"/>
      </w:pPr>
    </w:lvl>
    <w:lvl w:ilvl="4" w:tplc="AD28738A" w:tentative="1">
      <w:start w:val="1"/>
      <w:numFmt w:val="lowerLetter"/>
      <w:lvlText w:val="%5."/>
      <w:lvlJc w:val="left"/>
      <w:pPr>
        <w:tabs>
          <w:tab w:val="num" w:pos="3960"/>
        </w:tabs>
        <w:ind w:left="3960" w:hanging="360"/>
      </w:pPr>
    </w:lvl>
    <w:lvl w:ilvl="5" w:tplc="CFFA6858" w:tentative="1">
      <w:start w:val="1"/>
      <w:numFmt w:val="lowerRoman"/>
      <w:lvlText w:val="%6."/>
      <w:lvlJc w:val="right"/>
      <w:pPr>
        <w:tabs>
          <w:tab w:val="num" w:pos="4680"/>
        </w:tabs>
        <w:ind w:left="4680" w:hanging="180"/>
      </w:pPr>
    </w:lvl>
    <w:lvl w:ilvl="6" w:tplc="893407C8" w:tentative="1">
      <w:start w:val="1"/>
      <w:numFmt w:val="decimal"/>
      <w:lvlText w:val="%7."/>
      <w:lvlJc w:val="left"/>
      <w:pPr>
        <w:tabs>
          <w:tab w:val="num" w:pos="5400"/>
        </w:tabs>
        <w:ind w:left="5400" w:hanging="360"/>
      </w:pPr>
    </w:lvl>
    <w:lvl w:ilvl="7" w:tplc="C512D014" w:tentative="1">
      <w:start w:val="1"/>
      <w:numFmt w:val="lowerLetter"/>
      <w:lvlText w:val="%8."/>
      <w:lvlJc w:val="left"/>
      <w:pPr>
        <w:tabs>
          <w:tab w:val="num" w:pos="6120"/>
        </w:tabs>
        <w:ind w:left="6120" w:hanging="360"/>
      </w:pPr>
    </w:lvl>
    <w:lvl w:ilvl="8" w:tplc="0C7EAB8A" w:tentative="1">
      <w:start w:val="1"/>
      <w:numFmt w:val="lowerRoman"/>
      <w:lvlText w:val="%9."/>
      <w:lvlJc w:val="right"/>
      <w:pPr>
        <w:tabs>
          <w:tab w:val="num" w:pos="6840"/>
        </w:tabs>
        <w:ind w:left="6840" w:hanging="180"/>
      </w:pPr>
    </w:lvl>
  </w:abstractNum>
  <w:abstractNum w:abstractNumId="6">
    <w:nsid w:val="12545AB8"/>
    <w:multiLevelType w:val="hybridMultilevel"/>
    <w:tmpl w:val="12E068F6"/>
    <w:lvl w:ilvl="0" w:tplc="E634EEF2">
      <w:start w:val="1"/>
      <w:numFmt w:val="bullet"/>
      <w:lvlText w:val=""/>
      <w:lvlJc w:val="left"/>
      <w:pPr>
        <w:ind w:left="720" w:hanging="360"/>
      </w:pPr>
      <w:rPr>
        <w:rFonts w:ascii="Symbol" w:hAnsi="Symbol" w:hint="default"/>
      </w:rPr>
    </w:lvl>
    <w:lvl w:ilvl="1" w:tplc="4B929994" w:tentative="1">
      <w:start w:val="1"/>
      <w:numFmt w:val="bullet"/>
      <w:lvlText w:val="o"/>
      <w:lvlJc w:val="left"/>
      <w:pPr>
        <w:ind w:left="1440" w:hanging="360"/>
      </w:pPr>
      <w:rPr>
        <w:rFonts w:ascii="Courier New" w:hAnsi="Courier New" w:cs="Courier New" w:hint="default"/>
      </w:rPr>
    </w:lvl>
    <w:lvl w:ilvl="2" w:tplc="2B443A8C" w:tentative="1">
      <w:start w:val="1"/>
      <w:numFmt w:val="bullet"/>
      <w:lvlText w:val=""/>
      <w:lvlJc w:val="left"/>
      <w:pPr>
        <w:ind w:left="2160" w:hanging="360"/>
      </w:pPr>
      <w:rPr>
        <w:rFonts w:ascii="Wingdings" w:hAnsi="Wingdings" w:hint="default"/>
      </w:rPr>
    </w:lvl>
    <w:lvl w:ilvl="3" w:tplc="75409DEA" w:tentative="1">
      <w:start w:val="1"/>
      <w:numFmt w:val="bullet"/>
      <w:lvlText w:val=""/>
      <w:lvlJc w:val="left"/>
      <w:pPr>
        <w:ind w:left="2880" w:hanging="360"/>
      </w:pPr>
      <w:rPr>
        <w:rFonts w:ascii="Symbol" w:hAnsi="Symbol" w:hint="default"/>
      </w:rPr>
    </w:lvl>
    <w:lvl w:ilvl="4" w:tplc="9A3A1EEC" w:tentative="1">
      <w:start w:val="1"/>
      <w:numFmt w:val="bullet"/>
      <w:lvlText w:val="o"/>
      <w:lvlJc w:val="left"/>
      <w:pPr>
        <w:ind w:left="3600" w:hanging="360"/>
      </w:pPr>
      <w:rPr>
        <w:rFonts w:ascii="Courier New" w:hAnsi="Courier New" w:cs="Courier New" w:hint="default"/>
      </w:rPr>
    </w:lvl>
    <w:lvl w:ilvl="5" w:tplc="ABCAEB40" w:tentative="1">
      <w:start w:val="1"/>
      <w:numFmt w:val="bullet"/>
      <w:lvlText w:val=""/>
      <w:lvlJc w:val="left"/>
      <w:pPr>
        <w:ind w:left="4320" w:hanging="360"/>
      </w:pPr>
      <w:rPr>
        <w:rFonts w:ascii="Wingdings" w:hAnsi="Wingdings" w:hint="default"/>
      </w:rPr>
    </w:lvl>
    <w:lvl w:ilvl="6" w:tplc="AB7423B8" w:tentative="1">
      <w:start w:val="1"/>
      <w:numFmt w:val="bullet"/>
      <w:lvlText w:val=""/>
      <w:lvlJc w:val="left"/>
      <w:pPr>
        <w:ind w:left="5040" w:hanging="360"/>
      </w:pPr>
      <w:rPr>
        <w:rFonts w:ascii="Symbol" w:hAnsi="Symbol" w:hint="default"/>
      </w:rPr>
    </w:lvl>
    <w:lvl w:ilvl="7" w:tplc="AC76E0CE" w:tentative="1">
      <w:start w:val="1"/>
      <w:numFmt w:val="bullet"/>
      <w:lvlText w:val="o"/>
      <w:lvlJc w:val="left"/>
      <w:pPr>
        <w:ind w:left="5760" w:hanging="360"/>
      </w:pPr>
      <w:rPr>
        <w:rFonts w:ascii="Courier New" w:hAnsi="Courier New" w:cs="Courier New" w:hint="default"/>
      </w:rPr>
    </w:lvl>
    <w:lvl w:ilvl="8" w:tplc="CC72D570" w:tentative="1">
      <w:start w:val="1"/>
      <w:numFmt w:val="bullet"/>
      <w:lvlText w:val=""/>
      <w:lvlJc w:val="left"/>
      <w:pPr>
        <w:ind w:left="6480" w:hanging="360"/>
      </w:pPr>
      <w:rPr>
        <w:rFonts w:ascii="Wingdings" w:hAnsi="Wingdings" w:hint="default"/>
      </w:rPr>
    </w:lvl>
  </w:abstractNum>
  <w:abstractNum w:abstractNumId="7">
    <w:nsid w:val="152A2441"/>
    <w:multiLevelType w:val="hybridMultilevel"/>
    <w:tmpl w:val="33849510"/>
    <w:lvl w:ilvl="0" w:tplc="0C090011">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8">
    <w:nsid w:val="16183C09"/>
    <w:multiLevelType w:val="hybridMultilevel"/>
    <w:tmpl w:val="ED464974"/>
    <w:lvl w:ilvl="0" w:tplc="90D02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DD2F2F"/>
    <w:multiLevelType w:val="hybridMultilevel"/>
    <w:tmpl w:val="B2121216"/>
    <w:lvl w:ilvl="0" w:tplc="83F00480">
      <w:start w:val="1"/>
      <w:numFmt w:val="bullet"/>
      <w:lvlText w:val=""/>
      <w:lvlJc w:val="left"/>
      <w:pPr>
        <w:ind w:left="720" w:hanging="360"/>
      </w:pPr>
      <w:rPr>
        <w:rFonts w:ascii="Symbol" w:hAnsi="Symbol" w:hint="default"/>
      </w:rPr>
    </w:lvl>
    <w:lvl w:ilvl="1" w:tplc="17D827EE" w:tentative="1">
      <w:start w:val="1"/>
      <w:numFmt w:val="bullet"/>
      <w:lvlText w:val="o"/>
      <w:lvlJc w:val="left"/>
      <w:pPr>
        <w:ind w:left="1440" w:hanging="360"/>
      </w:pPr>
      <w:rPr>
        <w:rFonts w:ascii="Courier New" w:hAnsi="Courier New" w:cs="Courier New" w:hint="default"/>
      </w:rPr>
    </w:lvl>
    <w:lvl w:ilvl="2" w:tplc="34D4145E" w:tentative="1">
      <w:start w:val="1"/>
      <w:numFmt w:val="bullet"/>
      <w:lvlText w:val=""/>
      <w:lvlJc w:val="left"/>
      <w:pPr>
        <w:ind w:left="2160" w:hanging="360"/>
      </w:pPr>
      <w:rPr>
        <w:rFonts w:ascii="Wingdings" w:hAnsi="Wingdings" w:hint="default"/>
      </w:rPr>
    </w:lvl>
    <w:lvl w:ilvl="3" w:tplc="D154F914" w:tentative="1">
      <w:start w:val="1"/>
      <w:numFmt w:val="bullet"/>
      <w:lvlText w:val=""/>
      <w:lvlJc w:val="left"/>
      <w:pPr>
        <w:ind w:left="2880" w:hanging="360"/>
      </w:pPr>
      <w:rPr>
        <w:rFonts w:ascii="Symbol" w:hAnsi="Symbol" w:hint="default"/>
      </w:rPr>
    </w:lvl>
    <w:lvl w:ilvl="4" w:tplc="FD58D910" w:tentative="1">
      <w:start w:val="1"/>
      <w:numFmt w:val="bullet"/>
      <w:lvlText w:val="o"/>
      <w:lvlJc w:val="left"/>
      <w:pPr>
        <w:ind w:left="3600" w:hanging="360"/>
      </w:pPr>
      <w:rPr>
        <w:rFonts w:ascii="Courier New" w:hAnsi="Courier New" w:cs="Courier New" w:hint="default"/>
      </w:rPr>
    </w:lvl>
    <w:lvl w:ilvl="5" w:tplc="FDE83E60" w:tentative="1">
      <w:start w:val="1"/>
      <w:numFmt w:val="bullet"/>
      <w:lvlText w:val=""/>
      <w:lvlJc w:val="left"/>
      <w:pPr>
        <w:ind w:left="4320" w:hanging="360"/>
      </w:pPr>
      <w:rPr>
        <w:rFonts w:ascii="Wingdings" w:hAnsi="Wingdings" w:hint="default"/>
      </w:rPr>
    </w:lvl>
    <w:lvl w:ilvl="6" w:tplc="6DE453B8" w:tentative="1">
      <w:start w:val="1"/>
      <w:numFmt w:val="bullet"/>
      <w:lvlText w:val=""/>
      <w:lvlJc w:val="left"/>
      <w:pPr>
        <w:ind w:left="5040" w:hanging="360"/>
      </w:pPr>
      <w:rPr>
        <w:rFonts w:ascii="Symbol" w:hAnsi="Symbol" w:hint="default"/>
      </w:rPr>
    </w:lvl>
    <w:lvl w:ilvl="7" w:tplc="2E6AF28A" w:tentative="1">
      <w:start w:val="1"/>
      <w:numFmt w:val="bullet"/>
      <w:lvlText w:val="o"/>
      <w:lvlJc w:val="left"/>
      <w:pPr>
        <w:ind w:left="5760" w:hanging="360"/>
      </w:pPr>
      <w:rPr>
        <w:rFonts w:ascii="Courier New" w:hAnsi="Courier New" w:cs="Courier New" w:hint="default"/>
      </w:rPr>
    </w:lvl>
    <w:lvl w:ilvl="8" w:tplc="1AA481FE" w:tentative="1">
      <w:start w:val="1"/>
      <w:numFmt w:val="bullet"/>
      <w:lvlText w:val=""/>
      <w:lvlJc w:val="left"/>
      <w:pPr>
        <w:ind w:left="6480" w:hanging="360"/>
      </w:pPr>
      <w:rPr>
        <w:rFonts w:ascii="Wingdings" w:hAnsi="Wingdings" w:hint="default"/>
      </w:rPr>
    </w:lvl>
  </w:abstractNum>
  <w:abstractNum w:abstractNumId="10">
    <w:nsid w:val="18D85624"/>
    <w:multiLevelType w:val="hybridMultilevel"/>
    <w:tmpl w:val="ED60FDB2"/>
    <w:lvl w:ilvl="0" w:tplc="6B202F72">
      <w:start w:val="1"/>
      <w:numFmt w:val="bullet"/>
      <w:lvlText w:val=""/>
      <w:lvlJc w:val="left"/>
      <w:pPr>
        <w:ind w:left="720" w:hanging="360"/>
      </w:pPr>
      <w:rPr>
        <w:rFonts w:ascii="Symbol" w:hAnsi="Symbol" w:hint="default"/>
      </w:rPr>
    </w:lvl>
    <w:lvl w:ilvl="1" w:tplc="76FAD28C" w:tentative="1">
      <w:start w:val="1"/>
      <w:numFmt w:val="bullet"/>
      <w:lvlText w:val="o"/>
      <w:lvlJc w:val="left"/>
      <w:pPr>
        <w:ind w:left="1440" w:hanging="360"/>
      </w:pPr>
      <w:rPr>
        <w:rFonts w:ascii="Courier New" w:hAnsi="Courier New" w:cs="Courier New" w:hint="default"/>
      </w:rPr>
    </w:lvl>
    <w:lvl w:ilvl="2" w:tplc="F0BACEE0" w:tentative="1">
      <w:start w:val="1"/>
      <w:numFmt w:val="bullet"/>
      <w:lvlText w:val=""/>
      <w:lvlJc w:val="left"/>
      <w:pPr>
        <w:ind w:left="2160" w:hanging="360"/>
      </w:pPr>
      <w:rPr>
        <w:rFonts w:ascii="Wingdings" w:hAnsi="Wingdings" w:hint="default"/>
      </w:rPr>
    </w:lvl>
    <w:lvl w:ilvl="3" w:tplc="FD3685B6" w:tentative="1">
      <w:start w:val="1"/>
      <w:numFmt w:val="bullet"/>
      <w:lvlText w:val=""/>
      <w:lvlJc w:val="left"/>
      <w:pPr>
        <w:ind w:left="2880" w:hanging="360"/>
      </w:pPr>
      <w:rPr>
        <w:rFonts w:ascii="Symbol" w:hAnsi="Symbol" w:hint="default"/>
      </w:rPr>
    </w:lvl>
    <w:lvl w:ilvl="4" w:tplc="3F761EA4" w:tentative="1">
      <w:start w:val="1"/>
      <w:numFmt w:val="bullet"/>
      <w:lvlText w:val="o"/>
      <w:lvlJc w:val="left"/>
      <w:pPr>
        <w:ind w:left="3600" w:hanging="360"/>
      </w:pPr>
      <w:rPr>
        <w:rFonts w:ascii="Courier New" w:hAnsi="Courier New" w:cs="Courier New" w:hint="default"/>
      </w:rPr>
    </w:lvl>
    <w:lvl w:ilvl="5" w:tplc="F74A9C6A" w:tentative="1">
      <w:start w:val="1"/>
      <w:numFmt w:val="bullet"/>
      <w:lvlText w:val=""/>
      <w:lvlJc w:val="left"/>
      <w:pPr>
        <w:ind w:left="4320" w:hanging="360"/>
      </w:pPr>
      <w:rPr>
        <w:rFonts w:ascii="Wingdings" w:hAnsi="Wingdings" w:hint="default"/>
      </w:rPr>
    </w:lvl>
    <w:lvl w:ilvl="6" w:tplc="153860FE" w:tentative="1">
      <w:start w:val="1"/>
      <w:numFmt w:val="bullet"/>
      <w:lvlText w:val=""/>
      <w:lvlJc w:val="left"/>
      <w:pPr>
        <w:ind w:left="5040" w:hanging="360"/>
      </w:pPr>
      <w:rPr>
        <w:rFonts w:ascii="Symbol" w:hAnsi="Symbol" w:hint="default"/>
      </w:rPr>
    </w:lvl>
    <w:lvl w:ilvl="7" w:tplc="6F24120A" w:tentative="1">
      <w:start w:val="1"/>
      <w:numFmt w:val="bullet"/>
      <w:lvlText w:val="o"/>
      <w:lvlJc w:val="left"/>
      <w:pPr>
        <w:ind w:left="5760" w:hanging="360"/>
      </w:pPr>
      <w:rPr>
        <w:rFonts w:ascii="Courier New" w:hAnsi="Courier New" w:cs="Courier New" w:hint="default"/>
      </w:rPr>
    </w:lvl>
    <w:lvl w:ilvl="8" w:tplc="70828D38" w:tentative="1">
      <w:start w:val="1"/>
      <w:numFmt w:val="bullet"/>
      <w:lvlText w:val=""/>
      <w:lvlJc w:val="left"/>
      <w:pPr>
        <w:ind w:left="6480" w:hanging="360"/>
      </w:pPr>
      <w:rPr>
        <w:rFonts w:ascii="Wingdings" w:hAnsi="Wingdings" w:hint="default"/>
      </w:rPr>
    </w:lvl>
  </w:abstractNum>
  <w:abstractNum w:abstractNumId="11">
    <w:nsid w:val="200527DC"/>
    <w:multiLevelType w:val="hybridMultilevel"/>
    <w:tmpl w:val="BBA42EE4"/>
    <w:lvl w:ilvl="0" w:tplc="4956CF08">
      <w:start w:val="1"/>
      <w:numFmt w:val="decimal"/>
      <w:lvlText w:val="%1."/>
      <w:lvlJc w:val="left"/>
      <w:pPr>
        <w:ind w:left="720" w:hanging="360"/>
      </w:pPr>
    </w:lvl>
    <w:lvl w:ilvl="1" w:tplc="F6BAFD50" w:tentative="1">
      <w:start w:val="1"/>
      <w:numFmt w:val="lowerLetter"/>
      <w:lvlText w:val="%2."/>
      <w:lvlJc w:val="left"/>
      <w:pPr>
        <w:ind w:left="1440" w:hanging="360"/>
      </w:pPr>
    </w:lvl>
    <w:lvl w:ilvl="2" w:tplc="69902224" w:tentative="1">
      <w:start w:val="1"/>
      <w:numFmt w:val="lowerRoman"/>
      <w:lvlText w:val="%3."/>
      <w:lvlJc w:val="right"/>
      <w:pPr>
        <w:ind w:left="2160" w:hanging="180"/>
      </w:pPr>
    </w:lvl>
    <w:lvl w:ilvl="3" w:tplc="1E54EFF4" w:tentative="1">
      <w:start w:val="1"/>
      <w:numFmt w:val="decimal"/>
      <w:lvlText w:val="%4."/>
      <w:lvlJc w:val="left"/>
      <w:pPr>
        <w:ind w:left="2880" w:hanging="360"/>
      </w:pPr>
    </w:lvl>
    <w:lvl w:ilvl="4" w:tplc="E9924486" w:tentative="1">
      <w:start w:val="1"/>
      <w:numFmt w:val="lowerLetter"/>
      <w:lvlText w:val="%5."/>
      <w:lvlJc w:val="left"/>
      <w:pPr>
        <w:ind w:left="3600" w:hanging="360"/>
      </w:pPr>
    </w:lvl>
    <w:lvl w:ilvl="5" w:tplc="3476D8B8" w:tentative="1">
      <w:start w:val="1"/>
      <w:numFmt w:val="lowerRoman"/>
      <w:lvlText w:val="%6."/>
      <w:lvlJc w:val="right"/>
      <w:pPr>
        <w:ind w:left="4320" w:hanging="180"/>
      </w:pPr>
    </w:lvl>
    <w:lvl w:ilvl="6" w:tplc="896A2A68" w:tentative="1">
      <w:start w:val="1"/>
      <w:numFmt w:val="decimal"/>
      <w:lvlText w:val="%7."/>
      <w:lvlJc w:val="left"/>
      <w:pPr>
        <w:ind w:left="5040" w:hanging="360"/>
      </w:pPr>
    </w:lvl>
    <w:lvl w:ilvl="7" w:tplc="2520B08E" w:tentative="1">
      <w:start w:val="1"/>
      <w:numFmt w:val="lowerLetter"/>
      <w:lvlText w:val="%8."/>
      <w:lvlJc w:val="left"/>
      <w:pPr>
        <w:ind w:left="5760" w:hanging="360"/>
      </w:pPr>
    </w:lvl>
    <w:lvl w:ilvl="8" w:tplc="CE6A346A" w:tentative="1">
      <w:start w:val="1"/>
      <w:numFmt w:val="lowerRoman"/>
      <w:lvlText w:val="%9."/>
      <w:lvlJc w:val="right"/>
      <w:pPr>
        <w:ind w:left="6480" w:hanging="180"/>
      </w:pPr>
    </w:lvl>
  </w:abstractNum>
  <w:abstractNum w:abstractNumId="12">
    <w:nsid w:val="212C4C9E"/>
    <w:multiLevelType w:val="hybridMultilevel"/>
    <w:tmpl w:val="D334E8F6"/>
    <w:lvl w:ilvl="0" w:tplc="5850577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6E6186"/>
    <w:multiLevelType w:val="hybridMultilevel"/>
    <w:tmpl w:val="3F9CBA78"/>
    <w:lvl w:ilvl="0" w:tplc="90D02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392DDE"/>
    <w:multiLevelType w:val="hybridMultilevel"/>
    <w:tmpl w:val="4468B1EC"/>
    <w:lvl w:ilvl="0" w:tplc="281ACFE0">
      <w:start w:val="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3D170B"/>
    <w:multiLevelType w:val="hybridMultilevel"/>
    <w:tmpl w:val="845C2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123736"/>
    <w:multiLevelType w:val="hybridMultilevel"/>
    <w:tmpl w:val="AC64F48E"/>
    <w:lvl w:ilvl="0" w:tplc="0B3A02DC">
      <w:start w:val="1"/>
      <w:numFmt w:val="decimal"/>
      <w:lvlText w:val="%1."/>
      <w:lvlJc w:val="left"/>
      <w:pPr>
        <w:ind w:left="720" w:hanging="360"/>
      </w:pPr>
      <w:rPr>
        <w:rFonts w:hint="default"/>
      </w:rPr>
    </w:lvl>
    <w:lvl w:ilvl="1" w:tplc="2646B026" w:tentative="1">
      <w:start w:val="1"/>
      <w:numFmt w:val="bullet"/>
      <w:lvlText w:val="o"/>
      <w:lvlJc w:val="left"/>
      <w:pPr>
        <w:ind w:left="1440" w:hanging="360"/>
      </w:pPr>
      <w:rPr>
        <w:rFonts w:ascii="Courier New" w:hAnsi="Courier New" w:cs="Courier New" w:hint="default"/>
      </w:rPr>
    </w:lvl>
    <w:lvl w:ilvl="2" w:tplc="0E425060" w:tentative="1">
      <w:start w:val="1"/>
      <w:numFmt w:val="bullet"/>
      <w:lvlText w:val=""/>
      <w:lvlJc w:val="left"/>
      <w:pPr>
        <w:ind w:left="2160" w:hanging="360"/>
      </w:pPr>
      <w:rPr>
        <w:rFonts w:ascii="Wingdings" w:hAnsi="Wingdings" w:hint="default"/>
      </w:rPr>
    </w:lvl>
    <w:lvl w:ilvl="3" w:tplc="FB605766" w:tentative="1">
      <w:start w:val="1"/>
      <w:numFmt w:val="bullet"/>
      <w:lvlText w:val=""/>
      <w:lvlJc w:val="left"/>
      <w:pPr>
        <w:ind w:left="2880" w:hanging="360"/>
      </w:pPr>
      <w:rPr>
        <w:rFonts w:ascii="Symbol" w:hAnsi="Symbol" w:hint="default"/>
      </w:rPr>
    </w:lvl>
    <w:lvl w:ilvl="4" w:tplc="58981C96" w:tentative="1">
      <w:start w:val="1"/>
      <w:numFmt w:val="bullet"/>
      <w:lvlText w:val="o"/>
      <w:lvlJc w:val="left"/>
      <w:pPr>
        <w:ind w:left="3600" w:hanging="360"/>
      </w:pPr>
      <w:rPr>
        <w:rFonts w:ascii="Courier New" w:hAnsi="Courier New" w:cs="Courier New" w:hint="default"/>
      </w:rPr>
    </w:lvl>
    <w:lvl w:ilvl="5" w:tplc="08B435A6" w:tentative="1">
      <w:start w:val="1"/>
      <w:numFmt w:val="bullet"/>
      <w:lvlText w:val=""/>
      <w:lvlJc w:val="left"/>
      <w:pPr>
        <w:ind w:left="4320" w:hanging="360"/>
      </w:pPr>
      <w:rPr>
        <w:rFonts w:ascii="Wingdings" w:hAnsi="Wingdings" w:hint="default"/>
      </w:rPr>
    </w:lvl>
    <w:lvl w:ilvl="6" w:tplc="8E3E82F8" w:tentative="1">
      <w:start w:val="1"/>
      <w:numFmt w:val="bullet"/>
      <w:lvlText w:val=""/>
      <w:lvlJc w:val="left"/>
      <w:pPr>
        <w:ind w:left="5040" w:hanging="360"/>
      </w:pPr>
      <w:rPr>
        <w:rFonts w:ascii="Symbol" w:hAnsi="Symbol" w:hint="default"/>
      </w:rPr>
    </w:lvl>
    <w:lvl w:ilvl="7" w:tplc="E0581724" w:tentative="1">
      <w:start w:val="1"/>
      <w:numFmt w:val="bullet"/>
      <w:lvlText w:val="o"/>
      <w:lvlJc w:val="left"/>
      <w:pPr>
        <w:ind w:left="5760" w:hanging="360"/>
      </w:pPr>
      <w:rPr>
        <w:rFonts w:ascii="Courier New" w:hAnsi="Courier New" w:cs="Courier New" w:hint="default"/>
      </w:rPr>
    </w:lvl>
    <w:lvl w:ilvl="8" w:tplc="0F4887F2" w:tentative="1">
      <w:start w:val="1"/>
      <w:numFmt w:val="bullet"/>
      <w:lvlText w:val=""/>
      <w:lvlJc w:val="left"/>
      <w:pPr>
        <w:ind w:left="6480" w:hanging="360"/>
      </w:pPr>
      <w:rPr>
        <w:rFonts w:ascii="Wingdings" w:hAnsi="Wingdings" w:hint="default"/>
      </w:rPr>
    </w:lvl>
  </w:abstractNum>
  <w:abstractNum w:abstractNumId="17">
    <w:nsid w:val="3F491656"/>
    <w:multiLevelType w:val="hybridMultilevel"/>
    <w:tmpl w:val="093A477E"/>
    <w:lvl w:ilvl="0" w:tplc="79B6D378">
      <w:start w:val="1"/>
      <w:numFmt w:val="decimal"/>
      <w:lvlText w:val="%1."/>
      <w:lvlJc w:val="left"/>
      <w:pPr>
        <w:ind w:left="720" w:hanging="360"/>
      </w:pPr>
    </w:lvl>
    <w:lvl w:ilvl="1" w:tplc="1AE8B992">
      <w:start w:val="1"/>
      <w:numFmt w:val="lowerLetter"/>
      <w:lvlText w:val="%2."/>
      <w:lvlJc w:val="left"/>
      <w:pPr>
        <w:ind w:left="1440" w:hanging="360"/>
      </w:pPr>
    </w:lvl>
    <w:lvl w:ilvl="2" w:tplc="CDDE6F52" w:tentative="1">
      <w:start w:val="1"/>
      <w:numFmt w:val="lowerRoman"/>
      <w:lvlText w:val="%3."/>
      <w:lvlJc w:val="right"/>
      <w:pPr>
        <w:ind w:left="2160" w:hanging="180"/>
      </w:pPr>
    </w:lvl>
    <w:lvl w:ilvl="3" w:tplc="23E42906" w:tentative="1">
      <w:start w:val="1"/>
      <w:numFmt w:val="decimal"/>
      <w:lvlText w:val="%4."/>
      <w:lvlJc w:val="left"/>
      <w:pPr>
        <w:ind w:left="2880" w:hanging="360"/>
      </w:pPr>
    </w:lvl>
    <w:lvl w:ilvl="4" w:tplc="1338CCBE" w:tentative="1">
      <w:start w:val="1"/>
      <w:numFmt w:val="lowerLetter"/>
      <w:lvlText w:val="%5."/>
      <w:lvlJc w:val="left"/>
      <w:pPr>
        <w:ind w:left="3600" w:hanging="360"/>
      </w:pPr>
    </w:lvl>
    <w:lvl w:ilvl="5" w:tplc="10D65D06" w:tentative="1">
      <w:start w:val="1"/>
      <w:numFmt w:val="lowerRoman"/>
      <w:lvlText w:val="%6."/>
      <w:lvlJc w:val="right"/>
      <w:pPr>
        <w:ind w:left="4320" w:hanging="180"/>
      </w:pPr>
    </w:lvl>
    <w:lvl w:ilvl="6" w:tplc="1542E8B8" w:tentative="1">
      <w:start w:val="1"/>
      <w:numFmt w:val="decimal"/>
      <w:lvlText w:val="%7."/>
      <w:lvlJc w:val="left"/>
      <w:pPr>
        <w:ind w:left="5040" w:hanging="360"/>
      </w:pPr>
    </w:lvl>
    <w:lvl w:ilvl="7" w:tplc="8D84874A" w:tentative="1">
      <w:start w:val="1"/>
      <w:numFmt w:val="lowerLetter"/>
      <w:lvlText w:val="%8."/>
      <w:lvlJc w:val="left"/>
      <w:pPr>
        <w:ind w:left="5760" w:hanging="360"/>
      </w:pPr>
    </w:lvl>
    <w:lvl w:ilvl="8" w:tplc="9FF4D822" w:tentative="1">
      <w:start w:val="1"/>
      <w:numFmt w:val="lowerRoman"/>
      <w:lvlText w:val="%9."/>
      <w:lvlJc w:val="right"/>
      <w:pPr>
        <w:ind w:left="6480" w:hanging="180"/>
      </w:pPr>
    </w:lvl>
  </w:abstractNum>
  <w:abstractNum w:abstractNumId="18">
    <w:nsid w:val="46945834"/>
    <w:multiLevelType w:val="hybridMultilevel"/>
    <w:tmpl w:val="15108B86"/>
    <w:lvl w:ilvl="0" w:tplc="358A3764">
      <w:start w:val="1"/>
      <w:numFmt w:val="bullet"/>
      <w:lvlText w:val=""/>
      <w:lvlJc w:val="left"/>
      <w:pPr>
        <w:ind w:left="720" w:hanging="360"/>
      </w:pPr>
      <w:rPr>
        <w:rFonts w:ascii="Symbol" w:hAnsi="Symbol" w:hint="default"/>
      </w:rPr>
    </w:lvl>
    <w:lvl w:ilvl="1" w:tplc="6AFCDCB0" w:tentative="1">
      <w:start w:val="1"/>
      <w:numFmt w:val="bullet"/>
      <w:lvlText w:val="o"/>
      <w:lvlJc w:val="left"/>
      <w:pPr>
        <w:ind w:left="1440" w:hanging="360"/>
      </w:pPr>
      <w:rPr>
        <w:rFonts w:ascii="Courier New" w:hAnsi="Courier New" w:cs="Courier New" w:hint="default"/>
      </w:rPr>
    </w:lvl>
    <w:lvl w:ilvl="2" w:tplc="DD28C872" w:tentative="1">
      <w:start w:val="1"/>
      <w:numFmt w:val="bullet"/>
      <w:lvlText w:val=""/>
      <w:lvlJc w:val="left"/>
      <w:pPr>
        <w:ind w:left="2160" w:hanging="360"/>
      </w:pPr>
      <w:rPr>
        <w:rFonts w:ascii="Wingdings" w:hAnsi="Wingdings" w:hint="default"/>
      </w:rPr>
    </w:lvl>
    <w:lvl w:ilvl="3" w:tplc="551A38E6" w:tentative="1">
      <w:start w:val="1"/>
      <w:numFmt w:val="bullet"/>
      <w:lvlText w:val=""/>
      <w:lvlJc w:val="left"/>
      <w:pPr>
        <w:ind w:left="2880" w:hanging="360"/>
      </w:pPr>
      <w:rPr>
        <w:rFonts w:ascii="Symbol" w:hAnsi="Symbol" w:hint="default"/>
      </w:rPr>
    </w:lvl>
    <w:lvl w:ilvl="4" w:tplc="46B0276A" w:tentative="1">
      <w:start w:val="1"/>
      <w:numFmt w:val="bullet"/>
      <w:lvlText w:val="o"/>
      <w:lvlJc w:val="left"/>
      <w:pPr>
        <w:ind w:left="3600" w:hanging="360"/>
      </w:pPr>
      <w:rPr>
        <w:rFonts w:ascii="Courier New" w:hAnsi="Courier New" w:cs="Courier New" w:hint="default"/>
      </w:rPr>
    </w:lvl>
    <w:lvl w:ilvl="5" w:tplc="60EA757E" w:tentative="1">
      <w:start w:val="1"/>
      <w:numFmt w:val="bullet"/>
      <w:lvlText w:val=""/>
      <w:lvlJc w:val="left"/>
      <w:pPr>
        <w:ind w:left="4320" w:hanging="360"/>
      </w:pPr>
      <w:rPr>
        <w:rFonts w:ascii="Wingdings" w:hAnsi="Wingdings" w:hint="default"/>
      </w:rPr>
    </w:lvl>
    <w:lvl w:ilvl="6" w:tplc="F0688A66" w:tentative="1">
      <w:start w:val="1"/>
      <w:numFmt w:val="bullet"/>
      <w:lvlText w:val=""/>
      <w:lvlJc w:val="left"/>
      <w:pPr>
        <w:ind w:left="5040" w:hanging="360"/>
      </w:pPr>
      <w:rPr>
        <w:rFonts w:ascii="Symbol" w:hAnsi="Symbol" w:hint="default"/>
      </w:rPr>
    </w:lvl>
    <w:lvl w:ilvl="7" w:tplc="CF987080" w:tentative="1">
      <w:start w:val="1"/>
      <w:numFmt w:val="bullet"/>
      <w:lvlText w:val="o"/>
      <w:lvlJc w:val="left"/>
      <w:pPr>
        <w:ind w:left="5760" w:hanging="360"/>
      </w:pPr>
      <w:rPr>
        <w:rFonts w:ascii="Courier New" w:hAnsi="Courier New" w:cs="Courier New" w:hint="default"/>
      </w:rPr>
    </w:lvl>
    <w:lvl w:ilvl="8" w:tplc="5608DDD0" w:tentative="1">
      <w:start w:val="1"/>
      <w:numFmt w:val="bullet"/>
      <w:lvlText w:val=""/>
      <w:lvlJc w:val="left"/>
      <w:pPr>
        <w:ind w:left="6480" w:hanging="360"/>
      </w:pPr>
      <w:rPr>
        <w:rFonts w:ascii="Wingdings" w:hAnsi="Wingdings" w:hint="default"/>
      </w:rPr>
    </w:lvl>
  </w:abstractNum>
  <w:abstractNum w:abstractNumId="19">
    <w:nsid w:val="4E2225B3"/>
    <w:multiLevelType w:val="hybridMultilevel"/>
    <w:tmpl w:val="E138B492"/>
    <w:lvl w:ilvl="0" w:tplc="6AF0F0EE">
      <w:start w:val="1"/>
      <w:numFmt w:val="bullet"/>
      <w:lvlText w:val=""/>
      <w:lvlJc w:val="left"/>
      <w:pPr>
        <w:ind w:left="720" w:hanging="360"/>
      </w:pPr>
      <w:rPr>
        <w:rFonts w:ascii="Symbol" w:hAnsi="Symbol" w:hint="default"/>
      </w:rPr>
    </w:lvl>
    <w:lvl w:ilvl="1" w:tplc="5C7EE13C" w:tentative="1">
      <w:start w:val="1"/>
      <w:numFmt w:val="bullet"/>
      <w:lvlText w:val="o"/>
      <w:lvlJc w:val="left"/>
      <w:pPr>
        <w:ind w:left="1440" w:hanging="360"/>
      </w:pPr>
      <w:rPr>
        <w:rFonts w:ascii="Courier New" w:hAnsi="Courier New" w:cs="Courier New" w:hint="default"/>
      </w:rPr>
    </w:lvl>
    <w:lvl w:ilvl="2" w:tplc="7C1807E4" w:tentative="1">
      <w:start w:val="1"/>
      <w:numFmt w:val="bullet"/>
      <w:lvlText w:val=""/>
      <w:lvlJc w:val="left"/>
      <w:pPr>
        <w:ind w:left="2160" w:hanging="360"/>
      </w:pPr>
      <w:rPr>
        <w:rFonts w:ascii="Wingdings" w:hAnsi="Wingdings" w:hint="default"/>
      </w:rPr>
    </w:lvl>
    <w:lvl w:ilvl="3" w:tplc="3228730A" w:tentative="1">
      <w:start w:val="1"/>
      <w:numFmt w:val="bullet"/>
      <w:lvlText w:val=""/>
      <w:lvlJc w:val="left"/>
      <w:pPr>
        <w:ind w:left="2880" w:hanging="360"/>
      </w:pPr>
      <w:rPr>
        <w:rFonts w:ascii="Symbol" w:hAnsi="Symbol" w:hint="default"/>
      </w:rPr>
    </w:lvl>
    <w:lvl w:ilvl="4" w:tplc="E0FCBDFA" w:tentative="1">
      <w:start w:val="1"/>
      <w:numFmt w:val="bullet"/>
      <w:lvlText w:val="o"/>
      <w:lvlJc w:val="left"/>
      <w:pPr>
        <w:ind w:left="3600" w:hanging="360"/>
      </w:pPr>
      <w:rPr>
        <w:rFonts w:ascii="Courier New" w:hAnsi="Courier New" w:cs="Courier New" w:hint="default"/>
      </w:rPr>
    </w:lvl>
    <w:lvl w:ilvl="5" w:tplc="B680DF52" w:tentative="1">
      <w:start w:val="1"/>
      <w:numFmt w:val="bullet"/>
      <w:lvlText w:val=""/>
      <w:lvlJc w:val="left"/>
      <w:pPr>
        <w:ind w:left="4320" w:hanging="360"/>
      </w:pPr>
      <w:rPr>
        <w:rFonts w:ascii="Wingdings" w:hAnsi="Wingdings" w:hint="default"/>
      </w:rPr>
    </w:lvl>
    <w:lvl w:ilvl="6" w:tplc="E48A25D8" w:tentative="1">
      <w:start w:val="1"/>
      <w:numFmt w:val="bullet"/>
      <w:lvlText w:val=""/>
      <w:lvlJc w:val="left"/>
      <w:pPr>
        <w:ind w:left="5040" w:hanging="360"/>
      </w:pPr>
      <w:rPr>
        <w:rFonts w:ascii="Symbol" w:hAnsi="Symbol" w:hint="default"/>
      </w:rPr>
    </w:lvl>
    <w:lvl w:ilvl="7" w:tplc="13889830" w:tentative="1">
      <w:start w:val="1"/>
      <w:numFmt w:val="bullet"/>
      <w:lvlText w:val="o"/>
      <w:lvlJc w:val="left"/>
      <w:pPr>
        <w:ind w:left="5760" w:hanging="360"/>
      </w:pPr>
      <w:rPr>
        <w:rFonts w:ascii="Courier New" w:hAnsi="Courier New" w:cs="Courier New" w:hint="default"/>
      </w:rPr>
    </w:lvl>
    <w:lvl w:ilvl="8" w:tplc="E6FE4A0A" w:tentative="1">
      <w:start w:val="1"/>
      <w:numFmt w:val="bullet"/>
      <w:lvlText w:val=""/>
      <w:lvlJc w:val="left"/>
      <w:pPr>
        <w:ind w:left="6480" w:hanging="360"/>
      </w:pPr>
      <w:rPr>
        <w:rFonts w:ascii="Wingdings" w:hAnsi="Wingdings" w:hint="default"/>
      </w:rPr>
    </w:lvl>
  </w:abstractNum>
  <w:abstractNum w:abstractNumId="20">
    <w:nsid w:val="56BA59BF"/>
    <w:multiLevelType w:val="hybridMultilevel"/>
    <w:tmpl w:val="591E38FA"/>
    <w:lvl w:ilvl="0" w:tplc="153AD7D8">
      <w:start w:val="1"/>
      <w:numFmt w:val="decimal"/>
      <w:lvlText w:val="%1."/>
      <w:lvlJc w:val="left"/>
      <w:pPr>
        <w:ind w:left="720" w:hanging="360"/>
      </w:pPr>
    </w:lvl>
    <w:lvl w:ilvl="1" w:tplc="08F4CD92">
      <w:start w:val="1"/>
      <w:numFmt w:val="bullet"/>
      <w:lvlText w:val=""/>
      <w:lvlJc w:val="left"/>
      <w:pPr>
        <w:ind w:left="1440" w:hanging="360"/>
      </w:pPr>
      <w:rPr>
        <w:rFonts w:ascii="Symbol" w:hAnsi="Symbol" w:hint="default"/>
      </w:rPr>
    </w:lvl>
    <w:lvl w:ilvl="2" w:tplc="D7AC75A6" w:tentative="1">
      <w:start w:val="1"/>
      <w:numFmt w:val="lowerRoman"/>
      <w:lvlText w:val="%3."/>
      <w:lvlJc w:val="right"/>
      <w:pPr>
        <w:ind w:left="2160" w:hanging="180"/>
      </w:pPr>
    </w:lvl>
    <w:lvl w:ilvl="3" w:tplc="DD1C3C3E" w:tentative="1">
      <w:start w:val="1"/>
      <w:numFmt w:val="decimal"/>
      <w:lvlText w:val="%4."/>
      <w:lvlJc w:val="left"/>
      <w:pPr>
        <w:ind w:left="2880" w:hanging="360"/>
      </w:pPr>
    </w:lvl>
    <w:lvl w:ilvl="4" w:tplc="6BCE2FE8" w:tentative="1">
      <w:start w:val="1"/>
      <w:numFmt w:val="lowerLetter"/>
      <w:lvlText w:val="%5."/>
      <w:lvlJc w:val="left"/>
      <w:pPr>
        <w:ind w:left="3600" w:hanging="360"/>
      </w:pPr>
    </w:lvl>
    <w:lvl w:ilvl="5" w:tplc="4C04BF14" w:tentative="1">
      <w:start w:val="1"/>
      <w:numFmt w:val="lowerRoman"/>
      <w:lvlText w:val="%6."/>
      <w:lvlJc w:val="right"/>
      <w:pPr>
        <w:ind w:left="4320" w:hanging="180"/>
      </w:pPr>
    </w:lvl>
    <w:lvl w:ilvl="6" w:tplc="F2D8E51A" w:tentative="1">
      <w:start w:val="1"/>
      <w:numFmt w:val="decimal"/>
      <w:lvlText w:val="%7."/>
      <w:lvlJc w:val="left"/>
      <w:pPr>
        <w:ind w:left="5040" w:hanging="360"/>
      </w:pPr>
    </w:lvl>
    <w:lvl w:ilvl="7" w:tplc="9D729DDA" w:tentative="1">
      <w:start w:val="1"/>
      <w:numFmt w:val="lowerLetter"/>
      <w:lvlText w:val="%8."/>
      <w:lvlJc w:val="left"/>
      <w:pPr>
        <w:ind w:left="5760" w:hanging="360"/>
      </w:pPr>
    </w:lvl>
    <w:lvl w:ilvl="8" w:tplc="4CA26456" w:tentative="1">
      <w:start w:val="1"/>
      <w:numFmt w:val="lowerRoman"/>
      <w:lvlText w:val="%9."/>
      <w:lvlJc w:val="right"/>
      <w:pPr>
        <w:ind w:left="6480" w:hanging="180"/>
      </w:pPr>
    </w:lvl>
  </w:abstractNum>
  <w:abstractNum w:abstractNumId="21">
    <w:nsid w:val="577A2A8B"/>
    <w:multiLevelType w:val="hybridMultilevel"/>
    <w:tmpl w:val="C12E8004"/>
    <w:lvl w:ilvl="0" w:tplc="A3186B0C">
      <w:start w:val="1"/>
      <w:numFmt w:val="bullet"/>
      <w:lvlText w:val=""/>
      <w:lvlJc w:val="left"/>
      <w:pPr>
        <w:ind w:left="720" w:hanging="360"/>
      </w:pPr>
      <w:rPr>
        <w:rFonts w:ascii="Symbol" w:hAnsi="Symbol" w:hint="default"/>
      </w:rPr>
    </w:lvl>
    <w:lvl w:ilvl="1" w:tplc="44DAB46A" w:tentative="1">
      <w:start w:val="1"/>
      <w:numFmt w:val="bullet"/>
      <w:lvlText w:val="o"/>
      <w:lvlJc w:val="left"/>
      <w:pPr>
        <w:ind w:left="1440" w:hanging="360"/>
      </w:pPr>
      <w:rPr>
        <w:rFonts w:ascii="Courier New" w:hAnsi="Courier New" w:cs="Courier New" w:hint="default"/>
      </w:rPr>
    </w:lvl>
    <w:lvl w:ilvl="2" w:tplc="D6C60EE6" w:tentative="1">
      <w:start w:val="1"/>
      <w:numFmt w:val="bullet"/>
      <w:lvlText w:val=""/>
      <w:lvlJc w:val="left"/>
      <w:pPr>
        <w:ind w:left="2160" w:hanging="360"/>
      </w:pPr>
      <w:rPr>
        <w:rFonts w:ascii="Wingdings" w:hAnsi="Wingdings" w:hint="default"/>
      </w:rPr>
    </w:lvl>
    <w:lvl w:ilvl="3" w:tplc="EC74BB7C" w:tentative="1">
      <w:start w:val="1"/>
      <w:numFmt w:val="bullet"/>
      <w:lvlText w:val=""/>
      <w:lvlJc w:val="left"/>
      <w:pPr>
        <w:ind w:left="2880" w:hanging="360"/>
      </w:pPr>
      <w:rPr>
        <w:rFonts w:ascii="Symbol" w:hAnsi="Symbol" w:hint="default"/>
      </w:rPr>
    </w:lvl>
    <w:lvl w:ilvl="4" w:tplc="FEA22FD2" w:tentative="1">
      <w:start w:val="1"/>
      <w:numFmt w:val="bullet"/>
      <w:lvlText w:val="o"/>
      <w:lvlJc w:val="left"/>
      <w:pPr>
        <w:ind w:left="3600" w:hanging="360"/>
      </w:pPr>
      <w:rPr>
        <w:rFonts w:ascii="Courier New" w:hAnsi="Courier New" w:cs="Courier New" w:hint="default"/>
      </w:rPr>
    </w:lvl>
    <w:lvl w:ilvl="5" w:tplc="EE908B66" w:tentative="1">
      <w:start w:val="1"/>
      <w:numFmt w:val="bullet"/>
      <w:lvlText w:val=""/>
      <w:lvlJc w:val="left"/>
      <w:pPr>
        <w:ind w:left="4320" w:hanging="360"/>
      </w:pPr>
      <w:rPr>
        <w:rFonts w:ascii="Wingdings" w:hAnsi="Wingdings" w:hint="default"/>
      </w:rPr>
    </w:lvl>
    <w:lvl w:ilvl="6" w:tplc="5BD458FE" w:tentative="1">
      <w:start w:val="1"/>
      <w:numFmt w:val="bullet"/>
      <w:lvlText w:val=""/>
      <w:lvlJc w:val="left"/>
      <w:pPr>
        <w:ind w:left="5040" w:hanging="360"/>
      </w:pPr>
      <w:rPr>
        <w:rFonts w:ascii="Symbol" w:hAnsi="Symbol" w:hint="default"/>
      </w:rPr>
    </w:lvl>
    <w:lvl w:ilvl="7" w:tplc="7098F6EA" w:tentative="1">
      <w:start w:val="1"/>
      <w:numFmt w:val="bullet"/>
      <w:lvlText w:val="o"/>
      <w:lvlJc w:val="left"/>
      <w:pPr>
        <w:ind w:left="5760" w:hanging="360"/>
      </w:pPr>
      <w:rPr>
        <w:rFonts w:ascii="Courier New" w:hAnsi="Courier New" w:cs="Courier New" w:hint="default"/>
      </w:rPr>
    </w:lvl>
    <w:lvl w:ilvl="8" w:tplc="18E6B2EC" w:tentative="1">
      <w:start w:val="1"/>
      <w:numFmt w:val="bullet"/>
      <w:lvlText w:val=""/>
      <w:lvlJc w:val="left"/>
      <w:pPr>
        <w:ind w:left="6480" w:hanging="360"/>
      </w:pPr>
      <w:rPr>
        <w:rFonts w:ascii="Wingdings" w:hAnsi="Wingdings" w:hint="default"/>
      </w:rPr>
    </w:lvl>
  </w:abstractNum>
  <w:abstractNum w:abstractNumId="22">
    <w:nsid w:val="60DF0FCB"/>
    <w:multiLevelType w:val="hybridMultilevel"/>
    <w:tmpl w:val="22543A12"/>
    <w:lvl w:ilvl="0" w:tplc="4170D66C">
      <w:start w:val="1"/>
      <w:numFmt w:val="decimal"/>
      <w:lvlText w:val="%1."/>
      <w:lvlJc w:val="left"/>
      <w:pPr>
        <w:ind w:left="720" w:hanging="360"/>
      </w:pPr>
    </w:lvl>
    <w:lvl w:ilvl="1" w:tplc="8D5A1C5E">
      <w:start w:val="1"/>
      <w:numFmt w:val="lowerLetter"/>
      <w:lvlText w:val="%2."/>
      <w:lvlJc w:val="left"/>
      <w:pPr>
        <w:ind w:left="1440" w:hanging="360"/>
      </w:pPr>
    </w:lvl>
    <w:lvl w:ilvl="2" w:tplc="961E7A32" w:tentative="1">
      <w:start w:val="1"/>
      <w:numFmt w:val="lowerRoman"/>
      <w:lvlText w:val="%3."/>
      <w:lvlJc w:val="right"/>
      <w:pPr>
        <w:ind w:left="2160" w:hanging="180"/>
      </w:pPr>
    </w:lvl>
    <w:lvl w:ilvl="3" w:tplc="389ADA70" w:tentative="1">
      <w:start w:val="1"/>
      <w:numFmt w:val="decimal"/>
      <w:lvlText w:val="%4."/>
      <w:lvlJc w:val="left"/>
      <w:pPr>
        <w:ind w:left="2880" w:hanging="360"/>
      </w:pPr>
    </w:lvl>
    <w:lvl w:ilvl="4" w:tplc="ADF07E38" w:tentative="1">
      <w:start w:val="1"/>
      <w:numFmt w:val="lowerLetter"/>
      <w:lvlText w:val="%5."/>
      <w:lvlJc w:val="left"/>
      <w:pPr>
        <w:ind w:left="3600" w:hanging="360"/>
      </w:pPr>
    </w:lvl>
    <w:lvl w:ilvl="5" w:tplc="9F783CE2" w:tentative="1">
      <w:start w:val="1"/>
      <w:numFmt w:val="lowerRoman"/>
      <w:lvlText w:val="%6."/>
      <w:lvlJc w:val="right"/>
      <w:pPr>
        <w:ind w:left="4320" w:hanging="180"/>
      </w:pPr>
    </w:lvl>
    <w:lvl w:ilvl="6" w:tplc="074EADC4" w:tentative="1">
      <w:start w:val="1"/>
      <w:numFmt w:val="decimal"/>
      <w:lvlText w:val="%7."/>
      <w:lvlJc w:val="left"/>
      <w:pPr>
        <w:ind w:left="5040" w:hanging="360"/>
      </w:pPr>
    </w:lvl>
    <w:lvl w:ilvl="7" w:tplc="E3389F20" w:tentative="1">
      <w:start w:val="1"/>
      <w:numFmt w:val="lowerLetter"/>
      <w:lvlText w:val="%8."/>
      <w:lvlJc w:val="left"/>
      <w:pPr>
        <w:ind w:left="5760" w:hanging="360"/>
      </w:pPr>
    </w:lvl>
    <w:lvl w:ilvl="8" w:tplc="3A2883BA" w:tentative="1">
      <w:start w:val="1"/>
      <w:numFmt w:val="lowerRoman"/>
      <w:lvlText w:val="%9."/>
      <w:lvlJc w:val="right"/>
      <w:pPr>
        <w:ind w:left="6480" w:hanging="180"/>
      </w:pPr>
    </w:lvl>
  </w:abstractNum>
  <w:abstractNum w:abstractNumId="23">
    <w:nsid w:val="656E72EB"/>
    <w:multiLevelType w:val="hybridMultilevel"/>
    <w:tmpl w:val="EF926F32"/>
    <w:lvl w:ilvl="0" w:tplc="90D02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AD0263"/>
    <w:multiLevelType w:val="hybridMultilevel"/>
    <w:tmpl w:val="9FD40990"/>
    <w:lvl w:ilvl="0" w:tplc="90D02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8E65EF"/>
    <w:multiLevelType w:val="hybridMultilevel"/>
    <w:tmpl w:val="AB7EB052"/>
    <w:lvl w:ilvl="0" w:tplc="90D02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074A87"/>
    <w:multiLevelType w:val="hybridMultilevel"/>
    <w:tmpl w:val="B84E3B66"/>
    <w:lvl w:ilvl="0" w:tplc="90D022E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7E5A248E"/>
    <w:multiLevelType w:val="hybridMultilevel"/>
    <w:tmpl w:val="16368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0"/>
  </w:num>
  <w:num w:numId="3">
    <w:abstractNumId w:val="6"/>
  </w:num>
  <w:num w:numId="4">
    <w:abstractNumId w:val="9"/>
  </w:num>
  <w:num w:numId="5">
    <w:abstractNumId w:val="22"/>
  </w:num>
  <w:num w:numId="6">
    <w:abstractNumId w:val="20"/>
  </w:num>
  <w:num w:numId="7">
    <w:abstractNumId w:val="19"/>
  </w:num>
  <w:num w:numId="8">
    <w:abstractNumId w:val="11"/>
  </w:num>
  <w:num w:numId="9">
    <w:abstractNumId w:val="18"/>
  </w:num>
  <w:num w:numId="10">
    <w:abstractNumId w:val="16"/>
  </w:num>
  <w:num w:numId="11">
    <w:abstractNumId w:val="17"/>
  </w:num>
  <w:num w:numId="12">
    <w:abstractNumId w:val="27"/>
  </w:num>
  <w:num w:numId="13">
    <w:abstractNumId w:val="7"/>
  </w:num>
  <w:num w:numId="14">
    <w:abstractNumId w:val="1"/>
  </w:num>
  <w:num w:numId="15">
    <w:abstractNumId w:val="5"/>
  </w:num>
  <w:num w:numId="16">
    <w:abstractNumId w:val="2"/>
  </w:num>
  <w:num w:numId="17">
    <w:abstractNumId w:val="3"/>
  </w:num>
  <w:num w:numId="18">
    <w:abstractNumId w:val="0"/>
  </w:num>
  <w:num w:numId="19">
    <w:abstractNumId w:val="8"/>
  </w:num>
  <w:num w:numId="20">
    <w:abstractNumId w:val="24"/>
  </w:num>
  <w:num w:numId="21">
    <w:abstractNumId w:val="12"/>
  </w:num>
  <w:num w:numId="22">
    <w:abstractNumId w:val="13"/>
  </w:num>
  <w:num w:numId="23">
    <w:abstractNumId w:val="23"/>
  </w:num>
  <w:num w:numId="24">
    <w:abstractNumId w:val="4"/>
  </w:num>
  <w:num w:numId="25">
    <w:abstractNumId w:val="15"/>
  </w:num>
  <w:num w:numId="26">
    <w:abstractNumId w:val="13"/>
  </w:num>
  <w:num w:numId="27">
    <w:abstractNumId w:val="14"/>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removePersonalInformation/>
  <w:removeDateAndTime/>
  <w:doNotTrackMove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FooterText" w:val="37717993_1"/>
  </w:docVars>
  <w:rsids>
    <w:rsidRoot w:val="00B8291E"/>
    <w:rsid w:val="000034B3"/>
    <w:rsid w:val="00011727"/>
    <w:rsid w:val="00035EA2"/>
    <w:rsid w:val="00041CCB"/>
    <w:rsid w:val="000479E6"/>
    <w:rsid w:val="0005189D"/>
    <w:rsid w:val="0005242A"/>
    <w:rsid w:val="000615AB"/>
    <w:rsid w:val="00071D44"/>
    <w:rsid w:val="000721AC"/>
    <w:rsid w:val="00073097"/>
    <w:rsid w:val="00074CF3"/>
    <w:rsid w:val="0007729B"/>
    <w:rsid w:val="000847B3"/>
    <w:rsid w:val="00085459"/>
    <w:rsid w:val="00092003"/>
    <w:rsid w:val="0009648B"/>
    <w:rsid w:val="000A2D0A"/>
    <w:rsid w:val="000A6D8A"/>
    <w:rsid w:val="000A7B95"/>
    <w:rsid w:val="000C0696"/>
    <w:rsid w:val="000C3CD5"/>
    <w:rsid w:val="000D0E92"/>
    <w:rsid w:val="000D1D7B"/>
    <w:rsid w:val="000D3F10"/>
    <w:rsid w:val="0011509C"/>
    <w:rsid w:val="00123844"/>
    <w:rsid w:val="00124490"/>
    <w:rsid w:val="00136007"/>
    <w:rsid w:val="001506E7"/>
    <w:rsid w:val="0015250F"/>
    <w:rsid w:val="00161966"/>
    <w:rsid w:val="001664B6"/>
    <w:rsid w:val="00172333"/>
    <w:rsid w:val="00174C7E"/>
    <w:rsid w:val="001838E0"/>
    <w:rsid w:val="001960B3"/>
    <w:rsid w:val="001A20C9"/>
    <w:rsid w:val="001A4BED"/>
    <w:rsid w:val="001A5B5D"/>
    <w:rsid w:val="001B21FB"/>
    <w:rsid w:val="001C1020"/>
    <w:rsid w:val="001D04F8"/>
    <w:rsid w:val="001E6C41"/>
    <w:rsid w:val="001F4943"/>
    <w:rsid w:val="00212CDB"/>
    <w:rsid w:val="00215FAC"/>
    <w:rsid w:val="00245313"/>
    <w:rsid w:val="00250F25"/>
    <w:rsid w:val="002618D5"/>
    <w:rsid w:val="00261936"/>
    <w:rsid w:val="00264480"/>
    <w:rsid w:val="002722CE"/>
    <w:rsid w:val="002760DD"/>
    <w:rsid w:val="00297C9B"/>
    <w:rsid w:val="002B4492"/>
    <w:rsid w:val="002C1FEE"/>
    <w:rsid w:val="002C6820"/>
    <w:rsid w:val="002D39DD"/>
    <w:rsid w:val="002E6C32"/>
    <w:rsid w:val="002F4214"/>
    <w:rsid w:val="00300057"/>
    <w:rsid w:val="00305981"/>
    <w:rsid w:val="003119A7"/>
    <w:rsid w:val="00315A2E"/>
    <w:rsid w:val="00326D06"/>
    <w:rsid w:val="003503A1"/>
    <w:rsid w:val="00360B44"/>
    <w:rsid w:val="00375EFB"/>
    <w:rsid w:val="00390703"/>
    <w:rsid w:val="00391B9C"/>
    <w:rsid w:val="003A01E1"/>
    <w:rsid w:val="003A11E6"/>
    <w:rsid w:val="003A1217"/>
    <w:rsid w:val="003A2269"/>
    <w:rsid w:val="003A4ADC"/>
    <w:rsid w:val="003B5AF7"/>
    <w:rsid w:val="00414AD2"/>
    <w:rsid w:val="00416B11"/>
    <w:rsid w:val="00421AD9"/>
    <w:rsid w:val="00421C01"/>
    <w:rsid w:val="00424C1E"/>
    <w:rsid w:val="00434B35"/>
    <w:rsid w:val="00442D95"/>
    <w:rsid w:val="00445D81"/>
    <w:rsid w:val="00457545"/>
    <w:rsid w:val="00457CC3"/>
    <w:rsid w:val="00465288"/>
    <w:rsid w:val="004660B7"/>
    <w:rsid w:val="00473D18"/>
    <w:rsid w:val="004926EB"/>
    <w:rsid w:val="004B26A4"/>
    <w:rsid w:val="004B3896"/>
    <w:rsid w:val="004B7423"/>
    <w:rsid w:val="004C083A"/>
    <w:rsid w:val="004C4546"/>
    <w:rsid w:val="004D447C"/>
    <w:rsid w:val="004D4EF9"/>
    <w:rsid w:val="004F2134"/>
    <w:rsid w:val="005050BC"/>
    <w:rsid w:val="00522BBC"/>
    <w:rsid w:val="00527FD2"/>
    <w:rsid w:val="0053045C"/>
    <w:rsid w:val="005714C6"/>
    <w:rsid w:val="005848D1"/>
    <w:rsid w:val="00585045"/>
    <w:rsid w:val="005B1AD8"/>
    <w:rsid w:val="005D04CC"/>
    <w:rsid w:val="005E0731"/>
    <w:rsid w:val="005F5AFB"/>
    <w:rsid w:val="00603716"/>
    <w:rsid w:val="00613F75"/>
    <w:rsid w:val="00631443"/>
    <w:rsid w:val="0063179E"/>
    <w:rsid w:val="00631B41"/>
    <w:rsid w:val="0064006A"/>
    <w:rsid w:val="00664606"/>
    <w:rsid w:val="00667C6D"/>
    <w:rsid w:val="00677A8C"/>
    <w:rsid w:val="00686840"/>
    <w:rsid w:val="006934F8"/>
    <w:rsid w:val="00694F6F"/>
    <w:rsid w:val="006A2052"/>
    <w:rsid w:val="006B2886"/>
    <w:rsid w:val="006C6151"/>
    <w:rsid w:val="006C6735"/>
    <w:rsid w:val="006D2417"/>
    <w:rsid w:val="006F442D"/>
    <w:rsid w:val="006F5A8F"/>
    <w:rsid w:val="0070039C"/>
    <w:rsid w:val="0070394F"/>
    <w:rsid w:val="00711E46"/>
    <w:rsid w:val="00713323"/>
    <w:rsid w:val="00721FB9"/>
    <w:rsid w:val="00725172"/>
    <w:rsid w:val="00726584"/>
    <w:rsid w:val="00727E09"/>
    <w:rsid w:val="00752111"/>
    <w:rsid w:val="007549A8"/>
    <w:rsid w:val="00757EBB"/>
    <w:rsid w:val="007812BD"/>
    <w:rsid w:val="007828C7"/>
    <w:rsid w:val="00792B34"/>
    <w:rsid w:val="007A0DDF"/>
    <w:rsid w:val="007A3688"/>
    <w:rsid w:val="007B4736"/>
    <w:rsid w:val="007D4250"/>
    <w:rsid w:val="007D63D4"/>
    <w:rsid w:val="007F4921"/>
    <w:rsid w:val="007F54A7"/>
    <w:rsid w:val="008021C9"/>
    <w:rsid w:val="008125B0"/>
    <w:rsid w:val="00814191"/>
    <w:rsid w:val="00821007"/>
    <w:rsid w:val="008345BC"/>
    <w:rsid w:val="008431AC"/>
    <w:rsid w:val="00853128"/>
    <w:rsid w:val="0087045A"/>
    <w:rsid w:val="00873E1C"/>
    <w:rsid w:val="00877A88"/>
    <w:rsid w:val="008835FD"/>
    <w:rsid w:val="0088612E"/>
    <w:rsid w:val="008914CC"/>
    <w:rsid w:val="00895CCC"/>
    <w:rsid w:val="008B5C76"/>
    <w:rsid w:val="008B5FB6"/>
    <w:rsid w:val="008C659A"/>
    <w:rsid w:val="008E5E8A"/>
    <w:rsid w:val="008E5EF0"/>
    <w:rsid w:val="008F038B"/>
    <w:rsid w:val="009007C4"/>
    <w:rsid w:val="00913392"/>
    <w:rsid w:val="00917860"/>
    <w:rsid w:val="00922593"/>
    <w:rsid w:val="00924D0B"/>
    <w:rsid w:val="009312B3"/>
    <w:rsid w:val="009356B8"/>
    <w:rsid w:val="00947B9B"/>
    <w:rsid w:val="00952402"/>
    <w:rsid w:val="00956376"/>
    <w:rsid w:val="009629AA"/>
    <w:rsid w:val="00962F8C"/>
    <w:rsid w:val="00966B0C"/>
    <w:rsid w:val="00972B3D"/>
    <w:rsid w:val="009840AD"/>
    <w:rsid w:val="009A514D"/>
    <w:rsid w:val="009C198F"/>
    <w:rsid w:val="009D1EAF"/>
    <w:rsid w:val="009F0E3A"/>
    <w:rsid w:val="00A004D6"/>
    <w:rsid w:val="00A03EDE"/>
    <w:rsid w:val="00A0652F"/>
    <w:rsid w:val="00A213B5"/>
    <w:rsid w:val="00A36338"/>
    <w:rsid w:val="00A554E0"/>
    <w:rsid w:val="00A561AE"/>
    <w:rsid w:val="00A660AE"/>
    <w:rsid w:val="00A66E71"/>
    <w:rsid w:val="00A70EDF"/>
    <w:rsid w:val="00A77AE7"/>
    <w:rsid w:val="00A824C5"/>
    <w:rsid w:val="00A845F5"/>
    <w:rsid w:val="00AA2E8B"/>
    <w:rsid w:val="00AA474A"/>
    <w:rsid w:val="00AD7132"/>
    <w:rsid w:val="00AF0301"/>
    <w:rsid w:val="00AF18F1"/>
    <w:rsid w:val="00B07C5E"/>
    <w:rsid w:val="00B11142"/>
    <w:rsid w:val="00B11CE9"/>
    <w:rsid w:val="00B1266C"/>
    <w:rsid w:val="00B31483"/>
    <w:rsid w:val="00B422A1"/>
    <w:rsid w:val="00B445CC"/>
    <w:rsid w:val="00B529DD"/>
    <w:rsid w:val="00B5490B"/>
    <w:rsid w:val="00B57442"/>
    <w:rsid w:val="00B643A4"/>
    <w:rsid w:val="00B65E64"/>
    <w:rsid w:val="00B8291E"/>
    <w:rsid w:val="00BA1CB1"/>
    <w:rsid w:val="00BB0DDA"/>
    <w:rsid w:val="00BD2979"/>
    <w:rsid w:val="00BD45BD"/>
    <w:rsid w:val="00BE481D"/>
    <w:rsid w:val="00BE5EA6"/>
    <w:rsid w:val="00C06D18"/>
    <w:rsid w:val="00C1359C"/>
    <w:rsid w:val="00C24CC3"/>
    <w:rsid w:val="00C415CE"/>
    <w:rsid w:val="00C41E4E"/>
    <w:rsid w:val="00C50E08"/>
    <w:rsid w:val="00C55EC4"/>
    <w:rsid w:val="00C73CE5"/>
    <w:rsid w:val="00C76A6A"/>
    <w:rsid w:val="00CA64AD"/>
    <w:rsid w:val="00CD0F2C"/>
    <w:rsid w:val="00CD19D3"/>
    <w:rsid w:val="00CD28A1"/>
    <w:rsid w:val="00CD6641"/>
    <w:rsid w:val="00CF266C"/>
    <w:rsid w:val="00CF2D68"/>
    <w:rsid w:val="00CF54D7"/>
    <w:rsid w:val="00D14E50"/>
    <w:rsid w:val="00D215EC"/>
    <w:rsid w:val="00D35F14"/>
    <w:rsid w:val="00D463AA"/>
    <w:rsid w:val="00D51F92"/>
    <w:rsid w:val="00D56617"/>
    <w:rsid w:val="00D56CEF"/>
    <w:rsid w:val="00D570BB"/>
    <w:rsid w:val="00D637E2"/>
    <w:rsid w:val="00D83C61"/>
    <w:rsid w:val="00D93EAA"/>
    <w:rsid w:val="00DA213A"/>
    <w:rsid w:val="00DA4A5C"/>
    <w:rsid w:val="00DA5850"/>
    <w:rsid w:val="00DB4527"/>
    <w:rsid w:val="00DB5509"/>
    <w:rsid w:val="00DC4F27"/>
    <w:rsid w:val="00DE37F0"/>
    <w:rsid w:val="00DE6822"/>
    <w:rsid w:val="00DF0124"/>
    <w:rsid w:val="00DF4A28"/>
    <w:rsid w:val="00E10067"/>
    <w:rsid w:val="00E43321"/>
    <w:rsid w:val="00E43793"/>
    <w:rsid w:val="00E477BE"/>
    <w:rsid w:val="00E52194"/>
    <w:rsid w:val="00E65220"/>
    <w:rsid w:val="00E718EA"/>
    <w:rsid w:val="00E8142B"/>
    <w:rsid w:val="00E82648"/>
    <w:rsid w:val="00E870A1"/>
    <w:rsid w:val="00EA6ED3"/>
    <w:rsid w:val="00EB4D56"/>
    <w:rsid w:val="00EC4B4F"/>
    <w:rsid w:val="00ED2ECA"/>
    <w:rsid w:val="00ED3B07"/>
    <w:rsid w:val="00EE48B8"/>
    <w:rsid w:val="00EE597F"/>
    <w:rsid w:val="00EE5B78"/>
    <w:rsid w:val="00EE5D20"/>
    <w:rsid w:val="00EE6F32"/>
    <w:rsid w:val="00EF3832"/>
    <w:rsid w:val="00F14160"/>
    <w:rsid w:val="00F176CB"/>
    <w:rsid w:val="00F30D99"/>
    <w:rsid w:val="00F348B0"/>
    <w:rsid w:val="00F466F1"/>
    <w:rsid w:val="00F469F7"/>
    <w:rsid w:val="00F67F7D"/>
    <w:rsid w:val="00F75146"/>
    <w:rsid w:val="00FA363F"/>
    <w:rsid w:val="00FA5871"/>
    <w:rsid w:val="00FC2C04"/>
    <w:rsid w:val="00FD14A2"/>
    <w:rsid w:val="00FD4A52"/>
    <w:rsid w:val="00FD61BA"/>
    <w:rsid w:val="00FE448C"/>
    <w:rsid w:val="00FE5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D0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045A"/>
    <w:pPr>
      <w:spacing w:before="240" w:after="160"/>
      <w:outlineLvl w:val="0"/>
    </w:pPr>
    <w:rPr>
      <w:b/>
    </w:rPr>
  </w:style>
  <w:style w:type="paragraph" w:styleId="Heading2">
    <w:name w:val="heading 2"/>
    <w:basedOn w:val="Normal"/>
    <w:next w:val="Normal"/>
    <w:link w:val="Heading2Char"/>
    <w:uiPriority w:val="9"/>
    <w:unhideWhenUsed/>
    <w:qFormat/>
    <w:rsid w:val="0087045A"/>
    <w:pPr>
      <w:spacing w:before="240" w:after="160"/>
      <w:outlineLvl w:val="1"/>
    </w:pPr>
    <w:rPr>
      <w:i/>
    </w:rPr>
  </w:style>
  <w:style w:type="paragraph" w:styleId="Heading3">
    <w:name w:val="heading 3"/>
    <w:basedOn w:val="Normal"/>
    <w:next w:val="Normal"/>
    <w:link w:val="Heading3Char"/>
    <w:uiPriority w:val="9"/>
    <w:unhideWhenUsed/>
    <w:qFormat/>
    <w:rsid w:val="0087045A"/>
    <w:pPr>
      <w:spacing w:before="120" w:after="0" w:line="240" w:lineRule="auto"/>
      <w:jc w:val="center"/>
      <w:outlineLvl w:val="2"/>
    </w:pPr>
    <w:rPr>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578A"/>
    <w:rPr>
      <w:sz w:val="16"/>
      <w:szCs w:val="16"/>
    </w:rPr>
  </w:style>
  <w:style w:type="paragraph" w:styleId="CommentText">
    <w:name w:val="annotation text"/>
    <w:basedOn w:val="Normal"/>
    <w:link w:val="CommentTextChar"/>
    <w:uiPriority w:val="99"/>
    <w:semiHidden/>
    <w:unhideWhenUsed/>
    <w:rsid w:val="00B4578A"/>
    <w:pPr>
      <w:spacing w:line="240" w:lineRule="auto"/>
    </w:pPr>
    <w:rPr>
      <w:sz w:val="20"/>
      <w:szCs w:val="20"/>
    </w:rPr>
  </w:style>
  <w:style w:type="character" w:customStyle="1" w:styleId="CommentTextChar">
    <w:name w:val="Comment Text Char"/>
    <w:basedOn w:val="DefaultParagraphFont"/>
    <w:link w:val="CommentText"/>
    <w:uiPriority w:val="99"/>
    <w:semiHidden/>
    <w:rsid w:val="00B4578A"/>
    <w:rPr>
      <w:sz w:val="20"/>
      <w:szCs w:val="20"/>
    </w:rPr>
  </w:style>
  <w:style w:type="paragraph" w:styleId="CommentSubject">
    <w:name w:val="annotation subject"/>
    <w:basedOn w:val="CommentText"/>
    <w:next w:val="CommentText"/>
    <w:link w:val="CommentSubjectChar"/>
    <w:uiPriority w:val="99"/>
    <w:semiHidden/>
    <w:unhideWhenUsed/>
    <w:rsid w:val="00B4578A"/>
    <w:rPr>
      <w:b/>
      <w:bCs/>
    </w:rPr>
  </w:style>
  <w:style w:type="character" w:customStyle="1" w:styleId="CommentSubjectChar">
    <w:name w:val="Comment Subject Char"/>
    <w:basedOn w:val="CommentTextChar"/>
    <w:link w:val="CommentSubject"/>
    <w:uiPriority w:val="99"/>
    <w:semiHidden/>
    <w:rsid w:val="00B4578A"/>
    <w:rPr>
      <w:b/>
      <w:bCs/>
      <w:sz w:val="20"/>
      <w:szCs w:val="20"/>
    </w:rPr>
  </w:style>
  <w:style w:type="paragraph" w:styleId="BalloonText">
    <w:name w:val="Balloon Text"/>
    <w:basedOn w:val="Normal"/>
    <w:link w:val="BalloonTextChar"/>
    <w:uiPriority w:val="99"/>
    <w:semiHidden/>
    <w:unhideWhenUsed/>
    <w:rsid w:val="00B45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78A"/>
    <w:rPr>
      <w:rFonts w:ascii="Tahoma" w:hAnsi="Tahoma" w:cs="Tahoma"/>
      <w:sz w:val="16"/>
      <w:szCs w:val="16"/>
    </w:rPr>
  </w:style>
  <w:style w:type="paragraph" w:styleId="ListParagraph">
    <w:name w:val="List Paragraph"/>
    <w:basedOn w:val="Normal"/>
    <w:uiPriority w:val="34"/>
    <w:qFormat/>
    <w:rsid w:val="00E2192F"/>
    <w:pPr>
      <w:ind w:left="720"/>
      <w:contextualSpacing/>
    </w:pPr>
  </w:style>
  <w:style w:type="character" w:styleId="Hyperlink">
    <w:name w:val="Hyperlink"/>
    <w:basedOn w:val="DefaultParagraphFont"/>
    <w:uiPriority w:val="99"/>
    <w:unhideWhenUsed/>
    <w:rsid w:val="001C3A5B"/>
    <w:rPr>
      <w:color w:val="0000FF" w:themeColor="hyperlink"/>
      <w:u w:val="single"/>
    </w:rPr>
  </w:style>
  <w:style w:type="paragraph" w:styleId="Header">
    <w:name w:val="header"/>
    <w:basedOn w:val="Normal"/>
    <w:link w:val="HeaderChar"/>
    <w:uiPriority w:val="99"/>
    <w:unhideWhenUsed/>
    <w:rsid w:val="004F1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C64"/>
  </w:style>
  <w:style w:type="paragraph" w:styleId="Footer">
    <w:name w:val="footer"/>
    <w:basedOn w:val="Normal"/>
    <w:link w:val="FooterChar"/>
    <w:uiPriority w:val="99"/>
    <w:unhideWhenUsed/>
    <w:rsid w:val="004F1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C64"/>
  </w:style>
  <w:style w:type="paragraph" w:styleId="FootnoteText">
    <w:name w:val="footnote text"/>
    <w:basedOn w:val="Normal"/>
    <w:link w:val="FootnoteTextChar"/>
    <w:uiPriority w:val="99"/>
    <w:semiHidden/>
    <w:unhideWhenUsed/>
    <w:rsid w:val="00843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1AC"/>
    <w:rPr>
      <w:sz w:val="20"/>
      <w:szCs w:val="20"/>
    </w:rPr>
  </w:style>
  <w:style w:type="character" w:styleId="FootnoteReference">
    <w:name w:val="footnote reference"/>
    <w:basedOn w:val="DefaultParagraphFont"/>
    <w:uiPriority w:val="99"/>
    <w:semiHidden/>
    <w:unhideWhenUsed/>
    <w:rsid w:val="008431AC"/>
    <w:rPr>
      <w:vertAlign w:val="superscript"/>
    </w:rPr>
  </w:style>
  <w:style w:type="table" w:styleId="TableGrid">
    <w:name w:val="Table Grid"/>
    <w:basedOn w:val="TableNormal"/>
    <w:uiPriority w:val="59"/>
    <w:rsid w:val="0031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28C7"/>
    <w:rPr>
      <w:color w:val="800080" w:themeColor="followedHyperlink"/>
      <w:u w:val="single"/>
    </w:rPr>
  </w:style>
  <w:style w:type="character" w:styleId="PlaceholderText">
    <w:name w:val="Placeholder Text"/>
    <w:basedOn w:val="DefaultParagraphFont"/>
    <w:uiPriority w:val="99"/>
    <w:semiHidden/>
    <w:rsid w:val="00924D0B"/>
    <w:rPr>
      <w:color w:val="808080"/>
    </w:rPr>
  </w:style>
  <w:style w:type="paragraph" w:styleId="Revision">
    <w:name w:val="Revision"/>
    <w:hidden/>
    <w:uiPriority w:val="99"/>
    <w:semiHidden/>
    <w:rsid w:val="00F30D99"/>
    <w:pPr>
      <w:spacing w:after="0" w:line="240" w:lineRule="auto"/>
    </w:pPr>
  </w:style>
  <w:style w:type="character" w:customStyle="1" w:styleId="Heading1Char">
    <w:name w:val="Heading 1 Char"/>
    <w:basedOn w:val="DefaultParagraphFont"/>
    <w:link w:val="Heading1"/>
    <w:uiPriority w:val="9"/>
    <w:rsid w:val="0087045A"/>
    <w:rPr>
      <w:b/>
    </w:rPr>
  </w:style>
  <w:style w:type="paragraph" w:styleId="TOCHeading">
    <w:name w:val="TOC Heading"/>
    <w:basedOn w:val="Heading1"/>
    <w:next w:val="Normal"/>
    <w:uiPriority w:val="39"/>
    <w:unhideWhenUsed/>
    <w:qFormat/>
    <w:rsid w:val="0087045A"/>
    <w:pPr>
      <w:spacing w:line="259" w:lineRule="auto"/>
      <w:outlineLvl w:val="9"/>
    </w:pPr>
    <w:rPr>
      <w:lang w:val="en-US" w:eastAsia="en-US"/>
    </w:rPr>
  </w:style>
  <w:style w:type="character" w:customStyle="1" w:styleId="Heading2Char">
    <w:name w:val="Heading 2 Char"/>
    <w:basedOn w:val="DefaultParagraphFont"/>
    <w:link w:val="Heading2"/>
    <w:uiPriority w:val="9"/>
    <w:rsid w:val="0087045A"/>
    <w:rPr>
      <w:i/>
    </w:rPr>
  </w:style>
  <w:style w:type="character" w:customStyle="1" w:styleId="Heading3Char">
    <w:name w:val="Heading 3 Char"/>
    <w:basedOn w:val="DefaultParagraphFont"/>
    <w:link w:val="Heading3"/>
    <w:uiPriority w:val="9"/>
    <w:rsid w:val="0087045A"/>
    <w:rPr>
      <w:b/>
      <w:sz w:val="21"/>
      <w:szCs w:val="21"/>
    </w:rPr>
  </w:style>
  <w:style w:type="paragraph" w:styleId="TOC1">
    <w:name w:val="toc 1"/>
    <w:basedOn w:val="Normal"/>
    <w:next w:val="Normal"/>
    <w:autoRedefine/>
    <w:uiPriority w:val="39"/>
    <w:unhideWhenUsed/>
    <w:rsid w:val="00261936"/>
    <w:pPr>
      <w:tabs>
        <w:tab w:val="right" w:leader="dot" w:pos="9016"/>
      </w:tabs>
      <w:spacing w:after="100"/>
    </w:pPr>
    <w:rPr>
      <w:b/>
      <w:noProof/>
    </w:rPr>
  </w:style>
  <w:style w:type="paragraph" w:styleId="TOC2">
    <w:name w:val="toc 2"/>
    <w:basedOn w:val="Normal"/>
    <w:next w:val="Normal"/>
    <w:autoRedefine/>
    <w:uiPriority w:val="39"/>
    <w:unhideWhenUsed/>
    <w:rsid w:val="0087045A"/>
    <w:pPr>
      <w:spacing w:after="100"/>
      <w:ind w:left="220"/>
    </w:pPr>
  </w:style>
  <w:style w:type="paragraph" w:styleId="TOC3">
    <w:name w:val="toc 3"/>
    <w:basedOn w:val="Normal"/>
    <w:next w:val="Normal"/>
    <w:autoRedefine/>
    <w:uiPriority w:val="39"/>
    <w:unhideWhenUsed/>
    <w:rsid w:val="0087045A"/>
    <w:pPr>
      <w:spacing w:after="100"/>
      <w:ind w:left="440"/>
    </w:pPr>
  </w:style>
  <w:style w:type="paragraph" w:styleId="EndnoteText">
    <w:name w:val="endnote text"/>
    <w:basedOn w:val="Normal"/>
    <w:link w:val="EndnoteTextChar"/>
    <w:uiPriority w:val="99"/>
    <w:semiHidden/>
    <w:unhideWhenUsed/>
    <w:rsid w:val="00297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C9B"/>
    <w:rPr>
      <w:sz w:val="20"/>
      <w:szCs w:val="20"/>
    </w:rPr>
  </w:style>
  <w:style w:type="character" w:styleId="EndnoteReference">
    <w:name w:val="endnote reference"/>
    <w:basedOn w:val="DefaultParagraphFont"/>
    <w:uiPriority w:val="99"/>
    <w:semiHidden/>
    <w:unhideWhenUsed/>
    <w:rsid w:val="00297C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045A"/>
    <w:pPr>
      <w:spacing w:before="240" w:after="160"/>
      <w:outlineLvl w:val="0"/>
    </w:pPr>
    <w:rPr>
      <w:b/>
    </w:rPr>
  </w:style>
  <w:style w:type="paragraph" w:styleId="Heading2">
    <w:name w:val="heading 2"/>
    <w:basedOn w:val="Normal"/>
    <w:next w:val="Normal"/>
    <w:link w:val="Heading2Char"/>
    <w:uiPriority w:val="9"/>
    <w:unhideWhenUsed/>
    <w:qFormat/>
    <w:rsid w:val="0087045A"/>
    <w:pPr>
      <w:spacing w:before="240" w:after="160"/>
      <w:outlineLvl w:val="1"/>
    </w:pPr>
    <w:rPr>
      <w:i/>
    </w:rPr>
  </w:style>
  <w:style w:type="paragraph" w:styleId="Heading3">
    <w:name w:val="heading 3"/>
    <w:basedOn w:val="Normal"/>
    <w:next w:val="Normal"/>
    <w:link w:val="Heading3Char"/>
    <w:uiPriority w:val="9"/>
    <w:unhideWhenUsed/>
    <w:qFormat/>
    <w:rsid w:val="0087045A"/>
    <w:pPr>
      <w:spacing w:before="120" w:after="0" w:line="240" w:lineRule="auto"/>
      <w:jc w:val="center"/>
      <w:outlineLvl w:val="2"/>
    </w:pPr>
    <w:rPr>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578A"/>
    <w:rPr>
      <w:sz w:val="16"/>
      <w:szCs w:val="16"/>
    </w:rPr>
  </w:style>
  <w:style w:type="paragraph" w:styleId="CommentText">
    <w:name w:val="annotation text"/>
    <w:basedOn w:val="Normal"/>
    <w:link w:val="CommentTextChar"/>
    <w:uiPriority w:val="99"/>
    <w:semiHidden/>
    <w:unhideWhenUsed/>
    <w:rsid w:val="00B4578A"/>
    <w:pPr>
      <w:spacing w:line="240" w:lineRule="auto"/>
    </w:pPr>
    <w:rPr>
      <w:sz w:val="20"/>
      <w:szCs w:val="20"/>
    </w:rPr>
  </w:style>
  <w:style w:type="character" w:customStyle="1" w:styleId="CommentTextChar">
    <w:name w:val="Comment Text Char"/>
    <w:basedOn w:val="DefaultParagraphFont"/>
    <w:link w:val="CommentText"/>
    <w:uiPriority w:val="99"/>
    <w:semiHidden/>
    <w:rsid w:val="00B4578A"/>
    <w:rPr>
      <w:sz w:val="20"/>
      <w:szCs w:val="20"/>
    </w:rPr>
  </w:style>
  <w:style w:type="paragraph" w:styleId="CommentSubject">
    <w:name w:val="annotation subject"/>
    <w:basedOn w:val="CommentText"/>
    <w:next w:val="CommentText"/>
    <w:link w:val="CommentSubjectChar"/>
    <w:uiPriority w:val="99"/>
    <w:semiHidden/>
    <w:unhideWhenUsed/>
    <w:rsid w:val="00B4578A"/>
    <w:rPr>
      <w:b/>
      <w:bCs/>
    </w:rPr>
  </w:style>
  <w:style w:type="character" w:customStyle="1" w:styleId="CommentSubjectChar">
    <w:name w:val="Comment Subject Char"/>
    <w:basedOn w:val="CommentTextChar"/>
    <w:link w:val="CommentSubject"/>
    <w:uiPriority w:val="99"/>
    <w:semiHidden/>
    <w:rsid w:val="00B4578A"/>
    <w:rPr>
      <w:b/>
      <w:bCs/>
      <w:sz w:val="20"/>
      <w:szCs w:val="20"/>
    </w:rPr>
  </w:style>
  <w:style w:type="paragraph" w:styleId="BalloonText">
    <w:name w:val="Balloon Text"/>
    <w:basedOn w:val="Normal"/>
    <w:link w:val="BalloonTextChar"/>
    <w:uiPriority w:val="99"/>
    <w:semiHidden/>
    <w:unhideWhenUsed/>
    <w:rsid w:val="00B45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78A"/>
    <w:rPr>
      <w:rFonts w:ascii="Tahoma" w:hAnsi="Tahoma" w:cs="Tahoma"/>
      <w:sz w:val="16"/>
      <w:szCs w:val="16"/>
    </w:rPr>
  </w:style>
  <w:style w:type="paragraph" w:styleId="ListParagraph">
    <w:name w:val="List Paragraph"/>
    <w:basedOn w:val="Normal"/>
    <w:uiPriority w:val="34"/>
    <w:qFormat/>
    <w:rsid w:val="00E2192F"/>
    <w:pPr>
      <w:ind w:left="720"/>
      <w:contextualSpacing/>
    </w:pPr>
  </w:style>
  <w:style w:type="character" w:styleId="Hyperlink">
    <w:name w:val="Hyperlink"/>
    <w:basedOn w:val="DefaultParagraphFont"/>
    <w:uiPriority w:val="99"/>
    <w:unhideWhenUsed/>
    <w:rsid w:val="001C3A5B"/>
    <w:rPr>
      <w:color w:val="0000FF" w:themeColor="hyperlink"/>
      <w:u w:val="single"/>
    </w:rPr>
  </w:style>
  <w:style w:type="paragraph" w:styleId="Header">
    <w:name w:val="header"/>
    <w:basedOn w:val="Normal"/>
    <w:link w:val="HeaderChar"/>
    <w:uiPriority w:val="99"/>
    <w:unhideWhenUsed/>
    <w:rsid w:val="004F1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C64"/>
  </w:style>
  <w:style w:type="paragraph" w:styleId="Footer">
    <w:name w:val="footer"/>
    <w:basedOn w:val="Normal"/>
    <w:link w:val="FooterChar"/>
    <w:uiPriority w:val="99"/>
    <w:unhideWhenUsed/>
    <w:rsid w:val="004F1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C64"/>
  </w:style>
  <w:style w:type="paragraph" w:styleId="FootnoteText">
    <w:name w:val="footnote text"/>
    <w:basedOn w:val="Normal"/>
    <w:link w:val="FootnoteTextChar"/>
    <w:uiPriority w:val="99"/>
    <w:semiHidden/>
    <w:unhideWhenUsed/>
    <w:rsid w:val="00843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1AC"/>
    <w:rPr>
      <w:sz w:val="20"/>
      <w:szCs w:val="20"/>
    </w:rPr>
  </w:style>
  <w:style w:type="character" w:styleId="FootnoteReference">
    <w:name w:val="footnote reference"/>
    <w:basedOn w:val="DefaultParagraphFont"/>
    <w:uiPriority w:val="99"/>
    <w:semiHidden/>
    <w:unhideWhenUsed/>
    <w:rsid w:val="008431AC"/>
    <w:rPr>
      <w:vertAlign w:val="superscript"/>
    </w:rPr>
  </w:style>
  <w:style w:type="table" w:styleId="TableGrid">
    <w:name w:val="Table Grid"/>
    <w:basedOn w:val="TableNormal"/>
    <w:uiPriority w:val="59"/>
    <w:rsid w:val="0031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28C7"/>
    <w:rPr>
      <w:color w:val="800080" w:themeColor="followedHyperlink"/>
      <w:u w:val="single"/>
    </w:rPr>
  </w:style>
  <w:style w:type="character" w:styleId="PlaceholderText">
    <w:name w:val="Placeholder Text"/>
    <w:basedOn w:val="DefaultParagraphFont"/>
    <w:uiPriority w:val="99"/>
    <w:semiHidden/>
    <w:rsid w:val="00924D0B"/>
    <w:rPr>
      <w:color w:val="808080"/>
    </w:rPr>
  </w:style>
  <w:style w:type="paragraph" w:styleId="Revision">
    <w:name w:val="Revision"/>
    <w:hidden/>
    <w:uiPriority w:val="99"/>
    <w:semiHidden/>
    <w:rsid w:val="00F30D99"/>
    <w:pPr>
      <w:spacing w:after="0" w:line="240" w:lineRule="auto"/>
    </w:pPr>
  </w:style>
  <w:style w:type="character" w:customStyle="1" w:styleId="Heading1Char">
    <w:name w:val="Heading 1 Char"/>
    <w:basedOn w:val="DefaultParagraphFont"/>
    <w:link w:val="Heading1"/>
    <w:uiPriority w:val="9"/>
    <w:rsid w:val="0087045A"/>
    <w:rPr>
      <w:b/>
    </w:rPr>
  </w:style>
  <w:style w:type="paragraph" w:styleId="TOCHeading">
    <w:name w:val="TOC Heading"/>
    <w:basedOn w:val="Heading1"/>
    <w:next w:val="Normal"/>
    <w:uiPriority w:val="39"/>
    <w:unhideWhenUsed/>
    <w:qFormat/>
    <w:rsid w:val="0087045A"/>
    <w:pPr>
      <w:spacing w:line="259" w:lineRule="auto"/>
      <w:outlineLvl w:val="9"/>
    </w:pPr>
    <w:rPr>
      <w:lang w:val="en-US" w:eastAsia="en-US"/>
    </w:rPr>
  </w:style>
  <w:style w:type="character" w:customStyle="1" w:styleId="Heading2Char">
    <w:name w:val="Heading 2 Char"/>
    <w:basedOn w:val="DefaultParagraphFont"/>
    <w:link w:val="Heading2"/>
    <w:uiPriority w:val="9"/>
    <w:rsid w:val="0087045A"/>
    <w:rPr>
      <w:i/>
    </w:rPr>
  </w:style>
  <w:style w:type="character" w:customStyle="1" w:styleId="Heading3Char">
    <w:name w:val="Heading 3 Char"/>
    <w:basedOn w:val="DefaultParagraphFont"/>
    <w:link w:val="Heading3"/>
    <w:uiPriority w:val="9"/>
    <w:rsid w:val="0087045A"/>
    <w:rPr>
      <w:b/>
      <w:sz w:val="21"/>
      <w:szCs w:val="21"/>
    </w:rPr>
  </w:style>
  <w:style w:type="paragraph" w:styleId="TOC1">
    <w:name w:val="toc 1"/>
    <w:basedOn w:val="Normal"/>
    <w:next w:val="Normal"/>
    <w:autoRedefine/>
    <w:uiPriority w:val="39"/>
    <w:unhideWhenUsed/>
    <w:rsid w:val="00261936"/>
    <w:pPr>
      <w:tabs>
        <w:tab w:val="right" w:leader="dot" w:pos="9016"/>
      </w:tabs>
      <w:spacing w:after="100"/>
    </w:pPr>
    <w:rPr>
      <w:b/>
      <w:noProof/>
    </w:rPr>
  </w:style>
  <w:style w:type="paragraph" w:styleId="TOC2">
    <w:name w:val="toc 2"/>
    <w:basedOn w:val="Normal"/>
    <w:next w:val="Normal"/>
    <w:autoRedefine/>
    <w:uiPriority w:val="39"/>
    <w:unhideWhenUsed/>
    <w:rsid w:val="0087045A"/>
    <w:pPr>
      <w:spacing w:after="100"/>
      <w:ind w:left="220"/>
    </w:pPr>
  </w:style>
  <w:style w:type="paragraph" w:styleId="TOC3">
    <w:name w:val="toc 3"/>
    <w:basedOn w:val="Normal"/>
    <w:next w:val="Normal"/>
    <w:autoRedefine/>
    <w:uiPriority w:val="39"/>
    <w:unhideWhenUsed/>
    <w:rsid w:val="0087045A"/>
    <w:pPr>
      <w:spacing w:after="100"/>
      <w:ind w:left="440"/>
    </w:pPr>
  </w:style>
  <w:style w:type="paragraph" w:styleId="EndnoteText">
    <w:name w:val="endnote text"/>
    <w:basedOn w:val="Normal"/>
    <w:link w:val="EndnoteTextChar"/>
    <w:uiPriority w:val="99"/>
    <w:semiHidden/>
    <w:unhideWhenUsed/>
    <w:rsid w:val="00297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C9B"/>
    <w:rPr>
      <w:sz w:val="20"/>
      <w:szCs w:val="20"/>
    </w:rPr>
  </w:style>
  <w:style w:type="character" w:styleId="EndnoteReference">
    <w:name w:val="endnote reference"/>
    <w:basedOn w:val="DefaultParagraphFont"/>
    <w:uiPriority w:val="99"/>
    <w:semiHidden/>
    <w:unhideWhenUsed/>
    <w:rsid w:val="00297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809">
      <w:bodyDiv w:val="1"/>
      <w:marLeft w:val="0"/>
      <w:marRight w:val="0"/>
      <w:marTop w:val="0"/>
      <w:marBottom w:val="0"/>
      <w:divBdr>
        <w:top w:val="none" w:sz="0" w:space="0" w:color="auto"/>
        <w:left w:val="none" w:sz="0" w:space="0" w:color="auto"/>
        <w:bottom w:val="none" w:sz="0" w:space="0" w:color="auto"/>
        <w:right w:val="none" w:sz="0" w:space="0" w:color="auto"/>
      </w:divBdr>
    </w:div>
    <w:div w:id="194082607">
      <w:bodyDiv w:val="1"/>
      <w:marLeft w:val="0"/>
      <w:marRight w:val="0"/>
      <w:marTop w:val="0"/>
      <w:marBottom w:val="0"/>
      <w:divBdr>
        <w:top w:val="none" w:sz="0" w:space="0" w:color="auto"/>
        <w:left w:val="none" w:sz="0" w:space="0" w:color="auto"/>
        <w:bottom w:val="none" w:sz="0" w:space="0" w:color="auto"/>
        <w:right w:val="none" w:sz="0" w:space="0" w:color="auto"/>
      </w:divBdr>
    </w:div>
    <w:div w:id="248470270">
      <w:bodyDiv w:val="1"/>
      <w:marLeft w:val="0"/>
      <w:marRight w:val="0"/>
      <w:marTop w:val="0"/>
      <w:marBottom w:val="0"/>
      <w:divBdr>
        <w:top w:val="none" w:sz="0" w:space="0" w:color="auto"/>
        <w:left w:val="none" w:sz="0" w:space="0" w:color="auto"/>
        <w:bottom w:val="none" w:sz="0" w:space="0" w:color="auto"/>
        <w:right w:val="none" w:sz="0" w:space="0" w:color="auto"/>
      </w:divBdr>
    </w:div>
    <w:div w:id="286401492">
      <w:bodyDiv w:val="1"/>
      <w:marLeft w:val="0"/>
      <w:marRight w:val="0"/>
      <w:marTop w:val="0"/>
      <w:marBottom w:val="0"/>
      <w:divBdr>
        <w:top w:val="none" w:sz="0" w:space="0" w:color="auto"/>
        <w:left w:val="none" w:sz="0" w:space="0" w:color="auto"/>
        <w:bottom w:val="none" w:sz="0" w:space="0" w:color="auto"/>
        <w:right w:val="none" w:sz="0" w:space="0" w:color="auto"/>
      </w:divBdr>
    </w:div>
    <w:div w:id="464853666">
      <w:bodyDiv w:val="1"/>
      <w:marLeft w:val="0"/>
      <w:marRight w:val="0"/>
      <w:marTop w:val="0"/>
      <w:marBottom w:val="0"/>
      <w:divBdr>
        <w:top w:val="none" w:sz="0" w:space="0" w:color="auto"/>
        <w:left w:val="none" w:sz="0" w:space="0" w:color="auto"/>
        <w:bottom w:val="none" w:sz="0" w:space="0" w:color="auto"/>
        <w:right w:val="none" w:sz="0" w:space="0" w:color="auto"/>
      </w:divBdr>
    </w:div>
    <w:div w:id="536090490">
      <w:bodyDiv w:val="1"/>
      <w:marLeft w:val="0"/>
      <w:marRight w:val="0"/>
      <w:marTop w:val="0"/>
      <w:marBottom w:val="0"/>
      <w:divBdr>
        <w:top w:val="none" w:sz="0" w:space="0" w:color="auto"/>
        <w:left w:val="none" w:sz="0" w:space="0" w:color="auto"/>
        <w:bottom w:val="none" w:sz="0" w:space="0" w:color="auto"/>
        <w:right w:val="none" w:sz="0" w:space="0" w:color="auto"/>
      </w:divBdr>
    </w:div>
    <w:div w:id="674265244">
      <w:bodyDiv w:val="1"/>
      <w:marLeft w:val="0"/>
      <w:marRight w:val="0"/>
      <w:marTop w:val="0"/>
      <w:marBottom w:val="0"/>
      <w:divBdr>
        <w:top w:val="none" w:sz="0" w:space="0" w:color="auto"/>
        <w:left w:val="none" w:sz="0" w:space="0" w:color="auto"/>
        <w:bottom w:val="none" w:sz="0" w:space="0" w:color="auto"/>
        <w:right w:val="none" w:sz="0" w:space="0" w:color="auto"/>
      </w:divBdr>
    </w:div>
    <w:div w:id="952828535">
      <w:bodyDiv w:val="1"/>
      <w:marLeft w:val="0"/>
      <w:marRight w:val="0"/>
      <w:marTop w:val="0"/>
      <w:marBottom w:val="0"/>
      <w:divBdr>
        <w:top w:val="none" w:sz="0" w:space="0" w:color="auto"/>
        <w:left w:val="none" w:sz="0" w:space="0" w:color="auto"/>
        <w:bottom w:val="none" w:sz="0" w:space="0" w:color="auto"/>
        <w:right w:val="none" w:sz="0" w:space="0" w:color="auto"/>
      </w:divBdr>
    </w:div>
    <w:div w:id="1151360801">
      <w:bodyDiv w:val="1"/>
      <w:marLeft w:val="0"/>
      <w:marRight w:val="0"/>
      <w:marTop w:val="0"/>
      <w:marBottom w:val="0"/>
      <w:divBdr>
        <w:top w:val="none" w:sz="0" w:space="0" w:color="auto"/>
        <w:left w:val="none" w:sz="0" w:space="0" w:color="auto"/>
        <w:bottom w:val="none" w:sz="0" w:space="0" w:color="auto"/>
        <w:right w:val="none" w:sz="0" w:space="0" w:color="auto"/>
      </w:divBdr>
    </w:div>
    <w:div w:id="1290167793">
      <w:bodyDiv w:val="1"/>
      <w:marLeft w:val="0"/>
      <w:marRight w:val="0"/>
      <w:marTop w:val="0"/>
      <w:marBottom w:val="0"/>
      <w:divBdr>
        <w:top w:val="none" w:sz="0" w:space="0" w:color="auto"/>
        <w:left w:val="none" w:sz="0" w:space="0" w:color="auto"/>
        <w:bottom w:val="none" w:sz="0" w:space="0" w:color="auto"/>
        <w:right w:val="none" w:sz="0" w:space="0" w:color="auto"/>
      </w:divBdr>
    </w:div>
    <w:div w:id="1621641348">
      <w:bodyDiv w:val="1"/>
      <w:marLeft w:val="0"/>
      <w:marRight w:val="0"/>
      <w:marTop w:val="0"/>
      <w:marBottom w:val="0"/>
      <w:divBdr>
        <w:top w:val="none" w:sz="0" w:space="0" w:color="auto"/>
        <w:left w:val="none" w:sz="0" w:space="0" w:color="auto"/>
        <w:bottom w:val="none" w:sz="0" w:space="0" w:color="auto"/>
        <w:right w:val="none" w:sz="0" w:space="0" w:color="auto"/>
      </w:divBdr>
    </w:div>
    <w:div w:id="1701394004">
      <w:bodyDiv w:val="1"/>
      <w:marLeft w:val="0"/>
      <w:marRight w:val="0"/>
      <w:marTop w:val="0"/>
      <w:marBottom w:val="0"/>
      <w:divBdr>
        <w:top w:val="none" w:sz="0" w:space="0" w:color="auto"/>
        <w:left w:val="none" w:sz="0" w:space="0" w:color="auto"/>
        <w:bottom w:val="none" w:sz="0" w:space="0" w:color="auto"/>
        <w:right w:val="none" w:sz="0" w:space="0" w:color="auto"/>
      </w:divBdr>
    </w:div>
    <w:div w:id="1772318012">
      <w:bodyDiv w:val="1"/>
      <w:marLeft w:val="0"/>
      <w:marRight w:val="0"/>
      <w:marTop w:val="0"/>
      <w:marBottom w:val="0"/>
      <w:divBdr>
        <w:top w:val="none" w:sz="0" w:space="0" w:color="auto"/>
        <w:left w:val="none" w:sz="0" w:space="0" w:color="auto"/>
        <w:bottom w:val="none" w:sz="0" w:space="0" w:color="auto"/>
        <w:right w:val="none" w:sz="0" w:space="0" w:color="auto"/>
      </w:divBdr>
    </w:div>
    <w:div w:id="1948465599">
      <w:bodyDiv w:val="1"/>
      <w:marLeft w:val="0"/>
      <w:marRight w:val="0"/>
      <w:marTop w:val="0"/>
      <w:marBottom w:val="0"/>
      <w:divBdr>
        <w:top w:val="none" w:sz="0" w:space="0" w:color="auto"/>
        <w:left w:val="none" w:sz="0" w:space="0" w:color="auto"/>
        <w:bottom w:val="none" w:sz="0" w:space="0" w:color="auto"/>
        <w:right w:val="none" w:sz="0" w:space="0" w:color="auto"/>
      </w:divBdr>
    </w:div>
    <w:div w:id="1967160001">
      <w:bodyDiv w:val="1"/>
      <w:marLeft w:val="0"/>
      <w:marRight w:val="0"/>
      <w:marTop w:val="0"/>
      <w:marBottom w:val="0"/>
      <w:divBdr>
        <w:top w:val="none" w:sz="0" w:space="0" w:color="auto"/>
        <w:left w:val="none" w:sz="0" w:space="0" w:color="auto"/>
        <w:bottom w:val="none" w:sz="0" w:space="0" w:color="auto"/>
        <w:right w:val="none" w:sz="0" w:space="0" w:color="auto"/>
      </w:divBdr>
    </w:div>
    <w:div w:id="20340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uk/business/committees/committees-a-z/commons-select/treasury-committee/inquiries1/parliament-2015/retail-banking-market-review-16-17/" TargetMode="External"/><Relationship Id="rId2" Type="http://schemas.openxmlformats.org/officeDocument/2006/relationships/hyperlink" Target="http://www.equifax.com/assets/unitedkingdom/yougov_survey_use_of_personal_data.pdf" TargetMode="External"/><Relationship Id="rId1" Type="http://schemas.openxmlformats.org/officeDocument/2006/relationships/hyperlink" Target="https://www.openbanking.org.uk/read-write-apis/security-profile/id1-0-1/" TargetMode="External"/><Relationship Id="rId4" Type="http://schemas.openxmlformats.org/officeDocument/2006/relationships/hyperlink" Target="https://www.commbank.com.au/content/dam/commbank/about-us/download-printed-forms/CodeofBankingPractice_ADB2555_06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5D40B6ED6CFDB848BD97978D667C16D6" ma:contentTypeVersion="5775" ma:contentTypeDescription="" ma:contentTypeScope="" ma:versionID="deb3396179e3636b6a277a0977566ccd">
  <xsd:schema xmlns:xsd="http://www.w3.org/2001/XMLSchema" xmlns:xs="http://www.w3.org/2001/XMLSchema" xmlns:p="http://schemas.microsoft.com/office/2006/metadata/properties" xmlns:ns1="http://schemas.microsoft.com/sharepoint/v3" xmlns:ns2="d4dd4adf-ddb3-46a3-8d7c-fab3fb2a6bc7" targetNamespace="http://schemas.microsoft.com/office/2006/metadata/properties" ma:root="true" ma:fieldsID="4f4291c9ae7bf14a8c00ebc9abdbfd14" ns1:_="" ns2:_="">
    <xsd:import namespace="http://schemas.microsoft.com/sharepoint/v3"/>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86;#TSY RA-9191 - Retain as national archives|3cb70647-ed7c-4b4d-81eb-976586d57e3f"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dd4adf-ddb3-46a3-8d7c-fab3fb2a6bc7">
      <Value>86</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RA-9191 - Retain as national archives</TermName>
          <TermId xmlns="http://schemas.microsoft.com/office/infopath/2007/PartnerControls">3cb70647-ed7c-4b4d-81eb-976586d57e3f</TermId>
        </TermInfo>
      </Terms>
    </lb508a4dc5e84436a0fe496b536466aa>
    <_dlc_DocId xmlns="d4dd4adf-ddb3-46a3-8d7c-fab3fb2a6bc7">2017MG-154927118-29</_dlc_DocId>
    <_dlc_DocIdUrl xmlns="d4dd4adf-ddb3-46a3-8d7c-fab3fb2a6bc7">
      <Url>http://tweb/sites/mg/project/obr/_layouts/15/DocIdRedir.aspx?ID=2017MG-154927118-29</Url>
      <Description>2017MG-154927118-29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3112-C3CC-465B-8F0B-0117AE324FC1}">
  <ds:schemaRefs>
    <ds:schemaRef ds:uri="office.server.policy"/>
  </ds:schemaRefs>
</ds:datastoreItem>
</file>

<file path=customXml/itemProps2.xml><?xml version="1.0" encoding="utf-8"?>
<ds:datastoreItem xmlns:ds="http://schemas.openxmlformats.org/officeDocument/2006/customXml" ds:itemID="{C4E938F8-9C9E-4A7D-A8F8-00C493FAA788}">
  <ds:schemaRefs>
    <ds:schemaRef ds:uri="http://schemas.microsoft.com/sharepoint/events"/>
  </ds:schemaRefs>
</ds:datastoreItem>
</file>

<file path=customXml/itemProps3.xml><?xml version="1.0" encoding="utf-8"?>
<ds:datastoreItem xmlns:ds="http://schemas.openxmlformats.org/officeDocument/2006/customXml" ds:itemID="{F88B15DF-080D-4EC5-A26D-7FF08DF82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1FB94-4254-4004-8CA0-591517548862}">
  <ds:schemaRefs>
    <ds:schemaRef ds:uri="http://schemas.microsoft.com/office/2006/metadata/properties"/>
    <ds:schemaRef ds:uri="http://purl.org/dc/dcmitype/"/>
    <ds:schemaRef ds:uri="http://schemas.microsoft.com/office/2006/documentManagement/types"/>
    <ds:schemaRef ds:uri="d4dd4adf-ddb3-46a3-8d7c-fab3fb2a6bc7"/>
    <ds:schemaRef ds:uri="http://purl.org/dc/elements/1.1/"/>
    <ds:schemaRef ds:uri="http://purl.org/dc/terms/"/>
    <ds:schemaRef ds:uri="http://www.w3.org/XML/1998/namespace"/>
    <ds:schemaRef ds:uri="http://schemas.microsoft.com/sharepoint/v3"/>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B6C4EBA7-6DBD-4A20-9BA2-81BA4AA437EA}">
  <ds:schemaRefs>
    <ds:schemaRef ds:uri="http://schemas.microsoft.com/sharepoint/v3/contenttype/forms"/>
  </ds:schemaRefs>
</ds:datastoreItem>
</file>

<file path=customXml/itemProps6.xml><?xml version="1.0" encoding="utf-8"?>
<ds:datastoreItem xmlns:ds="http://schemas.openxmlformats.org/officeDocument/2006/customXml" ds:itemID="{63DBC06B-3D55-4158-A8D6-ACEC990E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4260</Words>
  <Characters>24160</Characters>
  <Application>Microsoft Office Word</Application>
  <DocSecurity>0</DocSecurity>
  <Lines>405</Lines>
  <Paragraphs>134</Paragraphs>
  <ScaleCrop>false</ScaleCrop>
  <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Bank of Australia - Review into open banking in Australia - Issues Paper</dc:title>
  <dc:creator/>
  <cp:lastModifiedBy/>
  <cp:revision>1</cp:revision>
  <dcterms:created xsi:type="dcterms:W3CDTF">2017-09-29T02:26:00Z</dcterms:created>
  <dcterms:modified xsi:type="dcterms:W3CDTF">2017-09-29T02:26:00Z</dcterms:modified>
  <dc:language>English</dc:language>
</cp:coreProperties>
</file>