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6E6BB" w14:textId="77777777" w:rsidR="00F70A9F" w:rsidRPr="00356CBD" w:rsidRDefault="00F70A9F" w:rsidP="00F70A9F">
      <w:pPr>
        <w:pStyle w:val="CoverInfoNote"/>
      </w:pPr>
      <w:bookmarkStart w:id="0" w:name="_GoBack"/>
      <w:bookmarkEnd w:id="0"/>
      <w:r w:rsidRPr="00356CBD">
        <w:t>INFORMATION NOTE</w:t>
      </w:r>
    </w:p>
    <w:p w14:paraId="7B3E6D18" w14:textId="77777777" w:rsidR="00647301" w:rsidRPr="00356CBD" w:rsidRDefault="00647301" w:rsidP="00647301">
      <w:pPr>
        <w:pStyle w:val="Heading1"/>
      </w:pPr>
      <w:r w:rsidRPr="00356CBD">
        <w:t>Treasury Laws Amendment (Design and Distribution Obligations and Product Intervention Power) Bill 2018</w:t>
      </w:r>
    </w:p>
    <w:p w14:paraId="24EC37C4" w14:textId="77777777" w:rsidR="00BD6AFF" w:rsidRPr="00356CBD" w:rsidRDefault="00647301" w:rsidP="00F70A9F">
      <w:pPr>
        <w:pStyle w:val="Introtext"/>
      </w:pPr>
      <w:r w:rsidRPr="00356CBD">
        <w:t>Exposure Draft – July 2018</w:t>
      </w:r>
    </w:p>
    <w:p w14:paraId="15243266" w14:textId="6FC5F396" w:rsidR="00647301" w:rsidRDefault="00647301" w:rsidP="00647301">
      <w:pPr>
        <w:pStyle w:val="Introtext"/>
      </w:pPr>
      <w:r w:rsidRPr="00356CBD">
        <w:t xml:space="preserve">Following careful consideration of the submissions received in respect of the exposure draft legislation released in December 2017, the Government has released a second exposure draft for consultation. To facilitate submissions, this information note provides a summary of key </w:t>
      </w:r>
      <w:r w:rsidR="007D1F42" w:rsidRPr="00356CBD">
        <w:t xml:space="preserve">policy </w:t>
      </w:r>
      <w:r w:rsidRPr="00356CBD">
        <w:t>changes made in response to these considerations.</w:t>
      </w:r>
    </w:p>
    <w:p w14:paraId="1B563047" w14:textId="717C4325" w:rsidR="00FB659D" w:rsidRPr="00356CBD" w:rsidRDefault="00FB659D" w:rsidP="00647301">
      <w:pPr>
        <w:pStyle w:val="Introtext"/>
      </w:pPr>
      <w:r>
        <w:t xml:space="preserve">All references are to the </w:t>
      </w:r>
      <w:r>
        <w:rPr>
          <w:i/>
        </w:rPr>
        <w:t>Corporations Act 2001</w:t>
      </w:r>
      <w:r>
        <w:t>, unless otherwise specified.</w:t>
      </w:r>
    </w:p>
    <w:p w14:paraId="28AE1E84" w14:textId="77777777" w:rsidR="00F70A9F" w:rsidRPr="00356CBD" w:rsidRDefault="00F70A9F" w:rsidP="00F70A9F"/>
    <w:p w14:paraId="3AD56EEB" w14:textId="77777777" w:rsidR="00F70A9F" w:rsidRPr="00356CBD" w:rsidRDefault="00F70A9F" w:rsidP="00F70A9F">
      <w:pPr>
        <w:sectPr w:rsidR="00F70A9F" w:rsidRPr="00356CBD" w:rsidSect="00AE3001">
          <w:headerReference w:type="even" r:id="rId15"/>
          <w:headerReference w:type="default" r:id="rId16"/>
          <w:footerReference w:type="even" r:id="rId17"/>
          <w:footerReference w:type="default" r:id="rId18"/>
          <w:headerReference w:type="first" r:id="rId19"/>
          <w:footerReference w:type="first" r:id="rId20"/>
          <w:pgSz w:w="11906" w:h="16838"/>
          <w:pgMar w:top="5670" w:right="851" w:bottom="1134" w:left="851" w:header="709" w:footer="283" w:gutter="0"/>
          <w:cols w:space="708"/>
          <w:docGrid w:linePitch="360"/>
        </w:sectPr>
      </w:pPr>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552"/>
        <w:gridCol w:w="7654"/>
      </w:tblGrid>
      <w:tr w:rsidR="00876992" w:rsidRPr="00356CBD" w14:paraId="70E0B68F" w14:textId="77777777" w:rsidTr="00E62E88">
        <w:tc>
          <w:tcPr>
            <w:tcW w:w="10206" w:type="dxa"/>
            <w:gridSpan w:val="2"/>
          </w:tcPr>
          <w:p w14:paraId="290CF35B" w14:textId="77777777" w:rsidR="00876992" w:rsidRPr="00356CBD" w:rsidRDefault="00876992" w:rsidP="000B3EE6">
            <w:pPr>
              <w:pStyle w:val="Heading2"/>
              <w:spacing w:before="120"/>
            </w:pPr>
            <w:r w:rsidRPr="00356CBD">
              <w:lastRenderedPageBreak/>
              <w:t>Design and Distribution Obligations and Product Intervention Power</w:t>
            </w:r>
          </w:p>
        </w:tc>
      </w:tr>
      <w:tr w:rsidR="00647301" w:rsidRPr="00356CBD" w14:paraId="609389EC" w14:textId="77777777" w:rsidTr="00E62E88">
        <w:tc>
          <w:tcPr>
            <w:tcW w:w="10206" w:type="dxa"/>
            <w:gridSpan w:val="2"/>
          </w:tcPr>
          <w:p w14:paraId="77C8773E" w14:textId="3492C942" w:rsidR="00647301" w:rsidRPr="00356CBD" w:rsidRDefault="00647301" w:rsidP="00876992">
            <w:pPr>
              <w:pStyle w:val="Heading2"/>
            </w:pPr>
            <w:r w:rsidRPr="00356CBD">
              <w:t>Coverage</w:t>
            </w:r>
            <w:r w:rsidR="00061DA2" w:rsidRPr="00356CBD">
              <w:t xml:space="preserve"> of Design and Distribution Obligations and Product Intervention Power</w:t>
            </w:r>
          </w:p>
        </w:tc>
      </w:tr>
      <w:tr w:rsidR="002B44F8" w:rsidRPr="00356CBD" w14:paraId="10CE1D7B" w14:textId="77777777" w:rsidTr="00E62E88">
        <w:tc>
          <w:tcPr>
            <w:tcW w:w="2552" w:type="dxa"/>
          </w:tcPr>
          <w:p w14:paraId="171EFB14" w14:textId="6576085C" w:rsidR="00F70A9F" w:rsidRPr="00356CBD" w:rsidRDefault="003749BB" w:rsidP="00060779">
            <w:pPr>
              <w:pStyle w:val="Subtitle"/>
              <w:jc w:val="left"/>
            </w:pPr>
            <w:r w:rsidRPr="00356CBD">
              <w:t xml:space="preserve">Schedule </w:t>
            </w:r>
            <w:r w:rsidR="001B535E">
              <w:t>2</w:t>
            </w:r>
            <w:r w:rsidRPr="00356CBD">
              <w:t>, s</w:t>
            </w:r>
            <w:r w:rsidR="00647301" w:rsidRPr="00356CBD">
              <w:t>ubsections 764A(3</w:t>
            </w:r>
            <w:r w:rsidR="00647301">
              <w:t>)</w:t>
            </w:r>
            <w:r w:rsidR="001B535E">
              <w:t>,</w:t>
            </w:r>
            <w:r w:rsidR="00647301" w:rsidRPr="00356CBD">
              <w:t xml:space="preserve"> </w:t>
            </w:r>
            <w:r w:rsidR="001B535E">
              <w:t xml:space="preserve">subsections </w:t>
            </w:r>
            <w:r w:rsidR="00647301" w:rsidRPr="00356CBD">
              <w:t>765A(3)</w:t>
            </w:r>
            <w:r w:rsidR="001B535E">
              <w:t xml:space="preserve"> and (4)</w:t>
            </w:r>
          </w:p>
        </w:tc>
        <w:tc>
          <w:tcPr>
            <w:tcW w:w="7654" w:type="dxa"/>
          </w:tcPr>
          <w:p w14:paraId="219675B4" w14:textId="6FD92BD3" w:rsidR="00651052" w:rsidRPr="00356CBD" w:rsidRDefault="00060779" w:rsidP="00B645E8">
            <w:pPr>
              <w:pStyle w:val="Bullet"/>
              <w:numPr>
                <w:ilvl w:val="0"/>
                <w:numId w:val="0"/>
              </w:numPr>
              <w:ind w:hanging="24"/>
            </w:pPr>
            <w:r w:rsidRPr="00356CBD">
              <w:t xml:space="preserve">These provisions have been added </w:t>
            </w:r>
            <w:r w:rsidR="00647301" w:rsidRPr="00356CBD">
              <w:t>to allow the regimes to cover additional</w:t>
            </w:r>
            <w:r w:rsidR="00E454A1">
              <w:t xml:space="preserve"> products</w:t>
            </w:r>
            <w:r w:rsidR="00BE5534" w:rsidRPr="003E5464">
              <w:t xml:space="preserve"> or exclude</w:t>
            </w:r>
            <w:r w:rsidR="00647301" w:rsidRPr="00356CBD">
              <w:t xml:space="preserve"> products</w:t>
            </w:r>
            <w:r w:rsidR="00A86699" w:rsidRPr="00356CBD">
              <w:t>.</w:t>
            </w:r>
            <w:r w:rsidR="00A86699" w:rsidRPr="00356CBD" w:rsidDel="00BE5534">
              <w:t xml:space="preserve"> </w:t>
            </w:r>
            <w:r w:rsidR="00BE5534" w:rsidRPr="00356CBD">
              <w:t xml:space="preserve">In particular, the </w:t>
            </w:r>
            <w:r w:rsidR="00A86699" w:rsidRPr="00356CBD">
              <w:t xml:space="preserve">provision </w:t>
            </w:r>
            <w:r w:rsidR="00BE5534" w:rsidRPr="00356CBD">
              <w:t xml:space="preserve">that allows the coverage of additional products </w:t>
            </w:r>
            <w:r w:rsidR="0008646B" w:rsidRPr="00356CBD">
              <w:t xml:space="preserve">will </w:t>
            </w:r>
            <w:r w:rsidR="00A86699" w:rsidRPr="00356CBD">
              <w:t xml:space="preserve">allow the Government to act </w:t>
            </w:r>
            <w:r w:rsidR="0008646B" w:rsidRPr="00356CBD">
              <w:t xml:space="preserve">if </w:t>
            </w:r>
            <w:r w:rsidR="00A86699" w:rsidRPr="00356CBD">
              <w:t>a financial product is not currently regulated</w:t>
            </w:r>
            <w:r w:rsidR="00FC212B" w:rsidRPr="00356CBD">
              <w:t xml:space="preserve"> </w:t>
            </w:r>
            <w:r w:rsidR="00A86699" w:rsidRPr="00356CBD">
              <w:t xml:space="preserve">under the </w:t>
            </w:r>
            <w:r w:rsidR="00A86699" w:rsidRPr="00356CBD">
              <w:rPr>
                <w:i/>
              </w:rPr>
              <w:t xml:space="preserve">Corporations Act </w:t>
            </w:r>
            <w:r w:rsidR="00A86699" w:rsidRPr="00FB659D">
              <w:rPr>
                <w:i/>
              </w:rPr>
              <w:t>2001</w:t>
            </w:r>
            <w:r w:rsidR="00FB659D">
              <w:rPr>
                <w:i/>
              </w:rPr>
              <w:t xml:space="preserve"> </w:t>
            </w:r>
            <w:r w:rsidRPr="00FB659D">
              <w:t xml:space="preserve">but </w:t>
            </w:r>
            <w:r w:rsidR="00A86699" w:rsidRPr="00FB659D">
              <w:t>is</w:t>
            </w:r>
            <w:r w:rsidR="00625093">
              <w:t xml:space="preserve"> causing</w:t>
            </w:r>
            <w:r w:rsidR="00647301" w:rsidRPr="00356CBD">
              <w:t>, will</w:t>
            </w:r>
            <w:r w:rsidR="00625093">
              <w:t xml:space="preserve"> cause,</w:t>
            </w:r>
            <w:r w:rsidR="00647301" w:rsidRPr="00356CBD">
              <w:t xml:space="preserve"> or </w:t>
            </w:r>
            <w:r w:rsidR="00A86699" w:rsidRPr="00356CBD">
              <w:t xml:space="preserve">is </w:t>
            </w:r>
            <w:r w:rsidR="00647301" w:rsidRPr="00356CBD">
              <w:t>likely to cause significant consumer detriment</w:t>
            </w:r>
            <w:r w:rsidRPr="00356CBD">
              <w:t>.</w:t>
            </w:r>
            <w:r w:rsidR="00BE5534" w:rsidRPr="00356CBD">
              <w:t xml:space="preserve"> </w:t>
            </w:r>
          </w:p>
          <w:p w14:paraId="0880B85D" w14:textId="482D4CD1" w:rsidR="00F970B8" w:rsidRPr="00356CBD" w:rsidRDefault="001715E1" w:rsidP="00B645E8">
            <w:pPr>
              <w:pStyle w:val="Bullet"/>
              <w:numPr>
                <w:ilvl w:val="0"/>
                <w:numId w:val="0"/>
              </w:numPr>
              <w:ind w:left="3" w:hanging="3"/>
            </w:pPr>
            <w:r>
              <w:t>At this stage, the Government is considering</w:t>
            </w:r>
            <w:r w:rsidR="001B535E">
              <w:t xml:space="preserve"> using the regulation-making power to allow ASIC to</w:t>
            </w:r>
            <w:r w:rsidR="00AC36F4">
              <w:t xml:space="preserve"> </w:t>
            </w:r>
            <w:r w:rsidR="001B535E" w:rsidRPr="00AE3001">
              <w:t>use the product intervention power with respect t</w:t>
            </w:r>
            <w:r w:rsidR="001B535E">
              <w:t>o:</w:t>
            </w:r>
          </w:p>
          <w:p w14:paraId="44D80898" w14:textId="33BBFA78" w:rsidR="00F970B8" w:rsidRPr="00356CBD" w:rsidRDefault="00F970B8" w:rsidP="00E454A1">
            <w:pPr>
              <w:pStyle w:val="Bullet"/>
            </w:pPr>
            <w:r w:rsidRPr="00356CBD">
              <w:t>funeral expenses insurance;</w:t>
            </w:r>
          </w:p>
          <w:p w14:paraId="2DC2636E" w14:textId="77777777" w:rsidR="00F970B8" w:rsidRPr="00356CBD" w:rsidRDefault="00F970B8" w:rsidP="00E454A1">
            <w:pPr>
              <w:pStyle w:val="Bullet"/>
            </w:pPr>
            <w:r w:rsidRPr="00356CBD">
              <w:t>certain extended warranties that are functionally equivalent to add-on insurance; and</w:t>
            </w:r>
          </w:p>
          <w:p w14:paraId="1A92E7AA" w14:textId="3E01223E" w:rsidR="00F970B8" w:rsidRPr="00356CBD" w:rsidRDefault="00F970B8" w:rsidP="00FB659D">
            <w:pPr>
              <w:pStyle w:val="Bullet"/>
            </w:pPr>
            <w:r w:rsidRPr="00356CBD">
              <w:t xml:space="preserve">short-term credit that is not regulated under the </w:t>
            </w:r>
            <w:r w:rsidRPr="00356CBD">
              <w:rPr>
                <w:i/>
              </w:rPr>
              <w:t xml:space="preserve">National Consumer Credit Protection Act </w:t>
            </w:r>
            <w:r w:rsidRPr="00FB659D">
              <w:rPr>
                <w:i/>
              </w:rPr>
              <w:t>2009</w:t>
            </w:r>
            <w:r w:rsidR="00625093" w:rsidRPr="00FB659D">
              <w:rPr>
                <w:i/>
              </w:rPr>
              <w:t xml:space="preserve"> </w:t>
            </w:r>
            <w:r w:rsidR="00625093" w:rsidRPr="00FB659D">
              <w:t>(</w:t>
            </w:r>
            <w:r w:rsidR="00FB659D">
              <w:t>‘Credit Act’</w:t>
            </w:r>
            <w:r w:rsidR="00625093" w:rsidRPr="00FB659D">
              <w:t>)</w:t>
            </w:r>
            <w:r w:rsidRPr="00FB659D">
              <w:t>.</w:t>
            </w:r>
          </w:p>
        </w:tc>
      </w:tr>
      <w:tr w:rsidR="002B44F8" w:rsidRPr="00356CBD" w14:paraId="5D7482F7" w14:textId="77777777" w:rsidTr="00E62E88">
        <w:tc>
          <w:tcPr>
            <w:tcW w:w="2552" w:type="dxa"/>
          </w:tcPr>
          <w:p w14:paraId="4E4DBE6A" w14:textId="7B265B3E" w:rsidR="00647301" w:rsidRPr="00356CBD" w:rsidRDefault="003749BB" w:rsidP="00900A42">
            <w:pPr>
              <w:pStyle w:val="Subtitle"/>
              <w:jc w:val="left"/>
            </w:pPr>
            <w:r w:rsidRPr="00646179">
              <w:t>Schedule 1, p</w:t>
            </w:r>
            <w:r w:rsidR="00647301" w:rsidRPr="00646179">
              <w:t>aragraph 994B(</w:t>
            </w:r>
            <w:r w:rsidR="00900A42" w:rsidRPr="00646179">
              <w:t>3</w:t>
            </w:r>
            <w:r w:rsidR="00647301" w:rsidRPr="00646179">
              <w:t>)(d)</w:t>
            </w:r>
          </w:p>
        </w:tc>
        <w:tc>
          <w:tcPr>
            <w:tcW w:w="7654" w:type="dxa"/>
          </w:tcPr>
          <w:p w14:paraId="178ED455" w14:textId="54BA059D" w:rsidR="00647301" w:rsidRPr="00356CBD" w:rsidRDefault="00A86699" w:rsidP="00805F63">
            <w:r w:rsidRPr="00356CBD">
              <w:t>This provision has been amended</w:t>
            </w:r>
            <w:r w:rsidR="00060779" w:rsidRPr="00356CBD">
              <w:t xml:space="preserve"> </w:t>
            </w:r>
            <w:r w:rsidR="00805F63" w:rsidRPr="00356CBD">
              <w:t xml:space="preserve">so </w:t>
            </w:r>
            <w:r w:rsidR="00060779" w:rsidRPr="00356CBD">
              <w:t xml:space="preserve">that the design and distribution obligations do not apply to </w:t>
            </w:r>
            <w:r w:rsidR="000967A1" w:rsidRPr="00356CBD">
              <w:t xml:space="preserve">fully paid </w:t>
            </w:r>
            <w:r w:rsidR="00060779" w:rsidRPr="00356CBD">
              <w:t>foreign ordinary shares, but applies to unpaid ordinary shares.</w:t>
            </w:r>
          </w:p>
        </w:tc>
      </w:tr>
      <w:tr w:rsidR="002B44F8" w:rsidRPr="00356CBD" w14:paraId="149BF6F3" w14:textId="77777777" w:rsidTr="00E62E88">
        <w:tc>
          <w:tcPr>
            <w:tcW w:w="2552" w:type="dxa"/>
          </w:tcPr>
          <w:p w14:paraId="59D11F83" w14:textId="007606EA" w:rsidR="00647301" w:rsidRPr="00356CBD" w:rsidRDefault="003749BB" w:rsidP="00341ADD">
            <w:pPr>
              <w:pStyle w:val="Subtitle"/>
              <w:jc w:val="left"/>
            </w:pPr>
            <w:r w:rsidRPr="00356CBD">
              <w:t>Schedule 1, s</w:t>
            </w:r>
            <w:r w:rsidR="00060779" w:rsidRPr="00356CBD">
              <w:t>ubsection 994B(4)</w:t>
            </w:r>
          </w:p>
        </w:tc>
        <w:tc>
          <w:tcPr>
            <w:tcW w:w="7654" w:type="dxa"/>
          </w:tcPr>
          <w:p w14:paraId="46B2C001" w14:textId="77777777" w:rsidR="00647301" w:rsidRPr="00356CBD" w:rsidRDefault="00060779" w:rsidP="00060779">
            <w:r w:rsidRPr="00356CBD">
              <w:t>This provision has been amended so that the design and distribution obligations do not apply to ordinary shares that are convertible to preference shares, as long as there is no intention to convert those shares within 12 months of the date of issue of those shares.</w:t>
            </w:r>
          </w:p>
          <w:p w14:paraId="527CB0EB" w14:textId="177B1D9C" w:rsidR="00060779" w:rsidRPr="00356CBD" w:rsidRDefault="00060779" w:rsidP="00BE5534">
            <w:r w:rsidRPr="00356CBD">
              <w:t>This</w:t>
            </w:r>
            <w:r w:rsidRPr="00356CBD" w:rsidDel="00BE5534">
              <w:t xml:space="preserve"> </w:t>
            </w:r>
            <w:r w:rsidR="00BE5534" w:rsidRPr="00356CBD">
              <w:t xml:space="preserve">anti-avoidance mechanism </w:t>
            </w:r>
            <w:r w:rsidRPr="00356CBD">
              <w:t xml:space="preserve">is based on </w:t>
            </w:r>
            <w:r w:rsidR="001E74E6" w:rsidRPr="00356CBD">
              <w:t xml:space="preserve">other provisions </w:t>
            </w:r>
            <w:r w:rsidRPr="00356CBD">
              <w:t xml:space="preserve">of the </w:t>
            </w:r>
            <w:r w:rsidRPr="00356CBD">
              <w:rPr>
                <w:i/>
              </w:rPr>
              <w:t>Corporations Act 2001</w:t>
            </w:r>
            <w:r w:rsidRPr="00356CBD">
              <w:t>.</w:t>
            </w:r>
          </w:p>
        </w:tc>
      </w:tr>
      <w:tr w:rsidR="000B3EE6" w:rsidRPr="00356CBD" w14:paraId="47A65993" w14:textId="77777777" w:rsidTr="00E62E88">
        <w:tc>
          <w:tcPr>
            <w:tcW w:w="10206" w:type="dxa"/>
            <w:gridSpan w:val="2"/>
          </w:tcPr>
          <w:p w14:paraId="42E78A02" w14:textId="24C8560D" w:rsidR="000B3EE6" w:rsidRPr="00FB659D" w:rsidRDefault="000B3EE6" w:rsidP="000B3EE6">
            <w:pPr>
              <w:pStyle w:val="Heading2"/>
            </w:pPr>
            <w:r w:rsidRPr="00FB659D">
              <w:t>Product Intervention Power</w:t>
            </w:r>
          </w:p>
        </w:tc>
      </w:tr>
      <w:tr w:rsidR="002B44F8" w:rsidRPr="00356CBD" w14:paraId="2D4C0C76" w14:textId="77777777" w:rsidTr="00E62E88">
        <w:tc>
          <w:tcPr>
            <w:tcW w:w="2552" w:type="dxa"/>
          </w:tcPr>
          <w:p w14:paraId="53C736FD" w14:textId="106F8010" w:rsidR="000B3EE6" w:rsidRPr="00FB659D" w:rsidRDefault="00DD6B98" w:rsidP="00FB659D">
            <w:pPr>
              <w:pStyle w:val="Subtitle"/>
              <w:jc w:val="left"/>
            </w:pPr>
            <w:r w:rsidRPr="00FB659D">
              <w:t xml:space="preserve">Schedule 2, section </w:t>
            </w:r>
            <w:r w:rsidR="00FC212B" w:rsidRPr="00FB659D">
              <w:t>1023N</w:t>
            </w:r>
            <w:r w:rsidR="00944E8F" w:rsidRPr="00FB659D">
              <w:t xml:space="preserve"> and </w:t>
            </w:r>
            <w:r w:rsidR="007B0557" w:rsidRPr="00FB659D">
              <w:t xml:space="preserve">section </w:t>
            </w:r>
            <w:r w:rsidR="00944E8F" w:rsidRPr="00FB659D">
              <w:t>301N</w:t>
            </w:r>
            <w:r w:rsidR="00FB659D" w:rsidRPr="00FB659D">
              <w:t xml:space="preserve"> of the Credit Act</w:t>
            </w:r>
          </w:p>
        </w:tc>
        <w:tc>
          <w:tcPr>
            <w:tcW w:w="7654" w:type="dxa"/>
          </w:tcPr>
          <w:p w14:paraId="1C9578E8" w14:textId="1BE41099" w:rsidR="000B3EE6" w:rsidRPr="00FB659D" w:rsidRDefault="00FB659D" w:rsidP="00341ADD">
            <w:r w:rsidRPr="00FB659D">
              <w:t>The</w:t>
            </w:r>
            <w:r w:rsidR="00FC212B" w:rsidRPr="00FB659D">
              <w:t>s</w:t>
            </w:r>
            <w:r w:rsidRPr="00FB659D">
              <w:t>e</w:t>
            </w:r>
            <w:r w:rsidR="00FC212B" w:rsidRPr="00FB659D">
              <w:t xml:space="preserve"> provision</w:t>
            </w:r>
            <w:r w:rsidRPr="00FB659D">
              <w:t>s have</w:t>
            </w:r>
            <w:r w:rsidR="00FC212B" w:rsidRPr="00FB659D">
              <w:t xml:space="preserve"> been amended so that a person subject to an intervention order only has to take ‘reasonable steps’ to notify retail clients of the order.</w:t>
            </w:r>
          </w:p>
        </w:tc>
      </w:tr>
      <w:tr w:rsidR="00901E1F" w:rsidRPr="00356CBD" w14:paraId="22D1B341" w14:textId="77777777" w:rsidTr="00E62E88">
        <w:tc>
          <w:tcPr>
            <w:tcW w:w="10206" w:type="dxa"/>
            <w:gridSpan w:val="2"/>
          </w:tcPr>
          <w:p w14:paraId="3E5D7802" w14:textId="77777777" w:rsidR="00901E1F" w:rsidRPr="00356CBD" w:rsidRDefault="00901E1F">
            <w:pPr>
              <w:pStyle w:val="Heading2"/>
            </w:pPr>
            <w:r w:rsidRPr="00356CBD">
              <w:t>Design and Distribution Obligations</w:t>
            </w:r>
          </w:p>
        </w:tc>
      </w:tr>
      <w:tr w:rsidR="00901E1F" w:rsidRPr="00356CBD" w14:paraId="7DDAC43A" w14:textId="77777777" w:rsidTr="00E62E88">
        <w:trPr>
          <w:trHeight w:val="280"/>
        </w:trPr>
        <w:tc>
          <w:tcPr>
            <w:tcW w:w="10206" w:type="dxa"/>
            <w:gridSpan w:val="2"/>
          </w:tcPr>
          <w:p w14:paraId="61D685E0" w14:textId="77777777" w:rsidR="00901E1F" w:rsidRPr="00356CBD" w:rsidRDefault="00901E1F">
            <w:pPr>
              <w:pStyle w:val="Heading2"/>
            </w:pPr>
            <w:r w:rsidRPr="00356CBD">
              <w:t>Issuer Obligations – Making a Target Market Determination</w:t>
            </w:r>
          </w:p>
        </w:tc>
      </w:tr>
      <w:tr w:rsidR="002B44F8" w:rsidRPr="00356CBD" w14:paraId="44BB463E" w14:textId="77777777" w:rsidTr="00E62E88">
        <w:trPr>
          <w:trHeight w:val="1090"/>
        </w:trPr>
        <w:tc>
          <w:tcPr>
            <w:tcW w:w="2552" w:type="dxa"/>
          </w:tcPr>
          <w:p w14:paraId="4CA6EDD0" w14:textId="72B9C6D6" w:rsidR="00901E1F" w:rsidRPr="00356CBD" w:rsidRDefault="00901E1F" w:rsidP="00C86231">
            <w:pPr>
              <w:pStyle w:val="Subtitle"/>
              <w:jc w:val="left"/>
            </w:pPr>
            <w:r w:rsidRPr="00356CBD">
              <w:t>Schedule 1, paragraph 994B(</w:t>
            </w:r>
            <w:r w:rsidR="00C86231" w:rsidRPr="00356CBD">
              <w:t>8</w:t>
            </w:r>
            <w:r w:rsidRPr="00356CBD">
              <w:t>)(a)</w:t>
            </w:r>
          </w:p>
        </w:tc>
        <w:tc>
          <w:tcPr>
            <w:tcW w:w="7654" w:type="dxa"/>
          </w:tcPr>
          <w:p w14:paraId="3AFE316F" w14:textId="6B3F01C6" w:rsidR="00901E1F" w:rsidRPr="00356CBD" w:rsidRDefault="00901E1F" w:rsidP="00A45ACC">
            <w:r w:rsidRPr="00356CBD">
              <w:t>This provision has been added to clarify that the distribution conditions identified in a target market determination must be such that if followed, they would likely result in the product being distributed to the target market</w:t>
            </w:r>
            <w:r w:rsidR="00A45ACC">
              <w:t xml:space="preserve"> only</w:t>
            </w:r>
            <w:r w:rsidRPr="00356CBD">
              <w:t>.</w:t>
            </w:r>
          </w:p>
        </w:tc>
      </w:tr>
      <w:tr w:rsidR="002B44F8" w:rsidRPr="00356CBD" w14:paraId="3F6A2099" w14:textId="77777777" w:rsidTr="00E62E88">
        <w:tc>
          <w:tcPr>
            <w:tcW w:w="2552" w:type="dxa"/>
          </w:tcPr>
          <w:p w14:paraId="5F8286F9" w14:textId="22370EC7" w:rsidR="00901E1F" w:rsidRPr="00356CBD" w:rsidRDefault="00901E1F" w:rsidP="00C86231">
            <w:pPr>
              <w:pStyle w:val="Subtitle"/>
              <w:jc w:val="left"/>
            </w:pPr>
            <w:r w:rsidRPr="00356CBD">
              <w:t>Schedule 1, paragraph 994B(</w:t>
            </w:r>
            <w:r w:rsidR="00C86231" w:rsidRPr="00356CBD">
              <w:t>8</w:t>
            </w:r>
            <w:r w:rsidRPr="00356CBD">
              <w:t>)(b)</w:t>
            </w:r>
          </w:p>
        </w:tc>
        <w:tc>
          <w:tcPr>
            <w:tcW w:w="7654" w:type="dxa"/>
          </w:tcPr>
          <w:p w14:paraId="2D80DF1E" w14:textId="2B462227" w:rsidR="00901E1F" w:rsidRPr="00356CBD" w:rsidRDefault="00901E1F" w:rsidP="00060779">
            <w:r w:rsidRPr="00356CBD">
              <w:t xml:space="preserve">This provision has been amended to clarify that a </w:t>
            </w:r>
            <w:r w:rsidR="00FB659D">
              <w:t>financial product</w:t>
            </w:r>
            <w:r w:rsidRPr="00356CBD">
              <w:t xml:space="preserve"> must ‘likely be consistent with the likely objectives, financial situation and needs’ of the </w:t>
            </w:r>
            <w:r w:rsidR="00FB659D">
              <w:t xml:space="preserve">people in the </w:t>
            </w:r>
            <w:r w:rsidRPr="00356CBD">
              <w:t>target market.</w:t>
            </w:r>
          </w:p>
          <w:p w14:paraId="43FC4183" w14:textId="00133AFD" w:rsidR="00901E1F" w:rsidRPr="00356CBD" w:rsidRDefault="00901E1F" w:rsidP="0086751A">
            <w:r w:rsidRPr="00356CBD">
              <w:t>This provision has been amended to address concerns that the previous provision required a financial product to meet ‘all’</w:t>
            </w:r>
            <w:r w:rsidRPr="00356CBD">
              <w:rPr>
                <w:i/>
              </w:rPr>
              <w:t xml:space="preserve"> </w:t>
            </w:r>
            <w:r w:rsidRPr="00356CBD">
              <w:t xml:space="preserve">of the objectives, financial situation and needs of the target market and issuers to know individual customers. </w:t>
            </w:r>
          </w:p>
        </w:tc>
      </w:tr>
      <w:tr w:rsidR="002B44F8" w:rsidRPr="00356CBD" w14:paraId="574B607C" w14:textId="77777777" w:rsidTr="00E62E88">
        <w:tc>
          <w:tcPr>
            <w:tcW w:w="2552" w:type="dxa"/>
          </w:tcPr>
          <w:p w14:paraId="7AF07304" w14:textId="66E8D0AB" w:rsidR="00901E1F" w:rsidRPr="00356CBD" w:rsidRDefault="00901E1F" w:rsidP="00FB659D">
            <w:pPr>
              <w:pStyle w:val="Subtitle"/>
              <w:jc w:val="left"/>
            </w:pPr>
            <w:r w:rsidRPr="00356CBD">
              <w:t xml:space="preserve">Schedule 1, </w:t>
            </w:r>
            <w:r w:rsidR="00FB659D">
              <w:lastRenderedPageBreak/>
              <w:t>subsection </w:t>
            </w:r>
            <w:r w:rsidRPr="00356CBD">
              <w:t>994B(9)</w:t>
            </w:r>
          </w:p>
        </w:tc>
        <w:tc>
          <w:tcPr>
            <w:tcW w:w="7654" w:type="dxa"/>
          </w:tcPr>
          <w:p w14:paraId="4972E1C0" w14:textId="6FC4DD4A" w:rsidR="00901E1F" w:rsidRPr="00356CBD" w:rsidRDefault="00901E1F" w:rsidP="0011318E">
            <w:r w:rsidRPr="00356CBD">
              <w:lastRenderedPageBreak/>
              <w:t xml:space="preserve">This provision has been added to require issuers to make target market determinations </w:t>
            </w:r>
            <w:r w:rsidRPr="00356CBD">
              <w:lastRenderedPageBreak/>
              <w:t>available to the public free of charge.</w:t>
            </w:r>
          </w:p>
        </w:tc>
      </w:tr>
      <w:tr w:rsidR="00901E1F" w:rsidRPr="00356CBD" w14:paraId="48380753" w14:textId="77777777" w:rsidTr="00E62E88">
        <w:tc>
          <w:tcPr>
            <w:tcW w:w="10206" w:type="dxa"/>
            <w:gridSpan w:val="2"/>
          </w:tcPr>
          <w:p w14:paraId="65715789" w14:textId="77777777" w:rsidR="00901E1F" w:rsidRPr="00356CBD" w:rsidRDefault="00901E1F" w:rsidP="00876992">
            <w:pPr>
              <w:pStyle w:val="Heading2"/>
            </w:pPr>
            <w:r w:rsidRPr="00356CBD">
              <w:lastRenderedPageBreak/>
              <w:t>Distributor Obligations – Scope of Regulated Distribution Activity</w:t>
            </w:r>
          </w:p>
        </w:tc>
      </w:tr>
      <w:tr w:rsidR="002B44F8" w:rsidRPr="00356CBD" w14:paraId="0B52C7BE" w14:textId="77777777" w:rsidTr="00E62E88">
        <w:tc>
          <w:tcPr>
            <w:tcW w:w="2552" w:type="dxa"/>
          </w:tcPr>
          <w:p w14:paraId="52049BE6" w14:textId="4042A994" w:rsidR="00901E1F" w:rsidRPr="00356CBD" w:rsidRDefault="00901E1F" w:rsidP="00F80787">
            <w:pPr>
              <w:pStyle w:val="Subtitle"/>
              <w:jc w:val="left"/>
            </w:pPr>
            <w:r w:rsidRPr="00356CBD">
              <w:t xml:space="preserve">Schedule 1, </w:t>
            </w:r>
            <w:r w:rsidR="00F80787">
              <w:t>sub</w:t>
            </w:r>
            <w:r w:rsidRPr="00356CBD">
              <w:t>section</w:t>
            </w:r>
            <w:r w:rsidR="00F80787">
              <w:t> </w:t>
            </w:r>
            <w:r w:rsidRPr="00356CBD">
              <w:t>994A</w:t>
            </w:r>
            <w:r w:rsidR="00F80787">
              <w:t>(1)</w:t>
            </w:r>
            <w:r w:rsidR="00A45ACC">
              <w:t>, definitions of ‘retail product distribution conduct’ and ‘dealing’</w:t>
            </w:r>
          </w:p>
        </w:tc>
        <w:tc>
          <w:tcPr>
            <w:tcW w:w="7654" w:type="dxa"/>
          </w:tcPr>
          <w:p w14:paraId="4BC52193" w14:textId="55355095" w:rsidR="00901E1F" w:rsidRPr="00356CBD" w:rsidRDefault="00901E1F" w:rsidP="00341ADD">
            <w:r w:rsidRPr="00356CBD">
              <w:t xml:space="preserve">A new term ‘retail product distribution conduct’ has been defined and the meaning of ‘dealing’ has been narrowed. </w:t>
            </w:r>
          </w:p>
          <w:p w14:paraId="15DDA0EC" w14:textId="58706C74" w:rsidR="00901E1F" w:rsidRPr="00356CBD" w:rsidRDefault="00901E1F" w:rsidP="00341ADD">
            <w:r w:rsidRPr="00356CBD">
              <w:t>The intended effect of these definitional changes is that regulated distribution activity (that is, activity that must be consistent with target market determination</w:t>
            </w:r>
            <w:r w:rsidR="00F80787">
              <w:t>s</w:t>
            </w:r>
            <w:r w:rsidRPr="00356CBD">
              <w:t xml:space="preserve">): </w:t>
            </w:r>
          </w:p>
          <w:p w14:paraId="72733375" w14:textId="77777777" w:rsidR="00901E1F" w:rsidRPr="00356CBD" w:rsidRDefault="00901E1F" w:rsidP="00341ADD">
            <w:pPr>
              <w:pStyle w:val="Bullet"/>
            </w:pPr>
            <w:r w:rsidRPr="00356CBD">
              <w:t>includes providing disclosure documents, providing general advice and dealing;</w:t>
            </w:r>
          </w:p>
          <w:p w14:paraId="4889F269" w14:textId="3B2BCE78" w:rsidR="00901E1F" w:rsidRPr="00356CBD" w:rsidRDefault="00901E1F" w:rsidP="00341ADD">
            <w:pPr>
              <w:pStyle w:val="Bullet"/>
            </w:pPr>
            <w:r w:rsidRPr="00356CBD">
              <w:t xml:space="preserve">does not include secondary sales of financial products, or other variations </w:t>
            </w:r>
            <w:r w:rsidR="00F80787">
              <w:t xml:space="preserve">to </w:t>
            </w:r>
            <w:r w:rsidRPr="00356CBD">
              <w:t xml:space="preserve">or cancellations </w:t>
            </w:r>
            <w:r w:rsidR="00F80787">
              <w:t xml:space="preserve">of </w:t>
            </w:r>
            <w:r w:rsidRPr="00356CBD">
              <w:t xml:space="preserve">financial products; and </w:t>
            </w:r>
          </w:p>
          <w:p w14:paraId="6F2576FD" w14:textId="77777777" w:rsidR="00901E1F" w:rsidRPr="00356CBD" w:rsidRDefault="00901E1F" w:rsidP="00341ADD">
            <w:pPr>
              <w:pStyle w:val="Bullet"/>
            </w:pPr>
            <w:r w:rsidRPr="00356CBD">
              <w:t>only includes activity with respect to retail clients.</w:t>
            </w:r>
          </w:p>
        </w:tc>
      </w:tr>
      <w:tr w:rsidR="002B44F8" w:rsidRPr="00356CBD" w14:paraId="56693B88" w14:textId="77777777" w:rsidTr="00E62E88">
        <w:tc>
          <w:tcPr>
            <w:tcW w:w="2552" w:type="dxa"/>
          </w:tcPr>
          <w:p w14:paraId="01C572DC" w14:textId="6DFBD4D1" w:rsidR="00901E1F" w:rsidRPr="00356CBD" w:rsidRDefault="00901E1F" w:rsidP="005430BF">
            <w:pPr>
              <w:pStyle w:val="Subtitle"/>
              <w:jc w:val="left"/>
            </w:pPr>
            <w:r w:rsidRPr="00356CBD">
              <w:t>Schedule 1, subparagraph</w:t>
            </w:r>
            <w:r w:rsidR="005430BF">
              <w:t> </w:t>
            </w:r>
            <w:r w:rsidRPr="00356CBD">
              <w:t>994D(</w:t>
            </w:r>
            <w:r w:rsidR="00C86231" w:rsidRPr="00356CBD">
              <w:t>c</w:t>
            </w:r>
            <w:r w:rsidRPr="00356CBD">
              <w:t xml:space="preserve">)(ii) </w:t>
            </w:r>
          </w:p>
        </w:tc>
        <w:tc>
          <w:tcPr>
            <w:tcW w:w="7654" w:type="dxa"/>
          </w:tcPr>
          <w:p w14:paraId="0ED40332" w14:textId="77777777" w:rsidR="00901E1F" w:rsidRPr="00356CBD" w:rsidRDefault="00901E1F" w:rsidP="00805F63">
            <w:r w:rsidRPr="00356CBD">
              <w:t>This provision has been added so that where a distributor reasonably concludes that a target market determination is not required for a product, they will not contravene the prohibition against distributing financial products without a target market determination.</w:t>
            </w:r>
          </w:p>
          <w:p w14:paraId="768B3B27" w14:textId="6CBEF0AC" w:rsidR="00901E1F" w:rsidRPr="00356CBD" w:rsidRDefault="00901E1F" w:rsidP="0086751A">
            <w:r w:rsidRPr="00356CBD">
              <w:t>This provision has been amended to address concerns that third party distributors might have to second</w:t>
            </w:r>
            <w:r w:rsidRPr="00356CBD">
              <w:noBreakHyphen/>
              <w:t>guess whether an issuer is complying with requirements to make a target market determination.</w:t>
            </w:r>
          </w:p>
        </w:tc>
      </w:tr>
      <w:tr w:rsidR="002B44F8" w:rsidRPr="00356CBD" w14:paraId="7277C24E" w14:textId="77777777" w:rsidTr="00E62E88">
        <w:tc>
          <w:tcPr>
            <w:tcW w:w="2552" w:type="dxa"/>
          </w:tcPr>
          <w:p w14:paraId="1E1DADB2" w14:textId="2C67F2EE" w:rsidR="00901E1F" w:rsidRPr="00356CBD" w:rsidRDefault="00901E1F" w:rsidP="003749BB">
            <w:pPr>
              <w:pStyle w:val="Subtitle"/>
              <w:jc w:val="left"/>
            </w:pPr>
            <w:r w:rsidRPr="00356CBD">
              <w:t>Schedule 1, subsections 994E(1) and (2)</w:t>
            </w:r>
          </w:p>
        </w:tc>
        <w:tc>
          <w:tcPr>
            <w:tcW w:w="7654" w:type="dxa"/>
          </w:tcPr>
          <w:p w14:paraId="739D3E9B" w14:textId="50B66F80" w:rsidR="00901E1F" w:rsidRPr="00356CBD" w:rsidRDefault="00901E1F" w:rsidP="004E458D">
            <w:r w:rsidRPr="00356CBD">
              <w:t>These provisions have been amended/added to clarify that an issuer will not breach their distribution obligations merely because a third party distributor fails to distribute products in a manner consistent with the target market determination.</w:t>
            </w:r>
          </w:p>
        </w:tc>
      </w:tr>
      <w:tr w:rsidR="00901E1F" w:rsidRPr="00356CBD" w14:paraId="2655380D" w14:textId="77777777" w:rsidTr="00E62E88">
        <w:tc>
          <w:tcPr>
            <w:tcW w:w="10206" w:type="dxa"/>
            <w:gridSpan w:val="2"/>
          </w:tcPr>
          <w:p w14:paraId="7766303B" w14:textId="77777777" w:rsidR="00901E1F" w:rsidRPr="00356CBD" w:rsidRDefault="00901E1F" w:rsidP="0086751A">
            <w:pPr>
              <w:pStyle w:val="Heading2"/>
            </w:pPr>
            <w:r w:rsidRPr="00356CBD">
              <w:t>Distributor Obligations – Personal Advice</w:t>
            </w:r>
          </w:p>
        </w:tc>
      </w:tr>
      <w:tr w:rsidR="002B44F8" w:rsidRPr="00356CBD" w14:paraId="256D3980" w14:textId="77777777" w:rsidTr="00E62E88">
        <w:tc>
          <w:tcPr>
            <w:tcW w:w="2552" w:type="dxa"/>
          </w:tcPr>
          <w:p w14:paraId="2E5424DD" w14:textId="71BF0228" w:rsidR="00901E1F" w:rsidRPr="00356CBD" w:rsidRDefault="00901E1F" w:rsidP="003749BB">
            <w:pPr>
              <w:pStyle w:val="Subtitle"/>
              <w:jc w:val="left"/>
            </w:pPr>
            <w:r w:rsidRPr="00356CBD">
              <w:t>Schedule 1, subsection 766B(3A)</w:t>
            </w:r>
          </w:p>
        </w:tc>
        <w:tc>
          <w:tcPr>
            <w:tcW w:w="7654" w:type="dxa"/>
          </w:tcPr>
          <w:p w14:paraId="6D16F977" w14:textId="36308579" w:rsidR="00901E1F" w:rsidRPr="00356CBD" w:rsidRDefault="00901E1F" w:rsidP="0086751A">
            <w:r w:rsidRPr="00356CBD">
              <w:t xml:space="preserve">This provision has been added to clarify that the mere asking of information to determine if someone is in a target market and informing them that they are </w:t>
            </w:r>
            <w:r w:rsidR="00A45ACC">
              <w:t xml:space="preserve">or are </w:t>
            </w:r>
            <w:r w:rsidRPr="00356CBD">
              <w:t>not, does not constitute personal advice.</w:t>
            </w:r>
          </w:p>
        </w:tc>
      </w:tr>
      <w:tr w:rsidR="002B44F8" w:rsidRPr="00356CBD" w14:paraId="3E2EEB21" w14:textId="77777777" w:rsidTr="00E62E88">
        <w:tc>
          <w:tcPr>
            <w:tcW w:w="2552" w:type="dxa"/>
          </w:tcPr>
          <w:p w14:paraId="6A43B34C" w14:textId="7687C35B" w:rsidR="00901E1F" w:rsidRPr="00356CBD" w:rsidRDefault="00901E1F" w:rsidP="00F80787">
            <w:pPr>
              <w:pStyle w:val="Subtitle"/>
              <w:jc w:val="left"/>
            </w:pPr>
            <w:r w:rsidRPr="00356CBD">
              <w:t xml:space="preserve">Schedule 1, </w:t>
            </w:r>
            <w:r w:rsidR="00F80787">
              <w:t>subs</w:t>
            </w:r>
            <w:r w:rsidR="002B44F8" w:rsidRPr="00356CBD">
              <w:t>ection</w:t>
            </w:r>
            <w:r w:rsidR="00626904" w:rsidRPr="00356CBD">
              <w:t> </w:t>
            </w:r>
            <w:r w:rsidR="002B44F8" w:rsidRPr="00356CBD">
              <w:t>994A</w:t>
            </w:r>
            <w:r w:rsidR="00F80787">
              <w:t>(1)</w:t>
            </w:r>
            <w:r w:rsidR="002B44F8" w:rsidRPr="00356CBD">
              <w:t xml:space="preserve">, definition of ‘excluded conduct’, </w:t>
            </w:r>
            <w:r w:rsidR="00F80787">
              <w:t>paragraph 994D(d</w:t>
            </w:r>
            <w:r w:rsidRPr="00356CBD">
              <w:t>) subsections 994E(1) and (</w:t>
            </w:r>
            <w:r w:rsidR="002B44F8" w:rsidRPr="00376DE5">
              <w:t>3</w:t>
            </w:r>
            <w:r w:rsidRPr="00356CBD">
              <w:t>),</w:t>
            </w:r>
            <w:r w:rsidRPr="00356CBD" w:rsidDel="00A45ACC">
              <w:t xml:space="preserve"> </w:t>
            </w:r>
            <w:r w:rsidR="00A45ACC">
              <w:t>paragraph </w:t>
            </w:r>
            <w:r w:rsidRPr="00356CBD">
              <w:t>994G</w:t>
            </w:r>
            <w:r w:rsidR="00A45ACC">
              <w:t>(b)</w:t>
            </w:r>
            <w:r w:rsidRPr="00356CBD">
              <w:t xml:space="preserve"> and subsection 994J(2)</w:t>
            </w:r>
          </w:p>
        </w:tc>
        <w:tc>
          <w:tcPr>
            <w:tcW w:w="7654" w:type="dxa"/>
          </w:tcPr>
          <w:p w14:paraId="05DB03D6" w14:textId="389959F8" w:rsidR="00901E1F" w:rsidRPr="00356CBD" w:rsidRDefault="00901E1F" w:rsidP="00A45ACC">
            <w:r w:rsidRPr="00356CBD">
              <w:t>These provisions have been amended</w:t>
            </w:r>
            <w:r w:rsidR="005430BF">
              <w:t xml:space="preserve"> to clarify that personal advise</w:t>
            </w:r>
            <w:r w:rsidRPr="00356CBD">
              <w:t>rs do not have design or distribution obligations</w:t>
            </w:r>
            <w:r w:rsidR="00A45ACC">
              <w:t xml:space="preserve">, except with respect to </w:t>
            </w:r>
            <w:r w:rsidRPr="00356CBD">
              <w:t>record-keeping (see ‘Record-Keeping’ below).</w:t>
            </w:r>
          </w:p>
        </w:tc>
      </w:tr>
      <w:tr w:rsidR="00901E1F" w:rsidRPr="00356CBD" w14:paraId="1DF5B6FA" w14:textId="77777777" w:rsidTr="00E62E88">
        <w:tc>
          <w:tcPr>
            <w:tcW w:w="10206" w:type="dxa"/>
            <w:gridSpan w:val="2"/>
          </w:tcPr>
          <w:p w14:paraId="456DBCED" w14:textId="75784D37" w:rsidR="00901E1F" w:rsidRPr="00356CBD" w:rsidRDefault="00901E1F" w:rsidP="00A4007E">
            <w:pPr>
              <w:pStyle w:val="Heading2"/>
            </w:pPr>
            <w:r w:rsidRPr="00356CBD">
              <w:t>Distributor Obligations – Non-Target Market Consumers</w:t>
            </w:r>
          </w:p>
        </w:tc>
      </w:tr>
      <w:tr w:rsidR="002B44F8" w:rsidRPr="00356CBD" w14:paraId="676B90A4" w14:textId="77777777" w:rsidTr="00E62E88">
        <w:tc>
          <w:tcPr>
            <w:tcW w:w="2552" w:type="dxa"/>
          </w:tcPr>
          <w:p w14:paraId="7679575B" w14:textId="2D547575" w:rsidR="00901E1F" w:rsidRPr="00356CBD" w:rsidRDefault="00901E1F" w:rsidP="003749BB">
            <w:pPr>
              <w:pStyle w:val="Subtitle"/>
              <w:jc w:val="left"/>
            </w:pPr>
            <w:r w:rsidRPr="00356CBD">
              <w:t>Schedule 1, subsection 994E(4)</w:t>
            </w:r>
          </w:p>
        </w:tc>
        <w:tc>
          <w:tcPr>
            <w:tcW w:w="7654" w:type="dxa"/>
          </w:tcPr>
          <w:p w14:paraId="2819234A" w14:textId="0EE8337E" w:rsidR="00901E1F" w:rsidRPr="00356CBD" w:rsidRDefault="00901E1F" w:rsidP="00341ADD">
            <w:r w:rsidRPr="00356CBD">
              <w:t>This provision has been added to clarify that a distributor does not breach requirements to take reasonable steps to distribute in a manner consistent with a target market determination for a product, merely because a consumer who is not in the target market acquires the product.</w:t>
            </w:r>
          </w:p>
        </w:tc>
      </w:tr>
      <w:tr w:rsidR="00901E1F" w:rsidRPr="00356CBD" w14:paraId="2D7C3A4F" w14:textId="77777777" w:rsidTr="00E62E88">
        <w:tc>
          <w:tcPr>
            <w:tcW w:w="10206" w:type="dxa"/>
            <w:gridSpan w:val="2"/>
          </w:tcPr>
          <w:p w14:paraId="0D55BE8F" w14:textId="333E574F" w:rsidR="00901E1F" w:rsidRPr="00356CBD" w:rsidRDefault="00901E1F" w:rsidP="00A4007E">
            <w:pPr>
              <w:pStyle w:val="Heading2"/>
            </w:pPr>
            <w:r w:rsidRPr="00356CBD">
              <w:lastRenderedPageBreak/>
              <w:t>Issuer and Distributor Obligations – Record-Keeping Requirements</w:t>
            </w:r>
          </w:p>
        </w:tc>
      </w:tr>
      <w:tr w:rsidR="002B44F8" w:rsidRPr="00356CBD" w14:paraId="125D1BD4" w14:textId="77777777" w:rsidTr="00E62E88">
        <w:tc>
          <w:tcPr>
            <w:tcW w:w="2552" w:type="dxa"/>
          </w:tcPr>
          <w:p w14:paraId="11D5B1AF" w14:textId="01581971" w:rsidR="00901E1F" w:rsidRPr="00356CBD" w:rsidRDefault="00901E1F" w:rsidP="00F80787">
            <w:pPr>
              <w:pStyle w:val="Subtitle"/>
              <w:jc w:val="left"/>
            </w:pPr>
            <w:r w:rsidRPr="00356CBD">
              <w:t>Schedule 1, paragraph 994B(</w:t>
            </w:r>
            <w:r w:rsidR="00444C7E" w:rsidRPr="00356CBD">
              <w:t>5</w:t>
            </w:r>
            <w:r w:rsidRPr="00356CBD">
              <w:t>)(</w:t>
            </w:r>
            <w:r w:rsidR="002B44F8" w:rsidRPr="00B645E8">
              <w:t>h</w:t>
            </w:r>
            <w:r w:rsidRPr="00356CBD">
              <w:t>)  subsections 994B(</w:t>
            </w:r>
            <w:r w:rsidR="00A45ACC">
              <w:t>6</w:t>
            </w:r>
            <w:r w:rsidRPr="00356CBD">
              <w:t xml:space="preserve">) </w:t>
            </w:r>
            <w:r w:rsidRPr="00356CBD" w:rsidDel="00626904">
              <w:t>and</w:t>
            </w:r>
            <w:r w:rsidR="00626904" w:rsidRPr="00B645E8">
              <w:t> </w:t>
            </w:r>
            <w:r w:rsidRPr="00356CBD">
              <w:t>(</w:t>
            </w:r>
            <w:r w:rsidR="00A45ACC">
              <w:t>7</w:t>
            </w:r>
            <w:r w:rsidRPr="00356CBD" w:rsidDel="00A45ACC">
              <w:t>)</w:t>
            </w:r>
            <w:r w:rsidRPr="00356CBD">
              <w:t xml:space="preserve">, and </w:t>
            </w:r>
            <w:r w:rsidR="00626904" w:rsidRPr="00356CBD">
              <w:t>subsection</w:t>
            </w:r>
            <w:r w:rsidR="00F80787">
              <w:t> </w:t>
            </w:r>
            <w:r w:rsidRPr="00356CBD">
              <w:t>994F(</w:t>
            </w:r>
            <w:r w:rsidRPr="00356CBD" w:rsidDel="002B44F8">
              <w:t>1</w:t>
            </w:r>
            <w:r w:rsidRPr="00356CBD">
              <w:t>)</w:t>
            </w:r>
          </w:p>
        </w:tc>
        <w:tc>
          <w:tcPr>
            <w:tcW w:w="7654" w:type="dxa"/>
          </w:tcPr>
          <w:p w14:paraId="72956CE0" w14:textId="77777777" w:rsidR="00901E1F" w:rsidRPr="00356CBD" w:rsidRDefault="00901E1F" w:rsidP="00A4007E">
            <w:r w:rsidRPr="00356CBD">
              <w:t xml:space="preserve">These provisions replace previous provisions which required every regulated distributor of a financial product to keep specified information. </w:t>
            </w:r>
          </w:p>
          <w:p w14:paraId="7F11352A" w14:textId="155378C4" w:rsidR="00901E1F" w:rsidRPr="00356CBD" w:rsidRDefault="00901E1F" w:rsidP="005460DD">
            <w:r w:rsidRPr="00356CBD">
              <w:t xml:space="preserve">These new provisions require issuers to specify the information that must be kept, who must keep it and, if kept by a third party distributor, how often that information must be provided to the issuer. The issuer must request sufficient information at sufficient frequency so that </w:t>
            </w:r>
            <w:r w:rsidR="000E5B30">
              <w:t>they</w:t>
            </w:r>
            <w:r w:rsidRPr="00356CBD">
              <w:t xml:space="preserve"> can promptly determine if a review of a target market determination should be </w:t>
            </w:r>
            <w:r w:rsidR="005430BF" w:rsidRPr="00356CBD">
              <w:t>undertaken</w:t>
            </w:r>
            <w:r w:rsidRPr="00356CBD">
              <w:t xml:space="preserve"> and record reasons for </w:t>
            </w:r>
            <w:r w:rsidR="005430BF">
              <w:t>this decision</w:t>
            </w:r>
            <w:r w:rsidRPr="00356CBD">
              <w:t>.</w:t>
            </w:r>
          </w:p>
          <w:p w14:paraId="4E0E36E7" w14:textId="33D540BA" w:rsidR="00901E1F" w:rsidRPr="00356CBD" w:rsidRDefault="00901E1F" w:rsidP="0083680D">
            <w:r w:rsidRPr="00356CBD">
              <w:t>This amendment has been made in response to concerns about the regulatory burden associated with record-keeping, that it was not clear who must keep what information, and that issuers will not have sufficient information to undertake reviews. The requirement is intended to be scalable and flexible according to the financial product, and result in the necessary information being collected as efficiently as possible.</w:t>
            </w:r>
          </w:p>
        </w:tc>
      </w:tr>
      <w:tr w:rsidR="002B44F8" w:rsidRPr="00356CBD" w14:paraId="5B9DA10B" w14:textId="77777777" w:rsidTr="00E62E88">
        <w:tc>
          <w:tcPr>
            <w:tcW w:w="2552" w:type="dxa"/>
          </w:tcPr>
          <w:p w14:paraId="28FF2848" w14:textId="089DA7BD" w:rsidR="00901E1F" w:rsidRPr="00356CBD" w:rsidRDefault="00901E1F" w:rsidP="00A45ACC">
            <w:pPr>
              <w:pStyle w:val="Subtitle"/>
              <w:jc w:val="left"/>
            </w:pPr>
            <w:r w:rsidRPr="00356CBD">
              <w:t>Schedule 1, subsections 994F(</w:t>
            </w:r>
            <w:r w:rsidR="00626904" w:rsidRPr="00356CBD">
              <w:t>1)</w:t>
            </w:r>
            <w:r w:rsidRPr="00356CBD">
              <w:t xml:space="preserve"> to (</w:t>
            </w:r>
            <w:r w:rsidR="00A45ACC">
              <w:t>4</w:t>
            </w:r>
            <w:r w:rsidRPr="00356CBD">
              <w:t>)</w:t>
            </w:r>
          </w:p>
        </w:tc>
        <w:tc>
          <w:tcPr>
            <w:tcW w:w="7654" w:type="dxa"/>
          </w:tcPr>
          <w:p w14:paraId="48F734D3" w14:textId="2338B509" w:rsidR="00901E1F" w:rsidRPr="00356CBD" w:rsidRDefault="00901E1F" w:rsidP="0083680D">
            <w:r w:rsidRPr="00356CBD">
              <w:t xml:space="preserve">Distributors must comply with issuer-determined </w:t>
            </w:r>
            <w:r w:rsidR="006A2B78">
              <w:t xml:space="preserve">and </w:t>
            </w:r>
            <w:r w:rsidRPr="00356CBD">
              <w:t>complaints record</w:t>
            </w:r>
            <w:r w:rsidRPr="00356CBD">
              <w:noBreakHyphen/>
              <w:t xml:space="preserve">keeping requirements, and where they are not the issuer, provide records to issuers. </w:t>
            </w:r>
          </w:p>
          <w:p w14:paraId="5FB91D15" w14:textId="498C039E" w:rsidR="00901E1F" w:rsidRPr="00356CBD" w:rsidRDefault="00901E1F" w:rsidP="006A2B78">
            <w:r w:rsidRPr="00356CBD">
              <w:t xml:space="preserve">As in the previous exposure draft, issuers and distributors must also </w:t>
            </w:r>
            <w:r w:rsidR="006A2B78">
              <w:t>comply with regulation</w:t>
            </w:r>
            <w:r w:rsidR="006A2B78">
              <w:noBreakHyphen/>
              <w:t>determined record</w:t>
            </w:r>
            <w:r w:rsidR="00FB659D">
              <w:t>-</w:t>
            </w:r>
            <w:r w:rsidR="006A2B78">
              <w:t xml:space="preserve">keeping requirements and </w:t>
            </w:r>
            <w:r w:rsidRPr="00356CBD">
              <w:t>keep record</w:t>
            </w:r>
            <w:r w:rsidR="00F80787">
              <w:t>s</w:t>
            </w:r>
            <w:r w:rsidRPr="00356CBD">
              <w:t xml:space="preserve"> of the steps taken to comply with obligations to take reasonable steps to distribute to the target market</w:t>
            </w:r>
            <w:r w:rsidR="006A2B78">
              <w:t xml:space="preserve"> (see subsections 994F(6) and (7), and paragraph 994F(2)(e)</w:t>
            </w:r>
            <w:r w:rsidR="000E5B30">
              <w:t>)</w:t>
            </w:r>
            <w:r w:rsidRPr="00356CBD">
              <w:t>.</w:t>
            </w:r>
          </w:p>
        </w:tc>
      </w:tr>
      <w:tr w:rsidR="00901E1F" w:rsidRPr="00356CBD" w14:paraId="35BC668B" w14:textId="77777777" w:rsidTr="00E62E88">
        <w:tc>
          <w:tcPr>
            <w:tcW w:w="10206" w:type="dxa"/>
            <w:gridSpan w:val="2"/>
          </w:tcPr>
          <w:p w14:paraId="75436667" w14:textId="68CEBE42" w:rsidR="00901E1F" w:rsidRPr="00356CBD" w:rsidRDefault="00901E1F" w:rsidP="0083680D">
            <w:pPr>
              <w:pStyle w:val="Heading2"/>
            </w:pPr>
            <w:r w:rsidRPr="00356CBD">
              <w:t>Issuer Obligations – Reviews</w:t>
            </w:r>
          </w:p>
        </w:tc>
      </w:tr>
      <w:tr w:rsidR="002B44F8" w:rsidRPr="00356CBD" w14:paraId="4482B536" w14:textId="77777777" w:rsidTr="00E62E88">
        <w:tc>
          <w:tcPr>
            <w:tcW w:w="2552" w:type="dxa"/>
          </w:tcPr>
          <w:p w14:paraId="36483DBE" w14:textId="1CA46500" w:rsidR="00901E1F" w:rsidRPr="00356CBD" w:rsidRDefault="00901E1F" w:rsidP="003749BB">
            <w:pPr>
              <w:pStyle w:val="Subtitle"/>
              <w:jc w:val="left"/>
            </w:pPr>
            <w:r w:rsidRPr="00356CBD">
              <w:t>Schedule 1, subsections 994C(4), (5) and (7)</w:t>
            </w:r>
          </w:p>
        </w:tc>
        <w:tc>
          <w:tcPr>
            <w:tcW w:w="7654" w:type="dxa"/>
          </w:tcPr>
          <w:p w14:paraId="62814A71" w14:textId="2EA82B29" w:rsidR="006A2B78" w:rsidRPr="00356CBD" w:rsidRDefault="00901E1F" w:rsidP="00341ADD">
            <w:r w:rsidRPr="00356CBD">
              <w:t xml:space="preserve">The provisions have been amended so that it is only possible for a civil penalty to apply where an issuer </w:t>
            </w:r>
            <w:r w:rsidR="00F80787">
              <w:t xml:space="preserve">or distributor </w:t>
            </w:r>
            <w:r w:rsidRPr="00356CBD">
              <w:t xml:space="preserve">ought to have known to stop distribution because a review has been triggered (but did not). </w:t>
            </w:r>
            <w:r w:rsidR="006A2B78">
              <w:t xml:space="preserve">It also removes the obligations on issuers to notify distributors to cease distribution </w:t>
            </w:r>
            <w:r w:rsidR="00CC48BE">
              <w:t>in these circumstances.</w:t>
            </w:r>
          </w:p>
          <w:p w14:paraId="130F1419" w14:textId="196625C8" w:rsidR="00901E1F" w:rsidRPr="00356CBD" w:rsidRDefault="00901E1F" w:rsidP="00F80787">
            <w:r w:rsidRPr="00356CBD">
              <w:t>In the previous draft, a crim</w:t>
            </w:r>
            <w:r w:rsidR="00F80787">
              <w:t>inal penalty could have applied where an issuer or distributor ought to have, but did not know that the requisite circumstances existed.</w:t>
            </w:r>
          </w:p>
        </w:tc>
      </w:tr>
      <w:tr w:rsidR="002B44F8" w:rsidRPr="00356CBD" w14:paraId="35C75D64" w14:textId="77777777" w:rsidTr="00E62E88">
        <w:tc>
          <w:tcPr>
            <w:tcW w:w="2552" w:type="dxa"/>
          </w:tcPr>
          <w:p w14:paraId="17B6B658" w14:textId="14023C1B" w:rsidR="00901E1F" w:rsidRPr="00356CBD" w:rsidRDefault="00901E1F" w:rsidP="003749BB">
            <w:pPr>
              <w:pStyle w:val="Subtitle"/>
              <w:jc w:val="left"/>
            </w:pPr>
            <w:r w:rsidRPr="00356CBD">
              <w:t>Schedule 1, subsections 994C(3) and (4)</w:t>
            </w:r>
          </w:p>
        </w:tc>
        <w:tc>
          <w:tcPr>
            <w:tcW w:w="7654" w:type="dxa"/>
          </w:tcPr>
          <w:p w14:paraId="6E9DACE7" w14:textId="77777777" w:rsidR="00901E1F" w:rsidRPr="00356CBD" w:rsidRDefault="00901E1F" w:rsidP="000B3EE6">
            <w:r w:rsidRPr="00356CBD">
              <w:t xml:space="preserve">The provisions have been amended so that upon a review being triggered, distribution must stop as soon as practicable or within 10 business days. </w:t>
            </w:r>
          </w:p>
          <w:p w14:paraId="4AEB090F" w14:textId="27B1CBE8" w:rsidR="00901E1F" w:rsidRPr="00356CBD" w:rsidRDefault="00901E1F" w:rsidP="000B3EE6">
            <w:r w:rsidRPr="00356CBD">
              <w:t>In the previous draft, distribution had to cease immediately, allowing limited time to, for example, modify websites.</w:t>
            </w:r>
          </w:p>
        </w:tc>
      </w:tr>
      <w:tr w:rsidR="00901E1F" w:rsidRPr="00356CBD" w14:paraId="57F53128" w14:textId="77777777" w:rsidTr="00E62E88">
        <w:tc>
          <w:tcPr>
            <w:tcW w:w="10206" w:type="dxa"/>
            <w:gridSpan w:val="2"/>
          </w:tcPr>
          <w:p w14:paraId="3CA9C4F1" w14:textId="1D3838E2" w:rsidR="00901E1F" w:rsidRPr="00356CBD" w:rsidRDefault="00901E1F" w:rsidP="000B3EE6">
            <w:pPr>
              <w:pStyle w:val="Heading2"/>
            </w:pPr>
            <w:r w:rsidRPr="00356CBD">
              <w:t>Issuer and Distributor Obligations – Notification of ASIC</w:t>
            </w:r>
          </w:p>
        </w:tc>
      </w:tr>
      <w:tr w:rsidR="002B44F8" w:rsidRPr="00356CBD" w14:paraId="10D2BEC1" w14:textId="77777777" w:rsidTr="00E62E88">
        <w:tc>
          <w:tcPr>
            <w:tcW w:w="2552" w:type="dxa"/>
          </w:tcPr>
          <w:p w14:paraId="746BC30A" w14:textId="1D59468B" w:rsidR="00901E1F" w:rsidRPr="00356CBD" w:rsidRDefault="00901E1F" w:rsidP="000B3EE6">
            <w:pPr>
              <w:pStyle w:val="Subtitle"/>
              <w:jc w:val="left"/>
            </w:pPr>
            <w:r w:rsidRPr="00356CBD">
              <w:t>Schedule 1, section 994D</w:t>
            </w:r>
            <w:r w:rsidR="00626904" w:rsidRPr="00356CBD">
              <w:t xml:space="preserve"> </w:t>
            </w:r>
          </w:p>
        </w:tc>
        <w:tc>
          <w:tcPr>
            <w:tcW w:w="7654" w:type="dxa"/>
          </w:tcPr>
          <w:p w14:paraId="45653A82" w14:textId="677FA48E" w:rsidR="00901E1F" w:rsidRPr="00356CBD" w:rsidRDefault="00901E1F" w:rsidP="000B3EE6">
            <w:r w:rsidRPr="00356CBD">
              <w:t>The provision requiring issuers and distributors to notify ASIC if there has been distribution without a target market determination has been removed.</w:t>
            </w:r>
          </w:p>
          <w:p w14:paraId="093D542C" w14:textId="732A8F88" w:rsidR="00901E1F" w:rsidRPr="00356CBD" w:rsidRDefault="00901E1F" w:rsidP="000B3EE6">
            <w:r w:rsidRPr="00356CBD">
              <w:t>However, there is still an obligation</w:t>
            </w:r>
            <w:r w:rsidR="00BE5534" w:rsidRPr="00356CBD">
              <w:t xml:space="preserve"> on issuers</w:t>
            </w:r>
            <w:r w:rsidRPr="00356CBD">
              <w:t xml:space="preserve"> to report to ASIC significant dealings that are inconsistent with a target market determination</w:t>
            </w:r>
            <w:r w:rsidR="00BE5534" w:rsidRPr="00356CBD">
              <w:t xml:space="preserve"> (see section 994G)</w:t>
            </w:r>
            <w:r w:rsidRPr="00356CBD">
              <w:t>.</w:t>
            </w:r>
          </w:p>
        </w:tc>
      </w:tr>
      <w:tr w:rsidR="00901E1F" w:rsidRPr="00356CBD" w14:paraId="25B8C5DA" w14:textId="77777777" w:rsidTr="00E62E88">
        <w:tc>
          <w:tcPr>
            <w:tcW w:w="10206" w:type="dxa"/>
            <w:gridSpan w:val="2"/>
          </w:tcPr>
          <w:p w14:paraId="298D1DB1" w14:textId="35DA8F65" w:rsidR="00901E1F" w:rsidRPr="00356CBD" w:rsidRDefault="00901E1F" w:rsidP="00370DFF">
            <w:pPr>
              <w:pStyle w:val="Heading2"/>
            </w:pPr>
            <w:r w:rsidRPr="00356CBD">
              <w:t>Issuer and Distributor Obligations – Consequences and Penalties</w:t>
            </w:r>
          </w:p>
        </w:tc>
      </w:tr>
      <w:tr w:rsidR="002B44F8" w:rsidRPr="00356CBD" w14:paraId="36ABE24B" w14:textId="77777777" w:rsidTr="00E62E88">
        <w:tc>
          <w:tcPr>
            <w:tcW w:w="2552" w:type="dxa"/>
          </w:tcPr>
          <w:p w14:paraId="3C8AF8AA" w14:textId="17D4F0A1" w:rsidR="00901E1F" w:rsidRPr="00356CBD" w:rsidRDefault="00901E1F" w:rsidP="003749BB">
            <w:pPr>
              <w:pStyle w:val="Subtitle"/>
              <w:jc w:val="left"/>
            </w:pPr>
            <w:r w:rsidRPr="00356CBD">
              <w:t>Schedule 1, section 994M</w:t>
            </w:r>
          </w:p>
        </w:tc>
        <w:tc>
          <w:tcPr>
            <w:tcW w:w="7654" w:type="dxa"/>
          </w:tcPr>
          <w:p w14:paraId="7E597A27" w14:textId="20653E3F" w:rsidR="00901E1F" w:rsidRPr="00356CBD" w:rsidRDefault="00901E1F" w:rsidP="00E508A9">
            <w:r w:rsidRPr="00356CBD">
              <w:t xml:space="preserve">This provision has been amended to allow consumers to commence a civil action for losses resulting from an issuer’s failure to notify, or a distributor failing to stop distributing when notification has occurred, in the event of a review being triggered. </w:t>
            </w:r>
            <w:r w:rsidR="00CC48BE">
              <w:t>This is to be consistent with the availability of a civil action for other wrongful distributions.</w:t>
            </w:r>
          </w:p>
          <w:p w14:paraId="503259CD" w14:textId="39851555" w:rsidR="00901E1F" w:rsidRPr="00356CBD" w:rsidRDefault="00901E1F" w:rsidP="00E508A9">
            <w:r w:rsidRPr="00356CBD">
              <w:t xml:space="preserve">In the previous exposure draft, consumers were only able to commence a civil action </w:t>
            </w:r>
            <w:r w:rsidRPr="00356CBD">
              <w:lastRenderedPageBreak/>
              <w:t xml:space="preserve">where a distributor distributed without a target market determination or failed to take reasonable steps to distribute in a manner consistent with a target market determination. </w:t>
            </w:r>
          </w:p>
        </w:tc>
      </w:tr>
      <w:tr w:rsidR="002B44F8" w:rsidRPr="00356CBD" w14:paraId="4132DFFC" w14:textId="77777777" w:rsidTr="00E62E88">
        <w:tc>
          <w:tcPr>
            <w:tcW w:w="2552" w:type="dxa"/>
          </w:tcPr>
          <w:p w14:paraId="15C336DC" w14:textId="119F1E2A" w:rsidR="00901E1F" w:rsidRPr="00356CBD" w:rsidRDefault="00901E1F" w:rsidP="00626904">
            <w:pPr>
              <w:pStyle w:val="Subtitle"/>
              <w:jc w:val="left"/>
            </w:pPr>
            <w:r w:rsidRPr="00356CBD">
              <w:lastRenderedPageBreak/>
              <w:t xml:space="preserve">Schedule </w:t>
            </w:r>
            <w:r w:rsidR="00626904" w:rsidRPr="00356CBD">
              <w:t>1</w:t>
            </w:r>
            <w:r w:rsidRPr="00356CBD">
              <w:t>,</w:t>
            </w:r>
            <w:r w:rsidR="00626904" w:rsidRPr="00356CBD">
              <w:t xml:space="preserve"> item 9,</w:t>
            </w:r>
            <w:r w:rsidRPr="00356CBD">
              <w:t xml:space="preserve"> table item 290CAC</w:t>
            </w:r>
          </w:p>
        </w:tc>
        <w:tc>
          <w:tcPr>
            <w:tcW w:w="7654" w:type="dxa"/>
          </w:tcPr>
          <w:p w14:paraId="6A5F2DD0" w14:textId="2054E03D" w:rsidR="00901E1F" w:rsidRPr="00356CBD" w:rsidRDefault="00901E1F" w:rsidP="00E508A9">
            <w:r w:rsidRPr="00356CBD">
              <w:t xml:space="preserve">The criminal penalty for failing to cease distribution where a distributor knows that an issuer has taken steps to inform distributors that distribution should cease has been increased to be consistent with the penalties for other </w:t>
            </w:r>
            <w:r w:rsidR="00CC48BE">
              <w:t xml:space="preserve">wrongful </w:t>
            </w:r>
            <w:r w:rsidRPr="00356CBD">
              <w:t>distribution</w:t>
            </w:r>
            <w:r w:rsidR="00CC48BE">
              <w:t>s</w:t>
            </w:r>
            <w:r w:rsidRPr="00356CBD">
              <w:t>.</w:t>
            </w:r>
          </w:p>
          <w:p w14:paraId="7D1C493F" w14:textId="19CA1245" w:rsidR="00901E1F" w:rsidRPr="00356CBD" w:rsidRDefault="00901E1F" w:rsidP="00E508A9">
            <w:r w:rsidRPr="00356CBD">
              <w:t>Penalties have been set with reference to analogous provision</w:t>
            </w:r>
            <w:r w:rsidR="000E5B30">
              <w:t>s</w:t>
            </w:r>
            <w:r w:rsidRPr="00356CBD">
              <w:t xml:space="preserve"> in the </w:t>
            </w:r>
            <w:r w:rsidRPr="00356CBD">
              <w:rPr>
                <w:i/>
              </w:rPr>
              <w:t>Corporations Act 2001</w:t>
            </w:r>
            <w:r w:rsidRPr="00356CBD">
              <w:t>.</w:t>
            </w:r>
          </w:p>
        </w:tc>
      </w:tr>
      <w:tr w:rsidR="002B44F8" w:rsidRPr="00356CBD" w14:paraId="76BF700D" w14:textId="77777777" w:rsidTr="00E62E88">
        <w:tc>
          <w:tcPr>
            <w:tcW w:w="2552" w:type="dxa"/>
          </w:tcPr>
          <w:p w14:paraId="3DD81E1C" w14:textId="1E11658B" w:rsidR="00901E1F" w:rsidRPr="00356CBD" w:rsidRDefault="00901E1F" w:rsidP="0011318E">
            <w:pPr>
              <w:pStyle w:val="Subtitle"/>
              <w:jc w:val="left"/>
            </w:pPr>
            <w:r w:rsidRPr="00356CBD">
              <w:t xml:space="preserve">Schedule </w:t>
            </w:r>
            <w:r w:rsidR="00626904" w:rsidRPr="00356CBD">
              <w:t>1</w:t>
            </w:r>
            <w:r w:rsidRPr="00356CBD">
              <w:t xml:space="preserve">, </w:t>
            </w:r>
            <w:r w:rsidR="00626904" w:rsidRPr="00356CBD">
              <w:t xml:space="preserve">item 9, </w:t>
            </w:r>
            <w:r w:rsidRPr="00356CBD">
              <w:t>table item 290CA</w:t>
            </w:r>
            <w:r w:rsidR="00BD3C49" w:rsidRPr="00356CBD">
              <w:t>F</w:t>
            </w:r>
          </w:p>
        </w:tc>
        <w:tc>
          <w:tcPr>
            <w:tcW w:w="7654" w:type="dxa"/>
          </w:tcPr>
          <w:p w14:paraId="1000094A" w14:textId="77777777" w:rsidR="00901E1F" w:rsidRPr="00356CBD" w:rsidRDefault="00901E1F" w:rsidP="00E508A9">
            <w:r w:rsidRPr="00356CBD">
              <w:t>The criminal penalty for failing to notify an issuer of a significant dealing outside the target market has been increased to be consistent with the penalties for other failures to provide information to the issuer.</w:t>
            </w:r>
          </w:p>
          <w:p w14:paraId="2707F143" w14:textId="7B0C4741" w:rsidR="00901E1F" w:rsidRPr="00356CBD" w:rsidRDefault="00901E1F" w:rsidP="00E508A9">
            <w:r w:rsidRPr="00356CBD">
              <w:t>Penalties have been set with reference to analogous provision</w:t>
            </w:r>
            <w:r w:rsidR="000E5B30">
              <w:t>s</w:t>
            </w:r>
            <w:r w:rsidRPr="00356CBD">
              <w:t xml:space="preserve"> in the </w:t>
            </w:r>
            <w:r w:rsidRPr="00356CBD">
              <w:rPr>
                <w:i/>
              </w:rPr>
              <w:t>Corporations Act 2001</w:t>
            </w:r>
            <w:r w:rsidRPr="00356CBD">
              <w:t>.</w:t>
            </w:r>
          </w:p>
        </w:tc>
      </w:tr>
      <w:tr w:rsidR="002B44F8" w:rsidRPr="00356CBD" w14:paraId="15574752" w14:textId="77777777" w:rsidTr="00E62E88">
        <w:tc>
          <w:tcPr>
            <w:tcW w:w="2552" w:type="dxa"/>
          </w:tcPr>
          <w:p w14:paraId="4C94BF66" w14:textId="7194ED48" w:rsidR="00901E1F" w:rsidRPr="00356CBD" w:rsidRDefault="00901E1F" w:rsidP="00DA446E">
            <w:pPr>
              <w:pStyle w:val="Subtitle"/>
              <w:jc w:val="left"/>
            </w:pPr>
            <w:r w:rsidRPr="00356CBD">
              <w:t xml:space="preserve">Schedule </w:t>
            </w:r>
            <w:r w:rsidR="00626904" w:rsidRPr="00356CBD">
              <w:t>1</w:t>
            </w:r>
            <w:r w:rsidRPr="00356CBD">
              <w:t>,</w:t>
            </w:r>
            <w:r w:rsidR="00626904" w:rsidRPr="00356CBD">
              <w:t xml:space="preserve"> item 9,</w:t>
            </w:r>
            <w:r w:rsidRPr="00356CBD">
              <w:t xml:space="preserve"> table items 290CA</w:t>
            </w:r>
            <w:r w:rsidR="00DA446E" w:rsidRPr="00356CBD">
              <w:t>G</w:t>
            </w:r>
            <w:r w:rsidRPr="00356CBD">
              <w:t xml:space="preserve"> and 290CA</w:t>
            </w:r>
            <w:r w:rsidR="00DA446E" w:rsidRPr="00356CBD">
              <w:t>H</w:t>
            </w:r>
          </w:p>
        </w:tc>
        <w:tc>
          <w:tcPr>
            <w:tcW w:w="7654" w:type="dxa"/>
          </w:tcPr>
          <w:p w14:paraId="017F8D2A" w14:textId="15170703" w:rsidR="00901E1F" w:rsidRPr="00356CBD" w:rsidRDefault="00901E1F" w:rsidP="002D7273">
            <w:r w:rsidRPr="00356CBD">
              <w:t xml:space="preserve">The criminal penalty for failing to notify ASIC of a significant dealing and </w:t>
            </w:r>
            <w:r w:rsidR="00F80787">
              <w:t xml:space="preserve">for failing </w:t>
            </w:r>
            <w:r w:rsidRPr="00356CBD">
              <w:t xml:space="preserve">to provide ASIC with information on request has been increased to be consistent with analogous provisions in the </w:t>
            </w:r>
            <w:r w:rsidRPr="00356CBD">
              <w:rPr>
                <w:i/>
              </w:rPr>
              <w:t>Corporations Act 2001</w:t>
            </w:r>
            <w:r w:rsidRPr="00356CBD">
              <w:t>.</w:t>
            </w:r>
          </w:p>
        </w:tc>
      </w:tr>
      <w:tr w:rsidR="00901E1F" w:rsidRPr="00356CBD" w14:paraId="027CAAAF" w14:textId="77777777" w:rsidTr="00E62E88">
        <w:tc>
          <w:tcPr>
            <w:tcW w:w="10206" w:type="dxa"/>
            <w:gridSpan w:val="2"/>
          </w:tcPr>
          <w:p w14:paraId="56CFF1D0" w14:textId="2FD75BDC" w:rsidR="00901E1F" w:rsidRPr="00356CBD" w:rsidRDefault="00901E1F" w:rsidP="00334E64">
            <w:pPr>
              <w:pStyle w:val="Heading2"/>
            </w:pPr>
            <w:r w:rsidRPr="00356CBD">
              <w:t>Issuer and Distributor Obligations – Transitional Period</w:t>
            </w:r>
          </w:p>
        </w:tc>
      </w:tr>
      <w:tr w:rsidR="002B44F8" w:rsidRPr="00356CBD" w14:paraId="565223A7" w14:textId="77777777" w:rsidTr="00E62E88">
        <w:tc>
          <w:tcPr>
            <w:tcW w:w="2552" w:type="dxa"/>
          </w:tcPr>
          <w:p w14:paraId="03ACA131" w14:textId="020D36BA" w:rsidR="00901E1F" w:rsidRPr="00356CBD" w:rsidRDefault="00901E1F" w:rsidP="00334E64">
            <w:pPr>
              <w:pStyle w:val="Subtitle"/>
              <w:jc w:val="left"/>
            </w:pPr>
            <w:r w:rsidRPr="00356CBD">
              <w:t>Section 2</w:t>
            </w:r>
          </w:p>
        </w:tc>
        <w:tc>
          <w:tcPr>
            <w:tcW w:w="7654" w:type="dxa"/>
          </w:tcPr>
          <w:p w14:paraId="22D031B5" w14:textId="6505432A" w:rsidR="00901E1F" w:rsidRPr="00356CBD" w:rsidRDefault="00901E1F" w:rsidP="00334E64">
            <w:r w:rsidRPr="00356CBD">
              <w:t>The application and transitional provisions have been amended such that the obligations will apply to all financial products two years after the legislation receives Royal Assent.</w:t>
            </w:r>
          </w:p>
          <w:p w14:paraId="6077284E" w14:textId="56E5A742" w:rsidR="00901E1F" w:rsidRPr="00356CBD" w:rsidRDefault="00901E1F" w:rsidP="00334E64">
            <w:r w:rsidRPr="00356CBD">
              <w:t>In the previous exposure draft, the obligations applied to new financial products one year after the legislation receives Royal Assent.</w:t>
            </w:r>
          </w:p>
        </w:tc>
      </w:tr>
    </w:tbl>
    <w:p w14:paraId="0604F73C" w14:textId="77777777" w:rsidR="001F0F83" w:rsidRDefault="001F0F83">
      <w:pPr>
        <w:spacing w:after="0"/>
      </w:pPr>
    </w:p>
    <w:sectPr w:rsidR="001F0F83" w:rsidSect="00E62E88">
      <w:headerReference w:type="default" r:id="rId21"/>
      <w:footerReference w:type="default" r:id="rId22"/>
      <w:pgSz w:w="11906" w:h="16838"/>
      <w:pgMar w:top="1134" w:right="851" w:bottom="1134"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D3F0A" w14:textId="77777777" w:rsidR="00625093" w:rsidRDefault="00625093" w:rsidP="00F70A9F">
      <w:pPr>
        <w:spacing w:after="0"/>
      </w:pPr>
      <w:r>
        <w:separator/>
      </w:r>
    </w:p>
  </w:endnote>
  <w:endnote w:type="continuationSeparator" w:id="0">
    <w:p w14:paraId="5503DBC0" w14:textId="77777777" w:rsidR="00625093" w:rsidRDefault="00625093" w:rsidP="00F70A9F">
      <w:pPr>
        <w:spacing w:after="0"/>
      </w:pPr>
      <w:r>
        <w:continuationSeparator/>
      </w:r>
    </w:p>
  </w:endnote>
  <w:endnote w:type="continuationNotice" w:id="1">
    <w:p w14:paraId="26585419" w14:textId="77777777" w:rsidR="00625093" w:rsidRDefault="006250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63745" w14:textId="2019CFD1" w:rsidR="00625093" w:rsidRDefault="00625093">
    <w:pPr>
      <w:pStyle w:val="Footer"/>
    </w:pPr>
  </w:p>
  <w:p w14:paraId="19465121" w14:textId="259E0F7D" w:rsidR="00625093" w:rsidRDefault="00BF68A0" w:rsidP="00AE3001">
    <w:pPr>
      <w:pStyle w:val="SecurityClassificationFooter"/>
    </w:pPr>
    <w:r>
      <w:fldChar w:fldCharType="begin"/>
    </w:r>
    <w:r>
      <w:instrText xml:space="preserve"> DOCPROPERTY WorkingDocStatus \* MERGEFORMAT </w:instrText>
    </w:r>
    <w:r>
      <w:fldChar w:fldCharType="separate"/>
    </w:r>
    <w:r w:rsidR="00DC362B">
      <w:t>DRAFT WORKING DOCUMENT</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65851" w14:textId="10CF2D7E" w:rsidR="00625093" w:rsidRDefault="00625093">
    <w:pPr>
      <w:pStyle w:val="Footer"/>
    </w:pPr>
  </w:p>
  <w:p w14:paraId="7710F105" w14:textId="039B8125" w:rsidR="00625093" w:rsidRDefault="00625093" w:rsidP="00AE3001">
    <w:pPr>
      <w:pStyle w:val="SecurityClassification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8D763" w14:textId="18BB4153" w:rsidR="00625093" w:rsidRDefault="00625093">
    <w:pPr>
      <w:pStyle w:val="Footer"/>
    </w:pPr>
  </w:p>
  <w:p w14:paraId="62C5CDBD" w14:textId="543B42AE" w:rsidR="00625093" w:rsidRDefault="00BF68A0" w:rsidP="00AE3001">
    <w:pPr>
      <w:pStyle w:val="SecurityClassificationFooter"/>
    </w:pPr>
    <w:r>
      <w:fldChar w:fldCharType="begin"/>
    </w:r>
    <w:r>
      <w:instrText xml:space="preserve"> DOCPROPERTY WorkingDocStatus \* MERGEFORMAT </w:instrText>
    </w:r>
    <w:r>
      <w:fldChar w:fldCharType="separate"/>
    </w:r>
    <w:r w:rsidR="00DC362B">
      <w:t>DRAFT WORKING DOCUMENT</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4A80" w:themeColor="background2"/>
      </w:rPr>
      <w:id w:val="804360682"/>
      <w:docPartObj>
        <w:docPartGallery w:val="Page Numbers (Bottom of Page)"/>
        <w:docPartUnique/>
      </w:docPartObj>
    </w:sdtPr>
    <w:sdtEndPr>
      <w:rPr>
        <w:noProof/>
      </w:rPr>
    </w:sdtEndPr>
    <w:sdtContent>
      <w:p w14:paraId="5890D2A6" w14:textId="609A6E69" w:rsidR="00625093" w:rsidRDefault="00625093">
        <w:pPr>
          <w:pStyle w:val="Footer"/>
          <w:jc w:val="right"/>
          <w:rPr>
            <w:noProof/>
            <w:color w:val="004A80" w:themeColor="background2"/>
          </w:rPr>
        </w:pPr>
        <w:r w:rsidRPr="0005790B">
          <w:rPr>
            <w:color w:val="004A80" w:themeColor="background2"/>
          </w:rPr>
          <w:fldChar w:fldCharType="begin"/>
        </w:r>
        <w:r w:rsidRPr="0005790B">
          <w:rPr>
            <w:color w:val="004A80" w:themeColor="background2"/>
          </w:rPr>
          <w:instrText xml:space="preserve"> PAGE   \* MERGEFORMAT </w:instrText>
        </w:r>
        <w:r w:rsidRPr="0005790B">
          <w:rPr>
            <w:color w:val="004A80" w:themeColor="background2"/>
          </w:rPr>
          <w:fldChar w:fldCharType="separate"/>
        </w:r>
        <w:r w:rsidR="00BF68A0">
          <w:rPr>
            <w:noProof/>
            <w:color w:val="004A80" w:themeColor="background2"/>
          </w:rPr>
          <w:t>1</w:t>
        </w:r>
        <w:r w:rsidRPr="0005790B">
          <w:rPr>
            <w:noProof/>
            <w:color w:val="004A80" w:themeColor="background2"/>
          </w:rPr>
          <w:fldChar w:fldCharType="end"/>
        </w:r>
      </w:p>
    </w:sdtContent>
  </w:sdt>
  <w:p w14:paraId="1F8AAD54" w14:textId="7C6B2B3A" w:rsidR="00625093" w:rsidRPr="0005790B" w:rsidRDefault="00625093" w:rsidP="00AE3001">
    <w:pPr>
      <w:pStyle w:val="SecurityClassification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BD40D" w14:textId="77777777" w:rsidR="00625093" w:rsidRDefault="00625093" w:rsidP="00F70A9F">
      <w:pPr>
        <w:spacing w:after="0"/>
      </w:pPr>
      <w:r>
        <w:separator/>
      </w:r>
    </w:p>
  </w:footnote>
  <w:footnote w:type="continuationSeparator" w:id="0">
    <w:p w14:paraId="2AD10793" w14:textId="77777777" w:rsidR="00625093" w:rsidRDefault="00625093" w:rsidP="00F70A9F">
      <w:pPr>
        <w:spacing w:after="0"/>
      </w:pPr>
      <w:r>
        <w:continuationSeparator/>
      </w:r>
    </w:p>
  </w:footnote>
  <w:footnote w:type="continuationNotice" w:id="1">
    <w:p w14:paraId="4B2132D6" w14:textId="77777777" w:rsidR="00625093" w:rsidRDefault="0062509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BF8DD" w14:textId="3D84861D" w:rsidR="00625093" w:rsidRDefault="00BF68A0" w:rsidP="00AE3001">
    <w:pPr>
      <w:pStyle w:val="SecurityClassificationHeader"/>
    </w:pPr>
    <w:r>
      <w:fldChar w:fldCharType="begin"/>
    </w:r>
    <w:r>
      <w:instrText xml:space="preserve"> DOCPROPERTY WorkingDocStatus \* MERGEFORMAT </w:instrText>
    </w:r>
    <w:r>
      <w:fldChar w:fldCharType="separate"/>
    </w:r>
    <w:r w:rsidR="00DC362B">
      <w:t>DRAFT WORKING DOCUMENT</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B24C2" w14:textId="213B5651" w:rsidR="00625093" w:rsidRDefault="00625093" w:rsidP="00AE3001">
    <w:pPr>
      <w:pStyle w:val="SecurityClassificationHeader"/>
    </w:pPr>
    <w:r>
      <w:rPr>
        <w:noProof/>
        <w:lang w:eastAsia="en-AU"/>
      </w:rPr>
      <w:drawing>
        <wp:anchor distT="0" distB="0" distL="114300" distR="114300" simplePos="0" relativeHeight="251658240" behindDoc="1" locked="0" layoutInCell="1" allowOverlap="1" wp14:anchorId="555F934C" wp14:editId="22847D41">
          <wp:simplePos x="0" y="0"/>
          <wp:positionH relativeFrom="page">
            <wp:posOffset>284342</wp:posOffset>
          </wp:positionH>
          <wp:positionV relativeFrom="page">
            <wp:posOffset>182036</wp:posOffset>
          </wp:positionV>
          <wp:extent cx="7198995" cy="99949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_15mm marg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8995" cy="999490"/>
                  </a:xfrm>
                  <a:prstGeom prst="rect">
                    <a:avLst/>
                  </a:prstGeom>
                </pic:spPr>
              </pic:pic>
            </a:graphicData>
          </a:graphic>
          <wp14:sizeRelH relativeFrom="margin">
            <wp14:pctWidth>0</wp14:pctWidth>
          </wp14:sizeRelH>
          <wp14:sizeRelV relativeFrom="margin">
            <wp14:pctHeight>0</wp14:pctHeight>
          </wp14:sizeRelV>
        </wp:anchor>
      </w:drawing>
    </w:r>
    <w:fldSimple w:instr=" DOCPROPERTY WorkingDocStatus \* MERGEFORMAT ">
      <w:r w:rsidR="00DC362B">
        <w:t>DRAFT WORKING DOCUMENT</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64E0A" w14:textId="2DE080D5" w:rsidR="00625093" w:rsidRDefault="00BF68A0" w:rsidP="00AE3001">
    <w:pPr>
      <w:pStyle w:val="SecurityClassificationHeader"/>
    </w:pPr>
    <w:r>
      <w:fldChar w:fldCharType="begin"/>
    </w:r>
    <w:r>
      <w:instrText xml:space="preserve"> DOCPROPERTY WorkingDocStatus \* MERGEFORMAT </w:instrText>
    </w:r>
    <w:r>
      <w:fldChar w:fldCharType="separate"/>
    </w:r>
    <w:r w:rsidR="00DC362B">
      <w:t>DRAFT WORKING DOCUMENT</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0813D" w14:textId="77777777" w:rsidR="00625093" w:rsidRPr="0005790B" w:rsidRDefault="00625093">
    <w:pPr>
      <w:pStyle w:val="Header"/>
      <w:rPr>
        <w:color w:val="004A80" w:themeColor="background2"/>
      </w:rPr>
    </w:pPr>
    <w:r w:rsidRPr="0005790B">
      <w:rPr>
        <w:color w:val="004A80" w:themeColor="background2"/>
      </w:rPr>
      <w:t xml:space="preserve">INFORMATION NOTE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E43E8"/>
    <w:multiLevelType w:val="multilevel"/>
    <w:tmpl w:val="1B90B458"/>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True"/>
  </w:docVars>
  <w:rsids>
    <w:rsidRoot w:val="00647301"/>
    <w:rsid w:val="00003477"/>
    <w:rsid w:val="00006ACA"/>
    <w:rsid w:val="000421F9"/>
    <w:rsid w:val="00044099"/>
    <w:rsid w:val="000564FD"/>
    <w:rsid w:val="0005790B"/>
    <w:rsid w:val="00060779"/>
    <w:rsid w:val="00061C95"/>
    <w:rsid w:val="00061DA2"/>
    <w:rsid w:val="00062C76"/>
    <w:rsid w:val="000734BF"/>
    <w:rsid w:val="00084A86"/>
    <w:rsid w:val="0008646B"/>
    <w:rsid w:val="00090761"/>
    <w:rsid w:val="000967A1"/>
    <w:rsid w:val="000B3EE6"/>
    <w:rsid w:val="000D22E7"/>
    <w:rsid w:val="000E1AA0"/>
    <w:rsid w:val="000E5B30"/>
    <w:rsid w:val="000F3A21"/>
    <w:rsid w:val="0011318E"/>
    <w:rsid w:val="00126C74"/>
    <w:rsid w:val="00162D06"/>
    <w:rsid w:val="00166F66"/>
    <w:rsid w:val="001715E1"/>
    <w:rsid w:val="00176BE1"/>
    <w:rsid w:val="00186C12"/>
    <w:rsid w:val="001B535E"/>
    <w:rsid w:val="001E1E1C"/>
    <w:rsid w:val="001E74E6"/>
    <w:rsid w:val="001F0F83"/>
    <w:rsid w:val="00215558"/>
    <w:rsid w:val="0024154D"/>
    <w:rsid w:val="00246A27"/>
    <w:rsid w:val="00251D33"/>
    <w:rsid w:val="00257DD5"/>
    <w:rsid w:val="002B44F8"/>
    <w:rsid w:val="002C4D16"/>
    <w:rsid w:val="002D7273"/>
    <w:rsid w:val="00307D32"/>
    <w:rsid w:val="003124F3"/>
    <w:rsid w:val="00322D47"/>
    <w:rsid w:val="00334E64"/>
    <w:rsid w:val="00337564"/>
    <w:rsid w:val="00341ADD"/>
    <w:rsid w:val="00356CBD"/>
    <w:rsid w:val="00370DFF"/>
    <w:rsid w:val="003749BB"/>
    <w:rsid w:val="00376DE5"/>
    <w:rsid w:val="003A3B30"/>
    <w:rsid w:val="003D4B11"/>
    <w:rsid w:val="00421CD2"/>
    <w:rsid w:val="00444C7E"/>
    <w:rsid w:val="00462013"/>
    <w:rsid w:val="00476E28"/>
    <w:rsid w:val="004C341C"/>
    <w:rsid w:val="004C5946"/>
    <w:rsid w:val="004E458D"/>
    <w:rsid w:val="004F21FF"/>
    <w:rsid w:val="00513042"/>
    <w:rsid w:val="00532700"/>
    <w:rsid w:val="005430BF"/>
    <w:rsid w:val="005460DD"/>
    <w:rsid w:val="0054760C"/>
    <w:rsid w:val="005826CC"/>
    <w:rsid w:val="005846DC"/>
    <w:rsid w:val="0059127F"/>
    <w:rsid w:val="005A10E6"/>
    <w:rsid w:val="005C032C"/>
    <w:rsid w:val="005F229A"/>
    <w:rsid w:val="005F4574"/>
    <w:rsid w:val="005F7ADF"/>
    <w:rsid w:val="00607D18"/>
    <w:rsid w:val="00611521"/>
    <w:rsid w:val="00625093"/>
    <w:rsid w:val="00626904"/>
    <w:rsid w:val="0064416F"/>
    <w:rsid w:val="00646179"/>
    <w:rsid w:val="00647301"/>
    <w:rsid w:val="00651052"/>
    <w:rsid w:val="00671DD5"/>
    <w:rsid w:val="00674E14"/>
    <w:rsid w:val="0069181E"/>
    <w:rsid w:val="006A2B78"/>
    <w:rsid w:val="006A386A"/>
    <w:rsid w:val="006B228B"/>
    <w:rsid w:val="00701C09"/>
    <w:rsid w:val="00715D3D"/>
    <w:rsid w:val="00731ACF"/>
    <w:rsid w:val="007371D2"/>
    <w:rsid w:val="00755908"/>
    <w:rsid w:val="00772E48"/>
    <w:rsid w:val="00787207"/>
    <w:rsid w:val="007A0F8D"/>
    <w:rsid w:val="007B0557"/>
    <w:rsid w:val="007C3DB3"/>
    <w:rsid w:val="007C766A"/>
    <w:rsid w:val="007D1F42"/>
    <w:rsid w:val="007E41B5"/>
    <w:rsid w:val="007F2284"/>
    <w:rsid w:val="00804C1E"/>
    <w:rsid w:val="00805F63"/>
    <w:rsid w:val="00826136"/>
    <w:rsid w:val="0083680D"/>
    <w:rsid w:val="0086751A"/>
    <w:rsid w:val="00876992"/>
    <w:rsid w:val="0089305D"/>
    <w:rsid w:val="008D4403"/>
    <w:rsid w:val="008E5EEE"/>
    <w:rsid w:val="008E73F9"/>
    <w:rsid w:val="00900A42"/>
    <w:rsid w:val="00901E1F"/>
    <w:rsid w:val="00921E62"/>
    <w:rsid w:val="00944E8F"/>
    <w:rsid w:val="0096430D"/>
    <w:rsid w:val="009710E5"/>
    <w:rsid w:val="00971E6C"/>
    <w:rsid w:val="009855D8"/>
    <w:rsid w:val="009A2E65"/>
    <w:rsid w:val="009A382B"/>
    <w:rsid w:val="009A601E"/>
    <w:rsid w:val="009B50DD"/>
    <w:rsid w:val="009D4763"/>
    <w:rsid w:val="009E5E7B"/>
    <w:rsid w:val="009E75F4"/>
    <w:rsid w:val="00A4007E"/>
    <w:rsid w:val="00A45ACC"/>
    <w:rsid w:val="00A67285"/>
    <w:rsid w:val="00A8057A"/>
    <w:rsid w:val="00A86699"/>
    <w:rsid w:val="00A94D16"/>
    <w:rsid w:val="00AC36F4"/>
    <w:rsid w:val="00AC41BA"/>
    <w:rsid w:val="00AE3001"/>
    <w:rsid w:val="00AE565E"/>
    <w:rsid w:val="00B42F02"/>
    <w:rsid w:val="00B645E8"/>
    <w:rsid w:val="00B9203A"/>
    <w:rsid w:val="00BD3C49"/>
    <w:rsid w:val="00BD6AFF"/>
    <w:rsid w:val="00BE5534"/>
    <w:rsid w:val="00BF525D"/>
    <w:rsid w:val="00BF68A0"/>
    <w:rsid w:val="00C02562"/>
    <w:rsid w:val="00C213A1"/>
    <w:rsid w:val="00C666DD"/>
    <w:rsid w:val="00C73F3E"/>
    <w:rsid w:val="00C81301"/>
    <w:rsid w:val="00C86231"/>
    <w:rsid w:val="00CB2B23"/>
    <w:rsid w:val="00CB3E0A"/>
    <w:rsid w:val="00CC48BE"/>
    <w:rsid w:val="00CE0611"/>
    <w:rsid w:val="00CE16CD"/>
    <w:rsid w:val="00CF3164"/>
    <w:rsid w:val="00D2150F"/>
    <w:rsid w:val="00D23AF7"/>
    <w:rsid w:val="00D41E99"/>
    <w:rsid w:val="00D90CAC"/>
    <w:rsid w:val="00DA446E"/>
    <w:rsid w:val="00DC362B"/>
    <w:rsid w:val="00DD6B98"/>
    <w:rsid w:val="00DF0E70"/>
    <w:rsid w:val="00DF2115"/>
    <w:rsid w:val="00E04338"/>
    <w:rsid w:val="00E413B6"/>
    <w:rsid w:val="00E454A1"/>
    <w:rsid w:val="00E45F7B"/>
    <w:rsid w:val="00E468B5"/>
    <w:rsid w:val="00E508A9"/>
    <w:rsid w:val="00E6271C"/>
    <w:rsid w:val="00E62E88"/>
    <w:rsid w:val="00E81C61"/>
    <w:rsid w:val="00E901EF"/>
    <w:rsid w:val="00EB23BC"/>
    <w:rsid w:val="00EF3C21"/>
    <w:rsid w:val="00EF7CB9"/>
    <w:rsid w:val="00F07E89"/>
    <w:rsid w:val="00F200F4"/>
    <w:rsid w:val="00F33FDF"/>
    <w:rsid w:val="00F70A9F"/>
    <w:rsid w:val="00F80787"/>
    <w:rsid w:val="00F84CE3"/>
    <w:rsid w:val="00F970B8"/>
    <w:rsid w:val="00FB1842"/>
    <w:rsid w:val="00FB659D"/>
    <w:rsid w:val="00FC0172"/>
    <w:rsid w:val="00FC212B"/>
    <w:rsid w:val="00FC5703"/>
    <w:rsid w:val="00FC59F8"/>
    <w:rsid w:val="00FC5BFF"/>
    <w:rsid w:val="00FC6E35"/>
    <w:rsid w:val="00FD7EC9"/>
    <w:rsid w:val="00FE118B"/>
    <w:rsid w:val="00FF42E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46A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9F"/>
    <w:pPr>
      <w:spacing w:after="120"/>
    </w:pPr>
  </w:style>
  <w:style w:type="paragraph" w:styleId="Heading1">
    <w:name w:val="heading 1"/>
    <w:basedOn w:val="Normal"/>
    <w:next w:val="Normal"/>
    <w:link w:val="Heading1Char"/>
    <w:uiPriority w:val="9"/>
    <w:qFormat/>
    <w:rsid w:val="00611521"/>
    <w:pPr>
      <w:keepNext/>
      <w:keepLines/>
      <w:spacing w:after="0"/>
      <w:outlineLvl w:val="0"/>
    </w:pPr>
    <w:rPr>
      <w:rFonts w:ascii="Rockwell" w:eastAsiaTheme="majorEastAsia" w:hAnsi="Rockwell" w:cstheme="majorBidi"/>
      <w:bCs/>
      <w:color w:val="0074BD" w:themeColor="accent1"/>
      <w:sz w:val="28"/>
      <w:szCs w:val="28"/>
    </w:rPr>
  </w:style>
  <w:style w:type="paragraph" w:styleId="Heading2">
    <w:name w:val="heading 2"/>
    <w:basedOn w:val="Normal"/>
    <w:next w:val="Normal"/>
    <w:link w:val="Heading2Char"/>
    <w:uiPriority w:val="9"/>
    <w:unhideWhenUsed/>
    <w:qFormat/>
    <w:rsid w:val="00611521"/>
    <w:pPr>
      <w:keepNext/>
      <w:keepLines/>
      <w:spacing w:after="0"/>
      <w:outlineLvl w:val="1"/>
    </w:pPr>
    <w:rPr>
      <w:rFonts w:asciiTheme="majorHAnsi" w:eastAsiaTheme="majorEastAsia" w:hAnsiTheme="majorHAnsi" w:cstheme="majorBidi"/>
      <w:b/>
      <w:bCs/>
      <w:color w:val="0074BD" w:themeColor="accent1"/>
      <w:sz w:val="26"/>
      <w:szCs w:val="26"/>
    </w:rPr>
  </w:style>
  <w:style w:type="paragraph" w:styleId="Heading3">
    <w:name w:val="heading 3"/>
    <w:basedOn w:val="Normal"/>
    <w:next w:val="Normal"/>
    <w:link w:val="Heading3Char"/>
    <w:uiPriority w:val="9"/>
    <w:unhideWhenUsed/>
    <w:qFormat/>
    <w:rsid w:val="0005790B"/>
    <w:pPr>
      <w:keepNext/>
      <w:keepLines/>
      <w:spacing w:before="200" w:after="0"/>
      <w:outlineLvl w:val="2"/>
    </w:pPr>
    <w:rPr>
      <w:rFonts w:asciiTheme="majorHAnsi" w:eastAsiaTheme="majorEastAsia" w:hAnsiTheme="majorHAnsi" w:cstheme="majorBidi"/>
      <w:b/>
      <w:bCs/>
      <w:color w:val="0074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 title"/>
    <w:basedOn w:val="Normal"/>
    <w:qFormat/>
    <w:rsid w:val="0005790B"/>
    <w:pPr>
      <w:jc w:val="right"/>
    </w:pPr>
    <w:rPr>
      <w:color w:val="F06252" w:themeColor="accent6"/>
      <w:sz w:val="22"/>
    </w:rPr>
  </w:style>
  <w:style w:type="character" w:customStyle="1" w:styleId="Heading2Char">
    <w:name w:val="Heading 2 Char"/>
    <w:basedOn w:val="DefaultParagraphFont"/>
    <w:link w:val="Heading2"/>
    <w:uiPriority w:val="9"/>
    <w:rsid w:val="00611521"/>
    <w:rPr>
      <w:rFonts w:asciiTheme="majorHAnsi" w:eastAsiaTheme="majorEastAsia" w:hAnsiTheme="majorHAnsi" w:cstheme="majorBidi"/>
      <w:b/>
      <w:bCs/>
      <w:color w:val="0074BD" w:themeColor="accent1"/>
      <w:sz w:val="26"/>
      <w:szCs w:val="26"/>
    </w:rPr>
  </w:style>
  <w:style w:type="character" w:customStyle="1" w:styleId="Heading1Char">
    <w:name w:val="Heading 1 Char"/>
    <w:basedOn w:val="DefaultParagraphFont"/>
    <w:link w:val="Heading1"/>
    <w:uiPriority w:val="9"/>
    <w:rsid w:val="00611521"/>
    <w:rPr>
      <w:rFonts w:ascii="Rockwell" w:eastAsiaTheme="majorEastAsia" w:hAnsi="Rockwell" w:cstheme="majorBidi"/>
      <w:bCs/>
      <w:color w:val="0074BD" w:themeColor="accent1"/>
      <w:sz w:val="28"/>
      <w:szCs w:val="28"/>
    </w:rPr>
  </w:style>
  <w:style w:type="paragraph" w:customStyle="1" w:styleId="CoverInfoNote">
    <w:name w:val="Cover Info Note"/>
    <w:basedOn w:val="Normal"/>
    <w:qFormat/>
    <w:rsid w:val="0005790B"/>
    <w:pPr>
      <w:spacing w:after="0"/>
    </w:pPr>
    <w:rPr>
      <w:rFonts w:ascii="Rockwell" w:hAnsi="Rockwell"/>
      <w:b/>
      <w:color w:val="F06252" w:themeColor="accent6"/>
    </w:rPr>
  </w:style>
  <w:style w:type="paragraph" w:customStyle="1" w:styleId="Introtext">
    <w:name w:val="Intro text"/>
    <w:basedOn w:val="Normal"/>
    <w:qFormat/>
    <w:rsid w:val="00F70A9F"/>
    <w:pPr>
      <w:spacing w:line="320" w:lineRule="exact"/>
    </w:pPr>
    <w:rPr>
      <w:rFonts w:ascii="Calibri Light" w:hAnsi="Calibri Light"/>
      <w:color w:val="16325C" w:themeColor="text2"/>
      <w:sz w:val="22"/>
    </w:rPr>
  </w:style>
  <w:style w:type="paragraph" w:styleId="Header">
    <w:name w:val="header"/>
    <w:basedOn w:val="Normal"/>
    <w:link w:val="HeaderChar"/>
    <w:uiPriority w:val="99"/>
    <w:unhideWhenUsed/>
    <w:rsid w:val="0005790B"/>
    <w:pPr>
      <w:tabs>
        <w:tab w:val="center" w:pos="4513"/>
        <w:tab w:val="right" w:pos="9026"/>
      </w:tabs>
      <w:spacing w:after="0"/>
    </w:pPr>
    <w:rPr>
      <w:rFonts w:ascii="Rockwell" w:hAnsi="Rockwell"/>
      <w:color w:val="16325C" w:themeColor="text2"/>
    </w:rPr>
  </w:style>
  <w:style w:type="character" w:customStyle="1" w:styleId="HeaderChar">
    <w:name w:val="Header Char"/>
    <w:basedOn w:val="DefaultParagraphFont"/>
    <w:link w:val="Header"/>
    <w:uiPriority w:val="99"/>
    <w:rsid w:val="0005790B"/>
    <w:rPr>
      <w:rFonts w:ascii="Rockwell" w:hAnsi="Rockwell"/>
      <w:color w:val="16325C" w:themeColor="text2"/>
    </w:rPr>
  </w:style>
  <w:style w:type="paragraph" w:styleId="Footer">
    <w:name w:val="footer"/>
    <w:basedOn w:val="Normal"/>
    <w:link w:val="FooterChar"/>
    <w:uiPriority w:val="99"/>
    <w:unhideWhenUsed/>
    <w:rsid w:val="00F70A9F"/>
    <w:pPr>
      <w:tabs>
        <w:tab w:val="center" w:pos="4513"/>
        <w:tab w:val="right" w:pos="9026"/>
      </w:tabs>
      <w:spacing w:after="0"/>
    </w:pPr>
  </w:style>
  <w:style w:type="character" w:customStyle="1" w:styleId="FooterChar">
    <w:name w:val="Footer Char"/>
    <w:basedOn w:val="DefaultParagraphFont"/>
    <w:link w:val="Footer"/>
    <w:uiPriority w:val="99"/>
    <w:rsid w:val="00F70A9F"/>
  </w:style>
  <w:style w:type="paragraph" w:styleId="BalloonText">
    <w:name w:val="Balloon Text"/>
    <w:basedOn w:val="Normal"/>
    <w:link w:val="BalloonTextChar"/>
    <w:uiPriority w:val="99"/>
    <w:semiHidden/>
    <w:unhideWhenUsed/>
    <w:rsid w:val="00F70A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A9F"/>
    <w:rPr>
      <w:rFonts w:ascii="Tahoma" w:hAnsi="Tahoma" w:cs="Tahoma"/>
      <w:sz w:val="16"/>
      <w:szCs w:val="16"/>
    </w:rPr>
  </w:style>
  <w:style w:type="paragraph" w:customStyle="1" w:styleId="Chartnumber">
    <w:name w:val="Chart number"/>
    <w:basedOn w:val="Normal"/>
    <w:qFormat/>
    <w:rsid w:val="00C02562"/>
    <w:pPr>
      <w:spacing w:after="0"/>
    </w:pPr>
    <w:rPr>
      <w:rFonts w:ascii="Rockwell" w:hAnsi="Rockwell"/>
      <w:b/>
      <w:caps/>
      <w:color w:val="16325C" w:themeColor="text2"/>
      <w:sz w:val="18"/>
    </w:rPr>
  </w:style>
  <w:style w:type="paragraph" w:customStyle="1" w:styleId="Chartheading">
    <w:name w:val="Chart heading"/>
    <w:basedOn w:val="Normal"/>
    <w:qFormat/>
    <w:rsid w:val="00C02562"/>
    <w:rPr>
      <w:rFonts w:ascii="Rockwell" w:hAnsi="Rockwell"/>
      <w:color w:val="16325C" w:themeColor="text2"/>
      <w:sz w:val="24"/>
    </w:rPr>
  </w:style>
  <w:style w:type="paragraph" w:customStyle="1" w:styleId="Chartgraphic">
    <w:name w:val="Chart graphic"/>
    <w:basedOn w:val="Normal"/>
    <w:qFormat/>
    <w:rsid w:val="00F70A9F"/>
    <w:pPr>
      <w:spacing w:after="0"/>
    </w:pPr>
  </w:style>
  <w:style w:type="paragraph" w:customStyle="1" w:styleId="Covertitle">
    <w:name w:val="Cover title"/>
    <w:qFormat/>
    <w:rsid w:val="0005790B"/>
    <w:pPr>
      <w:spacing w:before="120" w:after="360"/>
    </w:pPr>
    <w:rPr>
      <w:rFonts w:ascii="Rockwell" w:eastAsiaTheme="majorEastAsia" w:hAnsi="Rockwell" w:cstheme="majorBidi"/>
      <w:bCs/>
      <w:color w:val="004A80" w:themeColor="background2"/>
      <w:sz w:val="40"/>
      <w:szCs w:val="28"/>
    </w:rPr>
  </w:style>
  <w:style w:type="paragraph" w:customStyle="1" w:styleId="Chartnote">
    <w:name w:val="Chart note"/>
    <w:basedOn w:val="Normal"/>
    <w:qFormat/>
    <w:rsid w:val="009B50DD"/>
    <w:rPr>
      <w:sz w:val="18"/>
    </w:rPr>
  </w:style>
  <w:style w:type="paragraph" w:customStyle="1" w:styleId="Bullet">
    <w:name w:val="Bullet"/>
    <w:basedOn w:val="Normal"/>
    <w:link w:val="BulletChar"/>
    <w:rsid w:val="00651052"/>
    <w:pPr>
      <w:numPr>
        <w:numId w:val="1"/>
      </w:numPr>
    </w:pPr>
  </w:style>
  <w:style w:type="character" w:customStyle="1" w:styleId="BulletChar">
    <w:name w:val="Bullet Char"/>
    <w:basedOn w:val="DefaultParagraphFont"/>
    <w:link w:val="Bullet"/>
    <w:rsid w:val="00651052"/>
  </w:style>
  <w:style w:type="paragraph" w:customStyle="1" w:styleId="Dash">
    <w:name w:val="Dash"/>
    <w:basedOn w:val="Normal"/>
    <w:link w:val="DashChar"/>
    <w:rsid w:val="00651052"/>
    <w:pPr>
      <w:numPr>
        <w:ilvl w:val="1"/>
        <w:numId w:val="1"/>
      </w:numPr>
    </w:pPr>
  </w:style>
  <w:style w:type="character" w:customStyle="1" w:styleId="DashChar">
    <w:name w:val="Dash Char"/>
    <w:basedOn w:val="DefaultParagraphFont"/>
    <w:link w:val="Dash"/>
    <w:rsid w:val="00651052"/>
  </w:style>
  <w:style w:type="paragraph" w:customStyle="1" w:styleId="DoubleDot">
    <w:name w:val="Double Dot"/>
    <w:basedOn w:val="Normal"/>
    <w:link w:val="DoubleDotChar"/>
    <w:rsid w:val="00651052"/>
    <w:pPr>
      <w:numPr>
        <w:ilvl w:val="2"/>
        <w:numId w:val="1"/>
      </w:numPr>
    </w:pPr>
  </w:style>
  <w:style w:type="character" w:customStyle="1" w:styleId="DoubleDotChar">
    <w:name w:val="Double Dot Char"/>
    <w:basedOn w:val="DefaultParagraphFont"/>
    <w:link w:val="DoubleDot"/>
    <w:rsid w:val="00651052"/>
  </w:style>
  <w:style w:type="paragraph" w:styleId="FootnoteText">
    <w:name w:val="footnote text"/>
    <w:basedOn w:val="Normal"/>
    <w:link w:val="FootnoteTextChar"/>
    <w:uiPriority w:val="99"/>
    <w:semiHidden/>
    <w:unhideWhenUsed/>
    <w:rsid w:val="0096430D"/>
    <w:pPr>
      <w:spacing w:after="0"/>
    </w:pPr>
  </w:style>
  <w:style w:type="character" w:customStyle="1" w:styleId="FootnoteTextChar">
    <w:name w:val="Footnote Text Char"/>
    <w:basedOn w:val="DefaultParagraphFont"/>
    <w:link w:val="FootnoteText"/>
    <w:uiPriority w:val="99"/>
    <w:semiHidden/>
    <w:rsid w:val="0096430D"/>
  </w:style>
  <w:style w:type="character" w:styleId="FootnoteReference">
    <w:name w:val="footnote reference"/>
    <w:basedOn w:val="DefaultParagraphFont"/>
    <w:uiPriority w:val="99"/>
    <w:semiHidden/>
    <w:unhideWhenUsed/>
    <w:rsid w:val="0096430D"/>
    <w:rPr>
      <w:vertAlign w:val="superscript"/>
    </w:rPr>
  </w:style>
  <w:style w:type="paragraph" w:customStyle="1" w:styleId="Footnote">
    <w:name w:val="Footnote"/>
    <w:basedOn w:val="FootnoteText"/>
    <w:qFormat/>
    <w:rsid w:val="00FB1842"/>
    <w:pPr>
      <w:ind w:left="227" w:hanging="227"/>
    </w:pPr>
    <w:rPr>
      <w:sz w:val="18"/>
    </w:rPr>
  </w:style>
  <w:style w:type="character" w:customStyle="1" w:styleId="Heading3Char">
    <w:name w:val="Heading 3 Char"/>
    <w:basedOn w:val="DefaultParagraphFont"/>
    <w:link w:val="Heading3"/>
    <w:uiPriority w:val="9"/>
    <w:rsid w:val="0005790B"/>
    <w:rPr>
      <w:rFonts w:asciiTheme="majorHAnsi" w:eastAsiaTheme="majorEastAsia" w:hAnsiTheme="majorHAnsi" w:cstheme="majorBidi"/>
      <w:b/>
      <w:bCs/>
      <w:color w:val="0074BD" w:themeColor="accent1"/>
    </w:rPr>
  </w:style>
  <w:style w:type="character" w:styleId="CommentReference">
    <w:name w:val="annotation reference"/>
    <w:basedOn w:val="DefaultParagraphFont"/>
    <w:uiPriority w:val="99"/>
    <w:semiHidden/>
    <w:unhideWhenUsed/>
    <w:rsid w:val="00FC0172"/>
    <w:rPr>
      <w:sz w:val="16"/>
      <w:szCs w:val="16"/>
    </w:rPr>
  </w:style>
  <w:style w:type="paragraph" w:styleId="CommentText">
    <w:name w:val="annotation text"/>
    <w:basedOn w:val="Normal"/>
    <w:link w:val="CommentTextChar"/>
    <w:uiPriority w:val="99"/>
    <w:semiHidden/>
    <w:unhideWhenUsed/>
    <w:rsid w:val="00FC0172"/>
  </w:style>
  <w:style w:type="character" w:customStyle="1" w:styleId="CommentTextChar">
    <w:name w:val="Comment Text Char"/>
    <w:basedOn w:val="DefaultParagraphFont"/>
    <w:link w:val="CommentText"/>
    <w:uiPriority w:val="99"/>
    <w:semiHidden/>
    <w:rsid w:val="00FC0172"/>
  </w:style>
  <w:style w:type="paragraph" w:styleId="CommentSubject">
    <w:name w:val="annotation subject"/>
    <w:basedOn w:val="CommentText"/>
    <w:next w:val="CommentText"/>
    <w:link w:val="CommentSubjectChar"/>
    <w:uiPriority w:val="99"/>
    <w:semiHidden/>
    <w:unhideWhenUsed/>
    <w:rsid w:val="00FC0172"/>
    <w:rPr>
      <w:b/>
      <w:bCs/>
    </w:rPr>
  </w:style>
  <w:style w:type="character" w:customStyle="1" w:styleId="CommentSubjectChar">
    <w:name w:val="Comment Subject Char"/>
    <w:basedOn w:val="CommentTextChar"/>
    <w:link w:val="CommentSubject"/>
    <w:uiPriority w:val="99"/>
    <w:semiHidden/>
    <w:rsid w:val="00FC0172"/>
    <w:rPr>
      <w:b/>
      <w:bCs/>
    </w:rPr>
  </w:style>
  <w:style w:type="paragraph" w:styleId="Revision">
    <w:name w:val="Revision"/>
    <w:hidden/>
    <w:uiPriority w:val="99"/>
    <w:semiHidden/>
    <w:rsid w:val="007A0F8D"/>
  </w:style>
  <w:style w:type="paragraph" w:customStyle="1" w:styleId="SecurityClassificationHeader">
    <w:name w:val="Security Classification Header"/>
    <w:link w:val="SecurityClassificationHeaderChar"/>
    <w:rsid w:val="00C666DD"/>
    <w:pPr>
      <w:spacing w:before="240" w:after="60"/>
      <w:jc w:val="center"/>
    </w:pPr>
    <w:rPr>
      <w:rFonts w:ascii="Rockwell" w:hAnsi="Rockwell"/>
      <w:b/>
      <w:caps/>
      <w:color w:val="16325C" w:themeColor="text2"/>
      <w:sz w:val="24"/>
    </w:rPr>
  </w:style>
  <w:style w:type="character" w:customStyle="1" w:styleId="SecurityClassificationHeaderChar">
    <w:name w:val="Security Classification Header Char"/>
    <w:basedOn w:val="HeaderChar"/>
    <w:link w:val="SecurityClassificationHeader"/>
    <w:rsid w:val="00C666DD"/>
    <w:rPr>
      <w:rFonts w:ascii="Rockwell" w:hAnsi="Rockwell"/>
      <w:b/>
      <w:caps/>
      <w:color w:val="16325C" w:themeColor="text2"/>
      <w:sz w:val="24"/>
    </w:rPr>
  </w:style>
  <w:style w:type="paragraph" w:customStyle="1" w:styleId="SecurityClassificationFooter">
    <w:name w:val="Security Classification Footer"/>
    <w:link w:val="SecurityClassificationFooterChar"/>
    <w:rsid w:val="00C666DD"/>
    <w:pPr>
      <w:spacing w:before="60" w:after="240"/>
      <w:jc w:val="center"/>
    </w:pPr>
    <w:rPr>
      <w:rFonts w:ascii="Rockwell" w:hAnsi="Rockwell"/>
      <w:b/>
      <w:caps/>
      <w:color w:val="16325C" w:themeColor="text2"/>
      <w:sz w:val="24"/>
    </w:rPr>
  </w:style>
  <w:style w:type="character" w:customStyle="1" w:styleId="SecurityClassificationFooterChar">
    <w:name w:val="Security Classification Footer Char"/>
    <w:basedOn w:val="HeaderChar"/>
    <w:link w:val="SecurityClassificationFooter"/>
    <w:rsid w:val="00C666DD"/>
    <w:rPr>
      <w:rFonts w:ascii="Rockwell" w:hAnsi="Rockwell"/>
      <w:b/>
      <w:caps/>
      <w:color w:val="16325C" w:themeColor="text2"/>
      <w:sz w:val="24"/>
    </w:rPr>
  </w:style>
  <w:style w:type="paragraph" w:customStyle="1" w:styleId="DLMSecurityHeader">
    <w:name w:val="DLM Security Header"/>
    <w:link w:val="DLMSecurityHeaderChar"/>
    <w:rsid w:val="00C666DD"/>
    <w:pPr>
      <w:spacing w:before="60" w:after="240"/>
      <w:jc w:val="center"/>
    </w:pPr>
    <w:rPr>
      <w:rFonts w:ascii="Rockwell" w:hAnsi="Rockwell"/>
      <w:b/>
      <w:caps/>
      <w:color w:val="16325C" w:themeColor="text2"/>
      <w:sz w:val="24"/>
    </w:rPr>
  </w:style>
  <w:style w:type="character" w:customStyle="1" w:styleId="DLMSecurityHeaderChar">
    <w:name w:val="DLM Security Header Char"/>
    <w:basedOn w:val="HeaderChar"/>
    <w:link w:val="DLMSecurityHeader"/>
    <w:rsid w:val="00C666DD"/>
    <w:rPr>
      <w:rFonts w:ascii="Rockwell" w:hAnsi="Rockwell"/>
      <w:b/>
      <w:caps/>
      <w:color w:val="16325C" w:themeColor="text2"/>
      <w:sz w:val="24"/>
    </w:rPr>
  </w:style>
  <w:style w:type="paragraph" w:customStyle="1" w:styleId="DLMSecurityFooter">
    <w:name w:val="DLM Security Footer"/>
    <w:link w:val="DLMSecurityFooterChar"/>
    <w:rsid w:val="00C666DD"/>
    <w:pPr>
      <w:spacing w:before="240" w:after="60"/>
      <w:jc w:val="center"/>
    </w:pPr>
    <w:rPr>
      <w:rFonts w:ascii="Rockwell" w:hAnsi="Rockwell"/>
      <w:b/>
      <w:caps/>
      <w:color w:val="16325C" w:themeColor="text2"/>
      <w:sz w:val="24"/>
    </w:rPr>
  </w:style>
  <w:style w:type="character" w:customStyle="1" w:styleId="DLMSecurityFooterChar">
    <w:name w:val="DLM Security Footer Char"/>
    <w:basedOn w:val="HeaderChar"/>
    <w:link w:val="DLMSecurityFooter"/>
    <w:rsid w:val="00C666DD"/>
    <w:rPr>
      <w:rFonts w:ascii="Rockwell" w:hAnsi="Rockwell"/>
      <w:b/>
      <w:caps/>
      <w:color w:val="16325C" w:themeColor="text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9F"/>
    <w:pPr>
      <w:spacing w:after="120"/>
    </w:pPr>
  </w:style>
  <w:style w:type="paragraph" w:styleId="Heading1">
    <w:name w:val="heading 1"/>
    <w:basedOn w:val="Normal"/>
    <w:next w:val="Normal"/>
    <w:link w:val="Heading1Char"/>
    <w:uiPriority w:val="9"/>
    <w:qFormat/>
    <w:rsid w:val="00611521"/>
    <w:pPr>
      <w:keepNext/>
      <w:keepLines/>
      <w:spacing w:after="0"/>
      <w:outlineLvl w:val="0"/>
    </w:pPr>
    <w:rPr>
      <w:rFonts w:ascii="Rockwell" w:eastAsiaTheme="majorEastAsia" w:hAnsi="Rockwell" w:cstheme="majorBidi"/>
      <w:bCs/>
      <w:color w:val="0074BD" w:themeColor="accent1"/>
      <w:sz w:val="28"/>
      <w:szCs w:val="28"/>
    </w:rPr>
  </w:style>
  <w:style w:type="paragraph" w:styleId="Heading2">
    <w:name w:val="heading 2"/>
    <w:basedOn w:val="Normal"/>
    <w:next w:val="Normal"/>
    <w:link w:val="Heading2Char"/>
    <w:uiPriority w:val="9"/>
    <w:unhideWhenUsed/>
    <w:qFormat/>
    <w:rsid w:val="00611521"/>
    <w:pPr>
      <w:keepNext/>
      <w:keepLines/>
      <w:spacing w:after="0"/>
      <w:outlineLvl w:val="1"/>
    </w:pPr>
    <w:rPr>
      <w:rFonts w:asciiTheme="majorHAnsi" w:eastAsiaTheme="majorEastAsia" w:hAnsiTheme="majorHAnsi" w:cstheme="majorBidi"/>
      <w:b/>
      <w:bCs/>
      <w:color w:val="0074BD" w:themeColor="accent1"/>
      <w:sz w:val="26"/>
      <w:szCs w:val="26"/>
    </w:rPr>
  </w:style>
  <w:style w:type="paragraph" w:styleId="Heading3">
    <w:name w:val="heading 3"/>
    <w:basedOn w:val="Normal"/>
    <w:next w:val="Normal"/>
    <w:link w:val="Heading3Char"/>
    <w:uiPriority w:val="9"/>
    <w:unhideWhenUsed/>
    <w:qFormat/>
    <w:rsid w:val="0005790B"/>
    <w:pPr>
      <w:keepNext/>
      <w:keepLines/>
      <w:spacing w:before="200" w:after="0"/>
      <w:outlineLvl w:val="2"/>
    </w:pPr>
    <w:rPr>
      <w:rFonts w:asciiTheme="majorHAnsi" w:eastAsiaTheme="majorEastAsia" w:hAnsiTheme="majorHAnsi" w:cstheme="majorBidi"/>
      <w:b/>
      <w:bCs/>
      <w:color w:val="0074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 title"/>
    <w:basedOn w:val="Normal"/>
    <w:qFormat/>
    <w:rsid w:val="0005790B"/>
    <w:pPr>
      <w:jc w:val="right"/>
    </w:pPr>
    <w:rPr>
      <w:color w:val="F06252" w:themeColor="accent6"/>
      <w:sz w:val="22"/>
    </w:rPr>
  </w:style>
  <w:style w:type="character" w:customStyle="1" w:styleId="Heading2Char">
    <w:name w:val="Heading 2 Char"/>
    <w:basedOn w:val="DefaultParagraphFont"/>
    <w:link w:val="Heading2"/>
    <w:uiPriority w:val="9"/>
    <w:rsid w:val="00611521"/>
    <w:rPr>
      <w:rFonts w:asciiTheme="majorHAnsi" w:eastAsiaTheme="majorEastAsia" w:hAnsiTheme="majorHAnsi" w:cstheme="majorBidi"/>
      <w:b/>
      <w:bCs/>
      <w:color w:val="0074BD" w:themeColor="accent1"/>
      <w:sz w:val="26"/>
      <w:szCs w:val="26"/>
    </w:rPr>
  </w:style>
  <w:style w:type="character" w:customStyle="1" w:styleId="Heading1Char">
    <w:name w:val="Heading 1 Char"/>
    <w:basedOn w:val="DefaultParagraphFont"/>
    <w:link w:val="Heading1"/>
    <w:uiPriority w:val="9"/>
    <w:rsid w:val="00611521"/>
    <w:rPr>
      <w:rFonts w:ascii="Rockwell" w:eastAsiaTheme="majorEastAsia" w:hAnsi="Rockwell" w:cstheme="majorBidi"/>
      <w:bCs/>
      <w:color w:val="0074BD" w:themeColor="accent1"/>
      <w:sz w:val="28"/>
      <w:szCs w:val="28"/>
    </w:rPr>
  </w:style>
  <w:style w:type="paragraph" w:customStyle="1" w:styleId="CoverInfoNote">
    <w:name w:val="Cover Info Note"/>
    <w:basedOn w:val="Normal"/>
    <w:qFormat/>
    <w:rsid w:val="0005790B"/>
    <w:pPr>
      <w:spacing w:after="0"/>
    </w:pPr>
    <w:rPr>
      <w:rFonts w:ascii="Rockwell" w:hAnsi="Rockwell"/>
      <w:b/>
      <w:color w:val="F06252" w:themeColor="accent6"/>
    </w:rPr>
  </w:style>
  <w:style w:type="paragraph" w:customStyle="1" w:styleId="Introtext">
    <w:name w:val="Intro text"/>
    <w:basedOn w:val="Normal"/>
    <w:qFormat/>
    <w:rsid w:val="00F70A9F"/>
    <w:pPr>
      <w:spacing w:line="320" w:lineRule="exact"/>
    </w:pPr>
    <w:rPr>
      <w:rFonts w:ascii="Calibri Light" w:hAnsi="Calibri Light"/>
      <w:color w:val="16325C" w:themeColor="text2"/>
      <w:sz w:val="22"/>
    </w:rPr>
  </w:style>
  <w:style w:type="paragraph" w:styleId="Header">
    <w:name w:val="header"/>
    <w:basedOn w:val="Normal"/>
    <w:link w:val="HeaderChar"/>
    <w:uiPriority w:val="99"/>
    <w:unhideWhenUsed/>
    <w:rsid w:val="0005790B"/>
    <w:pPr>
      <w:tabs>
        <w:tab w:val="center" w:pos="4513"/>
        <w:tab w:val="right" w:pos="9026"/>
      </w:tabs>
      <w:spacing w:after="0"/>
    </w:pPr>
    <w:rPr>
      <w:rFonts w:ascii="Rockwell" w:hAnsi="Rockwell"/>
      <w:color w:val="16325C" w:themeColor="text2"/>
    </w:rPr>
  </w:style>
  <w:style w:type="character" w:customStyle="1" w:styleId="HeaderChar">
    <w:name w:val="Header Char"/>
    <w:basedOn w:val="DefaultParagraphFont"/>
    <w:link w:val="Header"/>
    <w:uiPriority w:val="99"/>
    <w:rsid w:val="0005790B"/>
    <w:rPr>
      <w:rFonts w:ascii="Rockwell" w:hAnsi="Rockwell"/>
      <w:color w:val="16325C" w:themeColor="text2"/>
    </w:rPr>
  </w:style>
  <w:style w:type="paragraph" w:styleId="Footer">
    <w:name w:val="footer"/>
    <w:basedOn w:val="Normal"/>
    <w:link w:val="FooterChar"/>
    <w:uiPriority w:val="99"/>
    <w:unhideWhenUsed/>
    <w:rsid w:val="00F70A9F"/>
    <w:pPr>
      <w:tabs>
        <w:tab w:val="center" w:pos="4513"/>
        <w:tab w:val="right" w:pos="9026"/>
      </w:tabs>
      <w:spacing w:after="0"/>
    </w:pPr>
  </w:style>
  <w:style w:type="character" w:customStyle="1" w:styleId="FooterChar">
    <w:name w:val="Footer Char"/>
    <w:basedOn w:val="DefaultParagraphFont"/>
    <w:link w:val="Footer"/>
    <w:uiPriority w:val="99"/>
    <w:rsid w:val="00F70A9F"/>
  </w:style>
  <w:style w:type="paragraph" w:styleId="BalloonText">
    <w:name w:val="Balloon Text"/>
    <w:basedOn w:val="Normal"/>
    <w:link w:val="BalloonTextChar"/>
    <w:uiPriority w:val="99"/>
    <w:semiHidden/>
    <w:unhideWhenUsed/>
    <w:rsid w:val="00F70A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A9F"/>
    <w:rPr>
      <w:rFonts w:ascii="Tahoma" w:hAnsi="Tahoma" w:cs="Tahoma"/>
      <w:sz w:val="16"/>
      <w:szCs w:val="16"/>
    </w:rPr>
  </w:style>
  <w:style w:type="paragraph" w:customStyle="1" w:styleId="Chartnumber">
    <w:name w:val="Chart number"/>
    <w:basedOn w:val="Normal"/>
    <w:qFormat/>
    <w:rsid w:val="00C02562"/>
    <w:pPr>
      <w:spacing w:after="0"/>
    </w:pPr>
    <w:rPr>
      <w:rFonts w:ascii="Rockwell" w:hAnsi="Rockwell"/>
      <w:b/>
      <w:caps/>
      <w:color w:val="16325C" w:themeColor="text2"/>
      <w:sz w:val="18"/>
    </w:rPr>
  </w:style>
  <w:style w:type="paragraph" w:customStyle="1" w:styleId="Chartheading">
    <w:name w:val="Chart heading"/>
    <w:basedOn w:val="Normal"/>
    <w:qFormat/>
    <w:rsid w:val="00C02562"/>
    <w:rPr>
      <w:rFonts w:ascii="Rockwell" w:hAnsi="Rockwell"/>
      <w:color w:val="16325C" w:themeColor="text2"/>
      <w:sz w:val="24"/>
    </w:rPr>
  </w:style>
  <w:style w:type="paragraph" w:customStyle="1" w:styleId="Chartgraphic">
    <w:name w:val="Chart graphic"/>
    <w:basedOn w:val="Normal"/>
    <w:qFormat/>
    <w:rsid w:val="00F70A9F"/>
    <w:pPr>
      <w:spacing w:after="0"/>
    </w:pPr>
  </w:style>
  <w:style w:type="paragraph" w:customStyle="1" w:styleId="Covertitle">
    <w:name w:val="Cover title"/>
    <w:qFormat/>
    <w:rsid w:val="0005790B"/>
    <w:pPr>
      <w:spacing w:before="120" w:after="360"/>
    </w:pPr>
    <w:rPr>
      <w:rFonts w:ascii="Rockwell" w:eastAsiaTheme="majorEastAsia" w:hAnsi="Rockwell" w:cstheme="majorBidi"/>
      <w:bCs/>
      <w:color w:val="004A80" w:themeColor="background2"/>
      <w:sz w:val="40"/>
      <w:szCs w:val="28"/>
    </w:rPr>
  </w:style>
  <w:style w:type="paragraph" w:customStyle="1" w:styleId="Chartnote">
    <w:name w:val="Chart note"/>
    <w:basedOn w:val="Normal"/>
    <w:qFormat/>
    <w:rsid w:val="009B50DD"/>
    <w:rPr>
      <w:sz w:val="18"/>
    </w:rPr>
  </w:style>
  <w:style w:type="paragraph" w:customStyle="1" w:styleId="Bullet">
    <w:name w:val="Bullet"/>
    <w:basedOn w:val="Normal"/>
    <w:link w:val="BulletChar"/>
    <w:rsid w:val="00651052"/>
    <w:pPr>
      <w:numPr>
        <w:numId w:val="1"/>
      </w:numPr>
    </w:pPr>
  </w:style>
  <w:style w:type="character" w:customStyle="1" w:styleId="BulletChar">
    <w:name w:val="Bullet Char"/>
    <w:basedOn w:val="DefaultParagraphFont"/>
    <w:link w:val="Bullet"/>
    <w:rsid w:val="00651052"/>
  </w:style>
  <w:style w:type="paragraph" w:customStyle="1" w:styleId="Dash">
    <w:name w:val="Dash"/>
    <w:basedOn w:val="Normal"/>
    <w:link w:val="DashChar"/>
    <w:rsid w:val="00651052"/>
    <w:pPr>
      <w:numPr>
        <w:ilvl w:val="1"/>
        <w:numId w:val="1"/>
      </w:numPr>
    </w:pPr>
  </w:style>
  <w:style w:type="character" w:customStyle="1" w:styleId="DashChar">
    <w:name w:val="Dash Char"/>
    <w:basedOn w:val="DefaultParagraphFont"/>
    <w:link w:val="Dash"/>
    <w:rsid w:val="00651052"/>
  </w:style>
  <w:style w:type="paragraph" w:customStyle="1" w:styleId="DoubleDot">
    <w:name w:val="Double Dot"/>
    <w:basedOn w:val="Normal"/>
    <w:link w:val="DoubleDotChar"/>
    <w:rsid w:val="00651052"/>
    <w:pPr>
      <w:numPr>
        <w:ilvl w:val="2"/>
        <w:numId w:val="1"/>
      </w:numPr>
    </w:pPr>
  </w:style>
  <w:style w:type="character" w:customStyle="1" w:styleId="DoubleDotChar">
    <w:name w:val="Double Dot Char"/>
    <w:basedOn w:val="DefaultParagraphFont"/>
    <w:link w:val="DoubleDot"/>
    <w:rsid w:val="00651052"/>
  </w:style>
  <w:style w:type="paragraph" w:styleId="FootnoteText">
    <w:name w:val="footnote text"/>
    <w:basedOn w:val="Normal"/>
    <w:link w:val="FootnoteTextChar"/>
    <w:uiPriority w:val="99"/>
    <w:semiHidden/>
    <w:unhideWhenUsed/>
    <w:rsid w:val="0096430D"/>
    <w:pPr>
      <w:spacing w:after="0"/>
    </w:pPr>
  </w:style>
  <w:style w:type="character" w:customStyle="1" w:styleId="FootnoteTextChar">
    <w:name w:val="Footnote Text Char"/>
    <w:basedOn w:val="DefaultParagraphFont"/>
    <w:link w:val="FootnoteText"/>
    <w:uiPriority w:val="99"/>
    <w:semiHidden/>
    <w:rsid w:val="0096430D"/>
  </w:style>
  <w:style w:type="character" w:styleId="FootnoteReference">
    <w:name w:val="footnote reference"/>
    <w:basedOn w:val="DefaultParagraphFont"/>
    <w:uiPriority w:val="99"/>
    <w:semiHidden/>
    <w:unhideWhenUsed/>
    <w:rsid w:val="0096430D"/>
    <w:rPr>
      <w:vertAlign w:val="superscript"/>
    </w:rPr>
  </w:style>
  <w:style w:type="paragraph" w:customStyle="1" w:styleId="Footnote">
    <w:name w:val="Footnote"/>
    <w:basedOn w:val="FootnoteText"/>
    <w:qFormat/>
    <w:rsid w:val="00FB1842"/>
    <w:pPr>
      <w:ind w:left="227" w:hanging="227"/>
    </w:pPr>
    <w:rPr>
      <w:sz w:val="18"/>
    </w:rPr>
  </w:style>
  <w:style w:type="character" w:customStyle="1" w:styleId="Heading3Char">
    <w:name w:val="Heading 3 Char"/>
    <w:basedOn w:val="DefaultParagraphFont"/>
    <w:link w:val="Heading3"/>
    <w:uiPriority w:val="9"/>
    <w:rsid w:val="0005790B"/>
    <w:rPr>
      <w:rFonts w:asciiTheme="majorHAnsi" w:eastAsiaTheme="majorEastAsia" w:hAnsiTheme="majorHAnsi" w:cstheme="majorBidi"/>
      <w:b/>
      <w:bCs/>
      <w:color w:val="0074BD" w:themeColor="accent1"/>
    </w:rPr>
  </w:style>
  <w:style w:type="character" w:styleId="CommentReference">
    <w:name w:val="annotation reference"/>
    <w:basedOn w:val="DefaultParagraphFont"/>
    <w:uiPriority w:val="99"/>
    <w:semiHidden/>
    <w:unhideWhenUsed/>
    <w:rsid w:val="00FC0172"/>
    <w:rPr>
      <w:sz w:val="16"/>
      <w:szCs w:val="16"/>
    </w:rPr>
  </w:style>
  <w:style w:type="paragraph" w:styleId="CommentText">
    <w:name w:val="annotation text"/>
    <w:basedOn w:val="Normal"/>
    <w:link w:val="CommentTextChar"/>
    <w:uiPriority w:val="99"/>
    <w:semiHidden/>
    <w:unhideWhenUsed/>
    <w:rsid w:val="00FC0172"/>
  </w:style>
  <w:style w:type="character" w:customStyle="1" w:styleId="CommentTextChar">
    <w:name w:val="Comment Text Char"/>
    <w:basedOn w:val="DefaultParagraphFont"/>
    <w:link w:val="CommentText"/>
    <w:uiPriority w:val="99"/>
    <w:semiHidden/>
    <w:rsid w:val="00FC0172"/>
  </w:style>
  <w:style w:type="paragraph" w:styleId="CommentSubject">
    <w:name w:val="annotation subject"/>
    <w:basedOn w:val="CommentText"/>
    <w:next w:val="CommentText"/>
    <w:link w:val="CommentSubjectChar"/>
    <w:uiPriority w:val="99"/>
    <w:semiHidden/>
    <w:unhideWhenUsed/>
    <w:rsid w:val="00FC0172"/>
    <w:rPr>
      <w:b/>
      <w:bCs/>
    </w:rPr>
  </w:style>
  <w:style w:type="character" w:customStyle="1" w:styleId="CommentSubjectChar">
    <w:name w:val="Comment Subject Char"/>
    <w:basedOn w:val="CommentTextChar"/>
    <w:link w:val="CommentSubject"/>
    <w:uiPriority w:val="99"/>
    <w:semiHidden/>
    <w:rsid w:val="00FC0172"/>
    <w:rPr>
      <w:b/>
      <w:bCs/>
    </w:rPr>
  </w:style>
  <w:style w:type="paragraph" w:styleId="Revision">
    <w:name w:val="Revision"/>
    <w:hidden/>
    <w:uiPriority w:val="99"/>
    <w:semiHidden/>
    <w:rsid w:val="007A0F8D"/>
  </w:style>
  <w:style w:type="paragraph" w:customStyle="1" w:styleId="SecurityClassificationHeader">
    <w:name w:val="Security Classification Header"/>
    <w:link w:val="SecurityClassificationHeaderChar"/>
    <w:rsid w:val="00C666DD"/>
    <w:pPr>
      <w:spacing w:before="240" w:after="60"/>
      <w:jc w:val="center"/>
    </w:pPr>
    <w:rPr>
      <w:rFonts w:ascii="Rockwell" w:hAnsi="Rockwell"/>
      <w:b/>
      <w:caps/>
      <w:color w:val="16325C" w:themeColor="text2"/>
      <w:sz w:val="24"/>
    </w:rPr>
  </w:style>
  <w:style w:type="character" w:customStyle="1" w:styleId="SecurityClassificationHeaderChar">
    <w:name w:val="Security Classification Header Char"/>
    <w:basedOn w:val="HeaderChar"/>
    <w:link w:val="SecurityClassificationHeader"/>
    <w:rsid w:val="00C666DD"/>
    <w:rPr>
      <w:rFonts w:ascii="Rockwell" w:hAnsi="Rockwell"/>
      <w:b/>
      <w:caps/>
      <w:color w:val="16325C" w:themeColor="text2"/>
      <w:sz w:val="24"/>
    </w:rPr>
  </w:style>
  <w:style w:type="paragraph" w:customStyle="1" w:styleId="SecurityClassificationFooter">
    <w:name w:val="Security Classification Footer"/>
    <w:link w:val="SecurityClassificationFooterChar"/>
    <w:rsid w:val="00C666DD"/>
    <w:pPr>
      <w:spacing w:before="60" w:after="240"/>
      <w:jc w:val="center"/>
    </w:pPr>
    <w:rPr>
      <w:rFonts w:ascii="Rockwell" w:hAnsi="Rockwell"/>
      <w:b/>
      <w:caps/>
      <w:color w:val="16325C" w:themeColor="text2"/>
      <w:sz w:val="24"/>
    </w:rPr>
  </w:style>
  <w:style w:type="character" w:customStyle="1" w:styleId="SecurityClassificationFooterChar">
    <w:name w:val="Security Classification Footer Char"/>
    <w:basedOn w:val="HeaderChar"/>
    <w:link w:val="SecurityClassificationFooter"/>
    <w:rsid w:val="00C666DD"/>
    <w:rPr>
      <w:rFonts w:ascii="Rockwell" w:hAnsi="Rockwell"/>
      <w:b/>
      <w:caps/>
      <w:color w:val="16325C" w:themeColor="text2"/>
      <w:sz w:val="24"/>
    </w:rPr>
  </w:style>
  <w:style w:type="paragraph" w:customStyle="1" w:styleId="DLMSecurityHeader">
    <w:name w:val="DLM Security Header"/>
    <w:link w:val="DLMSecurityHeaderChar"/>
    <w:rsid w:val="00C666DD"/>
    <w:pPr>
      <w:spacing w:before="60" w:after="240"/>
      <w:jc w:val="center"/>
    </w:pPr>
    <w:rPr>
      <w:rFonts w:ascii="Rockwell" w:hAnsi="Rockwell"/>
      <w:b/>
      <w:caps/>
      <w:color w:val="16325C" w:themeColor="text2"/>
      <w:sz w:val="24"/>
    </w:rPr>
  </w:style>
  <w:style w:type="character" w:customStyle="1" w:styleId="DLMSecurityHeaderChar">
    <w:name w:val="DLM Security Header Char"/>
    <w:basedOn w:val="HeaderChar"/>
    <w:link w:val="DLMSecurityHeader"/>
    <w:rsid w:val="00C666DD"/>
    <w:rPr>
      <w:rFonts w:ascii="Rockwell" w:hAnsi="Rockwell"/>
      <w:b/>
      <w:caps/>
      <w:color w:val="16325C" w:themeColor="text2"/>
      <w:sz w:val="24"/>
    </w:rPr>
  </w:style>
  <w:style w:type="paragraph" w:customStyle="1" w:styleId="DLMSecurityFooter">
    <w:name w:val="DLM Security Footer"/>
    <w:link w:val="DLMSecurityFooterChar"/>
    <w:rsid w:val="00C666DD"/>
    <w:pPr>
      <w:spacing w:before="240" w:after="60"/>
      <w:jc w:val="center"/>
    </w:pPr>
    <w:rPr>
      <w:rFonts w:ascii="Rockwell" w:hAnsi="Rockwell"/>
      <w:b/>
      <w:caps/>
      <w:color w:val="16325C" w:themeColor="text2"/>
      <w:sz w:val="24"/>
    </w:rPr>
  </w:style>
  <w:style w:type="character" w:customStyle="1" w:styleId="DLMSecurityFooterChar">
    <w:name w:val="DLM Security Footer Char"/>
    <w:basedOn w:val="HeaderChar"/>
    <w:link w:val="DLMSecurityFooter"/>
    <w:rsid w:val="00C666DD"/>
    <w:rPr>
      <w:rFonts w:ascii="Rockwell" w:hAnsi="Rockwell"/>
      <w:b/>
      <w:caps/>
      <w:color w:val="16325C"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Paper%20-%20Treasurys%20Two%20Cents.dotx" TargetMode="External"/></Relationships>
</file>

<file path=word/theme/theme1.xml><?xml version="1.0" encoding="utf-8"?>
<a:theme xmlns:a="http://schemas.openxmlformats.org/drawingml/2006/main" name="Corporate">
  <a:themeElements>
    <a:clrScheme name="Corporate">
      <a:dk1>
        <a:sysClr val="windowText" lastClr="000000"/>
      </a:dk1>
      <a:lt1>
        <a:sysClr val="window" lastClr="FFFFFF"/>
      </a:lt1>
      <a:dk2>
        <a:srgbClr val="16325C"/>
      </a:dk2>
      <a:lt2>
        <a:srgbClr val="004A80"/>
      </a:lt2>
      <a:accent1>
        <a:srgbClr val="0074BD"/>
      </a:accent1>
      <a:accent2>
        <a:srgbClr val="00ABBD"/>
      </a:accent2>
      <a:accent3>
        <a:srgbClr val="128E6D"/>
      </a:accent3>
      <a:accent4>
        <a:srgbClr val="C8DD6B"/>
      </a:accent4>
      <a:accent5>
        <a:srgbClr val="404A8F"/>
      </a:accent5>
      <a:accent6>
        <a:srgbClr val="F06252"/>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4dd4adf-ddb3-46a3-8d7c-fab3fb2a6bc7">
      <Value>7</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d4dd4adf-ddb3-46a3-8d7c-fab3fb2a6bc7">2018MG-93-31264</_dlc_DocId>
    <_dlc_DocIdUrl xmlns="d4dd4adf-ddb3-46a3-8d7c-fab3fb2a6bc7">
      <Url>http://tweb/sites/mg/fsd/_layouts/15/DocIdRedir.aspx?ID=2018MG-93-31264</Url>
      <Description>2018MG-93-31264</Description>
    </_dlc_DocIdUrl>
  </documentManagement>
</p:properti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A4C39F1D50EC0F4EBD06D6A3817BE15D" ma:contentTypeVersion="12806" ma:contentTypeDescription=" " ma:contentTypeScope="" ma:versionID="c9833a6f4ef260e1195c58cfb19ea23c">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c503b9868a9c7fd64df2468f502cf846"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07FBD-D180-407F-8C99-2157C708B9D6}">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
    <ds:schemaRef ds:uri="http://www.w3.org/XML/1998/namespace"/>
    <ds:schemaRef ds:uri="http://purl.org/dc/terms/"/>
    <ds:schemaRef ds:uri="http://schemas.microsoft.com/sharepoint/v4"/>
    <ds:schemaRef ds:uri="d4dd4adf-ddb3-46a3-8d7c-fab3fb2a6bc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F84F6C4-EC3A-4A81-AFF0-8F65F41A0101}">
  <ds:schemaRefs>
    <ds:schemaRef ds:uri="http://schemas.microsoft.com/sharepoint/events"/>
  </ds:schemaRefs>
</ds:datastoreItem>
</file>

<file path=customXml/itemProps3.xml><?xml version="1.0" encoding="utf-8"?>
<ds:datastoreItem xmlns:ds="http://schemas.openxmlformats.org/officeDocument/2006/customXml" ds:itemID="{D9875A59-1D63-42E3-AE6A-F1D2A56726E6}">
  <ds:schemaRefs>
    <ds:schemaRef ds:uri="http://schemas.microsoft.com/sharepoint/v3/contenttype/forms"/>
  </ds:schemaRefs>
</ds:datastoreItem>
</file>

<file path=customXml/itemProps4.xml><?xml version="1.0" encoding="utf-8"?>
<ds:datastoreItem xmlns:ds="http://schemas.openxmlformats.org/officeDocument/2006/customXml" ds:itemID="{13AF3FDA-4C9E-4D68-AAC8-6E10DBB16760}">
  <ds:schemaRefs>
    <ds:schemaRef ds:uri="office.server.policy"/>
  </ds:schemaRefs>
</ds:datastoreItem>
</file>

<file path=customXml/itemProps5.xml><?xml version="1.0" encoding="utf-8"?>
<ds:datastoreItem xmlns:ds="http://schemas.openxmlformats.org/officeDocument/2006/customXml" ds:itemID="{63DD1492-886F-4EF5-89EE-98B0628EA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5812F7-145F-4968-B0FA-51320F669775}">
  <ds:schemaRefs>
    <ds:schemaRef ds:uri="http://schemas.microsoft.com/sharepoint/events"/>
  </ds:schemaRefs>
</ds:datastoreItem>
</file>

<file path=customXml/itemProps7.xml><?xml version="1.0" encoding="utf-8"?>
<ds:datastoreItem xmlns:ds="http://schemas.openxmlformats.org/officeDocument/2006/customXml" ds:itemID="{5F31A744-2B5A-4D75-9D5F-E90BB742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Treasury Paper - Treasurys Two Cents.dotx</Template>
  <TotalTime>490</TotalTime>
  <Pages>5</Pages>
  <Words>1610</Words>
  <Characters>9244</Characters>
  <Application>Microsoft Office Word</Application>
  <DocSecurity>0</DocSecurity>
  <Lines>205</Lines>
  <Paragraphs>99</Paragraphs>
  <ScaleCrop>false</ScaleCrop>
  <HeadingPairs>
    <vt:vector size="2" baseType="variant">
      <vt:variant>
        <vt:lpstr>Title</vt:lpstr>
      </vt:variant>
      <vt:variant>
        <vt:i4>1</vt:i4>
      </vt:variant>
    </vt:vector>
  </HeadingPairs>
  <TitlesOfParts>
    <vt:vector size="1" baseType="lpstr">
      <vt:lpstr>Information Note</vt:lpstr>
    </vt:vector>
  </TitlesOfParts>
  <Company>Australian Government - The Treasury</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Note</dc:title>
  <dc:creator>Treasury </dc:creator>
  <cp:lastModifiedBy>Hill, Christine</cp:lastModifiedBy>
  <cp:revision>63</cp:revision>
  <cp:lastPrinted>2018-07-09T07:10:00Z</cp:lastPrinted>
  <dcterms:created xsi:type="dcterms:W3CDTF">2018-06-27T00:17:00Z</dcterms:created>
  <dcterms:modified xsi:type="dcterms:W3CDTF">2018-07-19T07:47:00Z</dcterms:modified>
</cp:coreProperties>
</file>