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72062D" w14:textId="77777777" w:rsidR="000E0B74" w:rsidRPr="006D0240" w:rsidRDefault="000E0B74" w:rsidP="008E6292">
      <w:bookmarkStart w:id="0" w:name="_GoBack"/>
      <w:bookmarkEnd w:id="0"/>
    </w:p>
    <w:p w14:paraId="3963A2E5" w14:textId="77777777" w:rsidR="00DF0BC3" w:rsidRDefault="00DF0BC3" w:rsidP="000E0B74">
      <w:pPr>
        <w:pStyle w:val="Title"/>
      </w:pPr>
    </w:p>
    <w:p w14:paraId="3E6D0E06" w14:textId="77777777" w:rsidR="00DF0BC3" w:rsidRDefault="00DF0BC3" w:rsidP="000E0B74">
      <w:pPr>
        <w:pStyle w:val="Title"/>
      </w:pPr>
    </w:p>
    <w:p w14:paraId="78BFC60E" w14:textId="77777777" w:rsidR="00DF0BC3" w:rsidRPr="00DF0BC3" w:rsidRDefault="00DF0BC3" w:rsidP="00DF0BC3"/>
    <w:p w14:paraId="701E0B08" w14:textId="77777777" w:rsidR="000E0B74" w:rsidRPr="00DF0BC3" w:rsidRDefault="00DF0BC3" w:rsidP="000E0B74">
      <w:pPr>
        <w:pStyle w:val="Title"/>
        <w:rPr>
          <w:sz w:val="60"/>
          <w:szCs w:val="60"/>
        </w:rPr>
      </w:pPr>
      <w:r w:rsidRPr="00DF0BC3">
        <w:rPr>
          <w:sz w:val="60"/>
          <w:szCs w:val="60"/>
        </w:rPr>
        <w:t>Key Elements of the Australian Business Securitisation Fund Investment Mandate</w:t>
      </w:r>
    </w:p>
    <w:p w14:paraId="4B9A2D2A" w14:textId="77777777" w:rsidR="00056880" w:rsidRPr="002F0098" w:rsidRDefault="00DF0BC3" w:rsidP="002F0098">
      <w:pPr>
        <w:pStyle w:val="Subtitle"/>
      </w:pPr>
      <w:r>
        <w:rPr>
          <w:b/>
        </w:rPr>
        <w:t>EXPOSURE DRAFT</w:t>
      </w:r>
    </w:p>
    <w:p w14:paraId="74C37674" w14:textId="77777777" w:rsidR="008B0CC0" w:rsidRDefault="008B0CC0" w:rsidP="002F617F">
      <w:pPr>
        <w:pStyle w:val="Divider"/>
        <w:sectPr w:rsidR="008B0CC0" w:rsidSect="006A7BA7">
          <w:headerReference w:type="default" r:id="rId15"/>
          <w:footerReference w:type="even" r:id="rId16"/>
          <w:footerReference w:type="default" r:id="rId17"/>
          <w:pgSz w:w="11906" w:h="16838"/>
          <w:pgMar w:top="1418" w:right="1418" w:bottom="1418" w:left="1418" w:header="709" w:footer="709" w:gutter="0"/>
          <w:cols w:space="720"/>
          <w:docGrid w:linePitch="299"/>
        </w:sectPr>
      </w:pPr>
    </w:p>
    <w:p w14:paraId="09A423F3" w14:textId="77777777" w:rsidR="006D6B04" w:rsidRPr="000A4500" w:rsidRDefault="006D6B04" w:rsidP="006D6B04">
      <w:pPr>
        <w:pStyle w:val="Heading1"/>
      </w:pPr>
      <w:r>
        <w:lastRenderedPageBreak/>
        <w:t>Background</w:t>
      </w:r>
    </w:p>
    <w:p w14:paraId="7903D2A7" w14:textId="77777777" w:rsidR="006D6B04" w:rsidRDefault="006D6B04" w:rsidP="006D6B04">
      <w:pPr>
        <w:pStyle w:val="Bullet"/>
        <w:numPr>
          <w:ilvl w:val="0"/>
          <w:numId w:val="19"/>
        </w:numPr>
        <w:spacing w:after="200" w:line="276" w:lineRule="auto"/>
        <w:rPr>
          <w:b/>
        </w:rPr>
      </w:pPr>
      <w:r>
        <w:t>The Australian Business Securitisation Fund (the Fund) will be used for investments in accordance with the Act to promote the long-term development of the securitisation market for loans to small and medium enterprises (SMEs). The objective is to improve the capacity of lenders to extend credit to SMEs on a competitive basis.</w:t>
      </w:r>
    </w:p>
    <w:p w14:paraId="22B54569" w14:textId="77777777" w:rsidR="006D6B04" w:rsidRPr="008137D3" w:rsidRDefault="006D6B04" w:rsidP="006D6B04">
      <w:pPr>
        <w:pStyle w:val="Heading1"/>
      </w:pPr>
      <w:r w:rsidRPr="008137D3">
        <w:t>Eligibility</w:t>
      </w:r>
    </w:p>
    <w:p w14:paraId="1F348079" w14:textId="77777777" w:rsidR="006D6B04" w:rsidRDefault="006D6B04" w:rsidP="006D6B04">
      <w:pPr>
        <w:pStyle w:val="Bullet"/>
        <w:numPr>
          <w:ilvl w:val="0"/>
          <w:numId w:val="19"/>
        </w:numPr>
        <w:spacing w:after="200" w:line="276" w:lineRule="auto"/>
        <w:rPr>
          <w:b/>
        </w:rPr>
      </w:pPr>
      <w:r>
        <w:t xml:space="preserve">The underlying loans should not predominately relate to businesses with a primary purpose of investing, such as superannuation funds. </w:t>
      </w:r>
    </w:p>
    <w:p w14:paraId="3C3165B1" w14:textId="77777777" w:rsidR="006D6B04" w:rsidRDefault="006D6B04" w:rsidP="006D6B04">
      <w:pPr>
        <w:pStyle w:val="Bullet"/>
        <w:numPr>
          <w:ilvl w:val="0"/>
          <w:numId w:val="19"/>
        </w:numPr>
        <w:spacing w:after="200" w:line="276" w:lineRule="auto"/>
        <w:rPr>
          <w:b/>
        </w:rPr>
      </w:pPr>
      <w:r>
        <w:t xml:space="preserve">Investments where the underlying loans are made by the major banks (defined as banks subject to the </w:t>
      </w:r>
      <w:r>
        <w:rPr>
          <w:i/>
        </w:rPr>
        <w:t>Major Bank Levy Act 2017</w:t>
      </w:r>
      <w:r>
        <w:t xml:space="preserve">) and their subsidiaries are not eligible for the Fund. </w:t>
      </w:r>
    </w:p>
    <w:p w14:paraId="4E1718EF" w14:textId="77777777" w:rsidR="006D6B04" w:rsidRPr="0011243F" w:rsidRDefault="006D6B04" w:rsidP="006D6B04">
      <w:pPr>
        <w:pStyle w:val="Dash"/>
        <w:numPr>
          <w:ilvl w:val="1"/>
          <w:numId w:val="19"/>
        </w:numPr>
        <w:spacing w:after="200" w:line="276" w:lineRule="auto"/>
        <w:rPr>
          <w:b/>
        </w:rPr>
      </w:pPr>
      <w:r w:rsidRPr="0011243F">
        <w:t>The banks subject to the Major Bank Levy Act are the four major banks and Macquarie.</w:t>
      </w:r>
    </w:p>
    <w:p w14:paraId="6724564C" w14:textId="77777777" w:rsidR="006D6B04" w:rsidRDefault="006D6B04" w:rsidP="006D6B04">
      <w:pPr>
        <w:pStyle w:val="Heading1"/>
        <w:rPr>
          <w:b/>
        </w:rPr>
      </w:pPr>
      <w:r w:rsidRPr="000A4500">
        <w:t>Investment</w:t>
      </w:r>
      <w:r>
        <w:t xml:space="preserve"> </w:t>
      </w:r>
      <w:r w:rsidRPr="000A4500">
        <w:t>Considerations</w:t>
      </w:r>
    </w:p>
    <w:p w14:paraId="780F9AC4" w14:textId="77777777" w:rsidR="006D6B04" w:rsidRPr="00142021" w:rsidRDefault="006D6B04" w:rsidP="006D6B04">
      <w:pPr>
        <w:pStyle w:val="Bullet"/>
        <w:numPr>
          <w:ilvl w:val="0"/>
          <w:numId w:val="19"/>
        </w:numPr>
        <w:spacing w:after="200" w:line="276" w:lineRule="auto"/>
      </w:pPr>
      <w:r w:rsidRPr="00111A55">
        <w:t>In exercising the power to invest, the follo</w:t>
      </w:r>
      <w:r>
        <w:t>wing matters must be considered where information is available to support an investment decision:</w:t>
      </w:r>
    </w:p>
    <w:p w14:paraId="09B14665" w14:textId="77777777" w:rsidR="006D6B04" w:rsidRDefault="006D6B04" w:rsidP="006D6B04">
      <w:pPr>
        <w:pStyle w:val="Dash"/>
        <w:numPr>
          <w:ilvl w:val="1"/>
          <w:numId w:val="19"/>
        </w:numPr>
        <w:spacing w:after="200" w:line="276" w:lineRule="auto"/>
        <w:rPr>
          <w:b/>
        </w:rPr>
      </w:pPr>
      <w:r w:rsidRPr="00AC429A">
        <w:t>Prioritis</w:t>
      </w:r>
      <w:r>
        <w:t>ing</w:t>
      </w:r>
      <w:r w:rsidRPr="00AC429A">
        <w:t xml:space="preserve"> investment in underdeveloped sectors of the SME securitisation market and investing in a manner which would assist in the development of the market over the long term</w:t>
      </w:r>
      <w:r>
        <w:t>;</w:t>
      </w:r>
    </w:p>
    <w:p w14:paraId="70E64776" w14:textId="77777777" w:rsidR="006D6B04" w:rsidRDefault="006D6B04" w:rsidP="006D6B04">
      <w:pPr>
        <w:pStyle w:val="Dash"/>
        <w:numPr>
          <w:ilvl w:val="1"/>
          <w:numId w:val="19"/>
        </w:numPr>
        <w:spacing w:after="200" w:line="276" w:lineRule="auto"/>
        <w:rPr>
          <w:b/>
        </w:rPr>
      </w:pPr>
      <w:r>
        <w:t>Prioritising investments that are likely to promote competition in the SME lending market and encourage private-sector provision and investment;</w:t>
      </w:r>
    </w:p>
    <w:p w14:paraId="4D50719A" w14:textId="77777777" w:rsidR="006D6B04" w:rsidRDefault="006D6B04" w:rsidP="006D6B04">
      <w:pPr>
        <w:pStyle w:val="Dash"/>
        <w:numPr>
          <w:ilvl w:val="1"/>
          <w:numId w:val="19"/>
        </w:numPr>
        <w:spacing w:after="200" w:line="276" w:lineRule="auto"/>
        <w:rPr>
          <w:b/>
        </w:rPr>
      </w:pPr>
      <w:r>
        <w:t>The potential for effects</w:t>
      </w:r>
      <w:r w:rsidRPr="00111A55">
        <w:t xml:space="preserve"> on other </w:t>
      </w:r>
      <w:r>
        <w:t xml:space="preserve">current or prospective securitisation </w:t>
      </w:r>
      <w:r w:rsidRPr="00111A55">
        <w:t xml:space="preserve">market participants, with the </w:t>
      </w:r>
      <w:r>
        <w:t>aim of deepening the securitisation market for SME loans and encouraging greater private investor participation in the market over time;</w:t>
      </w:r>
    </w:p>
    <w:p w14:paraId="222304D4" w14:textId="77777777" w:rsidR="006D6B04" w:rsidRPr="00111A55" w:rsidRDefault="006D6B04" w:rsidP="006D6B04">
      <w:pPr>
        <w:pStyle w:val="Dash"/>
        <w:numPr>
          <w:ilvl w:val="1"/>
          <w:numId w:val="19"/>
        </w:numPr>
        <w:spacing w:after="200" w:line="276" w:lineRule="auto"/>
        <w:rPr>
          <w:b/>
        </w:rPr>
      </w:pPr>
      <w:r>
        <w:t>Whether an investment should reasonably require investing at a discount to the prevailing market rate at the time in order to support the objectives of the Fund;</w:t>
      </w:r>
    </w:p>
    <w:p w14:paraId="347CF15D" w14:textId="77777777" w:rsidR="006D6B04" w:rsidRPr="00346B1C" w:rsidRDefault="006D6B04" w:rsidP="006D6B04">
      <w:pPr>
        <w:pStyle w:val="Dash"/>
        <w:numPr>
          <w:ilvl w:val="1"/>
          <w:numId w:val="19"/>
        </w:numPr>
        <w:spacing w:after="200" w:line="276" w:lineRule="auto"/>
        <w:rPr>
          <w:b/>
        </w:rPr>
      </w:pPr>
      <w:r>
        <w:t>An ability</w:t>
      </w:r>
      <w:r w:rsidRPr="00346B1C">
        <w:t xml:space="preserve"> to exit the market without causing</w:t>
      </w:r>
      <w:r>
        <w:t xml:space="preserve"> ongoing</w:t>
      </w:r>
      <w:r w:rsidRPr="00346B1C">
        <w:t xml:space="preserve"> market dysfunction once its </w:t>
      </w:r>
      <w:r>
        <w:t xml:space="preserve">investment </w:t>
      </w:r>
      <w:r w:rsidR="00695D9A">
        <w:t>objectives have been met.</w:t>
      </w:r>
    </w:p>
    <w:p w14:paraId="3844470A" w14:textId="77777777" w:rsidR="006D6B04" w:rsidRPr="00396143" w:rsidRDefault="006D6B04" w:rsidP="006D6B04">
      <w:pPr>
        <w:pStyle w:val="Heading1"/>
      </w:pPr>
      <w:r w:rsidRPr="00396143">
        <w:t>Governance Arrangements</w:t>
      </w:r>
    </w:p>
    <w:p w14:paraId="2E6624B3" w14:textId="77777777" w:rsidR="006D6B04" w:rsidRDefault="006D6B04" w:rsidP="006D6B04">
      <w:pPr>
        <w:pStyle w:val="Bullet"/>
        <w:numPr>
          <w:ilvl w:val="0"/>
          <w:numId w:val="19"/>
        </w:numPr>
        <w:spacing w:after="200" w:line="276" w:lineRule="auto"/>
        <w:rPr>
          <w:b/>
        </w:rPr>
      </w:pPr>
      <w:r w:rsidDel="0037018C">
        <w:t xml:space="preserve"> </w:t>
      </w:r>
      <w:r>
        <w:t>The delegate must administer the Fund in a transparent and accountable way, including by:</w:t>
      </w:r>
    </w:p>
    <w:p w14:paraId="1F9AA73E" w14:textId="77777777" w:rsidR="006D6B04" w:rsidRDefault="006D6B04" w:rsidP="006D6B04">
      <w:pPr>
        <w:pStyle w:val="Dash"/>
        <w:numPr>
          <w:ilvl w:val="1"/>
          <w:numId w:val="19"/>
        </w:numPr>
        <w:spacing w:after="200" w:line="276" w:lineRule="auto"/>
        <w:rPr>
          <w:b/>
        </w:rPr>
      </w:pPr>
      <w:r w:rsidRPr="00551515">
        <w:t xml:space="preserve">Making </w:t>
      </w:r>
      <w:r>
        <w:t xml:space="preserve">publicly </w:t>
      </w:r>
      <w:r w:rsidRPr="00551515">
        <w:t xml:space="preserve">available </w:t>
      </w:r>
      <w:r>
        <w:t>before the program commences, information on the process by which investment decisions will be assessed and made; and</w:t>
      </w:r>
    </w:p>
    <w:p w14:paraId="0B0EC28E" w14:textId="77777777" w:rsidR="006D6B04" w:rsidRDefault="006D6B04" w:rsidP="006D6B04">
      <w:pPr>
        <w:pStyle w:val="Dash"/>
        <w:numPr>
          <w:ilvl w:val="1"/>
          <w:numId w:val="19"/>
        </w:numPr>
        <w:spacing w:after="200" w:line="276" w:lineRule="auto"/>
        <w:rPr>
          <w:b/>
        </w:rPr>
      </w:pPr>
      <w:r>
        <w:lastRenderedPageBreak/>
        <w:t>Publishing information relating to investments on a timely basis following settlement, subject to commercial confidentially considerations.</w:t>
      </w:r>
    </w:p>
    <w:p w14:paraId="504A6A92" w14:textId="77777777" w:rsidR="006D6B04" w:rsidRDefault="006D6B04" w:rsidP="006D6B04">
      <w:pPr>
        <w:pStyle w:val="Bullet"/>
        <w:numPr>
          <w:ilvl w:val="0"/>
          <w:numId w:val="19"/>
        </w:numPr>
        <w:spacing w:after="200" w:line="276" w:lineRule="auto"/>
        <w:rPr>
          <w:b/>
        </w:rPr>
      </w:pPr>
      <w:r w:rsidRPr="00AA392D">
        <w:t xml:space="preserve">The delegate </w:t>
      </w:r>
      <w:r>
        <w:t xml:space="preserve">is to provide </w:t>
      </w:r>
      <w:r w:rsidRPr="00AA392D">
        <w:t>access to information</w:t>
      </w:r>
      <w:r>
        <w:t xml:space="preserve"> it holds regarding the Fund’s activities</w:t>
      </w:r>
      <w:r w:rsidRPr="00AA392D">
        <w:t xml:space="preserve"> to assist Treasury </w:t>
      </w:r>
      <w:r>
        <w:t xml:space="preserve">in </w:t>
      </w:r>
      <w:r w:rsidRPr="00AA392D">
        <w:t>providing advice to government on the effectiveness of the Fund in meeting it</w:t>
      </w:r>
      <w:r>
        <w:t>s</w:t>
      </w:r>
      <w:r w:rsidRPr="00AA392D">
        <w:t xml:space="preserve"> policy objectives.</w:t>
      </w:r>
      <w:r>
        <w:t xml:space="preserve">  </w:t>
      </w:r>
    </w:p>
    <w:p w14:paraId="51E74A97" w14:textId="77777777" w:rsidR="006D6B04" w:rsidRPr="00491D95" w:rsidRDefault="006D6B04" w:rsidP="006D6B04">
      <w:pPr>
        <w:pStyle w:val="Bullet"/>
        <w:numPr>
          <w:ilvl w:val="0"/>
          <w:numId w:val="19"/>
        </w:numPr>
        <w:spacing w:after="200" w:line="276" w:lineRule="auto"/>
        <w:rPr>
          <w:b/>
        </w:rPr>
      </w:pPr>
      <w:r w:rsidRPr="00491D95">
        <w:t xml:space="preserve">The Secretary to the Treasury may specify further operational requirements for the </w:t>
      </w:r>
      <w:r>
        <w:t>delegate</w:t>
      </w:r>
      <w:r w:rsidRPr="00491D95">
        <w:t xml:space="preserve"> that are consistent with this mandate.</w:t>
      </w:r>
      <w:r>
        <w:t xml:space="preserve">  </w:t>
      </w:r>
    </w:p>
    <w:p w14:paraId="31255DBF" w14:textId="77777777" w:rsidR="006D6B04" w:rsidRDefault="006D6B04" w:rsidP="00AD7167">
      <w:pPr>
        <w:pStyle w:val="Heading1"/>
      </w:pPr>
      <w:r>
        <w:t xml:space="preserve">Financial </w:t>
      </w:r>
      <w:r w:rsidRPr="00AD7167">
        <w:rPr>
          <w:rStyle w:val="Heading1Char"/>
        </w:rPr>
        <w:t>Elements</w:t>
      </w:r>
    </w:p>
    <w:p w14:paraId="018A2888" w14:textId="77777777" w:rsidR="006D6B04" w:rsidRPr="004C21F3" w:rsidRDefault="006D6B04" w:rsidP="006D6B04">
      <w:pPr>
        <w:pStyle w:val="Bullet"/>
        <w:numPr>
          <w:ilvl w:val="0"/>
          <w:numId w:val="19"/>
        </w:numPr>
        <w:spacing w:after="200" w:line="276" w:lineRule="auto"/>
        <w:rPr>
          <w:b/>
        </w:rPr>
      </w:pPr>
      <w:r w:rsidRPr="004C21F3">
        <w:t xml:space="preserve">Authorised investments are defined as </w:t>
      </w:r>
      <w:r>
        <w:t xml:space="preserve">Australian dollar denominated </w:t>
      </w:r>
      <w:r w:rsidRPr="004C21F3">
        <w:t xml:space="preserve">debt securities </w:t>
      </w:r>
      <w:r>
        <w:t>as outlined in subsection 12(4)</w:t>
      </w:r>
      <w:r w:rsidRPr="004C21F3">
        <w:t xml:space="preserve"> of the </w:t>
      </w:r>
      <w:r>
        <w:t xml:space="preserve">Australian Business Securitisation Fund Bill 2018, including </w:t>
      </w:r>
      <w:r w:rsidR="00695D9A">
        <w:t xml:space="preserve">in </w:t>
      </w:r>
      <w:r>
        <w:t>a rule made under paragraph 12(4)(d)</w:t>
      </w:r>
      <w:r w:rsidRPr="004C21F3">
        <w:t>.</w:t>
      </w:r>
    </w:p>
    <w:p w14:paraId="2C41891A" w14:textId="77777777" w:rsidR="006D6B04" w:rsidRPr="008B56DD" w:rsidRDefault="006D6B04" w:rsidP="006D6B04">
      <w:pPr>
        <w:pStyle w:val="Heading1"/>
      </w:pPr>
      <w:r w:rsidRPr="008B56DD">
        <w:t>Performance of the Fund portfolio</w:t>
      </w:r>
      <w:r w:rsidRPr="008B56DD" w:rsidDel="0037018C">
        <w:t xml:space="preserve"> </w:t>
      </w:r>
    </w:p>
    <w:p w14:paraId="69357DEA" w14:textId="77777777" w:rsidR="006D6B04" w:rsidRDefault="006D6B04" w:rsidP="006D6B04">
      <w:pPr>
        <w:pStyle w:val="Bullet"/>
        <w:numPr>
          <w:ilvl w:val="0"/>
          <w:numId w:val="0"/>
        </w:numPr>
        <w:rPr>
          <w:b/>
        </w:rPr>
      </w:pPr>
      <w:r w:rsidRPr="008B56DD">
        <w:t xml:space="preserve">While the primary objectives of the Fund are to be pursued with exposure to </w:t>
      </w:r>
      <w:r>
        <w:t xml:space="preserve">risk </w:t>
      </w:r>
      <w:r w:rsidRPr="008B56DD">
        <w:t xml:space="preserve">commensurate </w:t>
      </w:r>
      <w:r>
        <w:t>with the nature of the securities to be purchased</w:t>
      </w:r>
      <w:r w:rsidRPr="008B56DD">
        <w:t xml:space="preserve">, achieving a return on the funds invested over the life of the program will also be required. </w:t>
      </w:r>
    </w:p>
    <w:p w14:paraId="442C6CB0" w14:textId="77777777" w:rsidR="006D6B04" w:rsidRPr="007E0545" w:rsidRDefault="006D6B04" w:rsidP="00CC215A">
      <w:pPr>
        <w:pStyle w:val="Heading2"/>
        <w:rPr>
          <w:b/>
        </w:rPr>
      </w:pPr>
      <w:r w:rsidRPr="007E0545">
        <w:t>Target rate of return</w:t>
      </w:r>
    </w:p>
    <w:p w14:paraId="775262AB" w14:textId="77777777" w:rsidR="006D6B04" w:rsidRDefault="006D6B04" w:rsidP="006D6B04">
      <w:pPr>
        <w:pStyle w:val="Bullet"/>
        <w:numPr>
          <w:ilvl w:val="0"/>
          <w:numId w:val="0"/>
        </w:numPr>
      </w:pPr>
      <w:r w:rsidRPr="008B56DD">
        <w:t>To account for variability in business and market conditions the financial retu</w:t>
      </w:r>
      <w:r>
        <w:t>rn of the investment portfolio g</w:t>
      </w:r>
      <w:r w:rsidRPr="008B56DD">
        <w:t xml:space="preserve">enerated by the Fund over the medium term should at a minimum match the return on the Bloomberg Ausbond Treasury 0-1 year index.  </w:t>
      </w:r>
    </w:p>
    <w:p w14:paraId="2EA025F2" w14:textId="77777777" w:rsidR="006D6B04" w:rsidRPr="008B56DD" w:rsidRDefault="006D6B04" w:rsidP="00CC215A">
      <w:pPr>
        <w:pStyle w:val="Heading2"/>
        <w:rPr>
          <w:b/>
        </w:rPr>
      </w:pPr>
      <w:r w:rsidRPr="008B56DD">
        <w:t>Risk profile</w:t>
      </w:r>
    </w:p>
    <w:p w14:paraId="50DC7713" w14:textId="77777777" w:rsidR="006D6B04" w:rsidRPr="00735947" w:rsidRDefault="006D6B04" w:rsidP="006D6B04">
      <w:pPr>
        <w:pStyle w:val="Bullet"/>
        <w:numPr>
          <w:ilvl w:val="0"/>
          <w:numId w:val="19"/>
        </w:numPr>
        <w:spacing w:after="200" w:line="276" w:lineRule="auto"/>
        <w:rPr>
          <w:b/>
        </w:rPr>
      </w:pPr>
      <w:r>
        <w:t xml:space="preserve">In order to achieve its policy objectives the Fund will be required to accept commensurate credit, default and other financial risks on its investments. </w:t>
      </w:r>
    </w:p>
    <w:p w14:paraId="34D0FCA7" w14:textId="77777777" w:rsidR="006D6B04" w:rsidRDefault="006D6B04" w:rsidP="006D6B04">
      <w:pPr>
        <w:pStyle w:val="Bullet"/>
        <w:numPr>
          <w:ilvl w:val="0"/>
          <w:numId w:val="19"/>
        </w:numPr>
        <w:spacing w:after="200" w:line="276" w:lineRule="auto"/>
        <w:rPr>
          <w:b/>
        </w:rPr>
      </w:pPr>
      <w:r>
        <w:t xml:space="preserve">The delegate is required to develop a policy to guide the assessment of what constitutes a commensurate risk level having regard to the objectives of the Fund and matters for consideration outlined in ‘Investment Considerations’ above and the Act. </w:t>
      </w:r>
    </w:p>
    <w:p w14:paraId="507969F5" w14:textId="77777777" w:rsidR="006D6B04" w:rsidRDefault="006D6B04" w:rsidP="006D6B04">
      <w:pPr>
        <w:pStyle w:val="Bullet"/>
        <w:numPr>
          <w:ilvl w:val="0"/>
          <w:numId w:val="19"/>
        </w:numPr>
        <w:spacing w:after="200" w:line="276" w:lineRule="auto"/>
        <w:rPr>
          <w:b/>
        </w:rPr>
      </w:pPr>
      <w:r>
        <w:t xml:space="preserve">This risk policy must include a method for assessing the credit worthiness of investments where external credit ratings cannot be obtained. </w:t>
      </w:r>
    </w:p>
    <w:p w14:paraId="5CE2CD4B" w14:textId="77777777" w:rsidR="009E171B" w:rsidRPr="008B0CC0" w:rsidRDefault="006D6B04" w:rsidP="008B0CC0">
      <w:pPr>
        <w:pStyle w:val="Bullet"/>
        <w:numPr>
          <w:ilvl w:val="0"/>
          <w:numId w:val="19"/>
        </w:numPr>
        <w:spacing w:after="200" w:line="276" w:lineRule="auto"/>
        <w:rPr>
          <w:b/>
        </w:rPr>
      </w:pPr>
      <w:r w:rsidRPr="00491D95">
        <w:t>The Fund must not invest in first loss securities.</w:t>
      </w:r>
      <w:r>
        <w:t xml:space="preserve"> </w:t>
      </w:r>
    </w:p>
    <w:sectPr w:rsidR="009E171B" w:rsidRPr="008B0CC0" w:rsidSect="00EE7BE3">
      <w:headerReference w:type="even" r:id="rId18"/>
      <w:footerReference w:type="even" r:id="rId19"/>
      <w:footerReference w:type="default" r:id="rId20"/>
      <w:headerReference w:type="first" r:id="rId21"/>
      <w:footerReference w:type="first" r:id="rId22"/>
      <w:type w:val="oddPage"/>
      <w:pgSz w:w="11906" w:h="16838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A0BBB0" w14:textId="77777777" w:rsidR="00DF0BC3" w:rsidRDefault="00DF0BC3">
      <w:pPr>
        <w:spacing w:before="0" w:after="0"/>
      </w:pPr>
      <w:r>
        <w:separator/>
      </w:r>
    </w:p>
  </w:endnote>
  <w:endnote w:type="continuationSeparator" w:id="0">
    <w:p w14:paraId="38D12D0F" w14:textId="77777777" w:rsidR="00DF0BC3" w:rsidRDefault="00DF0BC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774FE0" w14:textId="77777777" w:rsidR="00EF145E" w:rsidRDefault="00EF145E" w:rsidP="003C24B4">
    <w:pPr>
      <w:pStyle w:val="FooterEven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8B0CC0"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FF3F3A" w14:textId="77777777" w:rsidR="00C72318" w:rsidRDefault="00C72318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6C45D84" wp14:editId="364444CE">
          <wp:simplePos x="904875" y="5705475"/>
          <wp:positionH relativeFrom="page">
            <wp:align>center</wp:align>
          </wp:positionH>
          <wp:positionV relativeFrom="page">
            <wp:align>bottom</wp:align>
          </wp:positionV>
          <wp:extent cx="7560000" cy="5959800"/>
          <wp:effectExtent l="0" t="0" r="3175" b="3175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 report_backgro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959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BAFAD9" w14:textId="77777777" w:rsidR="00EF145E" w:rsidRPr="00E77C89" w:rsidRDefault="00EF145E" w:rsidP="00EE1447">
    <w:pPr>
      <w:pStyle w:val="FooterEven"/>
    </w:pPr>
    <w:r>
      <w:fldChar w:fldCharType="begin"/>
    </w:r>
    <w:r>
      <w:instrText xml:space="preserve"> PAGE  \* Arabic  \* MERGEFORMAT </w:instrText>
    </w:r>
    <w:r>
      <w:fldChar w:fldCharType="separate"/>
    </w:r>
    <w:r w:rsidR="00756A15">
      <w:t>2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7DA49D" w14:textId="77777777" w:rsidR="006D6B04" w:rsidRDefault="006D6B04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41060FC" wp14:editId="33658EB2">
          <wp:simplePos x="904875" y="5705475"/>
          <wp:positionH relativeFrom="page">
            <wp:align>center</wp:align>
          </wp:positionH>
          <wp:positionV relativeFrom="page">
            <wp:align>bottom</wp:align>
          </wp:positionV>
          <wp:extent cx="7560000" cy="5959800"/>
          <wp:effectExtent l="0" t="0" r="3175" b="3175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 report_backgro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959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3346F0" w14:textId="77777777" w:rsidR="008B0CC0" w:rsidRPr="00E77C89" w:rsidRDefault="00EE7BE3" w:rsidP="008B0CC0">
    <w:pPr>
      <w:pStyle w:val="FooterEven"/>
    </w:pPr>
    <w:r>
      <w:fldChar w:fldCharType="begin"/>
    </w:r>
    <w:r>
      <w:instrText xml:space="preserve"> PAGE  \* Arabic  \* MERGEFORMAT </w:instrText>
    </w:r>
    <w:r>
      <w:fldChar w:fldCharType="separate"/>
    </w:r>
    <w:r w:rsidR="00756A15">
      <w:t>1</w:t>
    </w:r>
    <w:r>
      <w:fldChar w:fldCharType="end"/>
    </w:r>
  </w:p>
  <w:p w14:paraId="1A350E53" w14:textId="77777777" w:rsidR="008B0CC0" w:rsidRDefault="008B0C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EAA8AA" w14:textId="77777777" w:rsidR="00DF0BC3" w:rsidRDefault="00DF0BC3">
      <w:pPr>
        <w:spacing w:before="0" w:after="0"/>
      </w:pPr>
      <w:r>
        <w:separator/>
      </w:r>
    </w:p>
  </w:footnote>
  <w:footnote w:type="continuationSeparator" w:id="0">
    <w:p w14:paraId="4E019849" w14:textId="77777777" w:rsidR="00DF0BC3" w:rsidRDefault="00DF0BC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CE5FF3" w14:textId="77777777" w:rsidR="00C72318" w:rsidRPr="008B0CC0" w:rsidRDefault="0045310E" w:rsidP="0045310E">
    <w:pPr>
      <w:pStyle w:val="Header"/>
      <w:tabs>
        <w:tab w:val="left" w:pos="1204"/>
        <w:tab w:val="right" w:pos="9070"/>
      </w:tabs>
      <w:jc w:val="left"/>
      <w:rPr>
        <w:sz w:val="16"/>
      </w:rPr>
    </w:pPr>
    <w:r w:rsidRPr="008B0CC0">
      <w:rPr>
        <w:sz w:val="16"/>
      </w:rPr>
      <w:tab/>
    </w:r>
    <w:r w:rsidRPr="008B0CC0">
      <w:rPr>
        <w:sz w:val="16"/>
      </w:rPr>
      <w:tab/>
    </w:r>
    <w:r w:rsidR="00C72318" w:rsidRPr="008B0CC0">
      <w:rPr>
        <w:noProof/>
        <w:sz w:val="16"/>
      </w:rPr>
      <w:drawing>
        <wp:anchor distT="0" distB="0" distL="114300" distR="114300" simplePos="0" relativeHeight="251658240" behindDoc="1" locked="0" layoutInCell="1" allowOverlap="1" wp14:anchorId="59764AF0" wp14:editId="2A25CA08">
          <wp:simplePos x="904875" y="447675"/>
          <wp:positionH relativeFrom="page">
            <wp:align>center</wp:align>
          </wp:positionH>
          <wp:positionV relativeFrom="page">
            <wp:posOffset>180340</wp:posOffset>
          </wp:positionV>
          <wp:extent cx="7200000" cy="1079640"/>
          <wp:effectExtent l="0" t="0" r="1270" b="635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 report_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079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4E9BAC" w14:textId="77777777" w:rsidR="00EF145E" w:rsidRPr="001F3912" w:rsidRDefault="00756A15" w:rsidP="00A12F62">
    <w:pPr>
      <w:pStyle w:val="HeaderEven"/>
    </w:pPr>
    <w:r>
      <w:fldChar w:fldCharType="begin"/>
    </w:r>
    <w:r>
      <w:instrText xml:space="preserve"> STYLEREF  "Title"  \* MERGEFORMAT </w:instrText>
    </w:r>
    <w:r>
      <w:fldChar w:fldCharType="separate"/>
    </w:r>
    <w:r>
      <w:rPr>
        <w:noProof/>
      </w:rPr>
      <w:t>Key Elements of the Australian Business Securitisation Fund Investment Mandate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71A259" w14:textId="77777777" w:rsidR="008B0CC0" w:rsidRPr="001F3912" w:rsidRDefault="00153013" w:rsidP="008B0CC0">
    <w:pPr>
      <w:pStyle w:val="HeaderEven"/>
    </w:pPr>
    <w:fldSimple w:instr=" STYLEREF  &quot;Title&quot;  \* MERGEFORMAT ">
      <w:r w:rsidR="00756A15">
        <w:rPr>
          <w:noProof/>
        </w:rPr>
        <w:t>Key Elements of the Australian Business Securitisation Fund Investment Mandate</w:t>
      </w:r>
    </w:fldSimple>
  </w:p>
  <w:p w14:paraId="176E29F2" w14:textId="77777777" w:rsidR="0045310E" w:rsidRDefault="0045310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D3FC7"/>
    <w:multiLevelType w:val="multilevel"/>
    <w:tmpl w:val="79E48CD8"/>
    <w:styleLink w:val="BoxBulletedList"/>
    <w:lvl w:ilvl="0">
      <w:start w:val="1"/>
      <w:numFmt w:val="bullet"/>
      <w:lvlRestart w:val="0"/>
      <w:pStyle w:val="BoxBullet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bullet"/>
      <w:pStyle w:val="BoxDash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2">
      <w:start w:val="1"/>
      <w:numFmt w:val="bullet"/>
      <w:pStyle w:val="BoxDoubleDot"/>
      <w:lvlText w:val=":"/>
      <w:lvlJc w:val="left"/>
      <w:pPr>
        <w:tabs>
          <w:tab w:val="num" w:pos="850"/>
        </w:tabs>
        <w:ind w:left="850" w:hanging="283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1">
    <w:nsid w:val="0B8F13AF"/>
    <w:multiLevelType w:val="multilevel"/>
    <w:tmpl w:val="0C7091F8"/>
    <w:lvl w:ilvl="0">
      <w:start w:val="1"/>
      <w:numFmt w:val="low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0653560"/>
    <w:multiLevelType w:val="multilevel"/>
    <w:tmpl w:val="72F8140E"/>
    <w:styleLink w:val="OutlineList"/>
    <w:lvl w:ilvl="0">
      <w:start w:val="1"/>
      <w:numFmt w:val="decimal"/>
      <w:pStyle w:val="OutlineNumbered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OutlineNumbered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OutlineNumbered3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6CC4E5D"/>
    <w:multiLevelType w:val="multilevel"/>
    <w:tmpl w:val="D10E9CF6"/>
    <w:numStyleLink w:val="OneLevelList"/>
  </w:abstractNum>
  <w:abstractNum w:abstractNumId="4">
    <w:nsid w:val="17D33F64"/>
    <w:multiLevelType w:val="multilevel"/>
    <w:tmpl w:val="6D1C3168"/>
    <w:name w:val="StandardBulletedList"/>
    <w:lvl w:ilvl="0">
      <w:start w:val="1"/>
      <w:numFmt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7DF7717"/>
    <w:multiLevelType w:val="multilevel"/>
    <w:tmpl w:val="B91AC3AC"/>
    <w:lvl w:ilvl="0">
      <w:start w:val="1"/>
      <w:numFmt w:val="decimal"/>
      <w:pStyle w:val="Heading1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7440C8B"/>
    <w:multiLevelType w:val="multilevel"/>
    <w:tmpl w:val="9AFC5FD2"/>
    <w:lvl w:ilvl="0">
      <w:start w:val="1"/>
      <w:numFmt w:val="bullet"/>
      <w:lvlRestart w:val="0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b w:val="0"/>
        <w:i w:val="0"/>
      </w:rPr>
    </w:lvl>
  </w:abstractNum>
  <w:abstractNum w:abstractNumId="7">
    <w:nsid w:val="27826BF0"/>
    <w:multiLevelType w:val="multilevel"/>
    <w:tmpl w:val="6D0AA75C"/>
    <w:lvl w:ilvl="0">
      <w:start w:val="1"/>
      <w:numFmt w:val="lowerRoman"/>
      <w:pStyle w:val="Romannumer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pStyle w:val="AlphaParagraph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308C2710"/>
    <w:multiLevelType w:val="multilevel"/>
    <w:tmpl w:val="0D723674"/>
    <w:styleLink w:val="BulletedList"/>
    <w:lvl w:ilvl="0">
      <w:start w:val="1"/>
      <w:numFmt w:val="bullet"/>
      <w:lvlRestart w:val="0"/>
      <w:pStyle w:val="Bullet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bullet"/>
      <w:pStyle w:val="Dash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bullet"/>
      <w:pStyle w:val="DoubleDo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9">
    <w:nsid w:val="3238442C"/>
    <w:multiLevelType w:val="multilevel"/>
    <w:tmpl w:val="20C6D62C"/>
    <w:styleLink w:val="ChartandTableFootnoteAlphaList"/>
    <w:lvl w:ilvl="0">
      <w:start w:val="1"/>
      <w:numFmt w:val="lowerLetter"/>
      <w:pStyle w:val="ChartandTableFootnoteAlpha"/>
      <w:lvlText w:val="(%1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1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330C16AD"/>
    <w:multiLevelType w:val="multilevel"/>
    <w:tmpl w:val="D10E9CF6"/>
    <w:styleLink w:val="OneLevelList"/>
    <w:lvl w:ilvl="0">
      <w:start w:val="1"/>
      <w:numFmt w:val="decimal"/>
      <w:pStyle w:val="OneLevelNumberedParagraph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4CE06931"/>
    <w:multiLevelType w:val="singleLevel"/>
    <w:tmpl w:val="36E09474"/>
    <w:lvl w:ilvl="0">
      <w:start w:val="1"/>
      <w:numFmt w:val="lowerLetter"/>
      <w:lvlText w:val="(%1)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</w:rPr>
    </w:lvl>
  </w:abstractNum>
  <w:abstractNum w:abstractNumId="12">
    <w:nsid w:val="510D2021"/>
    <w:multiLevelType w:val="multilevel"/>
    <w:tmpl w:val="72F8140E"/>
    <w:numStyleLink w:val="OutlineList"/>
  </w:abstractNum>
  <w:abstractNum w:abstractNumId="13">
    <w:nsid w:val="5EFF1E76"/>
    <w:multiLevelType w:val="multilevel"/>
    <w:tmpl w:val="D9FE9894"/>
    <w:lvl w:ilvl="0">
      <w:start w:val="1"/>
      <w:numFmt w:val="lowerRoman"/>
      <w:lvlText w:val="%1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77A70C5A"/>
    <w:multiLevelType w:val="multilevel"/>
    <w:tmpl w:val="34C48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>
    <w:nsid w:val="7EBF275E"/>
    <w:multiLevelType w:val="multilevel"/>
    <w:tmpl w:val="A6800B9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984"/>
        </w:tabs>
        <w:ind w:left="1984" w:hanging="850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16">
    <w:nsid w:val="7F2E57A2"/>
    <w:multiLevelType w:val="multilevel"/>
    <w:tmpl w:val="D1ECFDF4"/>
    <w:lvl w:ilvl="0">
      <w:start w:val="1"/>
      <w:numFmt w:val="decimal"/>
      <w:lvlRestart w:val="0"/>
      <w:suff w:val="nothing"/>
      <w:lvlText w:val=""/>
      <w:lvlJc w:val="left"/>
      <w:pPr>
        <w:ind w:left="0" w:firstLine="0"/>
      </w:pPr>
      <w:rPr>
        <w:rFonts w:ascii="Arial" w:hAnsi="Arial" w:cs="Arial"/>
        <w:b/>
        <w:i w:val="0"/>
        <w:color w:val="000080"/>
        <w:sz w:val="24"/>
      </w:rPr>
    </w:lvl>
    <w:lvl w:ilvl="1">
      <w:start w:val="1"/>
      <w:numFmt w:val="lowerLetter"/>
      <w:lvlText w:val="(%2)"/>
      <w:lvlJc w:val="left"/>
      <w:pPr>
        <w:tabs>
          <w:tab w:val="num" w:pos="992"/>
        </w:tabs>
        <w:ind w:left="992" w:hanging="425"/>
      </w:pPr>
      <w:rPr>
        <w:rFonts w:ascii="Arial" w:hAnsi="Arial" w:cs="Arial"/>
        <w:b/>
        <w:i w:val="0"/>
        <w:color w:val="235292"/>
        <w:sz w:val="22"/>
      </w:rPr>
    </w:lvl>
    <w:lvl w:ilvl="2">
      <w:start w:val="1"/>
      <w:numFmt w:val="decimal"/>
      <w:lvlText w:val="%3"/>
      <w:lvlJc w:val="left"/>
      <w:pPr>
        <w:tabs>
          <w:tab w:val="num" w:pos="1418"/>
        </w:tabs>
        <w:ind w:left="1418" w:hanging="426"/>
      </w:pPr>
      <w:rPr>
        <w:rFonts w:ascii="Times New Roman" w:hAnsi="Times New Roman" w:cs="Times New Roman"/>
        <w:b w:val="0"/>
        <w:i w:val="0"/>
        <w:color w:val="000000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rFonts w:ascii="Times New Roman" w:hAnsi="Times New Roman" w:cs="Times New Roman"/>
        <w:b w:val="0"/>
        <w:i w:val="0"/>
        <w:color w:val="000000"/>
      </w:rPr>
    </w:lvl>
    <w:lvl w:ilvl="4">
      <w:start w:val="1"/>
      <w:numFmt w:val="decimal"/>
      <w:lvlText w:val="%5"/>
      <w:lvlJc w:val="left"/>
      <w:pPr>
        <w:tabs>
          <w:tab w:val="num" w:pos="2835"/>
        </w:tabs>
        <w:ind w:left="2835" w:hanging="567"/>
      </w:pPr>
      <w:rPr>
        <w:rFonts w:ascii="Times New Roman" w:hAnsi="Times New Roman" w:cs="Times New Roman"/>
        <w:b w:val="0"/>
        <w:i w:val="0"/>
        <w:color w:val="000000"/>
      </w:rPr>
    </w:lvl>
    <w:lvl w:ilvl="5">
      <w:start w:val="1"/>
      <w:numFmt w:val="decimal"/>
      <w:lvlText w:val="%6"/>
      <w:lvlJc w:val="left"/>
      <w:pPr>
        <w:tabs>
          <w:tab w:val="num" w:pos="3402"/>
        </w:tabs>
        <w:ind w:left="3402" w:hanging="567"/>
      </w:pPr>
      <w:rPr>
        <w:rFonts w:ascii="Times New Roman" w:hAnsi="Times New Roman" w:cs="Times New Roman"/>
        <w:b w:val="0"/>
        <w:i w:val="0"/>
        <w:color w:val="000000"/>
      </w:rPr>
    </w:lvl>
    <w:lvl w:ilvl="6">
      <w:start w:val="1"/>
      <w:numFmt w:val="decimal"/>
      <w:lvlText w:val="%7"/>
      <w:lvlJc w:val="left"/>
      <w:pPr>
        <w:tabs>
          <w:tab w:val="num" w:pos="3969"/>
        </w:tabs>
        <w:ind w:left="3969" w:hanging="567"/>
      </w:pPr>
      <w:rPr>
        <w:rFonts w:ascii="Times New Roman" w:hAnsi="Times New Roman" w:cs="Times New Roman"/>
        <w:b w:val="0"/>
        <w:i w:val="0"/>
        <w:color w:val="000000"/>
      </w:rPr>
    </w:lvl>
    <w:lvl w:ilvl="7">
      <w:start w:val="1"/>
      <w:numFmt w:val="decimal"/>
      <w:lvlText w:val="%8"/>
      <w:lvlJc w:val="left"/>
      <w:pPr>
        <w:tabs>
          <w:tab w:val="num" w:pos="4536"/>
        </w:tabs>
        <w:ind w:left="4536" w:hanging="567"/>
      </w:pPr>
      <w:rPr>
        <w:rFonts w:ascii="Times New Roman" w:hAnsi="Times New Roman" w:cs="Times New Roman"/>
        <w:b w:val="0"/>
        <w:i w:val="0"/>
        <w:color w:val="000000"/>
      </w:rPr>
    </w:lvl>
    <w:lvl w:ilvl="8">
      <w:start w:val="1"/>
      <w:numFmt w:val="decimal"/>
      <w:lvlText w:val="%9"/>
      <w:lvlJc w:val="left"/>
      <w:pPr>
        <w:tabs>
          <w:tab w:val="num" w:pos="5103"/>
        </w:tabs>
        <w:ind w:left="5103" w:hanging="567"/>
      </w:pPr>
      <w:rPr>
        <w:rFonts w:ascii="Times New Roman" w:hAnsi="Times New Roman" w:cs="Times New Roman"/>
        <w:b w:val="0"/>
        <w:i w:val="0"/>
        <w:color w:val="000000"/>
      </w:r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2"/>
  </w:num>
  <w:num w:numId="5">
    <w:abstractNumId w:val="3"/>
  </w:num>
  <w:num w:numId="6">
    <w:abstractNumId w:val="12"/>
  </w:num>
  <w:num w:numId="7">
    <w:abstractNumId w:val="9"/>
    <w:lvlOverride w:ilvl="0">
      <w:lvl w:ilvl="0">
        <w:start w:val="1"/>
        <w:numFmt w:val="lowerLetter"/>
        <w:pStyle w:val="ChartandTableFootnoteAlpha"/>
        <w:lvlText w:val="(%1)"/>
        <w:lvlJc w:val="left"/>
        <w:pPr>
          <w:ind w:left="360" w:hanging="360"/>
        </w:pPr>
        <w:rPr>
          <w:rFonts w:ascii="Calibri" w:hAnsi="Calibri" w:hint="default"/>
          <w:b w:val="0"/>
          <w:i w:val="0"/>
          <w:caps w:val="0"/>
          <w:strike w:val="0"/>
          <w:dstrike w:val="0"/>
          <w:vanish w:val="0"/>
          <w:sz w:val="18"/>
          <w:vertAlign w:val="baseline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8">
    <w:abstractNumId w:val="5"/>
  </w:num>
  <w:num w:numId="9">
    <w:abstractNumId w:val="1"/>
  </w:num>
  <w:num w:numId="10">
    <w:abstractNumId w:val="7"/>
  </w:num>
  <w:num w:numId="11">
    <w:abstractNumId w:val="15"/>
  </w:num>
  <w:num w:numId="12">
    <w:abstractNumId w:val="12"/>
  </w:num>
  <w:num w:numId="13">
    <w:abstractNumId w:val="16"/>
  </w:num>
  <w:num w:numId="14">
    <w:abstractNumId w:val="11"/>
  </w:num>
  <w:num w:numId="15">
    <w:abstractNumId w:val="6"/>
  </w:num>
  <w:num w:numId="16">
    <w:abstractNumId w:val="13"/>
  </w:num>
  <w:num w:numId="17">
    <w:abstractNumId w:val="9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mirrorMargins/>
  <w:proofState w:spelling="clean" w:grammar="clean"/>
  <w:attachedTemplate r:id="rId1"/>
  <w:defaultTabStop w:val="72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BC3"/>
    <w:rsid w:val="00011725"/>
    <w:rsid w:val="00012C62"/>
    <w:rsid w:val="0002544D"/>
    <w:rsid w:val="0004274D"/>
    <w:rsid w:val="00043348"/>
    <w:rsid w:val="0004483F"/>
    <w:rsid w:val="0005138B"/>
    <w:rsid w:val="000522B7"/>
    <w:rsid w:val="00056880"/>
    <w:rsid w:val="000675D1"/>
    <w:rsid w:val="00073521"/>
    <w:rsid w:val="000775DE"/>
    <w:rsid w:val="00087FAF"/>
    <w:rsid w:val="000B67CC"/>
    <w:rsid w:val="000C571D"/>
    <w:rsid w:val="000C5F40"/>
    <w:rsid w:val="000E0B74"/>
    <w:rsid w:val="000E7901"/>
    <w:rsid w:val="00131DC3"/>
    <w:rsid w:val="00135E4C"/>
    <w:rsid w:val="001373F5"/>
    <w:rsid w:val="00153013"/>
    <w:rsid w:val="001606CF"/>
    <w:rsid w:val="0016128D"/>
    <w:rsid w:val="0017089D"/>
    <w:rsid w:val="0019101A"/>
    <w:rsid w:val="001972D2"/>
    <w:rsid w:val="001C358D"/>
    <w:rsid w:val="001F1B27"/>
    <w:rsid w:val="00221EC0"/>
    <w:rsid w:val="00231049"/>
    <w:rsid w:val="002314D2"/>
    <w:rsid w:val="0023305C"/>
    <w:rsid w:val="00241881"/>
    <w:rsid w:val="0024294C"/>
    <w:rsid w:val="0025652F"/>
    <w:rsid w:val="00263B6C"/>
    <w:rsid w:val="00272939"/>
    <w:rsid w:val="0027590B"/>
    <w:rsid w:val="00285969"/>
    <w:rsid w:val="002A74EF"/>
    <w:rsid w:val="002B3829"/>
    <w:rsid w:val="002C22EF"/>
    <w:rsid w:val="002E454C"/>
    <w:rsid w:val="002F0098"/>
    <w:rsid w:val="002F617F"/>
    <w:rsid w:val="00300109"/>
    <w:rsid w:val="00306894"/>
    <w:rsid w:val="003122F4"/>
    <w:rsid w:val="003268D5"/>
    <w:rsid w:val="003448F6"/>
    <w:rsid w:val="00350759"/>
    <w:rsid w:val="00354D27"/>
    <w:rsid w:val="0035738A"/>
    <w:rsid w:val="003858A6"/>
    <w:rsid w:val="00392DCC"/>
    <w:rsid w:val="003A5B36"/>
    <w:rsid w:val="003C24B4"/>
    <w:rsid w:val="003E20D6"/>
    <w:rsid w:val="003E4D87"/>
    <w:rsid w:val="00401082"/>
    <w:rsid w:val="00416762"/>
    <w:rsid w:val="00416E55"/>
    <w:rsid w:val="0042518A"/>
    <w:rsid w:val="00445265"/>
    <w:rsid w:val="0045310E"/>
    <w:rsid w:val="004559CE"/>
    <w:rsid w:val="00460E1A"/>
    <w:rsid w:val="00463DF8"/>
    <w:rsid w:val="00475085"/>
    <w:rsid w:val="00476CF6"/>
    <w:rsid w:val="00477AA8"/>
    <w:rsid w:val="00492FCB"/>
    <w:rsid w:val="004A0F11"/>
    <w:rsid w:val="004A3EAA"/>
    <w:rsid w:val="004A7D97"/>
    <w:rsid w:val="004B5133"/>
    <w:rsid w:val="004C41B6"/>
    <w:rsid w:val="004D6E37"/>
    <w:rsid w:val="004E00EA"/>
    <w:rsid w:val="004F4B92"/>
    <w:rsid w:val="00516785"/>
    <w:rsid w:val="0052419D"/>
    <w:rsid w:val="005301F8"/>
    <w:rsid w:val="005312FC"/>
    <w:rsid w:val="0053569E"/>
    <w:rsid w:val="0053603D"/>
    <w:rsid w:val="0053742A"/>
    <w:rsid w:val="00537C85"/>
    <w:rsid w:val="00541D29"/>
    <w:rsid w:val="00562F17"/>
    <w:rsid w:val="0056582C"/>
    <w:rsid w:val="005868DE"/>
    <w:rsid w:val="005966B7"/>
    <w:rsid w:val="005B5E2A"/>
    <w:rsid w:val="005C02A4"/>
    <w:rsid w:val="005C20D2"/>
    <w:rsid w:val="005C32FE"/>
    <w:rsid w:val="005D024A"/>
    <w:rsid w:val="005D4FD4"/>
    <w:rsid w:val="005D6D64"/>
    <w:rsid w:val="00601650"/>
    <w:rsid w:val="00605AFD"/>
    <w:rsid w:val="006123D4"/>
    <w:rsid w:val="0061445B"/>
    <w:rsid w:val="00624C4B"/>
    <w:rsid w:val="00685CF7"/>
    <w:rsid w:val="00686165"/>
    <w:rsid w:val="00691CB5"/>
    <w:rsid w:val="00695D9A"/>
    <w:rsid w:val="006A37F5"/>
    <w:rsid w:val="006A7BA7"/>
    <w:rsid w:val="006C1892"/>
    <w:rsid w:val="006C5B73"/>
    <w:rsid w:val="006C645D"/>
    <w:rsid w:val="006D6B04"/>
    <w:rsid w:val="006E3CC3"/>
    <w:rsid w:val="00706E8E"/>
    <w:rsid w:val="00722B53"/>
    <w:rsid w:val="00743FF5"/>
    <w:rsid w:val="007509DD"/>
    <w:rsid w:val="00756A15"/>
    <w:rsid w:val="00763474"/>
    <w:rsid w:val="00784C0A"/>
    <w:rsid w:val="00794B40"/>
    <w:rsid w:val="007A1079"/>
    <w:rsid w:val="007B76AB"/>
    <w:rsid w:val="007D592B"/>
    <w:rsid w:val="007D5AA6"/>
    <w:rsid w:val="007D7A91"/>
    <w:rsid w:val="007E6456"/>
    <w:rsid w:val="00811943"/>
    <w:rsid w:val="008311B8"/>
    <w:rsid w:val="00834243"/>
    <w:rsid w:val="00857969"/>
    <w:rsid w:val="00882CC4"/>
    <w:rsid w:val="008B0CC0"/>
    <w:rsid w:val="008C7F71"/>
    <w:rsid w:val="008D339F"/>
    <w:rsid w:val="008E6292"/>
    <w:rsid w:val="00925AA5"/>
    <w:rsid w:val="0093540D"/>
    <w:rsid w:val="0094019D"/>
    <w:rsid w:val="00942C11"/>
    <w:rsid w:val="0094351F"/>
    <w:rsid w:val="009547F8"/>
    <w:rsid w:val="009729D4"/>
    <w:rsid w:val="009817B0"/>
    <w:rsid w:val="009821CE"/>
    <w:rsid w:val="009A277C"/>
    <w:rsid w:val="009A658F"/>
    <w:rsid w:val="009E171B"/>
    <w:rsid w:val="00A015E8"/>
    <w:rsid w:val="00A07D47"/>
    <w:rsid w:val="00A12F62"/>
    <w:rsid w:val="00A14FE9"/>
    <w:rsid w:val="00A3749B"/>
    <w:rsid w:val="00A37D87"/>
    <w:rsid w:val="00A508E5"/>
    <w:rsid w:val="00A50D88"/>
    <w:rsid w:val="00A56923"/>
    <w:rsid w:val="00A62E42"/>
    <w:rsid w:val="00A64A71"/>
    <w:rsid w:val="00A72960"/>
    <w:rsid w:val="00A72D8F"/>
    <w:rsid w:val="00A93401"/>
    <w:rsid w:val="00AC3196"/>
    <w:rsid w:val="00AD7167"/>
    <w:rsid w:val="00AE2F90"/>
    <w:rsid w:val="00B03DD6"/>
    <w:rsid w:val="00B3583B"/>
    <w:rsid w:val="00B37A8F"/>
    <w:rsid w:val="00B65347"/>
    <w:rsid w:val="00B87927"/>
    <w:rsid w:val="00BD26AA"/>
    <w:rsid w:val="00BD454F"/>
    <w:rsid w:val="00C01DCC"/>
    <w:rsid w:val="00C202B3"/>
    <w:rsid w:val="00C21EE0"/>
    <w:rsid w:val="00C30297"/>
    <w:rsid w:val="00C72318"/>
    <w:rsid w:val="00C724E6"/>
    <w:rsid w:val="00C747A5"/>
    <w:rsid w:val="00C85314"/>
    <w:rsid w:val="00CA0116"/>
    <w:rsid w:val="00CA4BC0"/>
    <w:rsid w:val="00CA5CA8"/>
    <w:rsid w:val="00CB0157"/>
    <w:rsid w:val="00CB5205"/>
    <w:rsid w:val="00CC215A"/>
    <w:rsid w:val="00CC559D"/>
    <w:rsid w:val="00CD654B"/>
    <w:rsid w:val="00CE223E"/>
    <w:rsid w:val="00CE5C6D"/>
    <w:rsid w:val="00CF3F0D"/>
    <w:rsid w:val="00D145F5"/>
    <w:rsid w:val="00D355F0"/>
    <w:rsid w:val="00D43AC8"/>
    <w:rsid w:val="00D56113"/>
    <w:rsid w:val="00D833D9"/>
    <w:rsid w:val="00D83BD9"/>
    <w:rsid w:val="00D94DCF"/>
    <w:rsid w:val="00D94EAE"/>
    <w:rsid w:val="00DA586F"/>
    <w:rsid w:val="00DB08DA"/>
    <w:rsid w:val="00DB1432"/>
    <w:rsid w:val="00DB7F09"/>
    <w:rsid w:val="00DC00E8"/>
    <w:rsid w:val="00DC1C56"/>
    <w:rsid w:val="00DC4756"/>
    <w:rsid w:val="00DC6379"/>
    <w:rsid w:val="00DE3C77"/>
    <w:rsid w:val="00DF0BC3"/>
    <w:rsid w:val="00DF6F61"/>
    <w:rsid w:val="00E04279"/>
    <w:rsid w:val="00E101C6"/>
    <w:rsid w:val="00E22D51"/>
    <w:rsid w:val="00E50E7C"/>
    <w:rsid w:val="00E51545"/>
    <w:rsid w:val="00E51D9E"/>
    <w:rsid w:val="00E537D1"/>
    <w:rsid w:val="00E567E6"/>
    <w:rsid w:val="00E56971"/>
    <w:rsid w:val="00E61484"/>
    <w:rsid w:val="00E711D7"/>
    <w:rsid w:val="00E815E1"/>
    <w:rsid w:val="00E902B0"/>
    <w:rsid w:val="00E902E8"/>
    <w:rsid w:val="00EA23AC"/>
    <w:rsid w:val="00EA7C3D"/>
    <w:rsid w:val="00EB6878"/>
    <w:rsid w:val="00EC1E0E"/>
    <w:rsid w:val="00EC236D"/>
    <w:rsid w:val="00EC6B16"/>
    <w:rsid w:val="00EE1447"/>
    <w:rsid w:val="00EE7BE3"/>
    <w:rsid w:val="00EF145E"/>
    <w:rsid w:val="00EF2BBB"/>
    <w:rsid w:val="00F0082D"/>
    <w:rsid w:val="00F015AB"/>
    <w:rsid w:val="00F07C90"/>
    <w:rsid w:val="00F53EC4"/>
    <w:rsid w:val="00F57BED"/>
    <w:rsid w:val="00F7613A"/>
    <w:rsid w:val="00F82746"/>
    <w:rsid w:val="00F836F9"/>
    <w:rsid w:val="00F845D7"/>
    <w:rsid w:val="00F92279"/>
    <w:rsid w:val="00FB4D21"/>
    <w:rsid w:val="00FB762B"/>
    <w:rsid w:val="00FC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B7CA3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6AA"/>
    <w:pPr>
      <w:spacing w:before="120" w:after="120" w:line="240" w:lineRule="auto"/>
    </w:pPr>
    <w:rPr>
      <w:rFonts w:ascii="Calibri" w:eastAsia="Times New Roman" w:hAnsi="Calibri" w:cs="Times New Roman"/>
      <w:szCs w:val="20"/>
      <w:lang w:eastAsia="en-AU"/>
    </w:rPr>
  </w:style>
  <w:style w:type="paragraph" w:styleId="Heading1">
    <w:name w:val="heading 1"/>
    <w:basedOn w:val="HeadingBase"/>
    <w:next w:val="Normal"/>
    <w:link w:val="Heading1Char"/>
    <w:qFormat/>
    <w:rsid w:val="00475085"/>
    <w:pPr>
      <w:spacing w:before="480"/>
      <w:outlineLvl w:val="0"/>
    </w:pPr>
    <w:rPr>
      <w:bCs w:val="0"/>
    </w:rPr>
  </w:style>
  <w:style w:type="paragraph" w:styleId="Heading2">
    <w:name w:val="heading 2"/>
    <w:basedOn w:val="HeadingBase"/>
    <w:next w:val="Normal"/>
    <w:link w:val="Heading2Char"/>
    <w:qFormat/>
    <w:rsid w:val="000E0B74"/>
    <w:pPr>
      <w:spacing w:before="360"/>
      <w:outlineLvl w:val="1"/>
    </w:pPr>
    <w:rPr>
      <w:bCs w:val="0"/>
      <w:iCs/>
      <w:sz w:val="36"/>
      <w:szCs w:val="28"/>
    </w:rPr>
  </w:style>
  <w:style w:type="paragraph" w:styleId="Heading3">
    <w:name w:val="heading 3"/>
    <w:basedOn w:val="HeadingBase"/>
    <w:next w:val="Normal"/>
    <w:link w:val="Heading3Char"/>
    <w:qFormat/>
    <w:rsid w:val="003E4D87"/>
    <w:pPr>
      <w:spacing w:before="240"/>
      <w:outlineLvl w:val="2"/>
    </w:pPr>
    <w:rPr>
      <w:bCs w:val="0"/>
      <w:color w:val="7F7F7F"/>
      <w:sz w:val="28"/>
      <w:szCs w:val="26"/>
    </w:rPr>
  </w:style>
  <w:style w:type="paragraph" w:styleId="Heading4">
    <w:name w:val="heading 4"/>
    <w:basedOn w:val="HeadingBase"/>
    <w:next w:val="Normal"/>
    <w:link w:val="Heading4Char"/>
    <w:qFormat/>
    <w:rsid w:val="000E0B74"/>
    <w:pPr>
      <w:outlineLvl w:val="3"/>
    </w:pPr>
    <w:rPr>
      <w:bCs w:val="0"/>
      <w:color w:val="336E98"/>
      <w:sz w:val="26"/>
      <w:szCs w:val="26"/>
    </w:rPr>
  </w:style>
  <w:style w:type="paragraph" w:styleId="Heading5">
    <w:name w:val="heading 5"/>
    <w:basedOn w:val="HeadingBase"/>
    <w:next w:val="Normal"/>
    <w:link w:val="Heading5Char"/>
    <w:qFormat/>
    <w:rsid w:val="001972D2"/>
    <w:pPr>
      <w:outlineLvl w:val="4"/>
    </w:pPr>
    <w:rPr>
      <w:b/>
      <w:bCs w:val="0"/>
      <w:iCs/>
      <w:sz w:val="22"/>
    </w:rPr>
  </w:style>
  <w:style w:type="paragraph" w:styleId="Heading6">
    <w:name w:val="heading 6"/>
    <w:basedOn w:val="HeadingBase"/>
    <w:next w:val="Normal"/>
    <w:link w:val="Heading6Char"/>
    <w:qFormat/>
    <w:rsid w:val="001972D2"/>
    <w:pPr>
      <w:outlineLvl w:val="5"/>
    </w:pPr>
    <w:rPr>
      <w:bCs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75085"/>
    <w:rPr>
      <w:rFonts w:ascii="Calibri" w:eastAsia="Times New Roman" w:hAnsi="Calibri" w:cs="Arial"/>
      <w:color w:val="004A7F"/>
      <w:kern w:val="32"/>
      <w:sz w:val="48"/>
      <w:szCs w:val="36"/>
      <w:lang w:eastAsia="en-AU"/>
    </w:rPr>
  </w:style>
  <w:style w:type="character" w:customStyle="1" w:styleId="Heading2Char">
    <w:name w:val="Heading 2 Char"/>
    <w:basedOn w:val="DefaultParagraphFont"/>
    <w:link w:val="Heading2"/>
    <w:rsid w:val="003E4D87"/>
    <w:rPr>
      <w:rFonts w:ascii="Calibri" w:eastAsia="Times New Roman" w:hAnsi="Calibri" w:cs="Arial"/>
      <w:iCs/>
      <w:color w:val="004A7F"/>
      <w:kern w:val="32"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3E4D87"/>
    <w:rPr>
      <w:rFonts w:ascii="Calibri" w:eastAsia="Times New Roman" w:hAnsi="Calibri" w:cs="Arial"/>
      <w:color w:val="7F7F7F"/>
      <w:kern w:val="32"/>
      <w:sz w:val="28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rsid w:val="003E4D87"/>
    <w:rPr>
      <w:rFonts w:ascii="Calibri" w:eastAsia="Times New Roman" w:hAnsi="Calibri" w:cs="Arial"/>
      <w:color w:val="336E98"/>
      <w:kern w:val="32"/>
      <w:sz w:val="26"/>
      <w:szCs w:val="26"/>
      <w:lang w:eastAsia="en-AU"/>
    </w:rPr>
  </w:style>
  <w:style w:type="character" w:customStyle="1" w:styleId="Heading5Char">
    <w:name w:val="Heading 5 Char"/>
    <w:basedOn w:val="DefaultParagraphFont"/>
    <w:link w:val="Heading5"/>
    <w:rsid w:val="001972D2"/>
    <w:rPr>
      <w:rFonts w:ascii="Calibri" w:eastAsia="Times New Roman" w:hAnsi="Calibri" w:cs="Arial"/>
      <w:b/>
      <w:iCs/>
      <w:color w:val="004A7F"/>
      <w:kern w:val="32"/>
      <w:szCs w:val="36"/>
      <w:lang w:eastAsia="en-AU"/>
    </w:rPr>
  </w:style>
  <w:style w:type="character" w:customStyle="1" w:styleId="Heading6Char">
    <w:name w:val="Heading 6 Char"/>
    <w:basedOn w:val="DefaultParagraphFont"/>
    <w:link w:val="Heading6"/>
    <w:rsid w:val="001972D2"/>
    <w:rPr>
      <w:rFonts w:ascii="Calibri" w:eastAsia="Times New Roman" w:hAnsi="Calibri" w:cs="Arial"/>
      <w:color w:val="004A7F"/>
      <w:kern w:val="32"/>
      <w:lang w:eastAsia="en-AU"/>
    </w:rPr>
  </w:style>
  <w:style w:type="paragraph" w:customStyle="1" w:styleId="ChartGraphic">
    <w:name w:val="Chart Graphic"/>
    <w:basedOn w:val="Normal"/>
    <w:next w:val="Normal"/>
    <w:rsid w:val="000E0B74"/>
    <w:pPr>
      <w:keepNext/>
      <w:spacing w:before="0" w:after="0"/>
      <w:jc w:val="center"/>
    </w:pPr>
    <w:rPr>
      <w:color w:val="004A7F"/>
      <w:sz w:val="20"/>
    </w:rPr>
  </w:style>
  <w:style w:type="paragraph" w:customStyle="1" w:styleId="AlphaParagraph">
    <w:name w:val="Alpha Paragraph"/>
    <w:basedOn w:val="Normal"/>
    <w:qFormat/>
    <w:rsid w:val="000E0B74"/>
    <w:pPr>
      <w:numPr>
        <w:ilvl w:val="1"/>
        <w:numId w:val="10"/>
      </w:numPr>
      <w:spacing w:before="0"/>
    </w:pPr>
  </w:style>
  <w:style w:type="paragraph" w:customStyle="1" w:styleId="BoxBullet">
    <w:name w:val="Box Bullet"/>
    <w:basedOn w:val="Normal"/>
    <w:rsid w:val="000E0B74"/>
    <w:pPr>
      <w:numPr>
        <w:numId w:val="2"/>
      </w:numPr>
      <w:spacing w:before="0"/>
      <w:ind w:left="284" w:hanging="284"/>
    </w:pPr>
  </w:style>
  <w:style w:type="paragraph" w:customStyle="1" w:styleId="BoxDash">
    <w:name w:val="Box Dash"/>
    <w:basedOn w:val="Normal"/>
    <w:rsid w:val="000E0B74"/>
    <w:pPr>
      <w:numPr>
        <w:ilvl w:val="1"/>
        <w:numId w:val="2"/>
      </w:numPr>
      <w:spacing w:before="0"/>
      <w:ind w:left="568"/>
    </w:pPr>
  </w:style>
  <w:style w:type="paragraph" w:customStyle="1" w:styleId="BoxDoubleDot">
    <w:name w:val="Box Double Dot"/>
    <w:basedOn w:val="Normal"/>
    <w:rsid w:val="000E0B74"/>
    <w:pPr>
      <w:numPr>
        <w:ilvl w:val="2"/>
        <w:numId w:val="2"/>
      </w:numPr>
      <w:spacing w:before="0"/>
      <w:ind w:left="851" w:hanging="284"/>
    </w:pPr>
  </w:style>
  <w:style w:type="paragraph" w:customStyle="1" w:styleId="BoxHeading">
    <w:name w:val="Box Heading"/>
    <w:basedOn w:val="Normal"/>
    <w:next w:val="Normal"/>
    <w:rsid w:val="00CE223E"/>
    <w:pPr>
      <w:keepNext/>
      <w:spacing w:before="240"/>
    </w:pPr>
    <w:rPr>
      <w:b/>
      <w:color w:val="004A7F"/>
      <w:sz w:val="26"/>
      <w:szCs w:val="26"/>
    </w:rPr>
  </w:style>
  <w:style w:type="paragraph" w:customStyle="1" w:styleId="BoxText">
    <w:name w:val="Box Text"/>
    <w:basedOn w:val="Normal"/>
    <w:rsid w:val="000E0B74"/>
  </w:style>
  <w:style w:type="paragraph" w:customStyle="1" w:styleId="Bullet">
    <w:name w:val="Bullet"/>
    <w:basedOn w:val="Normal"/>
    <w:link w:val="BulletChar"/>
    <w:rsid w:val="000E0B74"/>
    <w:pPr>
      <w:numPr>
        <w:numId w:val="1"/>
      </w:numPr>
      <w:spacing w:before="0"/>
      <w:ind w:left="284" w:hanging="284"/>
    </w:pPr>
  </w:style>
  <w:style w:type="paragraph" w:customStyle="1" w:styleId="ChartandTableFootnoteAlpha">
    <w:name w:val="Chart and Table Footnote Alpha"/>
    <w:rsid w:val="0023305C"/>
    <w:pPr>
      <w:numPr>
        <w:numId w:val="7"/>
      </w:numPr>
      <w:tabs>
        <w:tab w:val="num" w:pos="284"/>
      </w:tabs>
      <w:spacing w:after="0" w:line="240" w:lineRule="auto"/>
      <w:ind w:left="284" w:hanging="284"/>
      <w:jc w:val="both"/>
    </w:pPr>
    <w:rPr>
      <w:rFonts w:ascii="Calibri" w:eastAsia="Times New Roman" w:hAnsi="Calibri" w:cs="Times New Roman"/>
      <w:color w:val="000000"/>
      <w:sz w:val="18"/>
      <w:szCs w:val="16"/>
      <w:lang w:eastAsia="en-AU"/>
    </w:rPr>
  </w:style>
  <w:style w:type="paragraph" w:customStyle="1" w:styleId="ChartMainHeading">
    <w:name w:val="Chart Main Heading"/>
    <w:basedOn w:val="TableMainHeading"/>
    <w:next w:val="ChartGraphic"/>
    <w:rsid w:val="000E0B74"/>
    <w:pPr>
      <w:jc w:val="center"/>
    </w:pPr>
  </w:style>
  <w:style w:type="paragraph" w:customStyle="1" w:styleId="ChartorTableNote">
    <w:name w:val="Chart or Table Note"/>
    <w:next w:val="Normal"/>
    <w:rsid w:val="000E0B74"/>
    <w:pPr>
      <w:spacing w:after="0" w:line="240" w:lineRule="auto"/>
      <w:jc w:val="both"/>
    </w:pPr>
    <w:rPr>
      <w:rFonts w:ascii="Calibri" w:eastAsia="Times New Roman" w:hAnsi="Calibri" w:cs="Times New Roman"/>
      <w:color w:val="000000"/>
      <w:sz w:val="18"/>
      <w:szCs w:val="20"/>
      <w:lang w:eastAsia="en-AU"/>
    </w:rPr>
  </w:style>
  <w:style w:type="paragraph" w:customStyle="1" w:styleId="ChartSecondHeading">
    <w:name w:val="Chart Second Heading"/>
    <w:basedOn w:val="TableSecondHeading"/>
    <w:next w:val="ChartGraphic"/>
    <w:rsid w:val="000E0B74"/>
    <w:pPr>
      <w:jc w:val="center"/>
    </w:pPr>
  </w:style>
  <w:style w:type="paragraph" w:customStyle="1" w:styleId="ReportDate">
    <w:name w:val="Report Date"/>
    <w:basedOn w:val="Normal"/>
    <w:link w:val="ReportDateChar"/>
    <w:rsid w:val="00056880"/>
    <w:pPr>
      <w:keepNext/>
      <w:spacing w:before="0" w:after="360"/>
      <w:ind w:right="139"/>
      <w:jc w:val="right"/>
    </w:pPr>
    <w:rPr>
      <w:color w:val="004A7F"/>
      <w:sz w:val="44"/>
    </w:rPr>
  </w:style>
  <w:style w:type="paragraph" w:customStyle="1" w:styleId="Dash">
    <w:name w:val="Dash"/>
    <w:basedOn w:val="Normal"/>
    <w:link w:val="DashChar"/>
    <w:rsid w:val="000E0B74"/>
    <w:pPr>
      <w:numPr>
        <w:ilvl w:val="1"/>
        <w:numId w:val="1"/>
      </w:numPr>
      <w:spacing w:before="0"/>
      <w:ind w:left="568"/>
    </w:pPr>
  </w:style>
  <w:style w:type="paragraph" w:customStyle="1" w:styleId="DoubleDot">
    <w:name w:val="Double Dot"/>
    <w:basedOn w:val="Normal"/>
    <w:rsid w:val="000E0B74"/>
    <w:pPr>
      <w:numPr>
        <w:ilvl w:val="2"/>
        <w:numId w:val="1"/>
      </w:numPr>
      <w:spacing w:before="0"/>
      <w:ind w:left="851" w:hanging="284"/>
    </w:pPr>
  </w:style>
  <w:style w:type="paragraph" w:customStyle="1" w:styleId="TableMainHeading">
    <w:name w:val="Table Main Heading"/>
    <w:basedOn w:val="Heading3"/>
    <w:next w:val="Normal"/>
    <w:rsid w:val="000E0B74"/>
    <w:pPr>
      <w:spacing w:before="120" w:after="0"/>
    </w:pPr>
    <w:rPr>
      <w:b/>
    </w:rPr>
  </w:style>
  <w:style w:type="paragraph" w:customStyle="1" w:styleId="FooterEven">
    <w:name w:val="Footer Even"/>
    <w:basedOn w:val="Footer"/>
    <w:rsid w:val="00EE1447"/>
    <w:pPr>
      <w:keepNext/>
      <w:tabs>
        <w:tab w:val="clear" w:pos="4513"/>
        <w:tab w:val="clear" w:pos="9026"/>
      </w:tabs>
      <w:jc w:val="left"/>
    </w:pPr>
    <w:rPr>
      <w:noProof/>
    </w:rPr>
  </w:style>
  <w:style w:type="paragraph" w:customStyle="1" w:styleId="FooterOdd">
    <w:name w:val="Footer Odd"/>
    <w:basedOn w:val="Footer"/>
    <w:rsid w:val="000E0B74"/>
    <w:pPr>
      <w:keepNext/>
      <w:tabs>
        <w:tab w:val="clear" w:pos="4513"/>
        <w:tab w:val="clear" w:pos="9026"/>
      </w:tabs>
      <w:jc w:val="right"/>
    </w:pPr>
  </w:style>
  <w:style w:type="character" w:styleId="Hyperlink">
    <w:name w:val="Hyperlink"/>
    <w:basedOn w:val="DefaultParagraphFont"/>
    <w:uiPriority w:val="99"/>
    <w:rsid w:val="001F1B27"/>
    <w:rPr>
      <w:color w:val="004A7F"/>
      <w:u w:val="none"/>
    </w:rPr>
  </w:style>
  <w:style w:type="paragraph" w:customStyle="1" w:styleId="OutlineNumbered1">
    <w:name w:val="Outline Numbered 1"/>
    <w:basedOn w:val="Normal"/>
    <w:rsid w:val="000E0B74"/>
    <w:pPr>
      <w:numPr>
        <w:numId w:val="6"/>
      </w:numPr>
      <w:spacing w:before="0"/>
    </w:pPr>
  </w:style>
  <w:style w:type="paragraph" w:customStyle="1" w:styleId="OneLevelNumberedParagraph">
    <w:name w:val="One Level Numbered Paragraph"/>
    <w:basedOn w:val="Normal"/>
    <w:rsid w:val="000E0B74"/>
    <w:pPr>
      <w:numPr>
        <w:numId w:val="5"/>
      </w:numPr>
      <w:spacing w:before="0"/>
    </w:pPr>
  </w:style>
  <w:style w:type="paragraph" w:customStyle="1" w:styleId="OutlineNumbered2">
    <w:name w:val="Outline Numbered 2"/>
    <w:basedOn w:val="Normal"/>
    <w:rsid w:val="000E0B74"/>
    <w:pPr>
      <w:numPr>
        <w:ilvl w:val="1"/>
        <w:numId w:val="6"/>
      </w:numPr>
      <w:spacing w:before="0"/>
    </w:pPr>
  </w:style>
  <w:style w:type="paragraph" w:customStyle="1" w:styleId="OutlineNumbered3">
    <w:name w:val="Outline Numbered 3"/>
    <w:basedOn w:val="Normal"/>
    <w:rsid w:val="000E0B74"/>
    <w:pPr>
      <w:numPr>
        <w:ilvl w:val="2"/>
        <w:numId w:val="6"/>
      </w:numPr>
      <w:spacing w:before="0"/>
    </w:pPr>
  </w:style>
  <w:style w:type="paragraph" w:customStyle="1" w:styleId="Romannumeral">
    <w:name w:val="Roman numeral"/>
    <w:basedOn w:val="Normal"/>
    <w:rsid w:val="004F4B92"/>
    <w:pPr>
      <w:numPr>
        <w:numId w:val="10"/>
      </w:numPr>
      <w:tabs>
        <w:tab w:val="clear" w:pos="720"/>
        <w:tab w:val="num" w:pos="851"/>
      </w:tabs>
      <w:spacing w:before="0"/>
      <w:ind w:left="851" w:hanging="851"/>
    </w:pPr>
  </w:style>
  <w:style w:type="paragraph" w:customStyle="1" w:styleId="SingleParagraph">
    <w:name w:val="Single Paragraph"/>
    <w:basedOn w:val="Normal"/>
    <w:link w:val="SingleParagraphChar"/>
    <w:rsid w:val="000E0B74"/>
    <w:pPr>
      <w:spacing w:before="0" w:after="0"/>
    </w:pPr>
  </w:style>
  <w:style w:type="paragraph" w:customStyle="1" w:styleId="TableSecondHeading">
    <w:name w:val="Table Second Heading"/>
    <w:basedOn w:val="Normal"/>
    <w:next w:val="Normal"/>
    <w:rsid w:val="000E0B74"/>
    <w:pPr>
      <w:keepNext/>
      <w:spacing w:before="0" w:after="20"/>
    </w:pPr>
    <w:rPr>
      <w:b/>
      <w:color w:val="004A7F"/>
    </w:rPr>
  </w:style>
  <w:style w:type="paragraph" w:customStyle="1" w:styleId="TableColumnHeadingCentred">
    <w:name w:val="Table Column Heading Centred"/>
    <w:basedOn w:val="TableTextLeft"/>
    <w:rsid w:val="000E0B74"/>
    <w:pPr>
      <w:jc w:val="center"/>
    </w:pPr>
    <w:rPr>
      <w:b/>
      <w:color w:val="004A7F"/>
      <w:sz w:val="20"/>
    </w:rPr>
  </w:style>
  <w:style w:type="paragraph" w:customStyle="1" w:styleId="TableColumnHeadingLeft">
    <w:name w:val="Table Column Heading Left"/>
    <w:basedOn w:val="TableTextLeft"/>
    <w:rsid w:val="000E0B74"/>
    <w:rPr>
      <w:b/>
      <w:color w:val="004A7F"/>
      <w:sz w:val="20"/>
    </w:rPr>
  </w:style>
  <w:style w:type="paragraph" w:customStyle="1" w:styleId="TableColumnHeadingRight">
    <w:name w:val="Table Column Heading Right"/>
    <w:basedOn w:val="TableTextLeft"/>
    <w:rsid w:val="000E0B74"/>
    <w:pPr>
      <w:jc w:val="right"/>
    </w:pPr>
    <w:rPr>
      <w:b/>
      <w:color w:val="004A7F"/>
      <w:sz w:val="20"/>
    </w:rPr>
  </w:style>
  <w:style w:type="table" w:styleId="TableGrid">
    <w:name w:val="Table Grid"/>
    <w:basedOn w:val="TableNormal"/>
    <w:rsid w:val="000E0B74"/>
    <w:pPr>
      <w:spacing w:after="240" w:line="260" w:lineRule="exact"/>
      <w:jc w:val="both"/>
    </w:pPr>
    <w:rPr>
      <w:rFonts w:ascii="Times New Roman" w:eastAsia="Times New Roman" w:hAnsi="Times New Roman" w:cs="Times New Roman"/>
      <w:sz w:val="20"/>
      <w:szCs w:val="20"/>
      <w:lang w:eastAsia="en-AU"/>
    </w:rPr>
    <w:tblPr/>
    <w:tcPr>
      <w:shd w:val="clear" w:color="auto" w:fill="E6E6E6"/>
    </w:tcPr>
  </w:style>
  <w:style w:type="paragraph" w:customStyle="1" w:styleId="TableTextCentered">
    <w:name w:val="Table Text Centered"/>
    <w:basedOn w:val="TableTextRight"/>
    <w:rsid w:val="001972D2"/>
    <w:pPr>
      <w:jc w:val="center"/>
    </w:pPr>
  </w:style>
  <w:style w:type="paragraph" w:customStyle="1" w:styleId="TableTextLeft">
    <w:name w:val="Table Text Left"/>
    <w:basedOn w:val="TableTextRight"/>
    <w:rsid w:val="000E0B74"/>
    <w:pPr>
      <w:jc w:val="left"/>
    </w:pPr>
  </w:style>
  <w:style w:type="paragraph" w:customStyle="1" w:styleId="TableTextRight">
    <w:name w:val="Table Text Right"/>
    <w:basedOn w:val="Normal"/>
    <w:rsid w:val="000E0B74"/>
    <w:pPr>
      <w:spacing w:before="40" w:after="40"/>
      <w:jc w:val="right"/>
    </w:pPr>
    <w:rPr>
      <w:color w:val="000000"/>
      <w:sz w:val="18"/>
    </w:rPr>
  </w:style>
  <w:style w:type="paragraph" w:styleId="TOC1">
    <w:name w:val="toc 1"/>
    <w:basedOn w:val="Normal"/>
    <w:next w:val="Normal"/>
    <w:uiPriority w:val="39"/>
    <w:qFormat/>
    <w:rsid w:val="0025652F"/>
    <w:pPr>
      <w:keepNext/>
      <w:tabs>
        <w:tab w:val="right" w:leader="dot" w:pos="9072"/>
      </w:tabs>
      <w:spacing w:before="180" w:after="0"/>
      <w:ind w:right="-2"/>
    </w:pPr>
    <w:rPr>
      <w:b/>
      <w:noProof/>
      <w:color w:val="004A7F"/>
      <w:szCs w:val="22"/>
    </w:rPr>
  </w:style>
  <w:style w:type="paragraph" w:styleId="TOC2">
    <w:name w:val="toc 2"/>
    <w:basedOn w:val="Normal"/>
    <w:next w:val="Normal"/>
    <w:uiPriority w:val="39"/>
    <w:qFormat/>
    <w:rsid w:val="0025652F"/>
    <w:pPr>
      <w:keepNext/>
      <w:tabs>
        <w:tab w:val="right" w:leader="dot" w:pos="9072"/>
      </w:tabs>
      <w:spacing w:before="40" w:after="20"/>
      <w:ind w:right="-2"/>
    </w:pPr>
    <w:rPr>
      <w:noProof/>
      <w:color w:val="004A7F"/>
    </w:rPr>
  </w:style>
  <w:style w:type="paragraph" w:styleId="TOC3">
    <w:name w:val="toc 3"/>
    <w:basedOn w:val="Normal"/>
    <w:next w:val="Normal"/>
    <w:uiPriority w:val="39"/>
    <w:qFormat/>
    <w:rsid w:val="0025652F"/>
    <w:pPr>
      <w:tabs>
        <w:tab w:val="right" w:leader="dot" w:pos="9072"/>
      </w:tabs>
      <w:spacing w:before="20" w:after="0"/>
      <w:ind w:left="284" w:right="-2"/>
    </w:pPr>
    <w:rPr>
      <w:rFonts w:cs="Calibri"/>
      <w:noProof/>
    </w:rPr>
  </w:style>
  <w:style w:type="numbering" w:customStyle="1" w:styleId="OutlineList">
    <w:name w:val="OutlineList"/>
    <w:uiPriority w:val="99"/>
    <w:rsid w:val="000E0B74"/>
    <w:pPr>
      <w:numPr>
        <w:numId w:val="4"/>
      </w:numPr>
    </w:pPr>
  </w:style>
  <w:style w:type="numbering" w:customStyle="1" w:styleId="BulletedList">
    <w:name w:val="Bulleted List"/>
    <w:uiPriority w:val="99"/>
    <w:rsid w:val="000E0B74"/>
    <w:pPr>
      <w:numPr>
        <w:numId w:val="1"/>
      </w:numPr>
    </w:pPr>
  </w:style>
  <w:style w:type="numbering" w:customStyle="1" w:styleId="BoxBulletedList">
    <w:name w:val="Box Bulleted List"/>
    <w:uiPriority w:val="99"/>
    <w:rsid w:val="000E0B74"/>
    <w:pPr>
      <w:numPr>
        <w:numId w:val="2"/>
      </w:numPr>
    </w:pPr>
  </w:style>
  <w:style w:type="numbering" w:customStyle="1" w:styleId="OneLevelList">
    <w:name w:val="OneLevelList"/>
    <w:uiPriority w:val="99"/>
    <w:rsid w:val="000E0B74"/>
    <w:pPr>
      <w:numPr>
        <w:numId w:val="3"/>
      </w:numPr>
    </w:pPr>
  </w:style>
  <w:style w:type="numbering" w:customStyle="1" w:styleId="ChartandTableFootnoteAlphaList">
    <w:name w:val="ChartandTableFootnoteAlphaList"/>
    <w:uiPriority w:val="99"/>
    <w:rsid w:val="000E0B74"/>
    <w:pPr>
      <w:numPr>
        <w:numId w:val="17"/>
      </w:numPr>
    </w:pPr>
  </w:style>
  <w:style w:type="paragraph" w:customStyle="1" w:styleId="Crest">
    <w:name w:val="Crest"/>
    <w:basedOn w:val="Header"/>
    <w:rsid w:val="000E0B74"/>
    <w:pPr>
      <w:spacing w:after="480"/>
      <w:jc w:val="center"/>
    </w:pPr>
    <w:rPr>
      <w:color w:val="000000" w:themeColor="text1"/>
    </w:rPr>
  </w:style>
  <w:style w:type="paragraph" w:customStyle="1" w:styleId="Heading1Numbered">
    <w:name w:val="Heading 1 Numbered"/>
    <w:basedOn w:val="Heading1"/>
    <w:next w:val="Normal"/>
    <w:rsid w:val="000E0B74"/>
    <w:pPr>
      <w:numPr>
        <w:numId w:val="8"/>
      </w:numPr>
    </w:pPr>
  </w:style>
  <w:style w:type="character" w:customStyle="1" w:styleId="SingleParagraphChar">
    <w:name w:val="Single Paragraph Char"/>
    <w:basedOn w:val="DefaultParagraphFont"/>
    <w:link w:val="SingleParagraph"/>
    <w:rsid w:val="000E0B74"/>
    <w:rPr>
      <w:rFonts w:ascii="Calibri" w:eastAsia="Times New Roman" w:hAnsi="Calibri" w:cs="Times New Roman"/>
      <w:szCs w:val="20"/>
      <w:lang w:eastAsia="en-AU"/>
    </w:rPr>
  </w:style>
  <w:style w:type="paragraph" w:customStyle="1" w:styleId="Heading2Numbered">
    <w:name w:val="Heading 2 Numbered"/>
    <w:basedOn w:val="Heading2"/>
    <w:next w:val="Normal"/>
    <w:rsid w:val="000E0B74"/>
    <w:pPr>
      <w:numPr>
        <w:ilvl w:val="1"/>
        <w:numId w:val="8"/>
      </w:numPr>
      <w:ind w:left="284" w:hanging="284"/>
    </w:pPr>
  </w:style>
  <w:style w:type="paragraph" w:customStyle="1" w:styleId="Heading3Numbered">
    <w:name w:val="Heading 3 Numbered"/>
    <w:basedOn w:val="Heading3"/>
    <w:qFormat/>
    <w:rsid w:val="000E0B74"/>
    <w:pPr>
      <w:numPr>
        <w:ilvl w:val="2"/>
        <w:numId w:val="8"/>
      </w:numPr>
      <w:ind w:left="284" w:hanging="284"/>
    </w:pPr>
  </w:style>
  <w:style w:type="paragraph" w:styleId="Title">
    <w:name w:val="Title"/>
    <w:basedOn w:val="Normal"/>
    <w:next w:val="Normal"/>
    <w:link w:val="TitleChar"/>
    <w:uiPriority w:val="10"/>
    <w:qFormat/>
    <w:rsid w:val="000E0B74"/>
    <w:pPr>
      <w:spacing w:before="0" w:after="300"/>
      <w:contextualSpacing/>
      <w:jc w:val="right"/>
    </w:pPr>
    <w:rPr>
      <w:rFonts w:eastAsiaTheme="majorEastAsia" w:cstheme="majorBidi"/>
      <w:b/>
      <w:color w:val="004A7F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E0B74"/>
    <w:rPr>
      <w:rFonts w:ascii="Calibri" w:eastAsiaTheme="majorEastAsia" w:hAnsi="Calibri" w:cstheme="majorBidi"/>
      <w:b/>
      <w:color w:val="004A7F"/>
      <w:spacing w:val="5"/>
      <w:kern w:val="28"/>
      <w:sz w:val="72"/>
      <w:szCs w:val="5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294C"/>
    <w:pPr>
      <w:numPr>
        <w:ilvl w:val="1"/>
      </w:numPr>
      <w:jc w:val="right"/>
    </w:pPr>
    <w:rPr>
      <w:rFonts w:eastAsiaTheme="majorEastAsia" w:cstheme="majorBidi"/>
      <w:iCs/>
      <w:color w:val="7F7F7F" w:themeColor="text1" w:themeTint="80"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24294C"/>
    <w:rPr>
      <w:rFonts w:ascii="Calibri" w:eastAsiaTheme="majorEastAsia" w:hAnsi="Calibri" w:cstheme="majorBidi"/>
      <w:iCs/>
      <w:color w:val="7F7F7F" w:themeColor="text1" w:themeTint="80"/>
      <w:sz w:val="44"/>
      <w:szCs w:val="44"/>
      <w:lang w:eastAsia="en-AU"/>
    </w:rPr>
  </w:style>
  <w:style w:type="character" w:styleId="SubtleEmphasis">
    <w:name w:val="Subtle Emphasis"/>
    <w:basedOn w:val="DefaultParagraphFont"/>
    <w:uiPriority w:val="19"/>
    <w:qFormat/>
    <w:rsid w:val="000E0B74"/>
    <w:rPr>
      <w:i/>
      <w:iCs/>
      <w:color w:val="808080" w:themeColor="text1" w:themeTint="7F"/>
    </w:rPr>
  </w:style>
  <w:style w:type="paragraph" w:styleId="Footer">
    <w:name w:val="footer"/>
    <w:basedOn w:val="Normal"/>
    <w:link w:val="FooterChar"/>
    <w:unhideWhenUsed/>
    <w:rsid w:val="001606CF"/>
    <w:pPr>
      <w:tabs>
        <w:tab w:val="center" w:pos="4513"/>
        <w:tab w:val="right" w:pos="9026"/>
      </w:tabs>
      <w:spacing w:before="0" w:after="0"/>
      <w:jc w:val="center"/>
    </w:pPr>
    <w:rPr>
      <w:color w:val="004A7F"/>
      <w:sz w:val="20"/>
    </w:rPr>
  </w:style>
  <w:style w:type="character" w:customStyle="1" w:styleId="FooterChar">
    <w:name w:val="Footer Char"/>
    <w:basedOn w:val="DefaultParagraphFont"/>
    <w:link w:val="Footer"/>
    <w:rsid w:val="001606CF"/>
    <w:rPr>
      <w:rFonts w:ascii="Calibri" w:eastAsia="Times New Roman" w:hAnsi="Calibri" w:cs="Times New Roman"/>
      <w:color w:val="004A7F"/>
      <w:sz w:val="20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1606CF"/>
    <w:pPr>
      <w:keepNext/>
      <w:spacing w:before="0" w:after="0"/>
      <w:jc w:val="right"/>
    </w:pPr>
    <w:rPr>
      <w:color w:val="004A7F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1606CF"/>
    <w:rPr>
      <w:rFonts w:ascii="Calibri" w:eastAsia="Times New Roman" w:hAnsi="Calibri" w:cs="Times New Roman"/>
      <w:color w:val="004A7F"/>
      <w:sz w:val="20"/>
      <w:szCs w:val="20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056880"/>
    <w:rPr>
      <w:color w:val="808080"/>
    </w:rPr>
  </w:style>
  <w:style w:type="paragraph" w:customStyle="1" w:styleId="AppendixHeading">
    <w:name w:val="Appendix Heading"/>
    <w:basedOn w:val="Normal"/>
    <w:next w:val="Normal"/>
    <w:rsid w:val="00285969"/>
    <w:pPr>
      <w:keepNext/>
      <w:spacing w:before="720" w:after="360"/>
    </w:pPr>
    <w:rPr>
      <w:rFonts w:ascii="Arial Bold" w:hAnsi="Arial Bold"/>
      <w:b/>
      <w:smallCaps/>
      <w:color w:val="004A7F"/>
      <w:sz w:val="36"/>
      <w:szCs w:val="36"/>
    </w:rPr>
  </w:style>
  <w:style w:type="paragraph" w:customStyle="1" w:styleId="HeadingBase">
    <w:name w:val="Heading Base"/>
    <w:qFormat/>
    <w:rsid w:val="00475085"/>
    <w:pPr>
      <w:keepNext/>
      <w:spacing w:after="120" w:line="240" w:lineRule="auto"/>
    </w:pPr>
    <w:rPr>
      <w:rFonts w:ascii="Calibri" w:eastAsia="Times New Roman" w:hAnsi="Calibri" w:cs="Arial"/>
      <w:bCs/>
      <w:color w:val="004A7F"/>
      <w:kern w:val="32"/>
      <w:sz w:val="48"/>
      <w:szCs w:val="36"/>
      <w:lang w:eastAsia="en-AU"/>
    </w:rPr>
  </w:style>
  <w:style w:type="character" w:customStyle="1" w:styleId="ReportDateChar">
    <w:name w:val="Report Date Char"/>
    <w:basedOn w:val="DefaultParagraphFont"/>
    <w:link w:val="ReportDate"/>
    <w:rsid w:val="00925AA5"/>
    <w:rPr>
      <w:rFonts w:ascii="Calibri" w:eastAsia="Times New Roman" w:hAnsi="Calibri" w:cs="Times New Roman"/>
      <w:color w:val="004A7F"/>
      <w:sz w:val="44"/>
      <w:szCs w:val="20"/>
      <w:lang w:eastAsia="en-AU"/>
    </w:rPr>
  </w:style>
  <w:style w:type="paragraph" w:customStyle="1" w:styleId="Disclaimer">
    <w:name w:val="Disclaimer"/>
    <w:basedOn w:val="ReportDate"/>
    <w:rsid w:val="002F617F"/>
    <w:pPr>
      <w:spacing w:after="1800"/>
      <w:ind w:right="142"/>
    </w:pPr>
    <w:rPr>
      <w:rFonts w:ascii="Century Gothic" w:hAnsi="Century Gothic"/>
      <w:b/>
      <w:bCs/>
      <w:color w:val="44546A" w:themeColor="text2"/>
      <w:sz w:val="22"/>
    </w:rPr>
  </w:style>
  <w:style w:type="paragraph" w:customStyle="1" w:styleId="NotesHeading">
    <w:name w:val="Notes Heading"/>
    <w:basedOn w:val="Normal"/>
    <w:rsid w:val="002F617F"/>
    <w:pPr>
      <w:keepNext/>
      <w:spacing w:before="240" w:after="360"/>
      <w:jc w:val="center"/>
    </w:pPr>
    <w:rPr>
      <w:rFonts w:ascii="Century Gothic" w:hAnsi="Century Gothic"/>
      <w:smallCaps/>
      <w:color w:val="44546A" w:themeColor="text2"/>
      <w:sz w:val="36"/>
      <w:szCs w:val="36"/>
    </w:rPr>
  </w:style>
  <w:style w:type="paragraph" w:customStyle="1" w:styleId="Divider">
    <w:name w:val="Divider"/>
    <w:basedOn w:val="ReportDate"/>
    <w:qFormat/>
    <w:rsid w:val="002F617F"/>
    <w:pPr>
      <w:spacing w:after="1800"/>
      <w:ind w:right="0"/>
    </w:pPr>
    <w:rPr>
      <w:rFonts w:ascii="Rockwell" w:hAnsi="Rockwell"/>
      <w:sz w:val="24"/>
    </w:rPr>
  </w:style>
  <w:style w:type="character" w:customStyle="1" w:styleId="FramedFooter">
    <w:name w:val="Framed Footer"/>
    <w:rsid w:val="00E22D51"/>
    <w:rPr>
      <w:rFonts w:ascii="Arial" w:hAnsi="Arial"/>
      <w:color w:val="004A7F"/>
      <w:sz w:val="18"/>
    </w:rPr>
  </w:style>
  <w:style w:type="character" w:customStyle="1" w:styleId="FramedHeader">
    <w:name w:val="Framed Header"/>
    <w:basedOn w:val="DefaultParagraphFont"/>
    <w:rsid w:val="0027590B"/>
    <w:rPr>
      <w:rFonts w:ascii="Arial" w:hAnsi="Arial"/>
      <w:dstrike w:val="0"/>
      <w:color w:val="auto"/>
      <w:sz w:val="18"/>
      <w:vertAlign w:val="baseline"/>
    </w:rPr>
  </w:style>
  <w:style w:type="paragraph" w:customStyle="1" w:styleId="TableTextIndented">
    <w:name w:val="Table Text Indented"/>
    <w:basedOn w:val="TableTextLeft"/>
    <w:qFormat/>
    <w:rsid w:val="008E6292"/>
    <w:pPr>
      <w:ind w:left="284"/>
    </w:pPr>
  </w:style>
  <w:style w:type="paragraph" w:customStyle="1" w:styleId="TableHeadingContinued">
    <w:name w:val="Table Heading Continued"/>
    <w:basedOn w:val="TableMainHeading"/>
    <w:next w:val="TableGraphic"/>
    <w:qFormat/>
    <w:rsid w:val="009A277C"/>
  </w:style>
  <w:style w:type="paragraph" w:customStyle="1" w:styleId="TableGraphic">
    <w:name w:val="Table Graphic"/>
    <w:basedOn w:val="HeadingBase"/>
    <w:next w:val="Normal"/>
    <w:qFormat/>
    <w:rsid w:val="008E6292"/>
    <w:pPr>
      <w:spacing w:after="0"/>
    </w:pPr>
  </w:style>
  <w:style w:type="paragraph" w:customStyle="1" w:styleId="HeaderEven">
    <w:name w:val="Header Even"/>
    <w:basedOn w:val="Header"/>
    <w:qFormat/>
    <w:rsid w:val="00A12F62"/>
    <w:pPr>
      <w:jc w:val="left"/>
    </w:pPr>
  </w:style>
  <w:style w:type="paragraph" w:customStyle="1" w:styleId="HeaderOdd">
    <w:name w:val="Header Odd"/>
    <w:basedOn w:val="Header"/>
    <w:qFormat/>
    <w:rsid w:val="00A12F62"/>
  </w:style>
  <w:style w:type="paragraph" w:styleId="FootnoteText">
    <w:name w:val="footnote text"/>
    <w:basedOn w:val="Normal"/>
    <w:link w:val="FootnoteTextChar"/>
    <w:uiPriority w:val="99"/>
    <w:rsid w:val="008C7F71"/>
    <w:pPr>
      <w:spacing w:before="0"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C7F71"/>
    <w:rPr>
      <w:rFonts w:ascii="Calibri" w:eastAsia="Times New Roman" w:hAnsi="Calibri" w:cs="Times New Roman"/>
      <w:sz w:val="20"/>
      <w:szCs w:val="20"/>
      <w:lang w:eastAsia="en-AU"/>
    </w:rPr>
  </w:style>
  <w:style w:type="character" w:styleId="FootnoteReference">
    <w:name w:val="footnote reference"/>
    <w:basedOn w:val="DefaultParagraphFont"/>
    <w:uiPriority w:val="99"/>
    <w:rsid w:val="004C41B6"/>
    <w:rPr>
      <w:rFonts w:ascii="Calibri" w:hAnsi="Calibri"/>
      <w:sz w:val="20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231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318"/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BulletChar">
    <w:name w:val="Bullet Char"/>
    <w:basedOn w:val="DefaultParagraphFont"/>
    <w:link w:val="Bullet"/>
    <w:rsid w:val="006D6B04"/>
    <w:rPr>
      <w:rFonts w:ascii="Calibri" w:eastAsia="Times New Roman" w:hAnsi="Calibri" w:cs="Times New Roman"/>
      <w:szCs w:val="20"/>
      <w:lang w:eastAsia="en-AU"/>
    </w:rPr>
  </w:style>
  <w:style w:type="character" w:customStyle="1" w:styleId="DashChar">
    <w:name w:val="Dash Char"/>
    <w:basedOn w:val="DefaultParagraphFont"/>
    <w:link w:val="Dash"/>
    <w:rsid w:val="006D6B04"/>
    <w:rPr>
      <w:rFonts w:ascii="Calibri" w:eastAsia="Times New Roman" w:hAnsi="Calibri" w:cs="Times New Roman"/>
      <w:szCs w:val="20"/>
      <w:lang w:eastAsia="en-AU"/>
    </w:rPr>
  </w:style>
  <w:style w:type="character" w:styleId="LineNumber">
    <w:name w:val="line number"/>
    <w:basedOn w:val="DefaultParagraphFont"/>
    <w:uiPriority w:val="99"/>
    <w:semiHidden/>
    <w:unhideWhenUsed/>
    <w:rsid w:val="006D6B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6AA"/>
    <w:pPr>
      <w:spacing w:before="120" w:after="120" w:line="240" w:lineRule="auto"/>
    </w:pPr>
    <w:rPr>
      <w:rFonts w:ascii="Calibri" w:eastAsia="Times New Roman" w:hAnsi="Calibri" w:cs="Times New Roman"/>
      <w:szCs w:val="20"/>
      <w:lang w:eastAsia="en-AU"/>
    </w:rPr>
  </w:style>
  <w:style w:type="paragraph" w:styleId="Heading1">
    <w:name w:val="heading 1"/>
    <w:basedOn w:val="HeadingBase"/>
    <w:next w:val="Normal"/>
    <w:link w:val="Heading1Char"/>
    <w:qFormat/>
    <w:rsid w:val="00475085"/>
    <w:pPr>
      <w:spacing w:before="480"/>
      <w:outlineLvl w:val="0"/>
    </w:pPr>
    <w:rPr>
      <w:bCs w:val="0"/>
    </w:rPr>
  </w:style>
  <w:style w:type="paragraph" w:styleId="Heading2">
    <w:name w:val="heading 2"/>
    <w:basedOn w:val="HeadingBase"/>
    <w:next w:val="Normal"/>
    <w:link w:val="Heading2Char"/>
    <w:qFormat/>
    <w:rsid w:val="000E0B74"/>
    <w:pPr>
      <w:spacing w:before="360"/>
      <w:outlineLvl w:val="1"/>
    </w:pPr>
    <w:rPr>
      <w:bCs w:val="0"/>
      <w:iCs/>
      <w:sz w:val="36"/>
      <w:szCs w:val="28"/>
    </w:rPr>
  </w:style>
  <w:style w:type="paragraph" w:styleId="Heading3">
    <w:name w:val="heading 3"/>
    <w:basedOn w:val="HeadingBase"/>
    <w:next w:val="Normal"/>
    <w:link w:val="Heading3Char"/>
    <w:qFormat/>
    <w:rsid w:val="003E4D87"/>
    <w:pPr>
      <w:spacing w:before="240"/>
      <w:outlineLvl w:val="2"/>
    </w:pPr>
    <w:rPr>
      <w:bCs w:val="0"/>
      <w:color w:val="7F7F7F"/>
      <w:sz w:val="28"/>
      <w:szCs w:val="26"/>
    </w:rPr>
  </w:style>
  <w:style w:type="paragraph" w:styleId="Heading4">
    <w:name w:val="heading 4"/>
    <w:basedOn w:val="HeadingBase"/>
    <w:next w:val="Normal"/>
    <w:link w:val="Heading4Char"/>
    <w:qFormat/>
    <w:rsid w:val="000E0B74"/>
    <w:pPr>
      <w:outlineLvl w:val="3"/>
    </w:pPr>
    <w:rPr>
      <w:bCs w:val="0"/>
      <w:color w:val="336E98"/>
      <w:sz w:val="26"/>
      <w:szCs w:val="26"/>
    </w:rPr>
  </w:style>
  <w:style w:type="paragraph" w:styleId="Heading5">
    <w:name w:val="heading 5"/>
    <w:basedOn w:val="HeadingBase"/>
    <w:next w:val="Normal"/>
    <w:link w:val="Heading5Char"/>
    <w:qFormat/>
    <w:rsid w:val="001972D2"/>
    <w:pPr>
      <w:outlineLvl w:val="4"/>
    </w:pPr>
    <w:rPr>
      <w:b/>
      <w:bCs w:val="0"/>
      <w:iCs/>
      <w:sz w:val="22"/>
    </w:rPr>
  </w:style>
  <w:style w:type="paragraph" w:styleId="Heading6">
    <w:name w:val="heading 6"/>
    <w:basedOn w:val="HeadingBase"/>
    <w:next w:val="Normal"/>
    <w:link w:val="Heading6Char"/>
    <w:qFormat/>
    <w:rsid w:val="001972D2"/>
    <w:pPr>
      <w:outlineLvl w:val="5"/>
    </w:pPr>
    <w:rPr>
      <w:bCs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75085"/>
    <w:rPr>
      <w:rFonts w:ascii="Calibri" w:eastAsia="Times New Roman" w:hAnsi="Calibri" w:cs="Arial"/>
      <w:color w:val="004A7F"/>
      <w:kern w:val="32"/>
      <w:sz w:val="48"/>
      <w:szCs w:val="36"/>
      <w:lang w:eastAsia="en-AU"/>
    </w:rPr>
  </w:style>
  <w:style w:type="character" w:customStyle="1" w:styleId="Heading2Char">
    <w:name w:val="Heading 2 Char"/>
    <w:basedOn w:val="DefaultParagraphFont"/>
    <w:link w:val="Heading2"/>
    <w:rsid w:val="003E4D87"/>
    <w:rPr>
      <w:rFonts w:ascii="Calibri" w:eastAsia="Times New Roman" w:hAnsi="Calibri" w:cs="Arial"/>
      <w:iCs/>
      <w:color w:val="004A7F"/>
      <w:kern w:val="32"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3E4D87"/>
    <w:rPr>
      <w:rFonts w:ascii="Calibri" w:eastAsia="Times New Roman" w:hAnsi="Calibri" w:cs="Arial"/>
      <w:color w:val="7F7F7F"/>
      <w:kern w:val="32"/>
      <w:sz w:val="28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rsid w:val="003E4D87"/>
    <w:rPr>
      <w:rFonts w:ascii="Calibri" w:eastAsia="Times New Roman" w:hAnsi="Calibri" w:cs="Arial"/>
      <w:color w:val="336E98"/>
      <w:kern w:val="32"/>
      <w:sz w:val="26"/>
      <w:szCs w:val="26"/>
      <w:lang w:eastAsia="en-AU"/>
    </w:rPr>
  </w:style>
  <w:style w:type="character" w:customStyle="1" w:styleId="Heading5Char">
    <w:name w:val="Heading 5 Char"/>
    <w:basedOn w:val="DefaultParagraphFont"/>
    <w:link w:val="Heading5"/>
    <w:rsid w:val="001972D2"/>
    <w:rPr>
      <w:rFonts w:ascii="Calibri" w:eastAsia="Times New Roman" w:hAnsi="Calibri" w:cs="Arial"/>
      <w:b/>
      <w:iCs/>
      <w:color w:val="004A7F"/>
      <w:kern w:val="32"/>
      <w:szCs w:val="36"/>
      <w:lang w:eastAsia="en-AU"/>
    </w:rPr>
  </w:style>
  <w:style w:type="character" w:customStyle="1" w:styleId="Heading6Char">
    <w:name w:val="Heading 6 Char"/>
    <w:basedOn w:val="DefaultParagraphFont"/>
    <w:link w:val="Heading6"/>
    <w:rsid w:val="001972D2"/>
    <w:rPr>
      <w:rFonts w:ascii="Calibri" w:eastAsia="Times New Roman" w:hAnsi="Calibri" w:cs="Arial"/>
      <w:color w:val="004A7F"/>
      <w:kern w:val="32"/>
      <w:lang w:eastAsia="en-AU"/>
    </w:rPr>
  </w:style>
  <w:style w:type="paragraph" w:customStyle="1" w:styleId="ChartGraphic">
    <w:name w:val="Chart Graphic"/>
    <w:basedOn w:val="Normal"/>
    <w:next w:val="Normal"/>
    <w:rsid w:val="000E0B74"/>
    <w:pPr>
      <w:keepNext/>
      <w:spacing w:before="0" w:after="0"/>
      <w:jc w:val="center"/>
    </w:pPr>
    <w:rPr>
      <w:color w:val="004A7F"/>
      <w:sz w:val="20"/>
    </w:rPr>
  </w:style>
  <w:style w:type="paragraph" w:customStyle="1" w:styleId="AlphaParagraph">
    <w:name w:val="Alpha Paragraph"/>
    <w:basedOn w:val="Normal"/>
    <w:qFormat/>
    <w:rsid w:val="000E0B74"/>
    <w:pPr>
      <w:numPr>
        <w:ilvl w:val="1"/>
        <w:numId w:val="10"/>
      </w:numPr>
      <w:spacing w:before="0"/>
    </w:pPr>
  </w:style>
  <w:style w:type="paragraph" w:customStyle="1" w:styleId="BoxBullet">
    <w:name w:val="Box Bullet"/>
    <w:basedOn w:val="Normal"/>
    <w:rsid w:val="000E0B74"/>
    <w:pPr>
      <w:numPr>
        <w:numId w:val="2"/>
      </w:numPr>
      <w:spacing w:before="0"/>
      <w:ind w:left="284" w:hanging="284"/>
    </w:pPr>
  </w:style>
  <w:style w:type="paragraph" w:customStyle="1" w:styleId="BoxDash">
    <w:name w:val="Box Dash"/>
    <w:basedOn w:val="Normal"/>
    <w:rsid w:val="000E0B74"/>
    <w:pPr>
      <w:numPr>
        <w:ilvl w:val="1"/>
        <w:numId w:val="2"/>
      </w:numPr>
      <w:spacing w:before="0"/>
      <w:ind w:left="568"/>
    </w:pPr>
  </w:style>
  <w:style w:type="paragraph" w:customStyle="1" w:styleId="BoxDoubleDot">
    <w:name w:val="Box Double Dot"/>
    <w:basedOn w:val="Normal"/>
    <w:rsid w:val="000E0B74"/>
    <w:pPr>
      <w:numPr>
        <w:ilvl w:val="2"/>
        <w:numId w:val="2"/>
      </w:numPr>
      <w:spacing w:before="0"/>
      <w:ind w:left="851" w:hanging="284"/>
    </w:pPr>
  </w:style>
  <w:style w:type="paragraph" w:customStyle="1" w:styleId="BoxHeading">
    <w:name w:val="Box Heading"/>
    <w:basedOn w:val="Normal"/>
    <w:next w:val="Normal"/>
    <w:rsid w:val="00CE223E"/>
    <w:pPr>
      <w:keepNext/>
      <w:spacing w:before="240"/>
    </w:pPr>
    <w:rPr>
      <w:b/>
      <w:color w:val="004A7F"/>
      <w:sz w:val="26"/>
      <w:szCs w:val="26"/>
    </w:rPr>
  </w:style>
  <w:style w:type="paragraph" w:customStyle="1" w:styleId="BoxText">
    <w:name w:val="Box Text"/>
    <w:basedOn w:val="Normal"/>
    <w:rsid w:val="000E0B74"/>
  </w:style>
  <w:style w:type="paragraph" w:customStyle="1" w:styleId="Bullet">
    <w:name w:val="Bullet"/>
    <w:basedOn w:val="Normal"/>
    <w:link w:val="BulletChar"/>
    <w:rsid w:val="000E0B74"/>
    <w:pPr>
      <w:numPr>
        <w:numId w:val="1"/>
      </w:numPr>
      <w:spacing w:before="0"/>
      <w:ind w:left="284" w:hanging="284"/>
    </w:pPr>
  </w:style>
  <w:style w:type="paragraph" w:customStyle="1" w:styleId="ChartandTableFootnoteAlpha">
    <w:name w:val="Chart and Table Footnote Alpha"/>
    <w:rsid w:val="0023305C"/>
    <w:pPr>
      <w:numPr>
        <w:numId w:val="7"/>
      </w:numPr>
      <w:tabs>
        <w:tab w:val="num" w:pos="284"/>
      </w:tabs>
      <w:spacing w:after="0" w:line="240" w:lineRule="auto"/>
      <w:ind w:left="284" w:hanging="284"/>
      <w:jc w:val="both"/>
    </w:pPr>
    <w:rPr>
      <w:rFonts w:ascii="Calibri" w:eastAsia="Times New Roman" w:hAnsi="Calibri" w:cs="Times New Roman"/>
      <w:color w:val="000000"/>
      <w:sz w:val="18"/>
      <w:szCs w:val="16"/>
      <w:lang w:eastAsia="en-AU"/>
    </w:rPr>
  </w:style>
  <w:style w:type="paragraph" w:customStyle="1" w:styleId="ChartMainHeading">
    <w:name w:val="Chart Main Heading"/>
    <w:basedOn w:val="TableMainHeading"/>
    <w:next w:val="ChartGraphic"/>
    <w:rsid w:val="000E0B74"/>
    <w:pPr>
      <w:jc w:val="center"/>
    </w:pPr>
  </w:style>
  <w:style w:type="paragraph" w:customStyle="1" w:styleId="ChartorTableNote">
    <w:name w:val="Chart or Table Note"/>
    <w:next w:val="Normal"/>
    <w:rsid w:val="000E0B74"/>
    <w:pPr>
      <w:spacing w:after="0" w:line="240" w:lineRule="auto"/>
      <w:jc w:val="both"/>
    </w:pPr>
    <w:rPr>
      <w:rFonts w:ascii="Calibri" w:eastAsia="Times New Roman" w:hAnsi="Calibri" w:cs="Times New Roman"/>
      <w:color w:val="000000"/>
      <w:sz w:val="18"/>
      <w:szCs w:val="20"/>
      <w:lang w:eastAsia="en-AU"/>
    </w:rPr>
  </w:style>
  <w:style w:type="paragraph" w:customStyle="1" w:styleId="ChartSecondHeading">
    <w:name w:val="Chart Second Heading"/>
    <w:basedOn w:val="TableSecondHeading"/>
    <w:next w:val="ChartGraphic"/>
    <w:rsid w:val="000E0B74"/>
    <w:pPr>
      <w:jc w:val="center"/>
    </w:pPr>
  </w:style>
  <w:style w:type="paragraph" w:customStyle="1" w:styleId="ReportDate">
    <w:name w:val="Report Date"/>
    <w:basedOn w:val="Normal"/>
    <w:link w:val="ReportDateChar"/>
    <w:rsid w:val="00056880"/>
    <w:pPr>
      <w:keepNext/>
      <w:spacing w:before="0" w:after="360"/>
      <w:ind w:right="139"/>
      <w:jc w:val="right"/>
    </w:pPr>
    <w:rPr>
      <w:color w:val="004A7F"/>
      <w:sz w:val="44"/>
    </w:rPr>
  </w:style>
  <w:style w:type="paragraph" w:customStyle="1" w:styleId="Dash">
    <w:name w:val="Dash"/>
    <w:basedOn w:val="Normal"/>
    <w:link w:val="DashChar"/>
    <w:rsid w:val="000E0B74"/>
    <w:pPr>
      <w:numPr>
        <w:ilvl w:val="1"/>
        <w:numId w:val="1"/>
      </w:numPr>
      <w:spacing w:before="0"/>
      <w:ind w:left="568"/>
    </w:pPr>
  </w:style>
  <w:style w:type="paragraph" w:customStyle="1" w:styleId="DoubleDot">
    <w:name w:val="Double Dot"/>
    <w:basedOn w:val="Normal"/>
    <w:rsid w:val="000E0B74"/>
    <w:pPr>
      <w:numPr>
        <w:ilvl w:val="2"/>
        <w:numId w:val="1"/>
      </w:numPr>
      <w:spacing w:before="0"/>
      <w:ind w:left="851" w:hanging="284"/>
    </w:pPr>
  </w:style>
  <w:style w:type="paragraph" w:customStyle="1" w:styleId="TableMainHeading">
    <w:name w:val="Table Main Heading"/>
    <w:basedOn w:val="Heading3"/>
    <w:next w:val="Normal"/>
    <w:rsid w:val="000E0B74"/>
    <w:pPr>
      <w:spacing w:before="120" w:after="0"/>
    </w:pPr>
    <w:rPr>
      <w:b/>
    </w:rPr>
  </w:style>
  <w:style w:type="paragraph" w:customStyle="1" w:styleId="FooterEven">
    <w:name w:val="Footer Even"/>
    <w:basedOn w:val="Footer"/>
    <w:rsid w:val="00EE1447"/>
    <w:pPr>
      <w:keepNext/>
      <w:tabs>
        <w:tab w:val="clear" w:pos="4513"/>
        <w:tab w:val="clear" w:pos="9026"/>
      </w:tabs>
      <w:jc w:val="left"/>
    </w:pPr>
    <w:rPr>
      <w:noProof/>
    </w:rPr>
  </w:style>
  <w:style w:type="paragraph" w:customStyle="1" w:styleId="FooterOdd">
    <w:name w:val="Footer Odd"/>
    <w:basedOn w:val="Footer"/>
    <w:rsid w:val="000E0B74"/>
    <w:pPr>
      <w:keepNext/>
      <w:tabs>
        <w:tab w:val="clear" w:pos="4513"/>
        <w:tab w:val="clear" w:pos="9026"/>
      </w:tabs>
      <w:jc w:val="right"/>
    </w:pPr>
  </w:style>
  <w:style w:type="character" w:styleId="Hyperlink">
    <w:name w:val="Hyperlink"/>
    <w:basedOn w:val="DefaultParagraphFont"/>
    <w:uiPriority w:val="99"/>
    <w:rsid w:val="001F1B27"/>
    <w:rPr>
      <w:color w:val="004A7F"/>
      <w:u w:val="none"/>
    </w:rPr>
  </w:style>
  <w:style w:type="paragraph" w:customStyle="1" w:styleId="OutlineNumbered1">
    <w:name w:val="Outline Numbered 1"/>
    <w:basedOn w:val="Normal"/>
    <w:rsid w:val="000E0B74"/>
    <w:pPr>
      <w:numPr>
        <w:numId w:val="6"/>
      </w:numPr>
      <w:spacing w:before="0"/>
    </w:pPr>
  </w:style>
  <w:style w:type="paragraph" w:customStyle="1" w:styleId="OneLevelNumberedParagraph">
    <w:name w:val="One Level Numbered Paragraph"/>
    <w:basedOn w:val="Normal"/>
    <w:rsid w:val="000E0B74"/>
    <w:pPr>
      <w:numPr>
        <w:numId w:val="5"/>
      </w:numPr>
      <w:spacing w:before="0"/>
    </w:pPr>
  </w:style>
  <w:style w:type="paragraph" w:customStyle="1" w:styleId="OutlineNumbered2">
    <w:name w:val="Outline Numbered 2"/>
    <w:basedOn w:val="Normal"/>
    <w:rsid w:val="000E0B74"/>
    <w:pPr>
      <w:numPr>
        <w:ilvl w:val="1"/>
        <w:numId w:val="6"/>
      </w:numPr>
      <w:spacing w:before="0"/>
    </w:pPr>
  </w:style>
  <w:style w:type="paragraph" w:customStyle="1" w:styleId="OutlineNumbered3">
    <w:name w:val="Outline Numbered 3"/>
    <w:basedOn w:val="Normal"/>
    <w:rsid w:val="000E0B74"/>
    <w:pPr>
      <w:numPr>
        <w:ilvl w:val="2"/>
        <w:numId w:val="6"/>
      </w:numPr>
      <w:spacing w:before="0"/>
    </w:pPr>
  </w:style>
  <w:style w:type="paragraph" w:customStyle="1" w:styleId="Romannumeral">
    <w:name w:val="Roman numeral"/>
    <w:basedOn w:val="Normal"/>
    <w:rsid w:val="004F4B92"/>
    <w:pPr>
      <w:numPr>
        <w:numId w:val="10"/>
      </w:numPr>
      <w:tabs>
        <w:tab w:val="clear" w:pos="720"/>
        <w:tab w:val="num" w:pos="851"/>
      </w:tabs>
      <w:spacing w:before="0"/>
      <w:ind w:left="851" w:hanging="851"/>
    </w:pPr>
  </w:style>
  <w:style w:type="paragraph" w:customStyle="1" w:styleId="SingleParagraph">
    <w:name w:val="Single Paragraph"/>
    <w:basedOn w:val="Normal"/>
    <w:link w:val="SingleParagraphChar"/>
    <w:rsid w:val="000E0B74"/>
    <w:pPr>
      <w:spacing w:before="0" w:after="0"/>
    </w:pPr>
  </w:style>
  <w:style w:type="paragraph" w:customStyle="1" w:styleId="TableSecondHeading">
    <w:name w:val="Table Second Heading"/>
    <w:basedOn w:val="Normal"/>
    <w:next w:val="Normal"/>
    <w:rsid w:val="000E0B74"/>
    <w:pPr>
      <w:keepNext/>
      <w:spacing w:before="0" w:after="20"/>
    </w:pPr>
    <w:rPr>
      <w:b/>
      <w:color w:val="004A7F"/>
    </w:rPr>
  </w:style>
  <w:style w:type="paragraph" w:customStyle="1" w:styleId="TableColumnHeadingCentred">
    <w:name w:val="Table Column Heading Centred"/>
    <w:basedOn w:val="TableTextLeft"/>
    <w:rsid w:val="000E0B74"/>
    <w:pPr>
      <w:jc w:val="center"/>
    </w:pPr>
    <w:rPr>
      <w:b/>
      <w:color w:val="004A7F"/>
      <w:sz w:val="20"/>
    </w:rPr>
  </w:style>
  <w:style w:type="paragraph" w:customStyle="1" w:styleId="TableColumnHeadingLeft">
    <w:name w:val="Table Column Heading Left"/>
    <w:basedOn w:val="TableTextLeft"/>
    <w:rsid w:val="000E0B74"/>
    <w:rPr>
      <w:b/>
      <w:color w:val="004A7F"/>
      <w:sz w:val="20"/>
    </w:rPr>
  </w:style>
  <w:style w:type="paragraph" w:customStyle="1" w:styleId="TableColumnHeadingRight">
    <w:name w:val="Table Column Heading Right"/>
    <w:basedOn w:val="TableTextLeft"/>
    <w:rsid w:val="000E0B74"/>
    <w:pPr>
      <w:jc w:val="right"/>
    </w:pPr>
    <w:rPr>
      <w:b/>
      <w:color w:val="004A7F"/>
      <w:sz w:val="20"/>
    </w:rPr>
  </w:style>
  <w:style w:type="table" w:styleId="TableGrid">
    <w:name w:val="Table Grid"/>
    <w:basedOn w:val="TableNormal"/>
    <w:rsid w:val="000E0B74"/>
    <w:pPr>
      <w:spacing w:after="240" w:line="260" w:lineRule="exact"/>
      <w:jc w:val="both"/>
    </w:pPr>
    <w:rPr>
      <w:rFonts w:ascii="Times New Roman" w:eastAsia="Times New Roman" w:hAnsi="Times New Roman" w:cs="Times New Roman"/>
      <w:sz w:val="20"/>
      <w:szCs w:val="20"/>
      <w:lang w:eastAsia="en-AU"/>
    </w:rPr>
    <w:tblPr/>
    <w:tcPr>
      <w:shd w:val="clear" w:color="auto" w:fill="E6E6E6"/>
    </w:tcPr>
  </w:style>
  <w:style w:type="paragraph" w:customStyle="1" w:styleId="TableTextCentered">
    <w:name w:val="Table Text Centered"/>
    <w:basedOn w:val="TableTextRight"/>
    <w:rsid w:val="001972D2"/>
    <w:pPr>
      <w:jc w:val="center"/>
    </w:pPr>
  </w:style>
  <w:style w:type="paragraph" w:customStyle="1" w:styleId="TableTextLeft">
    <w:name w:val="Table Text Left"/>
    <w:basedOn w:val="TableTextRight"/>
    <w:rsid w:val="000E0B74"/>
    <w:pPr>
      <w:jc w:val="left"/>
    </w:pPr>
  </w:style>
  <w:style w:type="paragraph" w:customStyle="1" w:styleId="TableTextRight">
    <w:name w:val="Table Text Right"/>
    <w:basedOn w:val="Normal"/>
    <w:rsid w:val="000E0B74"/>
    <w:pPr>
      <w:spacing w:before="40" w:after="40"/>
      <w:jc w:val="right"/>
    </w:pPr>
    <w:rPr>
      <w:color w:val="000000"/>
      <w:sz w:val="18"/>
    </w:rPr>
  </w:style>
  <w:style w:type="paragraph" w:styleId="TOC1">
    <w:name w:val="toc 1"/>
    <w:basedOn w:val="Normal"/>
    <w:next w:val="Normal"/>
    <w:uiPriority w:val="39"/>
    <w:qFormat/>
    <w:rsid w:val="0025652F"/>
    <w:pPr>
      <w:keepNext/>
      <w:tabs>
        <w:tab w:val="right" w:leader="dot" w:pos="9072"/>
      </w:tabs>
      <w:spacing w:before="180" w:after="0"/>
      <w:ind w:right="-2"/>
    </w:pPr>
    <w:rPr>
      <w:b/>
      <w:noProof/>
      <w:color w:val="004A7F"/>
      <w:szCs w:val="22"/>
    </w:rPr>
  </w:style>
  <w:style w:type="paragraph" w:styleId="TOC2">
    <w:name w:val="toc 2"/>
    <w:basedOn w:val="Normal"/>
    <w:next w:val="Normal"/>
    <w:uiPriority w:val="39"/>
    <w:qFormat/>
    <w:rsid w:val="0025652F"/>
    <w:pPr>
      <w:keepNext/>
      <w:tabs>
        <w:tab w:val="right" w:leader="dot" w:pos="9072"/>
      </w:tabs>
      <w:spacing w:before="40" w:after="20"/>
      <w:ind w:right="-2"/>
    </w:pPr>
    <w:rPr>
      <w:noProof/>
      <w:color w:val="004A7F"/>
    </w:rPr>
  </w:style>
  <w:style w:type="paragraph" w:styleId="TOC3">
    <w:name w:val="toc 3"/>
    <w:basedOn w:val="Normal"/>
    <w:next w:val="Normal"/>
    <w:uiPriority w:val="39"/>
    <w:qFormat/>
    <w:rsid w:val="0025652F"/>
    <w:pPr>
      <w:tabs>
        <w:tab w:val="right" w:leader="dot" w:pos="9072"/>
      </w:tabs>
      <w:spacing w:before="20" w:after="0"/>
      <w:ind w:left="284" w:right="-2"/>
    </w:pPr>
    <w:rPr>
      <w:rFonts w:cs="Calibri"/>
      <w:noProof/>
    </w:rPr>
  </w:style>
  <w:style w:type="numbering" w:customStyle="1" w:styleId="OutlineList">
    <w:name w:val="OutlineList"/>
    <w:uiPriority w:val="99"/>
    <w:rsid w:val="000E0B74"/>
    <w:pPr>
      <w:numPr>
        <w:numId w:val="4"/>
      </w:numPr>
    </w:pPr>
  </w:style>
  <w:style w:type="numbering" w:customStyle="1" w:styleId="BulletedList">
    <w:name w:val="Bulleted List"/>
    <w:uiPriority w:val="99"/>
    <w:rsid w:val="000E0B74"/>
    <w:pPr>
      <w:numPr>
        <w:numId w:val="1"/>
      </w:numPr>
    </w:pPr>
  </w:style>
  <w:style w:type="numbering" w:customStyle="1" w:styleId="BoxBulletedList">
    <w:name w:val="Box Bulleted List"/>
    <w:uiPriority w:val="99"/>
    <w:rsid w:val="000E0B74"/>
    <w:pPr>
      <w:numPr>
        <w:numId w:val="2"/>
      </w:numPr>
    </w:pPr>
  </w:style>
  <w:style w:type="numbering" w:customStyle="1" w:styleId="OneLevelList">
    <w:name w:val="OneLevelList"/>
    <w:uiPriority w:val="99"/>
    <w:rsid w:val="000E0B74"/>
    <w:pPr>
      <w:numPr>
        <w:numId w:val="3"/>
      </w:numPr>
    </w:pPr>
  </w:style>
  <w:style w:type="numbering" w:customStyle="1" w:styleId="ChartandTableFootnoteAlphaList">
    <w:name w:val="ChartandTableFootnoteAlphaList"/>
    <w:uiPriority w:val="99"/>
    <w:rsid w:val="000E0B74"/>
    <w:pPr>
      <w:numPr>
        <w:numId w:val="17"/>
      </w:numPr>
    </w:pPr>
  </w:style>
  <w:style w:type="paragraph" w:customStyle="1" w:styleId="Crest">
    <w:name w:val="Crest"/>
    <w:basedOn w:val="Header"/>
    <w:rsid w:val="000E0B74"/>
    <w:pPr>
      <w:spacing w:after="480"/>
      <w:jc w:val="center"/>
    </w:pPr>
    <w:rPr>
      <w:color w:val="000000" w:themeColor="text1"/>
    </w:rPr>
  </w:style>
  <w:style w:type="paragraph" w:customStyle="1" w:styleId="Heading1Numbered">
    <w:name w:val="Heading 1 Numbered"/>
    <w:basedOn w:val="Heading1"/>
    <w:next w:val="Normal"/>
    <w:rsid w:val="000E0B74"/>
    <w:pPr>
      <w:numPr>
        <w:numId w:val="8"/>
      </w:numPr>
    </w:pPr>
  </w:style>
  <w:style w:type="character" w:customStyle="1" w:styleId="SingleParagraphChar">
    <w:name w:val="Single Paragraph Char"/>
    <w:basedOn w:val="DefaultParagraphFont"/>
    <w:link w:val="SingleParagraph"/>
    <w:rsid w:val="000E0B74"/>
    <w:rPr>
      <w:rFonts w:ascii="Calibri" w:eastAsia="Times New Roman" w:hAnsi="Calibri" w:cs="Times New Roman"/>
      <w:szCs w:val="20"/>
      <w:lang w:eastAsia="en-AU"/>
    </w:rPr>
  </w:style>
  <w:style w:type="paragraph" w:customStyle="1" w:styleId="Heading2Numbered">
    <w:name w:val="Heading 2 Numbered"/>
    <w:basedOn w:val="Heading2"/>
    <w:next w:val="Normal"/>
    <w:rsid w:val="000E0B74"/>
    <w:pPr>
      <w:numPr>
        <w:ilvl w:val="1"/>
        <w:numId w:val="8"/>
      </w:numPr>
      <w:ind w:left="284" w:hanging="284"/>
    </w:pPr>
  </w:style>
  <w:style w:type="paragraph" w:customStyle="1" w:styleId="Heading3Numbered">
    <w:name w:val="Heading 3 Numbered"/>
    <w:basedOn w:val="Heading3"/>
    <w:qFormat/>
    <w:rsid w:val="000E0B74"/>
    <w:pPr>
      <w:numPr>
        <w:ilvl w:val="2"/>
        <w:numId w:val="8"/>
      </w:numPr>
      <w:ind w:left="284" w:hanging="284"/>
    </w:pPr>
  </w:style>
  <w:style w:type="paragraph" w:styleId="Title">
    <w:name w:val="Title"/>
    <w:basedOn w:val="Normal"/>
    <w:next w:val="Normal"/>
    <w:link w:val="TitleChar"/>
    <w:uiPriority w:val="10"/>
    <w:qFormat/>
    <w:rsid w:val="000E0B74"/>
    <w:pPr>
      <w:spacing w:before="0" w:after="300"/>
      <w:contextualSpacing/>
      <w:jc w:val="right"/>
    </w:pPr>
    <w:rPr>
      <w:rFonts w:eastAsiaTheme="majorEastAsia" w:cstheme="majorBidi"/>
      <w:b/>
      <w:color w:val="004A7F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E0B74"/>
    <w:rPr>
      <w:rFonts w:ascii="Calibri" w:eastAsiaTheme="majorEastAsia" w:hAnsi="Calibri" w:cstheme="majorBidi"/>
      <w:b/>
      <w:color w:val="004A7F"/>
      <w:spacing w:val="5"/>
      <w:kern w:val="28"/>
      <w:sz w:val="72"/>
      <w:szCs w:val="5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294C"/>
    <w:pPr>
      <w:numPr>
        <w:ilvl w:val="1"/>
      </w:numPr>
      <w:jc w:val="right"/>
    </w:pPr>
    <w:rPr>
      <w:rFonts w:eastAsiaTheme="majorEastAsia" w:cstheme="majorBidi"/>
      <w:iCs/>
      <w:color w:val="7F7F7F" w:themeColor="text1" w:themeTint="80"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24294C"/>
    <w:rPr>
      <w:rFonts w:ascii="Calibri" w:eastAsiaTheme="majorEastAsia" w:hAnsi="Calibri" w:cstheme="majorBidi"/>
      <w:iCs/>
      <w:color w:val="7F7F7F" w:themeColor="text1" w:themeTint="80"/>
      <w:sz w:val="44"/>
      <w:szCs w:val="44"/>
      <w:lang w:eastAsia="en-AU"/>
    </w:rPr>
  </w:style>
  <w:style w:type="character" w:styleId="SubtleEmphasis">
    <w:name w:val="Subtle Emphasis"/>
    <w:basedOn w:val="DefaultParagraphFont"/>
    <w:uiPriority w:val="19"/>
    <w:qFormat/>
    <w:rsid w:val="000E0B74"/>
    <w:rPr>
      <w:i/>
      <w:iCs/>
      <w:color w:val="808080" w:themeColor="text1" w:themeTint="7F"/>
    </w:rPr>
  </w:style>
  <w:style w:type="paragraph" w:styleId="Footer">
    <w:name w:val="footer"/>
    <w:basedOn w:val="Normal"/>
    <w:link w:val="FooterChar"/>
    <w:unhideWhenUsed/>
    <w:rsid w:val="001606CF"/>
    <w:pPr>
      <w:tabs>
        <w:tab w:val="center" w:pos="4513"/>
        <w:tab w:val="right" w:pos="9026"/>
      </w:tabs>
      <w:spacing w:before="0" w:after="0"/>
      <w:jc w:val="center"/>
    </w:pPr>
    <w:rPr>
      <w:color w:val="004A7F"/>
      <w:sz w:val="20"/>
    </w:rPr>
  </w:style>
  <w:style w:type="character" w:customStyle="1" w:styleId="FooterChar">
    <w:name w:val="Footer Char"/>
    <w:basedOn w:val="DefaultParagraphFont"/>
    <w:link w:val="Footer"/>
    <w:rsid w:val="001606CF"/>
    <w:rPr>
      <w:rFonts w:ascii="Calibri" w:eastAsia="Times New Roman" w:hAnsi="Calibri" w:cs="Times New Roman"/>
      <w:color w:val="004A7F"/>
      <w:sz w:val="20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1606CF"/>
    <w:pPr>
      <w:keepNext/>
      <w:spacing w:before="0" w:after="0"/>
      <w:jc w:val="right"/>
    </w:pPr>
    <w:rPr>
      <w:color w:val="004A7F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1606CF"/>
    <w:rPr>
      <w:rFonts w:ascii="Calibri" w:eastAsia="Times New Roman" w:hAnsi="Calibri" w:cs="Times New Roman"/>
      <w:color w:val="004A7F"/>
      <w:sz w:val="20"/>
      <w:szCs w:val="20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056880"/>
    <w:rPr>
      <w:color w:val="808080"/>
    </w:rPr>
  </w:style>
  <w:style w:type="paragraph" w:customStyle="1" w:styleId="AppendixHeading">
    <w:name w:val="Appendix Heading"/>
    <w:basedOn w:val="Normal"/>
    <w:next w:val="Normal"/>
    <w:rsid w:val="00285969"/>
    <w:pPr>
      <w:keepNext/>
      <w:spacing w:before="720" w:after="360"/>
    </w:pPr>
    <w:rPr>
      <w:rFonts w:ascii="Arial Bold" w:hAnsi="Arial Bold"/>
      <w:b/>
      <w:smallCaps/>
      <w:color w:val="004A7F"/>
      <w:sz w:val="36"/>
      <w:szCs w:val="36"/>
    </w:rPr>
  </w:style>
  <w:style w:type="paragraph" w:customStyle="1" w:styleId="HeadingBase">
    <w:name w:val="Heading Base"/>
    <w:qFormat/>
    <w:rsid w:val="00475085"/>
    <w:pPr>
      <w:keepNext/>
      <w:spacing w:after="120" w:line="240" w:lineRule="auto"/>
    </w:pPr>
    <w:rPr>
      <w:rFonts w:ascii="Calibri" w:eastAsia="Times New Roman" w:hAnsi="Calibri" w:cs="Arial"/>
      <w:bCs/>
      <w:color w:val="004A7F"/>
      <w:kern w:val="32"/>
      <w:sz w:val="48"/>
      <w:szCs w:val="36"/>
      <w:lang w:eastAsia="en-AU"/>
    </w:rPr>
  </w:style>
  <w:style w:type="character" w:customStyle="1" w:styleId="ReportDateChar">
    <w:name w:val="Report Date Char"/>
    <w:basedOn w:val="DefaultParagraphFont"/>
    <w:link w:val="ReportDate"/>
    <w:rsid w:val="00925AA5"/>
    <w:rPr>
      <w:rFonts w:ascii="Calibri" w:eastAsia="Times New Roman" w:hAnsi="Calibri" w:cs="Times New Roman"/>
      <w:color w:val="004A7F"/>
      <w:sz w:val="44"/>
      <w:szCs w:val="20"/>
      <w:lang w:eastAsia="en-AU"/>
    </w:rPr>
  </w:style>
  <w:style w:type="paragraph" w:customStyle="1" w:styleId="Disclaimer">
    <w:name w:val="Disclaimer"/>
    <w:basedOn w:val="ReportDate"/>
    <w:rsid w:val="002F617F"/>
    <w:pPr>
      <w:spacing w:after="1800"/>
      <w:ind w:right="142"/>
    </w:pPr>
    <w:rPr>
      <w:rFonts w:ascii="Century Gothic" w:hAnsi="Century Gothic"/>
      <w:b/>
      <w:bCs/>
      <w:color w:val="44546A" w:themeColor="text2"/>
      <w:sz w:val="22"/>
    </w:rPr>
  </w:style>
  <w:style w:type="paragraph" w:customStyle="1" w:styleId="NotesHeading">
    <w:name w:val="Notes Heading"/>
    <w:basedOn w:val="Normal"/>
    <w:rsid w:val="002F617F"/>
    <w:pPr>
      <w:keepNext/>
      <w:spacing w:before="240" w:after="360"/>
      <w:jc w:val="center"/>
    </w:pPr>
    <w:rPr>
      <w:rFonts w:ascii="Century Gothic" w:hAnsi="Century Gothic"/>
      <w:smallCaps/>
      <w:color w:val="44546A" w:themeColor="text2"/>
      <w:sz w:val="36"/>
      <w:szCs w:val="36"/>
    </w:rPr>
  </w:style>
  <w:style w:type="paragraph" w:customStyle="1" w:styleId="Divider">
    <w:name w:val="Divider"/>
    <w:basedOn w:val="ReportDate"/>
    <w:qFormat/>
    <w:rsid w:val="002F617F"/>
    <w:pPr>
      <w:spacing w:after="1800"/>
      <w:ind w:right="0"/>
    </w:pPr>
    <w:rPr>
      <w:rFonts w:ascii="Rockwell" w:hAnsi="Rockwell"/>
      <w:sz w:val="24"/>
    </w:rPr>
  </w:style>
  <w:style w:type="character" w:customStyle="1" w:styleId="FramedFooter">
    <w:name w:val="Framed Footer"/>
    <w:rsid w:val="00E22D51"/>
    <w:rPr>
      <w:rFonts w:ascii="Arial" w:hAnsi="Arial"/>
      <w:color w:val="004A7F"/>
      <w:sz w:val="18"/>
    </w:rPr>
  </w:style>
  <w:style w:type="character" w:customStyle="1" w:styleId="FramedHeader">
    <w:name w:val="Framed Header"/>
    <w:basedOn w:val="DefaultParagraphFont"/>
    <w:rsid w:val="0027590B"/>
    <w:rPr>
      <w:rFonts w:ascii="Arial" w:hAnsi="Arial"/>
      <w:dstrike w:val="0"/>
      <w:color w:val="auto"/>
      <w:sz w:val="18"/>
      <w:vertAlign w:val="baseline"/>
    </w:rPr>
  </w:style>
  <w:style w:type="paragraph" w:customStyle="1" w:styleId="TableTextIndented">
    <w:name w:val="Table Text Indented"/>
    <w:basedOn w:val="TableTextLeft"/>
    <w:qFormat/>
    <w:rsid w:val="008E6292"/>
    <w:pPr>
      <w:ind w:left="284"/>
    </w:pPr>
  </w:style>
  <w:style w:type="paragraph" w:customStyle="1" w:styleId="TableHeadingContinued">
    <w:name w:val="Table Heading Continued"/>
    <w:basedOn w:val="TableMainHeading"/>
    <w:next w:val="TableGraphic"/>
    <w:qFormat/>
    <w:rsid w:val="009A277C"/>
  </w:style>
  <w:style w:type="paragraph" w:customStyle="1" w:styleId="TableGraphic">
    <w:name w:val="Table Graphic"/>
    <w:basedOn w:val="HeadingBase"/>
    <w:next w:val="Normal"/>
    <w:qFormat/>
    <w:rsid w:val="008E6292"/>
    <w:pPr>
      <w:spacing w:after="0"/>
    </w:pPr>
  </w:style>
  <w:style w:type="paragraph" w:customStyle="1" w:styleId="HeaderEven">
    <w:name w:val="Header Even"/>
    <w:basedOn w:val="Header"/>
    <w:qFormat/>
    <w:rsid w:val="00A12F62"/>
    <w:pPr>
      <w:jc w:val="left"/>
    </w:pPr>
  </w:style>
  <w:style w:type="paragraph" w:customStyle="1" w:styleId="HeaderOdd">
    <w:name w:val="Header Odd"/>
    <w:basedOn w:val="Header"/>
    <w:qFormat/>
    <w:rsid w:val="00A12F62"/>
  </w:style>
  <w:style w:type="paragraph" w:styleId="FootnoteText">
    <w:name w:val="footnote text"/>
    <w:basedOn w:val="Normal"/>
    <w:link w:val="FootnoteTextChar"/>
    <w:uiPriority w:val="99"/>
    <w:rsid w:val="008C7F71"/>
    <w:pPr>
      <w:spacing w:before="0"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C7F71"/>
    <w:rPr>
      <w:rFonts w:ascii="Calibri" w:eastAsia="Times New Roman" w:hAnsi="Calibri" w:cs="Times New Roman"/>
      <w:sz w:val="20"/>
      <w:szCs w:val="20"/>
      <w:lang w:eastAsia="en-AU"/>
    </w:rPr>
  </w:style>
  <w:style w:type="character" w:styleId="FootnoteReference">
    <w:name w:val="footnote reference"/>
    <w:basedOn w:val="DefaultParagraphFont"/>
    <w:uiPriority w:val="99"/>
    <w:rsid w:val="004C41B6"/>
    <w:rPr>
      <w:rFonts w:ascii="Calibri" w:hAnsi="Calibri"/>
      <w:sz w:val="20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231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318"/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BulletChar">
    <w:name w:val="Bullet Char"/>
    <w:basedOn w:val="DefaultParagraphFont"/>
    <w:link w:val="Bullet"/>
    <w:rsid w:val="006D6B04"/>
    <w:rPr>
      <w:rFonts w:ascii="Calibri" w:eastAsia="Times New Roman" w:hAnsi="Calibri" w:cs="Times New Roman"/>
      <w:szCs w:val="20"/>
      <w:lang w:eastAsia="en-AU"/>
    </w:rPr>
  </w:style>
  <w:style w:type="character" w:customStyle="1" w:styleId="DashChar">
    <w:name w:val="Dash Char"/>
    <w:basedOn w:val="DefaultParagraphFont"/>
    <w:link w:val="Dash"/>
    <w:rsid w:val="006D6B04"/>
    <w:rPr>
      <w:rFonts w:ascii="Calibri" w:eastAsia="Times New Roman" w:hAnsi="Calibri" w:cs="Times New Roman"/>
      <w:szCs w:val="20"/>
      <w:lang w:eastAsia="en-AU"/>
    </w:rPr>
  </w:style>
  <w:style w:type="character" w:styleId="LineNumber">
    <w:name w:val="line number"/>
    <w:basedOn w:val="DefaultParagraphFont"/>
    <w:uiPriority w:val="99"/>
    <w:semiHidden/>
    <w:unhideWhenUsed/>
    <w:rsid w:val="006D6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microsoft.com/office/2007/relationships/stylesWithEffects" Target="stylesWithEffect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Relationship Id="rId22" Type="http://schemas.openxmlformats.org/officeDocument/2006/relationships/footer" Target="footer5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Publications\Basic%20A4%20Repor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E95D40E5DFEA714B90E88DB5CE07A6B500114F2EA74E46AF4AB3D11AA23F0DACD2" ma:contentTypeVersion="16352" ma:contentTypeDescription=" " ma:contentTypeScope="" ma:versionID="0b76d1da7aab3c21b1f8aca559b56d2f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d4dd4adf-ddb3-46a3-8d7c-fab3fb2a6bc7" xmlns:ns4="73145ffa-26c3-4f49-8968-9a615fc305ab" xmlns:ns5="http://schemas.microsoft.com/sharepoint/v4" targetNamespace="http://schemas.microsoft.com/office/2006/metadata/properties" ma:root="true" ma:fieldsID="b05a61af30bb8ec82b384d8938f5a715" ns1:_="" ns2:_="" ns3:_="" ns4:_="" ns5:_="">
    <xsd:import namespace="http://schemas.microsoft.com/sharepoint/v3"/>
    <xsd:import namespace="0f563589-9cf9-4143-b1eb-fb0534803d38"/>
    <xsd:import namespace="d4dd4adf-ddb3-46a3-8d7c-fab3fb2a6bc7"/>
    <xsd:import namespace="73145ffa-26c3-4f49-8968-9a615fc305a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  <xsd:element ref="ns4:URL" minOccurs="0"/>
                <xsd:element ref="ns4:Web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9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2" nillable="true" ma:displayName="Taxonomy Catch All Column" ma:hidden="true" ma:list="{ab865bba-d958-40fe-b21d-a68aa7a39431}" ma:internalName="TaxCatchAll" ma:showField="CatchAllData" ma:web="d4dd4adf-ddb3-46a3-8d7c-fab3fb2a6b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ab865bba-d958-40fe-b21d-a68aa7a39431}" ma:internalName="TaxCatchAllLabel" ma:readOnly="true" ma:showField="CatchAllDataLabel" ma:web="d4dd4adf-ddb3-46a3-8d7c-fab3fb2a6b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d4adf-ddb3-46a3-8d7c-fab3fb2a6bc7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1" nillable="true" ma:taxonomy="true" ma:internalName="lb508a4dc5e84436a0fe496b536466aa" ma:taxonomyFieldName="TSYRecordClass" ma:displayName="Record Class" ma:readOnly="false" ma:default="2;#TSY RA-9081 - Retain as national archives|bbf0bcde-1687-4ff2-bc57-f31b5d545d4b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5ffa-26c3-4f49-8968-9a615fc305ab" elementFormDefault="qualified">
    <xsd:import namespace="http://schemas.microsoft.com/office/2006/documentManagement/types"/>
    <xsd:import namespace="http://schemas.microsoft.com/office/infopath/2007/PartnerControls"/>
    <xsd:element name="URL" ma:index="17" nillable="true" ma:displayName="URL" ma:format="Hyperlink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Web" ma:index="18" nillable="true" ma:displayName="Web" ma:format="Hyperlink" ma:internalName="Web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3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</spe:Receivers>
</file>

<file path=customXml/item4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E95D40E5DFEA714B90E88DB5CE07A6B5|-421390505" UniqueId="72a3b914-5376-4e08-a93a-e02e58e6045f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TaxCatchAll xmlns="0f563589-9cf9-4143-b1eb-fb0534803d38">
      <Value>2</Value>
    </TaxCatchAll>
    <lb508a4dc5e84436a0fe496b536466aa xmlns="d4dd4adf-ddb3-46a3-8d7c-fab3fb2a6bc7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RA-9081 - Retain as national archives</TermName>
          <TermId xmlns="http://schemas.microsoft.com/office/infopath/2007/PartnerControls">bbf0bcde-1687-4ff2-bc57-f31b5d545d4b</TermId>
        </TermInfo>
      </Terms>
    </lb508a4dc5e84436a0fe496b536466aa>
    <URL xmlns="73145ffa-26c3-4f49-8968-9a615fc305ab">
      <Url xsi:nil="true"/>
      <Description xsi:nil="true"/>
    </URL>
    <Web xmlns="73145ffa-26c3-4f49-8968-9a615fc305ab">
      <Url xsi:nil="true"/>
      <Description xsi:nil="true"/>
    </Web>
    <_dlc_DocId xmlns="0f563589-9cf9-4143-b1eb-fb0534803d38">2018MG-100-35002</_dlc_DocId>
    <_dlc_DocIdUrl xmlns="0f563589-9cf9-4143-b1eb-fb0534803d38">
      <Url>http://tweb13/sites/mg/fsd/_layouts/15/DocIdRedir.aspx?ID=2018MG-100-35002</Url>
      <Description>2018MG-100-35002</Description>
    </_dlc_DocIdUrl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77678-45F5-4187-9FAC-E05F7C2F4A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d4dd4adf-ddb3-46a3-8d7c-fab3fb2a6bc7"/>
    <ds:schemaRef ds:uri="73145ffa-26c3-4f49-8968-9a615fc305a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2A31EA-52FB-419A-A99B-199366D2F19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1DDF22B-F8C9-4DD6-98B5-45D6FF8E095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D7284E4-7940-4248-8393-64C2695E1A71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7BA34A0D-0E73-4424-A44A-705454E332F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32713D84-095B-4680-B107-058E68F807E8}">
  <ds:schemaRefs>
    <ds:schemaRef ds:uri="http://purl.org/dc/elements/1.1/"/>
    <ds:schemaRef ds:uri="0f563589-9cf9-4143-b1eb-fb0534803d38"/>
    <ds:schemaRef ds:uri="http://schemas.microsoft.com/office/2006/documentManagement/types"/>
    <ds:schemaRef ds:uri="http://purl.org/dc/terms/"/>
    <ds:schemaRef ds:uri="d4dd4adf-ddb3-46a3-8d7c-fab3fb2a6bc7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sharepoint/v4"/>
    <ds:schemaRef ds:uri="73145ffa-26c3-4f49-8968-9a615fc305ab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7.xml><?xml version="1.0" encoding="utf-8"?>
<ds:datastoreItem xmlns:ds="http://schemas.openxmlformats.org/officeDocument/2006/customXml" ds:itemID="{E719FEB0-0A92-4CD7-8D34-5F0996015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A4 Report.dotm</Template>
  <TotalTime>1</TotalTime>
  <Pages>4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Key Elements of the Australian Business Securitisation Fund Investment Mandate</vt:lpstr>
    </vt:vector>
  </TitlesOfParts>
  <Company>Australian Government - The Treasury</Company>
  <LinksUpToDate>false</LinksUpToDate>
  <CharactersWithSpaces>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Key Elements of the Australian Business Securitisation Fund Investment Mandate</dc:title>
  <dc:subject>Consultation document: Australian Business Securitisation Fund</dc:subject>
  <dc:creator>The Treasury</dc:creator>
  <cp:lastModifiedBy>Thomas, Deborah</cp:lastModifiedBy>
  <cp:revision>2</cp:revision>
  <cp:lastPrinted>2018-12-18T02:09:00Z</cp:lastPrinted>
  <dcterms:created xsi:type="dcterms:W3CDTF">2018-12-18T04:53:00Z</dcterms:created>
  <dcterms:modified xsi:type="dcterms:W3CDTF">2018-12-18T04:53:00Z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0x010100E95D40E5DFEA714B90E88DB5CE07A6B500114F2EA74E46AF4AB3D11AA23F0DACD2</vt:lpwstr>
  </property>
  <property fmtid="{D5CDD505-2E9C-101B-9397-08002B2CF9AE}" pid="3" name="TSYRecordClass">
    <vt:lpwstr>2;#TSY RA-9081 - Retain as national archives|bbf0bcde-1687-4ff2-bc57-f31b5d545d4b</vt:lpwstr>
  </property>
  <property fmtid="{D5CDD505-2E9C-101B-9397-08002B2CF9AE}" pid="4" name="_dlc_DocIdItemGuid">
    <vt:lpwstr>69f9de31-3625-4e69-abd8-8eca6a223bdb</vt:lpwstr>
  </property>
  <property fmtid="{D5CDD505-2E9C-101B-9397-08002B2CF9AE}" pid="5" name="_AdHocReviewCycleID">
    <vt:i4>161697739</vt:i4>
  </property>
  <property fmtid="{D5CDD505-2E9C-101B-9397-08002B2CF9AE}" pid="6" name="_NewReviewCycle">
    <vt:lpwstr/>
  </property>
  <property fmtid="{D5CDD505-2E9C-101B-9397-08002B2CF9AE}" pid="7" name="_EmailSubject">
    <vt:lpwstr>Update - Consultation &amp; Discussions Papers Request #S84452 [SEC=UNCLASSIFIED]</vt:lpwstr>
  </property>
  <property fmtid="{D5CDD505-2E9C-101B-9397-08002B2CF9AE}" pid="8" name="_AuthorEmail">
    <vt:lpwstr>Jessica.Xu@TREASURY.GOV.AU</vt:lpwstr>
  </property>
  <property fmtid="{D5CDD505-2E9C-101B-9397-08002B2CF9AE}" pid="9" name="_AuthorEmailDisplayName">
    <vt:lpwstr>Xu, Jessica</vt:lpwstr>
  </property>
  <property fmtid="{D5CDD505-2E9C-101B-9397-08002B2CF9AE}" pid="10" name="_ReviewingToolsShownOnce">
    <vt:lpwstr/>
  </property>
</Properties>
</file>