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5FEE77" w14:textId="77777777" w:rsidR="00B17774" w:rsidRDefault="00B17774" w:rsidP="00B17774">
      <w:pPr>
        <w:pStyle w:val="Baseparagraphcentred"/>
      </w:pPr>
    </w:p>
    <w:p w14:paraId="2A4C5420" w14:textId="77777777" w:rsidR="009578AB" w:rsidRDefault="009578AB" w:rsidP="00B17774">
      <w:pPr>
        <w:pStyle w:val="Baseparagraphcentred"/>
      </w:pPr>
    </w:p>
    <w:p w14:paraId="4D442412" w14:textId="77777777" w:rsidR="00B17774" w:rsidRDefault="00B17774" w:rsidP="00B17774">
      <w:pPr>
        <w:pStyle w:val="Baseparagraphcentred"/>
      </w:pPr>
    </w:p>
    <w:p w14:paraId="4A289537" w14:textId="77777777" w:rsidR="00B17774" w:rsidRDefault="00B17774" w:rsidP="00B17774">
      <w:pPr>
        <w:pStyle w:val="Baseparagraphcentred"/>
      </w:pPr>
    </w:p>
    <w:p w14:paraId="11F12E2F" w14:textId="2F365884" w:rsidR="00B17774" w:rsidRDefault="009578AB" w:rsidP="00B17774">
      <w:pPr>
        <w:pStyle w:val="Baseparagraphcentred"/>
      </w:pPr>
      <w:r>
        <w:t>EXPOSURE DRAFT</w:t>
      </w:r>
      <w:r w:rsidR="0012325D">
        <w:softHyphen/>
      </w:r>
      <w:r w:rsidR="0012325D">
        <w:softHyphen/>
      </w:r>
      <w:r w:rsidR="0012325D">
        <w:softHyphen/>
      </w:r>
      <w:bookmarkStart w:id="0" w:name="_GoBack"/>
      <w:bookmarkEnd w:id="0"/>
    </w:p>
    <w:p w14:paraId="6C857453" w14:textId="77777777" w:rsidR="00B17774" w:rsidRDefault="00B17774" w:rsidP="00B17774">
      <w:pPr>
        <w:pStyle w:val="Baseparagraphcentred"/>
      </w:pPr>
    </w:p>
    <w:p w14:paraId="56CC7748" w14:textId="77777777" w:rsidR="00B17774" w:rsidRDefault="00B17774" w:rsidP="00B17774">
      <w:pPr>
        <w:pStyle w:val="Baseparagraphcentred"/>
      </w:pPr>
    </w:p>
    <w:p w14:paraId="7D08EAFB" w14:textId="77777777" w:rsidR="00B17774" w:rsidRDefault="00B17774" w:rsidP="00B17774">
      <w:pPr>
        <w:pStyle w:val="Baseparagraphcentred"/>
      </w:pPr>
    </w:p>
    <w:p w14:paraId="5A2B999D" w14:textId="3E13CF18" w:rsidR="00B17774" w:rsidRDefault="009578AB" w:rsidP="00B17774">
      <w:pPr>
        <w:pStyle w:val="BillName"/>
      </w:pPr>
      <w:bookmarkStart w:id="1" w:name="BillName"/>
      <w:bookmarkEnd w:id="1"/>
      <w:r>
        <w:t>Treasury law</w:t>
      </w:r>
      <w:r w:rsidR="006C1D02">
        <w:t>s amendment (ENDING GRANDFATHERED CO</w:t>
      </w:r>
      <w:r w:rsidR="00CB0F1A">
        <w:t>nflicted remuneration</w:t>
      </w:r>
      <w:r>
        <w:t xml:space="preserve">) bill </w:t>
      </w:r>
      <w:r w:rsidR="006C1D02">
        <w:t>2019</w:t>
      </w:r>
    </w:p>
    <w:p w14:paraId="55B11498" w14:textId="77777777" w:rsidR="00B17774" w:rsidRDefault="00B17774" w:rsidP="00B17774">
      <w:pPr>
        <w:pStyle w:val="Baseparagraphcentred"/>
      </w:pPr>
    </w:p>
    <w:p w14:paraId="056FEF07" w14:textId="77777777" w:rsidR="00B17774" w:rsidRDefault="00B17774" w:rsidP="00B17774">
      <w:pPr>
        <w:pStyle w:val="Baseparagraphcentred"/>
      </w:pPr>
    </w:p>
    <w:p w14:paraId="323190EC" w14:textId="77777777" w:rsidR="00B17774" w:rsidRDefault="00B17774" w:rsidP="00B17774">
      <w:pPr>
        <w:pStyle w:val="Baseparagraphcentred"/>
      </w:pPr>
    </w:p>
    <w:p w14:paraId="32917C1C" w14:textId="77777777" w:rsidR="00B17774" w:rsidRDefault="00B17774" w:rsidP="00B17774">
      <w:pPr>
        <w:pStyle w:val="Baseparagraphcentred"/>
      </w:pPr>
    </w:p>
    <w:p w14:paraId="125317DD" w14:textId="77777777" w:rsidR="00B17774" w:rsidRDefault="009578AB" w:rsidP="00B17774">
      <w:pPr>
        <w:pStyle w:val="Baseparagraphcentred"/>
      </w:pPr>
      <w:r>
        <w:t>EXPLANATORY MATERIALS</w:t>
      </w:r>
    </w:p>
    <w:p w14:paraId="18C73D06" w14:textId="77777777" w:rsidR="00B17774" w:rsidRDefault="00B17774" w:rsidP="00B17774">
      <w:pPr>
        <w:pStyle w:val="Baseparagraphcentred"/>
      </w:pPr>
    </w:p>
    <w:p w14:paraId="2E7CCA73" w14:textId="77777777" w:rsidR="00B17774" w:rsidRDefault="00B17774" w:rsidP="00B17774">
      <w:pPr>
        <w:pStyle w:val="Baseparagraphcentred"/>
      </w:pPr>
    </w:p>
    <w:p w14:paraId="046F6B42" w14:textId="77777777" w:rsidR="00B17774" w:rsidRDefault="00B17774" w:rsidP="00B17774">
      <w:pPr>
        <w:pStyle w:val="Baseparagraphcentred"/>
      </w:pPr>
    </w:p>
    <w:p w14:paraId="41726F69" w14:textId="77777777" w:rsidR="009578AB" w:rsidRDefault="009578AB" w:rsidP="009578AB">
      <w:pPr>
        <w:pStyle w:val="ParaCentredNoSpacing"/>
      </w:pPr>
    </w:p>
    <w:p w14:paraId="5E28DDF8" w14:textId="77777777" w:rsidR="00773B68" w:rsidRDefault="00773B68" w:rsidP="00773B68">
      <w:pPr>
        <w:pStyle w:val="ParaCentredNoSpacing"/>
      </w:pPr>
    </w:p>
    <w:p w14:paraId="60D8503A" w14:textId="77777777" w:rsidR="00773B68" w:rsidRDefault="00773B68" w:rsidP="00773B68">
      <w:pPr>
        <w:pStyle w:val="ParaCentredNoSpacing"/>
      </w:pPr>
    </w:p>
    <w:p w14:paraId="658AB8CE" w14:textId="77777777" w:rsidR="00B17774" w:rsidRDefault="00B17774" w:rsidP="00B17774"/>
    <w:p w14:paraId="15E09AB8" w14:textId="77777777" w:rsidR="00813A51" w:rsidRDefault="00813A51" w:rsidP="00B17774">
      <w:pPr>
        <w:sectPr w:rsidR="00813A51" w:rsidSect="005D1515">
          <w:headerReference w:type="even" r:id="rId15"/>
          <w:headerReference w:type="default" r:id="rId16"/>
          <w:footerReference w:type="even" r:id="rId17"/>
          <w:footerReference w:type="default" r:id="rId18"/>
          <w:headerReference w:type="first" r:id="rId19"/>
          <w:footerReference w:type="first" r:id="rId20"/>
          <w:pgSz w:w="10319" w:h="14572" w:code="13"/>
          <w:pgMar w:top="567" w:right="1134" w:bottom="567" w:left="1134" w:header="709" w:footer="709" w:gutter="0"/>
          <w:cols w:space="708"/>
          <w:titlePg/>
          <w:docGrid w:linePitch="360"/>
        </w:sectPr>
      </w:pPr>
    </w:p>
    <w:p w14:paraId="649C3D30" w14:textId="77777777" w:rsidR="00B17774" w:rsidRPr="003E0794" w:rsidRDefault="00B17774" w:rsidP="009578AB">
      <w:pPr>
        <w:pStyle w:val="TOCHeading"/>
        <w:tabs>
          <w:tab w:val="center" w:pos="3855"/>
        </w:tabs>
      </w:pPr>
      <w:r w:rsidRPr="003E0794">
        <w:lastRenderedPageBreak/>
        <w:t>Table of contents</w:t>
      </w:r>
      <w:r w:rsidR="009578AB">
        <w:tab/>
      </w:r>
    </w:p>
    <w:p w14:paraId="58E44B0E" w14:textId="77777777" w:rsidR="00F51D4A" w:rsidRDefault="00734F84">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F51D4A">
        <w:t>Glossary</w:t>
      </w:r>
      <w:r w:rsidR="00F51D4A">
        <w:tab/>
      </w:r>
      <w:r w:rsidR="00F51D4A">
        <w:fldChar w:fldCharType="begin"/>
      </w:r>
      <w:r w:rsidR="00F51D4A">
        <w:instrText xml:space="preserve"> PAGEREF _Toc1480790 \h </w:instrText>
      </w:r>
      <w:r w:rsidR="00F51D4A">
        <w:fldChar w:fldCharType="separate"/>
      </w:r>
      <w:r w:rsidR="00C26DE2">
        <w:t>1</w:t>
      </w:r>
      <w:r w:rsidR="00F51D4A">
        <w:fldChar w:fldCharType="end"/>
      </w:r>
    </w:p>
    <w:p w14:paraId="49203226" w14:textId="194DB92B" w:rsidR="00F51D4A" w:rsidRDefault="00F51D4A">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sidR="00C2730D">
        <w:rPr>
          <w:noProof/>
        </w:rPr>
        <w:t>Conflicted r</w:t>
      </w:r>
      <w:r>
        <w:rPr>
          <w:noProof/>
        </w:rPr>
        <w:t>emuneration</w:t>
      </w:r>
      <w:r>
        <w:rPr>
          <w:noProof/>
        </w:rPr>
        <w:tab/>
      </w:r>
      <w:r>
        <w:rPr>
          <w:noProof/>
        </w:rPr>
        <w:fldChar w:fldCharType="begin"/>
      </w:r>
      <w:r>
        <w:rPr>
          <w:noProof/>
        </w:rPr>
        <w:instrText xml:space="preserve"> PAGEREF _Toc1480791 \h </w:instrText>
      </w:r>
      <w:r>
        <w:rPr>
          <w:noProof/>
        </w:rPr>
      </w:r>
      <w:r>
        <w:rPr>
          <w:noProof/>
        </w:rPr>
        <w:fldChar w:fldCharType="separate"/>
      </w:r>
      <w:r w:rsidR="00C26DE2">
        <w:rPr>
          <w:noProof/>
        </w:rPr>
        <w:t>3</w:t>
      </w:r>
      <w:r>
        <w:rPr>
          <w:noProof/>
        </w:rPr>
        <w:fldChar w:fldCharType="end"/>
      </w:r>
    </w:p>
    <w:p w14:paraId="7330C261" w14:textId="77777777" w:rsidR="00B17774" w:rsidRPr="009578AB" w:rsidRDefault="00734F84" w:rsidP="009578AB">
      <w:pPr>
        <w:rPr>
          <w:rFonts w:ascii="Helvetica" w:hAnsi="Helvetica"/>
          <w:noProof/>
          <w:sz w:val="24"/>
        </w:rPr>
      </w:pPr>
      <w:r>
        <w:rPr>
          <w:rFonts w:ascii="Helvetica" w:hAnsi="Helvetica"/>
          <w:noProof/>
          <w:sz w:val="24"/>
        </w:rPr>
        <w:fldChar w:fldCharType="end"/>
      </w:r>
    </w:p>
    <w:p w14:paraId="309DF6A1" w14:textId="77777777" w:rsidR="00B17774" w:rsidRDefault="00B17774" w:rsidP="00B17774">
      <w:pPr>
        <w:pStyle w:val="base-text-paragraphnonumbers"/>
        <w:sectPr w:rsidR="00B17774" w:rsidSect="005D1515">
          <w:headerReference w:type="even" r:id="rId21"/>
          <w:headerReference w:type="default" r:id="rId22"/>
          <w:footerReference w:type="even" r:id="rId23"/>
          <w:footerReference w:type="default" r:id="rId24"/>
          <w:headerReference w:type="first" r:id="rId25"/>
          <w:footerReference w:type="first" r:id="rId26"/>
          <w:type w:val="oddPage"/>
          <w:pgSz w:w="10319" w:h="14572" w:code="13"/>
          <w:pgMar w:top="567" w:right="1134" w:bottom="567" w:left="1134" w:header="709" w:footer="709" w:gutter="0"/>
          <w:cols w:space="708"/>
          <w:titlePg/>
          <w:docGrid w:linePitch="360"/>
        </w:sectPr>
      </w:pPr>
    </w:p>
    <w:p w14:paraId="370B4DD7" w14:textId="77777777" w:rsidR="00B17774" w:rsidRPr="00567602" w:rsidRDefault="00B17774" w:rsidP="00567602">
      <w:pPr>
        <w:pStyle w:val="Chapterheadingsubdocument"/>
      </w:pPr>
      <w:bookmarkStart w:id="2" w:name="_Toc1480790"/>
      <w:r w:rsidRPr="00567602">
        <w:rPr>
          <w:rStyle w:val="ChapterNameOnly"/>
        </w:rPr>
        <w:lastRenderedPageBreak/>
        <w:t>Glossary</w:t>
      </w:r>
      <w:bookmarkEnd w:id="2"/>
    </w:p>
    <w:p w14:paraId="47B5F24B" w14:textId="77777777" w:rsidR="00B17774" w:rsidRDefault="00B17774" w:rsidP="00B17774">
      <w:pPr>
        <w:pStyle w:val="BTPwithextraspacing"/>
      </w:pPr>
      <w:r>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B17774" w:rsidRPr="00123D96" w14:paraId="15AB6F9F" w14:textId="77777777" w:rsidTr="002D6ADE">
        <w:tc>
          <w:tcPr>
            <w:tcW w:w="2721" w:type="dxa"/>
          </w:tcPr>
          <w:p w14:paraId="2A1D0223" w14:textId="77777777" w:rsidR="00B17774" w:rsidRPr="00123D96" w:rsidRDefault="00B17774" w:rsidP="002D6ADE">
            <w:pPr>
              <w:pStyle w:val="tableheaderwithintable"/>
            </w:pPr>
            <w:r w:rsidRPr="00123D96">
              <w:t>Abbreviation</w:t>
            </w:r>
          </w:p>
        </w:tc>
        <w:tc>
          <w:tcPr>
            <w:tcW w:w="3885" w:type="dxa"/>
          </w:tcPr>
          <w:p w14:paraId="35E7B8DB" w14:textId="77777777" w:rsidR="00B17774" w:rsidRPr="00123D96" w:rsidRDefault="00B17774" w:rsidP="002D6ADE">
            <w:pPr>
              <w:pStyle w:val="tableheaderwithintable"/>
            </w:pPr>
            <w:r w:rsidRPr="00123D96">
              <w:t>Definition</w:t>
            </w:r>
          </w:p>
        </w:tc>
      </w:tr>
      <w:tr w:rsidR="009578AB" w:rsidRPr="002C43E8" w14:paraId="6F8DC722" w14:textId="77777777" w:rsidTr="002D6ADE">
        <w:tc>
          <w:tcPr>
            <w:tcW w:w="2721" w:type="dxa"/>
          </w:tcPr>
          <w:p w14:paraId="6CE5D3DE" w14:textId="77777777" w:rsidR="009578AB" w:rsidRPr="002C43E8" w:rsidRDefault="009578AB" w:rsidP="002D6ADE">
            <w:pPr>
              <w:pStyle w:val="Glossarytabletext"/>
              <w:rPr>
                <w:lang w:val="en-US" w:eastAsia="en-US"/>
              </w:rPr>
            </w:pPr>
            <w:bookmarkStart w:id="3" w:name="GlossaryTableStart"/>
            <w:bookmarkEnd w:id="3"/>
            <w:r>
              <w:rPr>
                <w:lang w:val="en-US" w:eastAsia="en-US"/>
              </w:rPr>
              <w:t>Act</w:t>
            </w:r>
          </w:p>
        </w:tc>
        <w:tc>
          <w:tcPr>
            <w:tcW w:w="3885" w:type="dxa"/>
          </w:tcPr>
          <w:p w14:paraId="47FDD2D3" w14:textId="77777777" w:rsidR="009578AB" w:rsidRPr="0004306C" w:rsidRDefault="009578AB" w:rsidP="002D6ADE">
            <w:pPr>
              <w:pStyle w:val="Glossarytabletext"/>
              <w:rPr>
                <w:i/>
                <w:lang w:val="en-US" w:eastAsia="en-US"/>
              </w:rPr>
            </w:pPr>
            <w:r w:rsidRPr="0004306C">
              <w:rPr>
                <w:i/>
                <w:lang w:val="en-US" w:eastAsia="en-US"/>
              </w:rPr>
              <w:t>Corporations Act 2001</w:t>
            </w:r>
          </w:p>
        </w:tc>
      </w:tr>
      <w:tr w:rsidR="009578AB" w:rsidRPr="002C43E8" w14:paraId="4639E4A2" w14:textId="77777777" w:rsidTr="002D6ADE">
        <w:tc>
          <w:tcPr>
            <w:tcW w:w="2721" w:type="dxa"/>
          </w:tcPr>
          <w:p w14:paraId="2D1D656E" w14:textId="77777777" w:rsidR="009578AB" w:rsidRDefault="009578AB" w:rsidP="002D6ADE">
            <w:pPr>
              <w:pStyle w:val="Glossarytabletext"/>
              <w:rPr>
                <w:lang w:val="en-US" w:eastAsia="en-US"/>
              </w:rPr>
            </w:pPr>
            <w:r>
              <w:rPr>
                <w:lang w:val="en-US" w:eastAsia="en-US"/>
              </w:rPr>
              <w:t>Bill</w:t>
            </w:r>
          </w:p>
        </w:tc>
        <w:tc>
          <w:tcPr>
            <w:tcW w:w="3885" w:type="dxa"/>
          </w:tcPr>
          <w:p w14:paraId="5BC8ED06" w14:textId="25E329FA" w:rsidR="009578AB" w:rsidRPr="0004306C" w:rsidRDefault="009578AB" w:rsidP="0050220D">
            <w:pPr>
              <w:pStyle w:val="Glossarytabletext"/>
              <w:rPr>
                <w:i/>
                <w:lang w:val="en-US" w:eastAsia="en-US"/>
              </w:rPr>
            </w:pPr>
            <w:r>
              <w:t>Treasury Laws Amendment (</w:t>
            </w:r>
            <w:r w:rsidR="0050220D">
              <w:t>Ending Grandfathered Co</w:t>
            </w:r>
            <w:r w:rsidR="00CB0F1A">
              <w:t>nflicted Remuneration</w:t>
            </w:r>
            <w:r w:rsidR="0050220D">
              <w:t>) Bill 2019</w:t>
            </w:r>
          </w:p>
        </w:tc>
      </w:tr>
      <w:tr w:rsidR="009578AB" w:rsidRPr="002C43E8" w14:paraId="012DF021" w14:textId="77777777" w:rsidTr="002D6ADE">
        <w:tc>
          <w:tcPr>
            <w:tcW w:w="2721" w:type="dxa"/>
          </w:tcPr>
          <w:p w14:paraId="3604F272" w14:textId="77777777" w:rsidR="009578AB" w:rsidRPr="002C43E8" w:rsidRDefault="009578AB" w:rsidP="002D6ADE">
            <w:pPr>
              <w:pStyle w:val="Glossarytabletext"/>
              <w:rPr>
                <w:lang w:val="en-US" w:eastAsia="en-US"/>
              </w:rPr>
            </w:pPr>
            <w:r>
              <w:t>Royal Commission</w:t>
            </w:r>
          </w:p>
        </w:tc>
        <w:tc>
          <w:tcPr>
            <w:tcW w:w="3885" w:type="dxa"/>
          </w:tcPr>
          <w:p w14:paraId="76D5BFD9" w14:textId="77777777" w:rsidR="009578AB" w:rsidRPr="002C43E8" w:rsidRDefault="009578AB" w:rsidP="002D6ADE">
            <w:pPr>
              <w:pStyle w:val="Glossarytabletext"/>
              <w:rPr>
                <w:lang w:val="en-US" w:eastAsia="en-US"/>
              </w:rPr>
            </w:pPr>
            <w:r>
              <w:t>Royal Commission into Misconduct in the Banking, Superannuation and Financial Services Industry</w:t>
            </w:r>
          </w:p>
        </w:tc>
      </w:tr>
    </w:tbl>
    <w:p w14:paraId="5A61E50C" w14:textId="77777777" w:rsidR="00E679CA" w:rsidRDefault="00E679CA" w:rsidP="00B17774">
      <w:pPr>
        <w:sectPr w:rsidR="00E679CA" w:rsidSect="005D1515">
          <w:headerReference w:type="even" r:id="rId27"/>
          <w:headerReference w:type="default" r:id="rId28"/>
          <w:footerReference w:type="even" r:id="rId29"/>
          <w:footerReference w:type="default" r:id="rId30"/>
          <w:footerReference w:type="first" r:id="rId31"/>
          <w:type w:val="oddPage"/>
          <w:pgSz w:w="10319" w:h="14572" w:code="13"/>
          <w:pgMar w:top="567" w:right="1134" w:bottom="567" w:left="1134" w:header="709" w:footer="709" w:gutter="0"/>
          <w:pgNumType w:start="1"/>
          <w:cols w:space="708"/>
          <w:titlePg/>
          <w:docGrid w:linePitch="360"/>
        </w:sectPr>
      </w:pPr>
    </w:p>
    <w:p w14:paraId="373D1708" w14:textId="063C277B" w:rsidR="00B17774" w:rsidRPr="007C2B20" w:rsidRDefault="00840701" w:rsidP="000C2A9D">
      <w:pPr>
        <w:pStyle w:val="ChapterHeading"/>
      </w:pPr>
      <w:r w:rsidRPr="000C2A9D">
        <w:br/>
      </w:r>
      <w:bookmarkStart w:id="4" w:name="_Toc1480791"/>
      <w:r w:rsidR="00404DA2">
        <w:rPr>
          <w:rStyle w:val="ChapterNameOnly"/>
        </w:rPr>
        <w:t>Conflicted r</w:t>
      </w:r>
      <w:r w:rsidR="009578AB">
        <w:rPr>
          <w:rStyle w:val="ChapterNameOnly"/>
        </w:rPr>
        <w:t>emuneration</w:t>
      </w:r>
      <w:bookmarkEnd w:id="4"/>
    </w:p>
    <w:p w14:paraId="3DA95550" w14:textId="77777777" w:rsidR="00B17774" w:rsidRDefault="00B17774" w:rsidP="00B17774">
      <w:pPr>
        <w:pStyle w:val="Heading2"/>
      </w:pPr>
      <w:r>
        <w:t>Outline of chapter</w:t>
      </w:r>
    </w:p>
    <w:p w14:paraId="243ABBE0" w14:textId="414813FF" w:rsidR="009578AB" w:rsidRDefault="009578AB" w:rsidP="009578AB">
      <w:pPr>
        <w:numPr>
          <w:ilvl w:val="1"/>
          <w:numId w:val="7"/>
        </w:numPr>
      </w:pPr>
      <w:r>
        <w:t>Th</w:t>
      </w:r>
      <w:r w:rsidR="00DF7FE5">
        <w:t>is</w:t>
      </w:r>
      <w:r>
        <w:t xml:space="preserve"> </w:t>
      </w:r>
      <w:r w:rsidR="00CB0F1A">
        <w:t>B</w:t>
      </w:r>
      <w:r w:rsidR="00DF7FE5">
        <w:t>ill implements</w:t>
      </w:r>
      <w:r>
        <w:t xml:space="preserve"> the Government’s response to recommendation 2.4 of the Final Report of the Royal Commission. The Royal Commission recommended that the grandfathering arrangements for conflicted remuneration in relation to financial advice provided to retail clients should be removed as soon as is reasonably practicable.</w:t>
      </w:r>
    </w:p>
    <w:p w14:paraId="7C4643BB" w14:textId="287950A4" w:rsidR="009578AB" w:rsidRDefault="009578AB" w:rsidP="009578AB">
      <w:pPr>
        <w:numPr>
          <w:ilvl w:val="1"/>
          <w:numId w:val="7"/>
        </w:numPr>
      </w:pPr>
      <w:r>
        <w:t xml:space="preserve">The </w:t>
      </w:r>
      <w:r w:rsidR="00CB0F1A">
        <w:t>B</w:t>
      </w:r>
      <w:r w:rsidR="00DF7FE5">
        <w:t>ill removes</w:t>
      </w:r>
      <w:r>
        <w:t xml:space="preserve"> these grandfathering arrangements for conflicted remuneration and other banned remuneration from 1</w:t>
      </w:r>
      <w:r w:rsidR="00DF7FE5">
        <w:t> </w:t>
      </w:r>
      <w:r>
        <w:t>January</w:t>
      </w:r>
      <w:r w:rsidR="00DF7FE5">
        <w:t> </w:t>
      </w:r>
      <w:r>
        <w:t>2021</w:t>
      </w:r>
      <w:r w:rsidRPr="00B76921">
        <w:t xml:space="preserve">. </w:t>
      </w:r>
      <w:r w:rsidR="003D54D1">
        <w:t xml:space="preserve">It </w:t>
      </w:r>
      <w:r>
        <w:t>also enable</w:t>
      </w:r>
      <w:r w:rsidR="003D54D1">
        <w:t>s</w:t>
      </w:r>
      <w:r>
        <w:t xml:space="preserve"> the regulations to provide for a scheme under which amounts that would otherwise have been paid as conflicted remuneration are rebated to affected consumers.</w:t>
      </w:r>
    </w:p>
    <w:p w14:paraId="2EA16874" w14:textId="77777777" w:rsidR="00B17774" w:rsidRDefault="00B17774" w:rsidP="00B17774">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B17774" w:rsidRPr="004666B8" w14:paraId="29F3B3E8" w14:textId="77777777" w:rsidTr="002D6ADE">
        <w:tc>
          <w:tcPr>
            <w:tcW w:w="3275" w:type="dxa"/>
          </w:tcPr>
          <w:p w14:paraId="0130E5DD" w14:textId="77777777" w:rsidR="00B17774" w:rsidRPr="004666B8" w:rsidRDefault="00B17774" w:rsidP="002D6ADE">
            <w:pPr>
              <w:pStyle w:val="tableheaderwithintable"/>
              <w:rPr>
                <w:lang w:val="en-US" w:eastAsia="en-US"/>
              </w:rPr>
            </w:pPr>
            <w:r w:rsidRPr="004666B8">
              <w:rPr>
                <w:lang w:val="en-US" w:eastAsia="en-US"/>
              </w:rPr>
              <w:t>New law</w:t>
            </w:r>
          </w:p>
        </w:tc>
        <w:tc>
          <w:tcPr>
            <w:tcW w:w="3276" w:type="dxa"/>
          </w:tcPr>
          <w:p w14:paraId="4BEEF9D8" w14:textId="77777777" w:rsidR="00B17774" w:rsidRPr="004666B8" w:rsidRDefault="00B17774" w:rsidP="002D6ADE">
            <w:pPr>
              <w:pStyle w:val="tableheaderwithintable"/>
              <w:rPr>
                <w:lang w:val="en-US" w:eastAsia="en-US"/>
              </w:rPr>
            </w:pPr>
            <w:r w:rsidRPr="004666B8">
              <w:rPr>
                <w:lang w:val="en-US" w:eastAsia="en-US"/>
              </w:rPr>
              <w:t>Current law</w:t>
            </w:r>
          </w:p>
        </w:tc>
      </w:tr>
      <w:tr w:rsidR="00B17774" w:rsidRPr="004666B8" w14:paraId="1DC33143" w14:textId="77777777" w:rsidTr="002D6ADE">
        <w:tc>
          <w:tcPr>
            <w:tcW w:w="3275" w:type="dxa"/>
          </w:tcPr>
          <w:p w14:paraId="05498175" w14:textId="77777777" w:rsidR="00B17774" w:rsidRPr="004666B8" w:rsidRDefault="009578AB" w:rsidP="002D6ADE">
            <w:pPr>
              <w:pStyle w:val="tabletext"/>
              <w:rPr>
                <w:lang w:val="en-US" w:eastAsia="en-US"/>
              </w:rPr>
            </w:pPr>
            <w:r>
              <w:rPr>
                <w:lang w:val="en-US" w:eastAsia="en-US"/>
              </w:rPr>
              <w:t>G</w:t>
            </w:r>
            <w:r w:rsidRPr="00325135">
              <w:rPr>
                <w:lang w:val="en-US" w:eastAsia="en-US"/>
              </w:rPr>
              <w:t>randfathering arrangements</w:t>
            </w:r>
            <w:r>
              <w:rPr>
                <w:lang w:val="en-US" w:eastAsia="en-US"/>
              </w:rPr>
              <w:t xml:space="preserve"> for conflicted remuneration and other banned remuneration in relation to financial advice to retail clients are removed</w:t>
            </w:r>
            <w:r w:rsidRPr="00325135">
              <w:rPr>
                <w:lang w:val="en-US" w:eastAsia="en-US"/>
              </w:rPr>
              <w:t xml:space="preserve"> effective from </w:t>
            </w:r>
            <w:r>
              <w:rPr>
                <w:lang w:val="en-US" w:eastAsia="en-US"/>
              </w:rPr>
              <w:t>1 January 2021</w:t>
            </w:r>
            <w:r w:rsidRPr="00325135">
              <w:rPr>
                <w:lang w:val="en-US" w:eastAsia="en-US"/>
              </w:rPr>
              <w:t>.</w:t>
            </w:r>
          </w:p>
        </w:tc>
        <w:tc>
          <w:tcPr>
            <w:tcW w:w="3276" w:type="dxa"/>
          </w:tcPr>
          <w:p w14:paraId="6FF8257D" w14:textId="77777777" w:rsidR="00B17774" w:rsidRPr="004666B8" w:rsidRDefault="009578AB" w:rsidP="002D6ADE">
            <w:pPr>
              <w:pStyle w:val="tabletext"/>
              <w:rPr>
                <w:lang w:val="en-US" w:eastAsia="en-US"/>
              </w:rPr>
            </w:pPr>
            <w:r>
              <w:rPr>
                <w:lang w:val="en-US" w:eastAsia="en-US"/>
              </w:rPr>
              <w:t>Conflicted remuneration and other banned remuneration</w:t>
            </w:r>
            <w:r w:rsidDel="00C36524">
              <w:rPr>
                <w:lang w:val="en-US" w:eastAsia="en-US"/>
              </w:rPr>
              <w:t xml:space="preserve"> </w:t>
            </w:r>
            <w:r>
              <w:rPr>
                <w:lang w:val="en-US" w:eastAsia="en-US"/>
              </w:rPr>
              <w:t>may be paid if the benefit is paid under a grandfathered arrangement entered into before the application day specified in the Act (generally 1 July 2013).</w:t>
            </w:r>
          </w:p>
        </w:tc>
      </w:tr>
      <w:tr w:rsidR="009578AB" w:rsidRPr="004666B8" w14:paraId="42009921" w14:textId="77777777" w:rsidTr="002D6ADE">
        <w:tc>
          <w:tcPr>
            <w:tcW w:w="3275" w:type="dxa"/>
          </w:tcPr>
          <w:p w14:paraId="64458CC3" w14:textId="77777777" w:rsidR="009578AB" w:rsidRDefault="009D7F7B" w:rsidP="002D6ADE">
            <w:pPr>
              <w:pStyle w:val="tabletext"/>
              <w:rPr>
                <w:lang w:val="en-US" w:eastAsia="en-US"/>
              </w:rPr>
            </w:pPr>
            <w:r>
              <w:rPr>
                <w:lang w:val="en-US" w:eastAsia="en-US"/>
              </w:rPr>
              <w:t xml:space="preserve">The </w:t>
            </w:r>
            <w:r>
              <w:t>regulations may provide for a scheme under which amounts that would otherwise have been paid as conflicted remuneration are rebated to affected consumers.</w:t>
            </w:r>
          </w:p>
        </w:tc>
        <w:tc>
          <w:tcPr>
            <w:tcW w:w="3276" w:type="dxa"/>
          </w:tcPr>
          <w:p w14:paraId="5B36023C" w14:textId="77777777" w:rsidR="009578AB" w:rsidRDefault="009D7F7B" w:rsidP="002D6ADE">
            <w:pPr>
              <w:pStyle w:val="tabletext"/>
              <w:rPr>
                <w:lang w:val="en-US" w:eastAsia="en-US"/>
              </w:rPr>
            </w:pPr>
            <w:r>
              <w:rPr>
                <w:lang w:val="en-US" w:eastAsia="en-US"/>
              </w:rPr>
              <w:t>No equivalent.</w:t>
            </w:r>
          </w:p>
        </w:tc>
      </w:tr>
    </w:tbl>
    <w:p w14:paraId="2BFF5EF5" w14:textId="77777777" w:rsidR="00B17774" w:rsidRDefault="00B17774" w:rsidP="00B17774">
      <w:pPr>
        <w:pStyle w:val="Heading2"/>
      </w:pPr>
      <w:r>
        <w:t>Detailed explanation of new law</w:t>
      </w:r>
    </w:p>
    <w:p w14:paraId="7EEA99EB" w14:textId="77777777" w:rsidR="009D7F7B" w:rsidRDefault="009D7F7B" w:rsidP="005D1515">
      <w:pPr>
        <w:pStyle w:val="base-text-paragraph"/>
        <w:numPr>
          <w:ilvl w:val="1"/>
          <w:numId w:val="44"/>
        </w:numPr>
      </w:pPr>
      <w:r>
        <w:t xml:space="preserve">The </w:t>
      </w:r>
      <w:r w:rsidR="003D54D1" w:rsidRPr="002E739B">
        <w:rPr>
          <w:i/>
        </w:rPr>
        <w:t xml:space="preserve">Corporations </w:t>
      </w:r>
      <w:r w:rsidRPr="002E739B">
        <w:rPr>
          <w:i/>
        </w:rPr>
        <w:t>Act</w:t>
      </w:r>
      <w:r w:rsidR="003D54D1" w:rsidRPr="002E739B">
        <w:rPr>
          <w:i/>
        </w:rPr>
        <w:t xml:space="preserve"> 2001</w:t>
      </w:r>
      <w:r w:rsidR="003D54D1">
        <w:t xml:space="preserve"> (the Act)</w:t>
      </w:r>
      <w:r>
        <w:t xml:space="preserve"> includes provisions that ban conflicted remuneration and certain other remuneration in relation to financial advice provided to retail clients. These provisions aim to more closely align the interests of those who provide financial products advice with the interests of their retail clients. In particular</w:t>
      </w:r>
      <w:r w:rsidDel="00C36524">
        <w:t>:</w:t>
      </w:r>
    </w:p>
    <w:p w14:paraId="091FC010" w14:textId="77777777" w:rsidR="00B17774" w:rsidRDefault="009D7F7B" w:rsidP="009D7F7B">
      <w:pPr>
        <w:pStyle w:val="Bullet"/>
      </w:pPr>
      <w:r>
        <w:t>Division 4 of Part 7.7A of the Act bans the payment and receipt of benefits which have the potential to influence financial advice provided to retail clients about financial products;</w:t>
      </w:r>
    </w:p>
    <w:p w14:paraId="2217EAAC" w14:textId="77777777" w:rsidR="009D7F7B" w:rsidRDefault="009D7F7B" w:rsidP="009D7F7B">
      <w:pPr>
        <w:pStyle w:val="Bullet"/>
      </w:pPr>
      <w:r>
        <w:t xml:space="preserve">Division 5 of Part 7.7A of the Act bans platform operators from accepting volume-based shelf-space fees; and </w:t>
      </w:r>
    </w:p>
    <w:p w14:paraId="0A929F8E" w14:textId="77777777" w:rsidR="009D7F7B" w:rsidRPr="008F726E" w:rsidRDefault="009D7F7B" w:rsidP="009D7F7B">
      <w:pPr>
        <w:pStyle w:val="Bullet"/>
      </w:pPr>
      <w:r>
        <w:t xml:space="preserve">Division 5 of Part 7.7A of the Act bans financial services licensees and authorised representatives of financial services licensees from charging asset-based fees to retail clients on borrowed amounts. </w:t>
      </w:r>
    </w:p>
    <w:p w14:paraId="35FFC09C" w14:textId="77777777" w:rsidR="00B17774" w:rsidRDefault="009D7F7B" w:rsidP="00B17774">
      <w:pPr>
        <w:pStyle w:val="base-text-paragraph"/>
        <w:numPr>
          <w:ilvl w:val="1"/>
          <w:numId w:val="7"/>
        </w:numPr>
      </w:pPr>
      <w:r>
        <w:t>These Divisions generally apply to benefits given or, with respect to asset-based fees on borrowed amounts, fees charged from 1 July 2013. However, there are currently exemptions to these Divi</w:t>
      </w:r>
      <w:r w:rsidR="00FD6FDC">
        <w:t>si</w:t>
      </w:r>
      <w:r>
        <w:t xml:space="preserve">ons for ‘grandfathered arrangements’. Under the grandfathering provisions: </w:t>
      </w:r>
    </w:p>
    <w:p w14:paraId="2F8CF917" w14:textId="1C1C3A25" w:rsidR="009D7F7B" w:rsidRDefault="009D7F7B" w:rsidP="00C4015B">
      <w:pPr>
        <w:pStyle w:val="DoubleDot"/>
        <w:numPr>
          <w:ilvl w:val="0"/>
          <w:numId w:val="48"/>
        </w:numPr>
      </w:pPr>
      <w:r>
        <w:t>the bans on accepting and giving conflicted remuneration do not apply to benefits paid under arr</w:t>
      </w:r>
      <w:r w:rsidR="00C11CED">
        <w:t>angements entered into before 1 July </w:t>
      </w:r>
      <w:r>
        <w:t>2013 except with respect to benefits given by a platform operator (see s</w:t>
      </w:r>
      <w:r w:rsidR="008B1DAC">
        <w:t>ection </w:t>
      </w:r>
      <w:r>
        <w:t>1528 of the Act)</w:t>
      </w:r>
      <w:r w:rsidR="00FD6FDC">
        <w:t>;</w:t>
      </w:r>
    </w:p>
    <w:p w14:paraId="4E3CA7B8" w14:textId="67E28003" w:rsidR="00FD6FDC" w:rsidRDefault="00FD6FDC" w:rsidP="00C4015B">
      <w:pPr>
        <w:pStyle w:val="DoubleDot"/>
        <w:numPr>
          <w:ilvl w:val="0"/>
          <w:numId w:val="48"/>
        </w:numPr>
      </w:pPr>
      <w:r>
        <w:t>the ban on charging volume-based shelf-space fees does not apply to benefits paid under arr</w:t>
      </w:r>
      <w:r w:rsidR="00C11CED">
        <w:t>angements entered into before 1 July </w:t>
      </w:r>
      <w:r>
        <w:t>2013 (see</w:t>
      </w:r>
      <w:r w:rsidR="00407380">
        <w:t> </w:t>
      </w:r>
      <w:r>
        <w:t>section 1529 of the Act); and</w:t>
      </w:r>
    </w:p>
    <w:p w14:paraId="07FB18CF" w14:textId="1EE76BFC" w:rsidR="00FD6FDC" w:rsidRDefault="00FD6FDC" w:rsidP="00C4015B">
      <w:pPr>
        <w:pStyle w:val="DoubleDot"/>
        <w:numPr>
          <w:ilvl w:val="0"/>
          <w:numId w:val="48"/>
        </w:numPr>
      </w:pPr>
      <w:r>
        <w:t>the ban on charging asset-based fees to retail clients on borrowed amounts only applies to the extent that the borrowed amounts are used or are to be used to acquire financial products on or</w:t>
      </w:r>
      <w:r w:rsidR="00C11CED">
        <w:t xml:space="preserve"> after 1 July 2013 (see section </w:t>
      </w:r>
      <w:r>
        <w:t xml:space="preserve">1531 of the Act). </w:t>
      </w:r>
    </w:p>
    <w:p w14:paraId="46F3844E" w14:textId="154666BF" w:rsidR="009D7F7B" w:rsidRDefault="00563660" w:rsidP="00B17774">
      <w:pPr>
        <w:pStyle w:val="base-text-paragraph"/>
        <w:numPr>
          <w:ilvl w:val="1"/>
          <w:numId w:val="7"/>
        </w:numPr>
      </w:pPr>
      <w:r>
        <w:t xml:space="preserve">This </w:t>
      </w:r>
      <w:r w:rsidR="000D22D9">
        <w:t>B</w:t>
      </w:r>
      <w:r>
        <w:t>ill ends</w:t>
      </w:r>
      <w:r w:rsidR="009D7F7B">
        <w:t xml:space="preserve"> these grandfathering arrangements effective from 1 January 2021. This means that from 1 January 2021 all remuneration of a kind banned by Divisions 4 or 5 of Part 7.7A of the Act will be subject to the bans in those Divisions. </w:t>
      </w:r>
    </w:p>
    <w:p w14:paraId="07278CA4" w14:textId="77777777" w:rsidR="00FD6FDC" w:rsidRDefault="00FD6FDC" w:rsidP="00B17774">
      <w:pPr>
        <w:pStyle w:val="base-text-paragraph"/>
        <w:numPr>
          <w:ilvl w:val="1"/>
          <w:numId w:val="7"/>
        </w:numPr>
      </w:pPr>
      <w:r>
        <w:t xml:space="preserve">As part of ending grandfathering, the Government will put forward regulations prior to 1 January 2021 which will repeal a number of other grandfathering arrangements which are continued in Part 7.7A of the </w:t>
      </w:r>
      <w:r>
        <w:rPr>
          <w:i/>
        </w:rPr>
        <w:t>Corporations Regulations 2001</w:t>
      </w:r>
      <w:r>
        <w:t xml:space="preserve">. </w:t>
      </w:r>
    </w:p>
    <w:p w14:paraId="134B1D10" w14:textId="77777777" w:rsidR="00FD6FDC" w:rsidRDefault="00FD6FDC" w:rsidP="00FD6FDC">
      <w:pPr>
        <w:pStyle w:val="Heading3"/>
      </w:pPr>
      <w:r>
        <w:t>Removing grandfathering arrangements</w:t>
      </w:r>
    </w:p>
    <w:p w14:paraId="43A6AC1B" w14:textId="77777777" w:rsidR="00FD6FDC" w:rsidRDefault="006B55E4" w:rsidP="0004659F">
      <w:pPr>
        <w:pStyle w:val="base-text-paragraph"/>
        <w:numPr>
          <w:ilvl w:val="1"/>
          <w:numId w:val="7"/>
        </w:numPr>
      </w:pPr>
      <w:r>
        <w:t xml:space="preserve">The new law </w:t>
      </w:r>
      <w:r w:rsidR="00FD6FDC">
        <w:t>removes the grandfathering of conflicted remuneration under Division 4 of Part 7.7A, effective from 1 January 2021.</w:t>
      </w:r>
      <w:r w:rsidR="003D54D1">
        <w:t xml:space="preserve"> </w:t>
      </w:r>
      <w:r w:rsidRPr="005052DF">
        <w:rPr>
          <w:b/>
          <w:i/>
          <w:sz w:val="18"/>
          <w:szCs w:val="18"/>
        </w:rPr>
        <w:t xml:space="preserve">[Schedule 1, Item 1, subsection 1528(1) of the Corporations Act] </w:t>
      </w:r>
    </w:p>
    <w:p w14:paraId="6C25519C" w14:textId="77777777" w:rsidR="00FD6FDC" w:rsidRPr="00D21115" w:rsidRDefault="006B55E4" w:rsidP="0004659F">
      <w:pPr>
        <w:pStyle w:val="base-text-paragraph"/>
        <w:numPr>
          <w:ilvl w:val="1"/>
          <w:numId w:val="7"/>
        </w:numPr>
      </w:pPr>
      <w:r>
        <w:t xml:space="preserve">The new law </w:t>
      </w:r>
      <w:r w:rsidR="00FD6FDC" w:rsidRPr="00D21115">
        <w:t>repeals the existing subsection 1528(3) of the Act. Subsection 1528(3) of the Act currently provides that Division 4 of Part 7.7A does not apply to a benefit to the extent that the operation of the Division would result in an acquisition of property (within the meaning of paragraph 51(xxxi) of the Constitution) from a person otherwise than on just terms (within the meaning of paragraph 51(xxxi) of the Constitution).</w:t>
      </w:r>
      <w:r w:rsidR="003D54D1">
        <w:t xml:space="preserve"> </w:t>
      </w:r>
      <w:r w:rsidRPr="005052DF">
        <w:rPr>
          <w:b/>
          <w:i/>
          <w:sz w:val="18"/>
          <w:szCs w:val="18"/>
        </w:rPr>
        <w:t>[Schedule 1, Item 2, subsection 1528(3) of the Corporations Act]</w:t>
      </w:r>
    </w:p>
    <w:p w14:paraId="6EB8CAA6" w14:textId="77777777" w:rsidR="00FD6FDC" w:rsidRDefault="006C1D02" w:rsidP="0004659F">
      <w:pPr>
        <w:pStyle w:val="base-text-paragraph"/>
        <w:numPr>
          <w:ilvl w:val="1"/>
          <w:numId w:val="7"/>
        </w:numPr>
      </w:pPr>
      <w:r>
        <w:t>The new law provides that s</w:t>
      </w:r>
      <w:r w:rsidR="00FD6FDC" w:rsidRPr="00D21115">
        <w:t>ection 1350 of the Act does not apply in relation to the operation of Division 4 of Part 7.7A in respect of a benefit given to a financial services licensee, or a representative of a financial services licensee. Section 1350 of the Act provides for compensation to be payable where the operation of the Act would result in the acquisition of property otherwise than on just terms.</w:t>
      </w:r>
      <w:r>
        <w:t xml:space="preserve"> </w:t>
      </w:r>
      <w:r w:rsidRPr="006C1D02">
        <w:rPr>
          <w:b/>
          <w:i/>
          <w:sz w:val="18"/>
          <w:szCs w:val="18"/>
        </w:rPr>
        <w:t>[Schedule 1, Item 2, subsection 1528(3) of the Corporations Act].</w:t>
      </w:r>
    </w:p>
    <w:p w14:paraId="4243419C" w14:textId="77777777" w:rsidR="00FD6FDC" w:rsidRDefault="003033B1" w:rsidP="0004659F">
      <w:pPr>
        <w:pStyle w:val="base-text-paragraph"/>
        <w:numPr>
          <w:ilvl w:val="1"/>
          <w:numId w:val="7"/>
        </w:numPr>
      </w:pPr>
      <w:r>
        <w:t>The new law</w:t>
      </w:r>
      <w:r w:rsidR="00FD6FDC" w:rsidRPr="00B76735">
        <w:t xml:space="preserve"> </w:t>
      </w:r>
      <w:r w:rsidR="00FD6FDC">
        <w:t>removes the grandfathering of volume-based shelf-space fees, effective from 1 January 2021</w:t>
      </w:r>
      <w:r w:rsidR="00FD6FDC" w:rsidRPr="005052DF">
        <w:rPr>
          <w:sz w:val="18"/>
          <w:szCs w:val="18"/>
        </w:rPr>
        <w:t>.</w:t>
      </w:r>
      <w:r w:rsidR="003D54D1">
        <w:rPr>
          <w:sz w:val="18"/>
          <w:szCs w:val="18"/>
        </w:rPr>
        <w:t xml:space="preserve"> </w:t>
      </w:r>
      <w:r w:rsidRPr="005052DF">
        <w:rPr>
          <w:b/>
          <w:i/>
          <w:sz w:val="18"/>
          <w:szCs w:val="18"/>
        </w:rPr>
        <w:t>[Schedule 1, Item 3, subsection 1529(1) of the Corporations Act]</w:t>
      </w:r>
    </w:p>
    <w:p w14:paraId="2938C887" w14:textId="77777777" w:rsidR="00FD6FDC" w:rsidRDefault="003033B1" w:rsidP="0004659F">
      <w:pPr>
        <w:pStyle w:val="base-text-paragraph"/>
        <w:numPr>
          <w:ilvl w:val="1"/>
          <w:numId w:val="7"/>
        </w:numPr>
      </w:pPr>
      <w:r>
        <w:t>The new law</w:t>
      </w:r>
      <w:r w:rsidR="00FD6FDC" w:rsidRPr="00B76735">
        <w:t xml:space="preserve"> </w:t>
      </w:r>
      <w:r w:rsidR="00FD6FDC">
        <w:t>provides that section 1350 of the Act does not apply in relation to the operation of Subdivision A of Division 5 of Part 7.7A of the Act in respect of a benefit given to a financial services licensee, or an RSE licensee.</w:t>
      </w:r>
      <w:r w:rsidRPr="005052DF">
        <w:rPr>
          <w:sz w:val="18"/>
          <w:szCs w:val="18"/>
        </w:rPr>
        <w:t xml:space="preserve"> </w:t>
      </w:r>
      <w:r w:rsidRPr="005052DF">
        <w:rPr>
          <w:b/>
          <w:i/>
          <w:sz w:val="18"/>
          <w:szCs w:val="18"/>
        </w:rPr>
        <w:t>[Schedule 1, Item 4, subsection 1529(2A) of the Corporations Act]</w:t>
      </w:r>
    </w:p>
    <w:p w14:paraId="0271A822" w14:textId="77777777" w:rsidR="00FD6FDC" w:rsidRPr="00D21115" w:rsidRDefault="003033B1" w:rsidP="0004659F">
      <w:pPr>
        <w:pStyle w:val="base-text-paragraph"/>
        <w:numPr>
          <w:ilvl w:val="1"/>
          <w:numId w:val="7"/>
        </w:numPr>
      </w:pPr>
      <w:r>
        <w:t xml:space="preserve">The new law </w:t>
      </w:r>
      <w:r w:rsidR="00FD6FDC" w:rsidRPr="00D21115">
        <w:t>repeals the existing section 1530 of the Act. Section 1530 currently provides that regulations made for the purposes of subsections 1528(2) or 1529(2) of the Act do not apply to a benefit to the extent that the operation of the Division would result in an acquisition of property (within the meaning of paragraph 51(xxxi) of the Constitution) from a person otherwise than on just terms (within the meaning of paragraph 51(xxxi) of the Constitution).</w:t>
      </w:r>
      <w:r w:rsidRPr="005052DF">
        <w:rPr>
          <w:sz w:val="18"/>
          <w:szCs w:val="18"/>
        </w:rPr>
        <w:t xml:space="preserve"> </w:t>
      </w:r>
      <w:r w:rsidRPr="005052DF">
        <w:rPr>
          <w:b/>
          <w:i/>
          <w:sz w:val="18"/>
          <w:szCs w:val="18"/>
        </w:rPr>
        <w:t>[Schedule 1, Item 5, section 1530 of the Corporations Act]</w:t>
      </w:r>
    </w:p>
    <w:p w14:paraId="5D4BBF98" w14:textId="77777777" w:rsidR="00FD6FDC" w:rsidRPr="00D21115" w:rsidRDefault="003033B1" w:rsidP="0004659F">
      <w:pPr>
        <w:pStyle w:val="base-text-paragraph"/>
        <w:numPr>
          <w:ilvl w:val="1"/>
          <w:numId w:val="7"/>
        </w:numPr>
      </w:pPr>
      <w:r>
        <w:t xml:space="preserve">The new law </w:t>
      </w:r>
      <w:r w:rsidR="00FD6FDC" w:rsidRPr="00D21115">
        <w:t>provides that section 1350 does not apply in relation to regulations made for the purposes of subsection 1528(2) or 1529(2) of the Act.</w:t>
      </w:r>
      <w:r>
        <w:t xml:space="preserve"> </w:t>
      </w:r>
      <w:r w:rsidRPr="005052DF">
        <w:rPr>
          <w:b/>
          <w:i/>
          <w:sz w:val="18"/>
          <w:szCs w:val="18"/>
        </w:rPr>
        <w:t>[Schedule 1, Item 5, section 1530 of the Corporations Act]</w:t>
      </w:r>
    </w:p>
    <w:p w14:paraId="3E02209C" w14:textId="77777777" w:rsidR="00FD6FDC" w:rsidRPr="00D27963" w:rsidRDefault="00A970A8" w:rsidP="0004659F">
      <w:pPr>
        <w:pStyle w:val="base-text-paragraph"/>
        <w:numPr>
          <w:ilvl w:val="1"/>
          <w:numId w:val="7"/>
        </w:numPr>
      </w:pPr>
      <w:r>
        <w:t xml:space="preserve">The new law </w:t>
      </w:r>
      <w:r w:rsidR="00FD6FDC">
        <w:t>remove</w:t>
      </w:r>
      <w:r>
        <w:t>s</w:t>
      </w:r>
      <w:r w:rsidR="00FD6FDC">
        <w:t xml:space="preserve"> the grandfathering of </w:t>
      </w:r>
      <w:r w:rsidR="00FD6FDC">
        <w:rPr>
          <w:lang w:val="en-US" w:eastAsia="en-US"/>
        </w:rPr>
        <w:t>asset-based fees charged to retail clients on borrowed amounts, effective from 1 January 2021.</w:t>
      </w:r>
      <w:r>
        <w:rPr>
          <w:lang w:val="en-US" w:eastAsia="en-US"/>
        </w:rPr>
        <w:t xml:space="preserve"> </w:t>
      </w:r>
      <w:r w:rsidRPr="005052DF">
        <w:rPr>
          <w:b/>
          <w:i/>
          <w:sz w:val="18"/>
          <w:szCs w:val="18"/>
          <w:lang w:val="en-US" w:eastAsia="en-US"/>
        </w:rPr>
        <w:t>[Schedule 1, Items 6 and 7, subsections 1531(1) and 1531(2) of the Corporations Act]</w:t>
      </w:r>
    </w:p>
    <w:p w14:paraId="72A9CAD9" w14:textId="77777777" w:rsidR="00FD6FDC" w:rsidRPr="00D21115" w:rsidRDefault="00A970A8" w:rsidP="0004659F">
      <w:pPr>
        <w:pStyle w:val="base-text-paragraph"/>
        <w:numPr>
          <w:ilvl w:val="1"/>
          <w:numId w:val="7"/>
        </w:numPr>
      </w:pPr>
      <w:r>
        <w:t xml:space="preserve">The new law </w:t>
      </w:r>
      <w:r w:rsidR="00FD6FDC" w:rsidRPr="00D21115">
        <w:t>also repeals the existing subsection 1531(2) of the Act. Subsection 1531(2) of the Act currently provides that Subdivision B of Division 5 of Part 7.7A does not apply to a benefit to the extent that the operation of the Division would result in an acquisition of property (within the meaning of paragraph 51(xxxi) of the Constitution) from a person otherwise than on just terms (within the meaning of paragraph 51(xxxi) of the Constitution).</w:t>
      </w:r>
      <w:r w:rsidR="003D54D1">
        <w:t xml:space="preserve"> </w:t>
      </w:r>
      <w:r w:rsidRPr="005052DF">
        <w:rPr>
          <w:b/>
          <w:i/>
          <w:sz w:val="18"/>
          <w:szCs w:val="18"/>
        </w:rPr>
        <w:t>[Schedule 1, Item 7, subsection 1531(2) of the Corporations Act]</w:t>
      </w:r>
    </w:p>
    <w:p w14:paraId="76D7E04A" w14:textId="77777777" w:rsidR="00FD6FDC" w:rsidRDefault="002D6ADE" w:rsidP="0004659F">
      <w:pPr>
        <w:pStyle w:val="base-text-paragraph"/>
        <w:numPr>
          <w:ilvl w:val="1"/>
          <w:numId w:val="7"/>
        </w:numPr>
      </w:pPr>
      <w:r>
        <w:t>The new law</w:t>
      </w:r>
      <w:r w:rsidR="00FD6FDC" w:rsidRPr="00D21115">
        <w:t xml:space="preserve"> also provides that section 1350 of the Act does not apply in relation to the operation of Subdivision</w:t>
      </w:r>
      <w:r w:rsidR="00FD6FDC">
        <w:t> B of Division </w:t>
      </w:r>
      <w:r w:rsidR="00FD6FDC" w:rsidRPr="00D21115">
        <w:t>5 of Part 7.7A in respect of an asset-based fee.</w:t>
      </w:r>
      <w:r w:rsidR="003D54D1">
        <w:t xml:space="preserve"> </w:t>
      </w:r>
      <w:r w:rsidR="00A970A8" w:rsidRPr="005052DF">
        <w:rPr>
          <w:b/>
          <w:i/>
          <w:sz w:val="18"/>
          <w:szCs w:val="18"/>
        </w:rPr>
        <w:t>[Schedule 1, Item 7, subsection 1531(2) of the Corporations Act]</w:t>
      </w:r>
    </w:p>
    <w:p w14:paraId="52C461A8" w14:textId="77777777" w:rsidR="00FD6FDC" w:rsidRDefault="00FD6FDC" w:rsidP="00FD6FDC">
      <w:pPr>
        <w:pStyle w:val="Heading3"/>
      </w:pPr>
      <w:r>
        <w:t>Rebating Provisions for Conflicted Remuneration</w:t>
      </w:r>
    </w:p>
    <w:p w14:paraId="52E33DBA" w14:textId="77777777" w:rsidR="00FD6FDC" w:rsidRDefault="002320D0" w:rsidP="0004659F">
      <w:pPr>
        <w:pStyle w:val="base-text-paragraph"/>
        <w:numPr>
          <w:ilvl w:val="1"/>
          <w:numId w:val="7"/>
        </w:numPr>
      </w:pPr>
      <w:r>
        <w:t xml:space="preserve">The new law </w:t>
      </w:r>
      <w:r w:rsidR="00FD6FDC">
        <w:t xml:space="preserve">allows the regulations to provide for a scheme under which benefits that would otherwise have been paid as conflicted remuneration after 1 January 2021 are rebated to affected retail clients. The amount that is required to be rebated is to be based on the conflicted remuneration that would be paid in relation to the affected clients. Rebating a monetary benefit can occur in a variety of ways, and includes making a payment or reducing a fee. </w:t>
      </w:r>
      <w:r w:rsidRPr="005052DF">
        <w:rPr>
          <w:b/>
          <w:i/>
          <w:sz w:val="18"/>
          <w:szCs w:val="18"/>
        </w:rPr>
        <w:t>[Schedule 1, Item 9, sections 963M and 963N</w:t>
      </w:r>
      <w:r w:rsidR="002A5EDE" w:rsidRPr="005052DF">
        <w:rPr>
          <w:b/>
          <w:i/>
          <w:sz w:val="18"/>
          <w:szCs w:val="18"/>
        </w:rPr>
        <w:t xml:space="preserve"> of the Corporations Act</w:t>
      </w:r>
      <w:r w:rsidRPr="005052DF">
        <w:rPr>
          <w:b/>
          <w:i/>
          <w:sz w:val="18"/>
          <w:szCs w:val="18"/>
        </w:rPr>
        <w:t>]</w:t>
      </w:r>
    </w:p>
    <w:p w14:paraId="72C3DE49" w14:textId="77777777" w:rsidR="00FD6FDC" w:rsidRDefault="00FD6FDC" w:rsidP="0004659F">
      <w:pPr>
        <w:pStyle w:val="base-text-paragraph"/>
        <w:numPr>
          <w:ilvl w:val="1"/>
          <w:numId w:val="7"/>
        </w:numPr>
      </w:pPr>
      <w:r>
        <w:t xml:space="preserve">This regulation making power is intended to be a broad power for giving effect to the above mentioned purpose. To this end, the </w:t>
      </w:r>
      <w:r w:rsidR="008A1BD8">
        <w:t xml:space="preserve">new law </w:t>
      </w:r>
      <w:r>
        <w:t xml:space="preserve"> provides that:</w:t>
      </w:r>
    </w:p>
    <w:p w14:paraId="5F338EED" w14:textId="77777777" w:rsidR="00FD6FDC" w:rsidRDefault="00C4015B" w:rsidP="00C4015B">
      <w:pPr>
        <w:pStyle w:val="Bullet"/>
      </w:pPr>
      <w:r>
        <w:t xml:space="preserve">the regulations may make different provision in respect of: different classes of persons that would otherwise have given conflicted remuneration; different classes of financial product; and different classes of relevant person (being the retail client that received the advice to which the conflicted remuneration related and to whom the rebate should be directed); and </w:t>
      </w:r>
    </w:p>
    <w:p w14:paraId="57FF1667" w14:textId="77777777" w:rsidR="00C4015B" w:rsidRDefault="00C4015B" w:rsidP="00C4015B">
      <w:pPr>
        <w:pStyle w:val="Bullet"/>
      </w:pPr>
      <w:r>
        <w:t xml:space="preserve">the regulations may provide for: the identification of the affected retail client; the timeframe in which rebates must occur; and the method of making the rebate. </w:t>
      </w:r>
    </w:p>
    <w:p w14:paraId="700B545E" w14:textId="77777777" w:rsidR="00FD6FDC" w:rsidRPr="005052DF" w:rsidRDefault="00FD6FDC" w:rsidP="0004659F">
      <w:pPr>
        <w:pStyle w:val="base-text-paragraph"/>
        <w:numPr>
          <w:ilvl w:val="1"/>
          <w:numId w:val="7"/>
        </w:numPr>
      </w:pPr>
      <w:r>
        <w:t xml:space="preserve">These examples are an inclusive list of the matters that may be dealt with by the regulations. Their inclusion in the </w:t>
      </w:r>
      <w:r w:rsidR="006911E7">
        <w:t xml:space="preserve">new law </w:t>
      </w:r>
      <w:r>
        <w:t>is not intended to limit the matters that may properly be dealt with by the regulations.</w:t>
      </w:r>
      <w:r w:rsidR="00AC6281" w:rsidRPr="00AC6281">
        <w:rPr>
          <w:b/>
          <w:i/>
        </w:rPr>
        <w:t xml:space="preserve"> </w:t>
      </w:r>
      <w:r w:rsidR="00AC6281" w:rsidRPr="005052DF">
        <w:rPr>
          <w:b/>
          <w:i/>
          <w:sz w:val="18"/>
          <w:szCs w:val="18"/>
        </w:rPr>
        <w:t xml:space="preserve">[Schedule 1, Item 9, </w:t>
      </w:r>
      <w:r w:rsidR="00041AF7">
        <w:rPr>
          <w:b/>
          <w:i/>
          <w:sz w:val="18"/>
          <w:szCs w:val="18"/>
        </w:rPr>
        <w:t>sub</w:t>
      </w:r>
      <w:r w:rsidR="00AC6281" w:rsidRPr="005052DF">
        <w:rPr>
          <w:b/>
          <w:i/>
          <w:sz w:val="18"/>
          <w:szCs w:val="18"/>
        </w:rPr>
        <w:t>section</w:t>
      </w:r>
      <w:r w:rsidR="00041AF7">
        <w:rPr>
          <w:b/>
          <w:i/>
          <w:sz w:val="18"/>
          <w:szCs w:val="18"/>
        </w:rPr>
        <w:t>s</w:t>
      </w:r>
      <w:r w:rsidR="00AC6281" w:rsidRPr="005052DF">
        <w:rPr>
          <w:b/>
          <w:i/>
          <w:sz w:val="18"/>
          <w:szCs w:val="18"/>
        </w:rPr>
        <w:t xml:space="preserve"> 963N</w:t>
      </w:r>
      <w:r w:rsidR="00041AF7">
        <w:rPr>
          <w:b/>
          <w:i/>
          <w:sz w:val="18"/>
          <w:szCs w:val="18"/>
        </w:rPr>
        <w:t>(2) and 963N(3)</w:t>
      </w:r>
      <w:r w:rsidR="002A5EDE" w:rsidRPr="005052DF">
        <w:rPr>
          <w:b/>
          <w:i/>
          <w:sz w:val="18"/>
          <w:szCs w:val="18"/>
        </w:rPr>
        <w:t xml:space="preserve"> of the Corporations Act</w:t>
      </w:r>
      <w:r w:rsidR="00AC6281" w:rsidRPr="005052DF">
        <w:rPr>
          <w:b/>
          <w:i/>
          <w:sz w:val="18"/>
          <w:szCs w:val="18"/>
        </w:rPr>
        <w:t>]</w:t>
      </w:r>
    </w:p>
    <w:p w14:paraId="7DB08A03" w14:textId="23C877BA" w:rsidR="00AC6281" w:rsidRDefault="00AC6281" w:rsidP="0004659F">
      <w:pPr>
        <w:pStyle w:val="base-text-paragraph"/>
        <w:numPr>
          <w:ilvl w:val="1"/>
          <w:numId w:val="7"/>
        </w:numPr>
      </w:pPr>
      <w:r>
        <w:t>The new law makes it a civil penalty if a person fails to pay an amount or monetary benefit in accordance with the Regulations.</w:t>
      </w:r>
      <w:r w:rsidR="00CF7999">
        <w:t xml:space="preserve"> The new section 963P </w:t>
      </w:r>
      <w:r w:rsidR="00CB0F1A">
        <w:t>is</w:t>
      </w:r>
      <w:r w:rsidR="00CF7999">
        <w:t xml:space="preserve"> a Part 7.7A civil penalty provision.</w:t>
      </w:r>
      <w:r w:rsidR="00B06EB4">
        <w:t xml:space="preserve"> </w:t>
      </w:r>
      <w:r w:rsidRPr="005052DF">
        <w:rPr>
          <w:b/>
          <w:i/>
          <w:sz w:val="18"/>
          <w:szCs w:val="18"/>
        </w:rPr>
        <w:t>[Schedule 1, Item</w:t>
      </w:r>
      <w:r w:rsidR="002A5EDE" w:rsidRPr="005052DF">
        <w:rPr>
          <w:b/>
          <w:i/>
          <w:sz w:val="18"/>
          <w:szCs w:val="18"/>
        </w:rPr>
        <w:t>s</w:t>
      </w:r>
      <w:r w:rsidRPr="005052DF">
        <w:rPr>
          <w:b/>
          <w:i/>
          <w:sz w:val="18"/>
          <w:szCs w:val="18"/>
        </w:rPr>
        <w:t xml:space="preserve"> </w:t>
      </w:r>
      <w:r w:rsidR="00B06EB4">
        <w:rPr>
          <w:b/>
          <w:i/>
          <w:sz w:val="18"/>
          <w:szCs w:val="18"/>
        </w:rPr>
        <w:t>8 to</w:t>
      </w:r>
      <w:r w:rsidR="002A5EDE" w:rsidRPr="005052DF">
        <w:rPr>
          <w:b/>
          <w:i/>
          <w:sz w:val="18"/>
          <w:szCs w:val="18"/>
        </w:rPr>
        <w:t xml:space="preserve"> 10</w:t>
      </w:r>
      <w:r w:rsidRPr="005052DF">
        <w:rPr>
          <w:b/>
          <w:i/>
          <w:sz w:val="18"/>
          <w:szCs w:val="18"/>
        </w:rPr>
        <w:t>, section</w:t>
      </w:r>
      <w:r w:rsidR="00CF7999">
        <w:rPr>
          <w:b/>
          <w:i/>
          <w:sz w:val="18"/>
          <w:szCs w:val="18"/>
        </w:rPr>
        <w:t xml:space="preserve">s 9 and </w:t>
      </w:r>
      <w:r w:rsidRPr="005052DF">
        <w:rPr>
          <w:b/>
          <w:i/>
          <w:sz w:val="18"/>
          <w:szCs w:val="18"/>
        </w:rPr>
        <w:t>963P</w:t>
      </w:r>
      <w:r w:rsidR="002A5EDE" w:rsidRPr="005052DF">
        <w:rPr>
          <w:b/>
          <w:i/>
          <w:sz w:val="18"/>
          <w:szCs w:val="18"/>
        </w:rPr>
        <w:t xml:space="preserve"> and subsection 1317E(3) of the Corporations Act</w:t>
      </w:r>
      <w:r w:rsidRPr="005052DF">
        <w:rPr>
          <w:b/>
          <w:i/>
          <w:sz w:val="18"/>
          <w:szCs w:val="18"/>
        </w:rPr>
        <w:t>]</w:t>
      </w:r>
    </w:p>
    <w:p w14:paraId="78AB9CA2" w14:textId="77777777" w:rsidR="00FD6FDC" w:rsidRPr="00FD6FDC" w:rsidRDefault="00000347" w:rsidP="002E739B">
      <w:pPr>
        <w:pStyle w:val="Heading3"/>
      </w:pPr>
      <w:r>
        <w:t>Commencement</w:t>
      </w:r>
    </w:p>
    <w:p w14:paraId="6AA4E351" w14:textId="77777777" w:rsidR="00000347" w:rsidRDefault="00000347" w:rsidP="002E739B">
      <w:pPr>
        <w:pStyle w:val="base-text-paragraph"/>
        <w:numPr>
          <w:ilvl w:val="1"/>
          <w:numId w:val="7"/>
        </w:numPr>
      </w:pPr>
      <w:r>
        <w:t xml:space="preserve">The new law commences on 1 January 2021. </w:t>
      </w:r>
      <w:r w:rsidRPr="005052DF">
        <w:rPr>
          <w:b/>
          <w:i/>
          <w:sz w:val="18"/>
          <w:szCs w:val="18"/>
        </w:rPr>
        <w:t>[</w:t>
      </w:r>
      <w:r>
        <w:rPr>
          <w:b/>
          <w:i/>
          <w:sz w:val="18"/>
          <w:szCs w:val="18"/>
        </w:rPr>
        <w:t xml:space="preserve">Section 2 of the </w:t>
      </w:r>
      <w:r w:rsidR="00C710AD">
        <w:rPr>
          <w:b/>
          <w:i/>
          <w:sz w:val="18"/>
          <w:szCs w:val="18"/>
        </w:rPr>
        <w:t>Bill</w:t>
      </w:r>
      <w:r w:rsidRPr="005052DF">
        <w:rPr>
          <w:b/>
          <w:i/>
          <w:sz w:val="18"/>
          <w:szCs w:val="18"/>
        </w:rPr>
        <w:t>]</w:t>
      </w:r>
    </w:p>
    <w:p w14:paraId="52B18CFE" w14:textId="77777777" w:rsidR="00DF631D" w:rsidRDefault="00DF631D">
      <w:pPr>
        <w:spacing w:before="0" w:after="160" w:line="259" w:lineRule="auto"/>
      </w:pPr>
    </w:p>
    <w:sectPr w:rsidR="00DF631D" w:rsidSect="005D1515">
      <w:footerReference w:type="even" r:id="rId32"/>
      <w:footerReference w:type="default" r:id="rId33"/>
      <w:footerReference w:type="first" r:id="rId34"/>
      <w:type w:val="oddPage"/>
      <w:pgSz w:w="10319" w:h="14572" w:code="13"/>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08CE91" w14:textId="77777777" w:rsidR="00707112" w:rsidRDefault="00707112" w:rsidP="00E679CA">
      <w:pPr>
        <w:spacing w:before="0" w:after="0"/>
      </w:pPr>
      <w:r>
        <w:separator/>
      </w:r>
    </w:p>
  </w:endnote>
  <w:endnote w:type="continuationSeparator" w:id="0">
    <w:p w14:paraId="4B158238" w14:textId="77777777" w:rsidR="00707112" w:rsidRDefault="00707112" w:rsidP="00E679CA">
      <w:pPr>
        <w:spacing w:before="0" w:after="0"/>
      </w:pPr>
      <w:r>
        <w:continuationSeparator/>
      </w:r>
    </w:p>
  </w:endnote>
  <w:endnote w:type="continuationNotice" w:id="1">
    <w:p w14:paraId="6E8B75D6" w14:textId="77777777" w:rsidR="00707112" w:rsidRDefault="0070711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95A6D" w14:textId="77777777" w:rsidR="003F2DFF" w:rsidRDefault="003F2DFF" w:rsidP="002D6ADE">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42716" w14:textId="77777777" w:rsidR="003F2DFF" w:rsidRDefault="003F2DFF" w:rsidP="002D6ADE">
    <w:pPr>
      <w:pStyle w:val="leftfooter"/>
    </w:pPr>
    <w:r>
      <w:fldChar w:fldCharType="begin"/>
    </w:r>
    <w:r>
      <w:instrText xml:space="preserve"> PAGE   \* MERGEFORMAT </w:instrText>
    </w:r>
    <w:r>
      <w:fldChar w:fldCharType="separate"/>
    </w:r>
    <w:r w:rsidR="0012325D">
      <w:rPr>
        <w:noProof/>
      </w:rPr>
      <w:t>4</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21FEE" w14:textId="77777777" w:rsidR="003F2DFF" w:rsidRDefault="003F2DFF" w:rsidP="002D6ADE">
    <w:pPr>
      <w:pStyle w:val="rightfooter"/>
    </w:pPr>
    <w:r>
      <w:fldChar w:fldCharType="begin"/>
    </w:r>
    <w:r>
      <w:instrText xml:space="preserve"> PAGE   \* MERGEFORMAT </w:instrText>
    </w:r>
    <w:r>
      <w:fldChar w:fldCharType="separate"/>
    </w:r>
    <w:r w:rsidR="0012325D">
      <w:rPr>
        <w:noProof/>
      </w:rPr>
      <w:t>5</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A7A27" w14:textId="77777777" w:rsidR="003F2DFF" w:rsidRDefault="003F2DFF" w:rsidP="002D6ADE">
    <w:pPr>
      <w:pStyle w:val="rightfooter"/>
    </w:pPr>
    <w:r>
      <w:fldChar w:fldCharType="begin"/>
    </w:r>
    <w:r>
      <w:instrText xml:space="preserve"> PAGE  \* Arabic  \* MERGEFORMAT </w:instrText>
    </w:r>
    <w:r>
      <w:fldChar w:fldCharType="separate"/>
    </w:r>
    <w:r w:rsidR="0012325D">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75778" w14:textId="77777777" w:rsidR="003F2DFF" w:rsidRDefault="003F2DFF" w:rsidP="002D6ADE">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67BE2" w14:textId="77777777" w:rsidR="0083663B" w:rsidRDefault="0083663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4E4CA" w14:textId="77777777" w:rsidR="003F2DFF" w:rsidRDefault="003F2DFF" w:rsidP="002D6ADE">
    <w:pPr>
      <w:pStyle w:val="leftfooter"/>
    </w:pPr>
    <w:r>
      <w:fldChar w:fldCharType="begin"/>
    </w:r>
    <w:r>
      <w:instrText xml:space="preserve"> PAGE   \* MERGEFORMAT </w:instrText>
    </w:r>
    <w:r>
      <w:fldChar w:fldCharType="separate"/>
    </w:r>
    <w:r>
      <w:rPr>
        <w:noProof/>
      </w:rPr>
      <w:t>4</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69B0B" w14:textId="77777777" w:rsidR="003F2DFF" w:rsidRDefault="003F2DFF" w:rsidP="002D6ADE">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07919" w14:textId="77777777" w:rsidR="003F2DFF" w:rsidRPr="00B2068E" w:rsidRDefault="003F2DFF" w:rsidP="002D6AD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1CD47" w14:textId="77777777" w:rsidR="003F2DFF" w:rsidRDefault="003F2DFF" w:rsidP="002D6ADE">
    <w:pPr>
      <w:pStyle w:val="leftfooter"/>
    </w:pPr>
    <w:r>
      <w:fldChar w:fldCharType="begin"/>
    </w:r>
    <w:r>
      <w:instrText xml:space="preserve"> PAGE   \* MERGEFORMAT </w:instrText>
    </w:r>
    <w:r>
      <w:fldChar w:fldCharType="separate"/>
    </w:r>
    <w:r>
      <w:rPr>
        <w:noProof/>
      </w:rPr>
      <w:t>2</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40F02" w14:textId="77777777" w:rsidR="003F2DFF" w:rsidRDefault="003F2DFF" w:rsidP="002D6ADE">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BDCE6" w14:textId="77777777" w:rsidR="003F2DFF" w:rsidRDefault="003F2DFF" w:rsidP="002D6ADE">
    <w:pPr>
      <w:pStyle w:val="rightfooter"/>
    </w:pPr>
    <w:r>
      <w:fldChar w:fldCharType="begin"/>
    </w:r>
    <w:r>
      <w:instrText xml:space="preserve"> PAGE  \* Arabic  \* MERGEFORMAT </w:instrText>
    </w:r>
    <w:r>
      <w:fldChar w:fldCharType="separate"/>
    </w:r>
    <w:r w:rsidR="0012325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3889B" w14:textId="77777777" w:rsidR="00707112" w:rsidRDefault="00707112" w:rsidP="00E679CA">
      <w:pPr>
        <w:spacing w:before="0" w:after="0"/>
      </w:pPr>
      <w:r>
        <w:separator/>
      </w:r>
    </w:p>
  </w:footnote>
  <w:footnote w:type="continuationSeparator" w:id="0">
    <w:p w14:paraId="20DF95BE" w14:textId="77777777" w:rsidR="00707112" w:rsidRDefault="00707112" w:rsidP="00E679CA">
      <w:pPr>
        <w:spacing w:before="0" w:after="0"/>
      </w:pPr>
      <w:r>
        <w:continuationSeparator/>
      </w:r>
    </w:p>
  </w:footnote>
  <w:footnote w:type="continuationNotice" w:id="1">
    <w:p w14:paraId="24ADB0B2" w14:textId="77777777" w:rsidR="00707112" w:rsidRDefault="00707112">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2FEC7" w14:textId="77777777" w:rsidR="003F2DFF" w:rsidRDefault="003F2DFF" w:rsidP="002D6ADE">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6C464" w14:textId="77777777" w:rsidR="003F2DFF" w:rsidRDefault="003F2DFF" w:rsidP="002D6ADE">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914990"/>
      <w:docPartObj>
        <w:docPartGallery w:val="Watermarks"/>
        <w:docPartUnique/>
      </w:docPartObj>
    </w:sdtPr>
    <w:sdtEndPr/>
    <w:sdtContent>
      <w:p w14:paraId="6FE9E6F4" w14:textId="77777777" w:rsidR="003F2DFF" w:rsidRDefault="0012325D">
        <w:pPr>
          <w:pStyle w:val="Header"/>
        </w:pPr>
        <w:r>
          <w:rPr>
            <w:noProof/>
            <w:lang w:val="en-US" w:eastAsia="en-US"/>
          </w:rPr>
          <w:pict w14:anchorId="2A29DE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613C8" w14:textId="77777777" w:rsidR="003F2DFF" w:rsidRDefault="003F2DFF" w:rsidP="002D6ADE">
    <w:pPr>
      <w:pStyle w:val="left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5CCAB" w14:textId="77777777" w:rsidR="003F2DFF" w:rsidRDefault="003F2DFF" w:rsidP="002D6ADE">
    <w:pPr>
      <w:pStyle w:val="right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40E7B" w14:textId="77777777" w:rsidR="003F2DFF" w:rsidRDefault="003F2DF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3D65B" w14:textId="68F4781E" w:rsidR="003F2DFF" w:rsidRPr="00422FA2" w:rsidRDefault="00442F73" w:rsidP="00422FA2">
    <w:pPr>
      <w:pStyle w:val="leftheader"/>
    </w:pPr>
    <w:r>
      <w:t>Treasury Laws Amendment (Ending Grandfathered Conflicted Remuneration) Bill 2019</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B9FAF" w14:textId="77777777" w:rsidR="003F2DFF" w:rsidRDefault="00C60F9A" w:rsidP="002D6ADE">
    <w:pPr>
      <w:pStyle w:val="rightheader"/>
    </w:pPr>
    <w:fldSimple w:instr=" STYLEREF  &quot;ChapterNameOnly&quot;  \* MERGEFORMAT ">
      <w:r w:rsidR="0012325D">
        <w:rPr>
          <w:noProof/>
        </w:rPr>
        <w:t>Conflicted remuneration</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452B5D"/>
    <w:multiLevelType w:val="multilevel"/>
    <w:tmpl w:val="1D9A269E"/>
    <w:name w:val="StandardBulletedList"/>
    <w:lvl w:ilvl="0">
      <w:start w:val="1"/>
      <w:numFmt w:val="bullet"/>
      <w:pStyle w:val="Bullet"/>
      <w:lvlText w:val="•"/>
      <w:lvlJc w:val="left"/>
      <w:pPr>
        <w:tabs>
          <w:tab w:val="num" w:pos="1654"/>
        </w:tabs>
        <w:ind w:left="1654" w:hanging="520"/>
      </w:pPr>
      <w:rPr>
        <w:rFonts w:ascii="Times New Roman" w:hAnsi="Times New Roman" w:cs="Times New Roman" w:hint="default"/>
      </w:rPr>
    </w:lvl>
    <w:lvl w:ilvl="1">
      <w:start w:val="1"/>
      <w:numFmt w:val="bullet"/>
      <w:pStyle w:val="Dash"/>
      <w:lvlText w:val="–"/>
      <w:lvlJc w:val="left"/>
      <w:pPr>
        <w:tabs>
          <w:tab w:val="num" w:pos="2174"/>
        </w:tabs>
        <w:ind w:left="2174" w:hanging="520"/>
      </w:pPr>
      <w:rPr>
        <w:rFonts w:ascii="Times New Roman" w:hAnsi="Times New Roman" w:cs="Times New Roman"/>
      </w:rPr>
    </w:lvl>
    <w:lvl w:ilvl="2">
      <w:start w:val="1"/>
      <w:numFmt w:val="bullet"/>
      <w:pStyle w:val="DoubleDot"/>
      <w:lvlText w:val=":"/>
      <w:lvlJc w:val="left"/>
      <w:pPr>
        <w:tabs>
          <w:tab w:val="num" w:pos="2694"/>
        </w:tabs>
        <w:ind w:left="2694" w:hanging="520"/>
      </w:pPr>
      <w:rPr>
        <w:rFonts w:ascii="Times New Roman" w:hAnsi="Times New Roman" w:cs="Times New Roman"/>
      </w:rPr>
    </w:lvl>
    <w:lvl w:ilvl="3">
      <w:start w:val="1"/>
      <w:numFmt w:val="decimal"/>
      <w:lvlText w:val="(%4)"/>
      <w:lvlJc w:val="left"/>
      <w:pPr>
        <w:ind w:left="5454" w:hanging="360"/>
      </w:pPr>
    </w:lvl>
    <w:lvl w:ilvl="4">
      <w:start w:val="1"/>
      <w:numFmt w:val="lowerLetter"/>
      <w:lvlText w:val="(%5)"/>
      <w:lvlJc w:val="left"/>
      <w:pPr>
        <w:ind w:left="5814" w:hanging="360"/>
      </w:pPr>
    </w:lvl>
    <w:lvl w:ilvl="5">
      <w:start w:val="1"/>
      <w:numFmt w:val="lowerRoman"/>
      <w:lvlText w:val="(%6)"/>
      <w:lvlJc w:val="left"/>
      <w:pPr>
        <w:ind w:left="6174" w:hanging="360"/>
      </w:pPr>
    </w:lvl>
    <w:lvl w:ilvl="6">
      <w:start w:val="1"/>
      <w:numFmt w:val="decimal"/>
      <w:lvlText w:val="%7."/>
      <w:lvlJc w:val="left"/>
      <w:pPr>
        <w:ind w:left="6534" w:hanging="360"/>
      </w:pPr>
    </w:lvl>
    <w:lvl w:ilvl="7">
      <w:start w:val="1"/>
      <w:numFmt w:val="lowerLetter"/>
      <w:lvlText w:val="%8."/>
      <w:lvlJc w:val="left"/>
      <w:pPr>
        <w:ind w:left="6894" w:hanging="360"/>
      </w:pPr>
    </w:lvl>
    <w:lvl w:ilvl="8">
      <w:start w:val="1"/>
      <w:numFmt w:val="lowerRoman"/>
      <w:lvlText w:val="%9."/>
      <w:lvlJc w:val="left"/>
      <w:pPr>
        <w:ind w:left="7254" w:hanging="360"/>
      </w:pPr>
    </w:lvl>
  </w:abstractNum>
  <w:abstractNum w:abstractNumId="11">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1BEB4EC5"/>
    <w:multiLevelType w:val="multilevel"/>
    <w:tmpl w:val="C42A210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
    <w:nsid w:val="289229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3D05EC6"/>
    <w:multiLevelType w:val="multilevel"/>
    <w:tmpl w:val="1D6658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D714D4B"/>
    <w:multiLevelType w:val="multilevel"/>
    <w:tmpl w:val="DA4C4752"/>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D79573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569F5B78"/>
    <w:multiLevelType w:val="multilevel"/>
    <w:tmpl w:val="9FE00126"/>
    <w:lvl w:ilvl="0">
      <w:start w:val="1"/>
      <w:numFmt w:val="bullet"/>
      <w:lvlText w:val="•"/>
      <w:lvlJc w:val="left"/>
      <w:pPr>
        <w:tabs>
          <w:tab w:val="num" w:pos="1654"/>
        </w:tabs>
        <w:ind w:left="1654" w:hanging="520"/>
      </w:pPr>
      <w:rPr>
        <w:rFonts w:ascii="Times New Roman" w:hAnsi="Times New Roman" w:cs="Times New Roman" w:hint="default"/>
      </w:rPr>
    </w:lvl>
    <w:lvl w:ilvl="1">
      <w:start w:val="1"/>
      <w:numFmt w:val="bullet"/>
      <w:lvlText w:val="–"/>
      <w:lvlJc w:val="left"/>
      <w:pPr>
        <w:tabs>
          <w:tab w:val="num" w:pos="2174"/>
        </w:tabs>
        <w:ind w:left="2174" w:hanging="520"/>
      </w:pPr>
      <w:rPr>
        <w:rFonts w:ascii="Times New Roman" w:hAnsi="Times New Roman" w:cs="Times New Roman"/>
      </w:rPr>
    </w:lvl>
    <w:lvl w:ilvl="2">
      <w:start w:val="1"/>
      <w:numFmt w:val="bullet"/>
      <w:lvlText w:val=":"/>
      <w:lvlJc w:val="left"/>
      <w:pPr>
        <w:tabs>
          <w:tab w:val="num" w:pos="2694"/>
        </w:tabs>
        <w:ind w:left="2694" w:hanging="520"/>
      </w:pPr>
      <w:rPr>
        <w:rFonts w:ascii="Times New Roman" w:hAnsi="Times New Roman" w:cs="Times New Roman"/>
      </w:rPr>
    </w:lvl>
    <w:lvl w:ilvl="3">
      <w:start w:val="1"/>
      <w:numFmt w:val="bullet"/>
      <w:lvlText w:val=""/>
      <w:lvlJc w:val="left"/>
      <w:pPr>
        <w:ind w:left="5454" w:hanging="360"/>
      </w:pPr>
      <w:rPr>
        <w:rFonts w:ascii="Symbol" w:hAnsi="Symbol" w:hint="default"/>
      </w:rPr>
    </w:lvl>
    <w:lvl w:ilvl="4">
      <w:start w:val="1"/>
      <w:numFmt w:val="lowerLetter"/>
      <w:lvlText w:val="(%5)"/>
      <w:lvlJc w:val="left"/>
      <w:pPr>
        <w:ind w:left="5814" w:hanging="360"/>
      </w:pPr>
    </w:lvl>
    <w:lvl w:ilvl="5">
      <w:start w:val="1"/>
      <w:numFmt w:val="lowerRoman"/>
      <w:lvlText w:val="(%6)"/>
      <w:lvlJc w:val="left"/>
      <w:pPr>
        <w:ind w:left="6174" w:hanging="360"/>
      </w:pPr>
    </w:lvl>
    <w:lvl w:ilvl="6">
      <w:start w:val="1"/>
      <w:numFmt w:val="decimal"/>
      <w:lvlText w:val="%7."/>
      <w:lvlJc w:val="left"/>
      <w:pPr>
        <w:ind w:left="6534" w:hanging="360"/>
      </w:pPr>
    </w:lvl>
    <w:lvl w:ilvl="7">
      <w:start w:val="1"/>
      <w:numFmt w:val="lowerLetter"/>
      <w:lvlText w:val="%8."/>
      <w:lvlJc w:val="left"/>
      <w:pPr>
        <w:ind w:left="6894" w:hanging="360"/>
      </w:pPr>
    </w:lvl>
    <w:lvl w:ilvl="8">
      <w:start w:val="1"/>
      <w:numFmt w:val="lowerRoman"/>
      <w:lvlText w:val="%9."/>
      <w:lvlJc w:val="left"/>
      <w:pPr>
        <w:ind w:left="7254" w:hanging="360"/>
      </w:pPr>
    </w:lvl>
  </w:abstractNum>
  <w:abstractNum w:abstractNumId="23">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5DF6494"/>
    <w:multiLevelType w:val="multilevel"/>
    <w:tmpl w:val="DA4C4752"/>
    <w:numStyleLink w:val="ChapterList"/>
  </w:abstractNum>
  <w:abstractNum w:abstractNumId="25">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BF952CB"/>
    <w:multiLevelType w:val="multilevel"/>
    <w:tmpl w:val="4CCC8FFE"/>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nsid w:val="7E1E28FB"/>
    <w:multiLevelType w:val="multilevel"/>
    <w:tmpl w:val="A33CD430"/>
    <w:lvl w:ilvl="0">
      <w:start w:val="1"/>
      <w:numFmt w:val="bullet"/>
      <w:lvlText w:val="•"/>
      <w:lvlJc w:val="left"/>
      <w:pPr>
        <w:tabs>
          <w:tab w:val="num" w:pos="1654"/>
        </w:tabs>
        <w:ind w:left="1654" w:hanging="520"/>
      </w:pPr>
      <w:rPr>
        <w:rFonts w:ascii="Times New Roman" w:hAnsi="Times New Roman" w:cs="Times New Roman" w:hint="default"/>
      </w:rPr>
    </w:lvl>
    <w:lvl w:ilvl="1">
      <w:start w:val="1"/>
      <w:numFmt w:val="bullet"/>
      <w:lvlText w:val=""/>
      <w:lvlJc w:val="left"/>
      <w:pPr>
        <w:tabs>
          <w:tab w:val="num" w:pos="2174"/>
        </w:tabs>
        <w:ind w:left="2174" w:hanging="520"/>
      </w:pPr>
      <w:rPr>
        <w:rFonts w:ascii="Symbol" w:hAnsi="Symbol" w:hint="default"/>
      </w:rPr>
    </w:lvl>
    <w:lvl w:ilvl="2">
      <w:start w:val="1"/>
      <w:numFmt w:val="bullet"/>
      <w:lvlText w:val=":"/>
      <w:lvlJc w:val="left"/>
      <w:pPr>
        <w:tabs>
          <w:tab w:val="num" w:pos="2694"/>
        </w:tabs>
        <w:ind w:left="2694" w:hanging="520"/>
      </w:pPr>
      <w:rPr>
        <w:rFonts w:ascii="Times New Roman" w:hAnsi="Times New Roman" w:cs="Times New Roman"/>
      </w:rPr>
    </w:lvl>
    <w:lvl w:ilvl="3">
      <w:start w:val="1"/>
      <w:numFmt w:val="bullet"/>
      <w:lvlText w:val=""/>
      <w:lvlJc w:val="left"/>
      <w:pPr>
        <w:ind w:left="5454" w:hanging="360"/>
      </w:pPr>
      <w:rPr>
        <w:rFonts w:ascii="Symbol" w:hAnsi="Symbol" w:hint="default"/>
      </w:rPr>
    </w:lvl>
    <w:lvl w:ilvl="4">
      <w:start w:val="1"/>
      <w:numFmt w:val="lowerLetter"/>
      <w:lvlText w:val="(%5)"/>
      <w:lvlJc w:val="left"/>
      <w:pPr>
        <w:ind w:left="5814" w:hanging="360"/>
      </w:pPr>
    </w:lvl>
    <w:lvl w:ilvl="5">
      <w:start w:val="1"/>
      <w:numFmt w:val="lowerRoman"/>
      <w:lvlText w:val="(%6)"/>
      <w:lvlJc w:val="left"/>
      <w:pPr>
        <w:ind w:left="6174" w:hanging="360"/>
      </w:pPr>
    </w:lvl>
    <w:lvl w:ilvl="6">
      <w:start w:val="1"/>
      <w:numFmt w:val="decimal"/>
      <w:lvlText w:val="%7."/>
      <w:lvlJc w:val="left"/>
      <w:pPr>
        <w:ind w:left="6534" w:hanging="360"/>
      </w:pPr>
    </w:lvl>
    <w:lvl w:ilvl="7">
      <w:start w:val="1"/>
      <w:numFmt w:val="lowerLetter"/>
      <w:lvlText w:val="%8."/>
      <w:lvlJc w:val="left"/>
      <w:pPr>
        <w:ind w:left="6894" w:hanging="360"/>
      </w:pPr>
    </w:lvl>
    <w:lvl w:ilvl="8">
      <w:start w:val="1"/>
      <w:numFmt w:val="lowerRoman"/>
      <w:lvlText w:val="%9."/>
      <w:lvlJc w:val="left"/>
      <w:pPr>
        <w:ind w:left="7254" w:hanging="360"/>
      </w:pPr>
    </w:lvl>
  </w:abstractNum>
  <w:num w:numId="1">
    <w:abstractNumId w:val="16"/>
  </w:num>
  <w:num w:numId="2">
    <w:abstractNumId w:val="12"/>
  </w:num>
  <w:num w:numId="3">
    <w:abstractNumId w:val="15"/>
  </w:num>
  <w:num w:numId="4">
    <w:abstractNumId w:val="25"/>
  </w:num>
  <w:num w:numId="5">
    <w:abstractNumId w:val="21"/>
  </w:num>
  <w:num w:numId="6">
    <w:abstractNumId w:val="27"/>
  </w:num>
  <w:num w:numId="7">
    <w:abstractNumId w:val="24"/>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24"/>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
    <w:abstractNumId w:val="18"/>
  </w:num>
  <w:num w:numId="10">
    <w:abstractNumId w:val="24"/>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19"/>
  </w:num>
  <w:num w:numId="12">
    <w:abstractNumId w:val="20"/>
  </w:num>
  <w:num w:numId="13">
    <w:abstractNumId w:val="20"/>
  </w:num>
  <w:num w:numId="14">
    <w:abstractNumId w:val="23"/>
  </w:num>
  <w:num w:numId="15">
    <w:abstractNumId w:val="23"/>
  </w:num>
  <w:num w:numId="16">
    <w:abstractNumId w:val="23"/>
  </w:num>
  <w:num w:numId="17">
    <w:abstractNumId w:val="24"/>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9"/>
  </w:num>
  <w:num w:numId="19">
    <w:abstractNumId w:val="9"/>
  </w:num>
  <w:num w:numId="20">
    <w:abstractNumId w:val="7"/>
  </w:num>
  <w:num w:numId="21">
    <w:abstractNumId w:val="7"/>
  </w:num>
  <w:num w:numId="22">
    <w:abstractNumId w:val="6"/>
  </w:num>
  <w:num w:numId="23">
    <w:abstractNumId w:val="6"/>
  </w:num>
  <w:num w:numId="24">
    <w:abstractNumId w:val="5"/>
  </w:num>
  <w:num w:numId="25">
    <w:abstractNumId w:val="5"/>
  </w:num>
  <w:num w:numId="26">
    <w:abstractNumId w:val="4"/>
  </w:num>
  <w:num w:numId="27">
    <w:abstractNumId w:val="4"/>
  </w:num>
  <w:num w:numId="28">
    <w:abstractNumId w:val="8"/>
  </w:num>
  <w:num w:numId="29">
    <w:abstractNumId w:val="8"/>
  </w:num>
  <w:num w:numId="30">
    <w:abstractNumId w:val="3"/>
  </w:num>
  <w:num w:numId="31">
    <w:abstractNumId w:val="3"/>
  </w:num>
  <w:num w:numId="32">
    <w:abstractNumId w:val="2"/>
  </w:num>
  <w:num w:numId="33">
    <w:abstractNumId w:val="2"/>
  </w:num>
  <w:num w:numId="34">
    <w:abstractNumId w:val="1"/>
  </w:num>
  <w:num w:numId="35">
    <w:abstractNumId w:val="1"/>
  </w:num>
  <w:num w:numId="36">
    <w:abstractNumId w:val="0"/>
  </w:num>
  <w:num w:numId="37">
    <w:abstractNumId w:val="0"/>
  </w:num>
  <w:num w:numId="38">
    <w:abstractNumId w:val="13"/>
  </w:num>
  <w:num w:numId="39">
    <w:abstractNumId w:val="13"/>
  </w:num>
  <w:num w:numId="40">
    <w:abstractNumId w:val="11"/>
  </w:num>
  <w:num w:numId="41">
    <w:abstractNumId w:val="24"/>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2">
    <w:abstractNumId w:val="14"/>
  </w:num>
  <w:num w:numId="43">
    <w:abstractNumId w:val="24"/>
  </w:num>
  <w:num w:numId="44">
    <w:abstractNumId w:val="24"/>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abstractNumId w:val="10"/>
  </w:num>
  <w:num w:numId="46">
    <w:abstractNumId w:val="26"/>
  </w:num>
  <w:num w:numId="47">
    <w:abstractNumId w:val="22"/>
  </w:num>
  <w:num w:numId="48">
    <w:abstractNumId w:val="28"/>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defaultTabStop w:val="720"/>
  <w:evenAndOddHeader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8AB"/>
    <w:rsid w:val="00000347"/>
    <w:rsid w:val="0002054A"/>
    <w:rsid w:val="00030A40"/>
    <w:rsid w:val="00041AF7"/>
    <w:rsid w:val="0004659F"/>
    <w:rsid w:val="000A77AF"/>
    <w:rsid w:val="000B40BF"/>
    <w:rsid w:val="000C2A9D"/>
    <w:rsid w:val="000C44D7"/>
    <w:rsid w:val="000C4876"/>
    <w:rsid w:val="000C71F6"/>
    <w:rsid w:val="000D04A2"/>
    <w:rsid w:val="000D22D9"/>
    <w:rsid w:val="000E23C4"/>
    <w:rsid w:val="000E4B50"/>
    <w:rsid w:val="000F2ADA"/>
    <w:rsid w:val="00107A5E"/>
    <w:rsid w:val="00112270"/>
    <w:rsid w:val="0012325D"/>
    <w:rsid w:val="00123B9E"/>
    <w:rsid w:val="001247BD"/>
    <w:rsid w:val="00127BE8"/>
    <w:rsid w:val="00135945"/>
    <w:rsid w:val="001616ED"/>
    <w:rsid w:val="00170E36"/>
    <w:rsid w:val="001753F4"/>
    <w:rsid w:val="001839DE"/>
    <w:rsid w:val="001929F4"/>
    <w:rsid w:val="001C1751"/>
    <w:rsid w:val="001D1296"/>
    <w:rsid w:val="001D381A"/>
    <w:rsid w:val="001E7723"/>
    <w:rsid w:val="002017CB"/>
    <w:rsid w:val="0020191C"/>
    <w:rsid w:val="00221190"/>
    <w:rsid w:val="002320D0"/>
    <w:rsid w:val="00250310"/>
    <w:rsid w:val="0028232D"/>
    <w:rsid w:val="00295ABD"/>
    <w:rsid w:val="002A5E15"/>
    <w:rsid w:val="002A5EDE"/>
    <w:rsid w:val="002B796A"/>
    <w:rsid w:val="002D0B7C"/>
    <w:rsid w:val="002D57AF"/>
    <w:rsid w:val="002D6ADE"/>
    <w:rsid w:val="002E739B"/>
    <w:rsid w:val="002F0D2B"/>
    <w:rsid w:val="002F16CA"/>
    <w:rsid w:val="002F5853"/>
    <w:rsid w:val="003033B1"/>
    <w:rsid w:val="00304E21"/>
    <w:rsid w:val="00307165"/>
    <w:rsid w:val="003109CA"/>
    <w:rsid w:val="003175C6"/>
    <w:rsid w:val="00333304"/>
    <w:rsid w:val="00345144"/>
    <w:rsid w:val="00346A6E"/>
    <w:rsid w:val="003504F4"/>
    <w:rsid w:val="003611BB"/>
    <w:rsid w:val="00375F1D"/>
    <w:rsid w:val="003A657F"/>
    <w:rsid w:val="003B6B47"/>
    <w:rsid w:val="003B77F0"/>
    <w:rsid w:val="003D4F69"/>
    <w:rsid w:val="003D54D1"/>
    <w:rsid w:val="003E5AB0"/>
    <w:rsid w:val="003E7AB0"/>
    <w:rsid w:val="003F12CE"/>
    <w:rsid w:val="003F2DFF"/>
    <w:rsid w:val="00404DA2"/>
    <w:rsid w:val="00405C1F"/>
    <w:rsid w:val="00407380"/>
    <w:rsid w:val="00422FA2"/>
    <w:rsid w:val="00442F73"/>
    <w:rsid w:val="00487262"/>
    <w:rsid w:val="004C4AC2"/>
    <w:rsid w:val="004E72E3"/>
    <w:rsid w:val="004F3C00"/>
    <w:rsid w:val="0050220D"/>
    <w:rsid w:val="00504BD8"/>
    <w:rsid w:val="005052DF"/>
    <w:rsid w:val="00535F17"/>
    <w:rsid w:val="0055086F"/>
    <w:rsid w:val="00551665"/>
    <w:rsid w:val="00563660"/>
    <w:rsid w:val="00567602"/>
    <w:rsid w:val="00574CA0"/>
    <w:rsid w:val="005A496E"/>
    <w:rsid w:val="005B7E31"/>
    <w:rsid w:val="005D1515"/>
    <w:rsid w:val="005D5253"/>
    <w:rsid w:val="005E100E"/>
    <w:rsid w:val="005E3647"/>
    <w:rsid w:val="005E37D5"/>
    <w:rsid w:val="005E4F69"/>
    <w:rsid w:val="005F33E5"/>
    <w:rsid w:val="00614A6F"/>
    <w:rsid w:val="006168B0"/>
    <w:rsid w:val="0063127E"/>
    <w:rsid w:val="0064558D"/>
    <w:rsid w:val="00651B5C"/>
    <w:rsid w:val="00670A85"/>
    <w:rsid w:val="006911E7"/>
    <w:rsid w:val="006A05D6"/>
    <w:rsid w:val="006A72CB"/>
    <w:rsid w:val="006B55E4"/>
    <w:rsid w:val="006C1D02"/>
    <w:rsid w:val="006E315C"/>
    <w:rsid w:val="006F1FA6"/>
    <w:rsid w:val="006F233D"/>
    <w:rsid w:val="006F5EF4"/>
    <w:rsid w:val="00706CE0"/>
    <w:rsid w:val="007070BD"/>
    <w:rsid w:val="00707112"/>
    <w:rsid w:val="00720A49"/>
    <w:rsid w:val="00734F84"/>
    <w:rsid w:val="00747A03"/>
    <w:rsid w:val="00773B68"/>
    <w:rsid w:val="00780DA4"/>
    <w:rsid w:val="00795A45"/>
    <w:rsid w:val="007C2588"/>
    <w:rsid w:val="007C2B20"/>
    <w:rsid w:val="007D4599"/>
    <w:rsid w:val="007F603F"/>
    <w:rsid w:val="00803DE4"/>
    <w:rsid w:val="00813A51"/>
    <w:rsid w:val="0083663B"/>
    <w:rsid w:val="00840701"/>
    <w:rsid w:val="00863591"/>
    <w:rsid w:val="008769D3"/>
    <w:rsid w:val="008A1BD8"/>
    <w:rsid w:val="008B1DAC"/>
    <w:rsid w:val="008D0A8B"/>
    <w:rsid w:val="008D4F94"/>
    <w:rsid w:val="008D78FA"/>
    <w:rsid w:val="008E6E38"/>
    <w:rsid w:val="00910AA5"/>
    <w:rsid w:val="0093363A"/>
    <w:rsid w:val="00943F15"/>
    <w:rsid w:val="00946B26"/>
    <w:rsid w:val="009578AB"/>
    <w:rsid w:val="009770C9"/>
    <w:rsid w:val="0098134F"/>
    <w:rsid w:val="009B0F07"/>
    <w:rsid w:val="009B5E73"/>
    <w:rsid w:val="009C2FC2"/>
    <w:rsid w:val="009D7ECD"/>
    <w:rsid w:val="009D7F7B"/>
    <w:rsid w:val="009E10B8"/>
    <w:rsid w:val="009F3AE1"/>
    <w:rsid w:val="00A0653F"/>
    <w:rsid w:val="00A171A0"/>
    <w:rsid w:val="00A2308B"/>
    <w:rsid w:val="00A250AB"/>
    <w:rsid w:val="00A41EDC"/>
    <w:rsid w:val="00A75FAC"/>
    <w:rsid w:val="00A970A8"/>
    <w:rsid w:val="00A97BDD"/>
    <w:rsid w:val="00AA6F43"/>
    <w:rsid w:val="00AC6281"/>
    <w:rsid w:val="00AD5B62"/>
    <w:rsid w:val="00AD5F50"/>
    <w:rsid w:val="00AF6C55"/>
    <w:rsid w:val="00B040B3"/>
    <w:rsid w:val="00B06EB4"/>
    <w:rsid w:val="00B17774"/>
    <w:rsid w:val="00B64D07"/>
    <w:rsid w:val="00B72EFD"/>
    <w:rsid w:val="00B85309"/>
    <w:rsid w:val="00BB72FC"/>
    <w:rsid w:val="00BE27C2"/>
    <w:rsid w:val="00C11CED"/>
    <w:rsid w:val="00C25EE6"/>
    <w:rsid w:val="00C26DE2"/>
    <w:rsid w:val="00C2730D"/>
    <w:rsid w:val="00C4015B"/>
    <w:rsid w:val="00C5436A"/>
    <w:rsid w:val="00C60F9A"/>
    <w:rsid w:val="00C710AD"/>
    <w:rsid w:val="00C743D3"/>
    <w:rsid w:val="00C83EC4"/>
    <w:rsid w:val="00CB0F1A"/>
    <w:rsid w:val="00CD1112"/>
    <w:rsid w:val="00CF7999"/>
    <w:rsid w:val="00D22111"/>
    <w:rsid w:val="00D46961"/>
    <w:rsid w:val="00D83206"/>
    <w:rsid w:val="00D84E23"/>
    <w:rsid w:val="00DB1BFD"/>
    <w:rsid w:val="00DE55C2"/>
    <w:rsid w:val="00DF631D"/>
    <w:rsid w:val="00DF7FE5"/>
    <w:rsid w:val="00E21363"/>
    <w:rsid w:val="00E5385B"/>
    <w:rsid w:val="00E56A6F"/>
    <w:rsid w:val="00E673DE"/>
    <w:rsid w:val="00E679CA"/>
    <w:rsid w:val="00E74E50"/>
    <w:rsid w:val="00E9751C"/>
    <w:rsid w:val="00EA5BB7"/>
    <w:rsid w:val="00EC0F5E"/>
    <w:rsid w:val="00EF5EB2"/>
    <w:rsid w:val="00F2618B"/>
    <w:rsid w:val="00F42F08"/>
    <w:rsid w:val="00F46D06"/>
    <w:rsid w:val="00F51071"/>
    <w:rsid w:val="00F51D4A"/>
    <w:rsid w:val="00F60F68"/>
    <w:rsid w:val="00F83B70"/>
    <w:rsid w:val="00F904CC"/>
    <w:rsid w:val="00F9382B"/>
    <w:rsid w:val="00FA5B58"/>
    <w:rsid w:val="00FB6011"/>
    <w:rsid w:val="00FD6FDC"/>
    <w:rsid w:val="00FE352A"/>
    <w:rsid w:val="00FE61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B43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4"/>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6"/>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9"/>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9"/>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9"/>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9"/>
      </w:numPr>
      <w:spacing w:before="0" w:after="0"/>
    </w:pPr>
    <w:rPr>
      <w:b/>
    </w:rPr>
  </w:style>
  <w:style w:type="paragraph" w:customStyle="1" w:styleId="dotpoint">
    <w:name w:val="dot point"/>
    <w:basedOn w:val="Normal"/>
    <w:rsid w:val="00E56A6F"/>
    <w:pPr>
      <w:numPr>
        <w:numId w:val="11"/>
      </w:numPr>
    </w:pPr>
  </w:style>
  <w:style w:type="paragraph" w:customStyle="1" w:styleId="dotpoint2">
    <w:name w:val="dot point 2"/>
    <w:basedOn w:val="Normal"/>
    <w:rsid w:val="00E56A6F"/>
    <w:pPr>
      <w:numPr>
        <w:ilvl w:val="1"/>
        <w:numId w:val="13"/>
      </w:numPr>
    </w:pPr>
  </w:style>
  <w:style w:type="numbering" w:customStyle="1" w:styleId="DotPointList">
    <w:name w:val="Dot Point List"/>
    <w:uiPriority w:val="99"/>
    <w:rsid w:val="00E56A6F"/>
    <w:pPr>
      <w:numPr>
        <w:numId w:val="12"/>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6"/>
      </w:numPr>
      <w:spacing w:before="200" w:after="200"/>
      <w:ind w:left="2269" w:hanging="284"/>
    </w:pPr>
  </w:style>
  <w:style w:type="paragraph" w:customStyle="1" w:styleId="exampledotpoint2">
    <w:name w:val="example dot point 2"/>
    <w:basedOn w:val="exampletext"/>
    <w:rsid w:val="006A05D6"/>
    <w:pPr>
      <w:numPr>
        <w:ilvl w:val="1"/>
        <w:numId w:val="16"/>
      </w:numPr>
      <w:spacing w:before="200" w:after="200"/>
    </w:pPr>
  </w:style>
  <w:style w:type="numbering" w:customStyle="1" w:styleId="ExampleDotPointList">
    <w:name w:val="Example Dot Point List"/>
    <w:uiPriority w:val="99"/>
    <w:rsid w:val="00E56A6F"/>
    <w:pPr>
      <w:numPr>
        <w:numId w:val="14"/>
      </w:numPr>
    </w:pPr>
  </w:style>
  <w:style w:type="paragraph" w:customStyle="1" w:styleId="ExampleHeading">
    <w:name w:val="Example Heading"/>
    <w:basedOn w:val="Normal"/>
    <w:next w:val="exampletext"/>
    <w:rsid w:val="00E56A6F"/>
    <w:pPr>
      <w:keepNext/>
      <w:numPr>
        <w:ilvl w:val="3"/>
        <w:numId w:val="9"/>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9"/>
      </w:numPr>
    </w:pPr>
  </w:style>
  <w:style w:type="paragraph" w:styleId="ListBullet2">
    <w:name w:val="List Bullet 2"/>
    <w:basedOn w:val="Normal"/>
    <w:semiHidden/>
    <w:rsid w:val="00E56A6F"/>
    <w:pPr>
      <w:numPr>
        <w:numId w:val="21"/>
      </w:numPr>
    </w:pPr>
  </w:style>
  <w:style w:type="paragraph" w:styleId="ListBullet3">
    <w:name w:val="List Bullet 3"/>
    <w:basedOn w:val="Normal"/>
    <w:semiHidden/>
    <w:rsid w:val="00E56A6F"/>
    <w:pPr>
      <w:numPr>
        <w:numId w:val="23"/>
      </w:numPr>
    </w:pPr>
  </w:style>
  <w:style w:type="paragraph" w:styleId="ListBullet4">
    <w:name w:val="List Bullet 4"/>
    <w:basedOn w:val="Normal"/>
    <w:semiHidden/>
    <w:rsid w:val="00E56A6F"/>
    <w:pPr>
      <w:numPr>
        <w:numId w:val="25"/>
      </w:numPr>
    </w:pPr>
  </w:style>
  <w:style w:type="paragraph" w:styleId="ListBullet5">
    <w:name w:val="List Bullet 5"/>
    <w:basedOn w:val="Normal"/>
    <w:semiHidden/>
    <w:rsid w:val="00E56A6F"/>
    <w:pPr>
      <w:numPr>
        <w:numId w:val="27"/>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29"/>
      </w:numPr>
    </w:pPr>
  </w:style>
  <w:style w:type="paragraph" w:styleId="ListNumber2">
    <w:name w:val="List Number 2"/>
    <w:basedOn w:val="Normal"/>
    <w:semiHidden/>
    <w:rsid w:val="00E56A6F"/>
    <w:pPr>
      <w:numPr>
        <w:numId w:val="31"/>
      </w:numPr>
    </w:pPr>
  </w:style>
  <w:style w:type="paragraph" w:styleId="ListNumber3">
    <w:name w:val="List Number 3"/>
    <w:basedOn w:val="Normal"/>
    <w:semiHidden/>
    <w:rsid w:val="00E56A6F"/>
    <w:pPr>
      <w:numPr>
        <w:numId w:val="33"/>
      </w:numPr>
    </w:pPr>
  </w:style>
  <w:style w:type="paragraph" w:styleId="ListNumber4">
    <w:name w:val="List Number 4"/>
    <w:basedOn w:val="Normal"/>
    <w:semiHidden/>
    <w:rsid w:val="00E56A6F"/>
    <w:pPr>
      <w:numPr>
        <w:numId w:val="35"/>
      </w:numPr>
    </w:pPr>
  </w:style>
  <w:style w:type="paragraph" w:styleId="ListNumber5">
    <w:name w:val="List Number 5"/>
    <w:basedOn w:val="Normal"/>
    <w:semiHidden/>
    <w:rsid w:val="00E56A6F"/>
    <w:pPr>
      <w:numPr>
        <w:numId w:val="37"/>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40"/>
      </w:numPr>
    </w:pPr>
  </w:style>
  <w:style w:type="paragraph" w:customStyle="1" w:styleId="tabledotpoint2">
    <w:name w:val="table dot point 2"/>
    <w:basedOn w:val="tabletext"/>
    <w:rsid w:val="00E56A6F"/>
    <w:pPr>
      <w:numPr>
        <w:ilvl w:val="1"/>
        <w:numId w:val="40"/>
      </w:numPr>
    </w:pPr>
  </w:style>
  <w:style w:type="numbering" w:customStyle="1" w:styleId="TableDotPointList">
    <w:name w:val="Table Dot Point List"/>
    <w:uiPriority w:val="99"/>
    <w:rsid w:val="00E56A6F"/>
    <w:pPr>
      <w:numPr>
        <w:numId w:val="40"/>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9"/>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paragraph" w:customStyle="1" w:styleId="Bullet">
    <w:name w:val="Bullet"/>
    <w:basedOn w:val="Normal"/>
    <w:link w:val="BulletChar"/>
    <w:rsid w:val="009D7F7B"/>
    <w:pPr>
      <w:numPr>
        <w:numId w:val="45"/>
      </w:numPr>
    </w:pPr>
  </w:style>
  <w:style w:type="character" w:customStyle="1" w:styleId="BulletChar">
    <w:name w:val="Bullet Char"/>
    <w:basedOn w:val="base-text-paragraphChar"/>
    <w:link w:val="Bullet"/>
    <w:rsid w:val="009D7F7B"/>
    <w:rPr>
      <w:rFonts w:ascii="Times New Roman" w:eastAsia="Times New Roman" w:hAnsi="Times New Roman" w:cs="Times New Roman"/>
      <w:szCs w:val="20"/>
      <w:lang w:eastAsia="en-AU"/>
    </w:rPr>
  </w:style>
  <w:style w:type="paragraph" w:customStyle="1" w:styleId="Dash">
    <w:name w:val="Dash"/>
    <w:basedOn w:val="Normal"/>
    <w:link w:val="DashChar"/>
    <w:rsid w:val="009D7F7B"/>
    <w:pPr>
      <w:numPr>
        <w:ilvl w:val="1"/>
        <w:numId w:val="45"/>
      </w:numPr>
    </w:pPr>
  </w:style>
  <w:style w:type="character" w:customStyle="1" w:styleId="DashChar">
    <w:name w:val="Dash Char"/>
    <w:basedOn w:val="base-text-paragraphChar"/>
    <w:link w:val="Dash"/>
    <w:rsid w:val="009D7F7B"/>
    <w:rPr>
      <w:rFonts w:ascii="Times New Roman" w:eastAsia="Times New Roman" w:hAnsi="Times New Roman" w:cs="Times New Roman"/>
      <w:szCs w:val="20"/>
      <w:lang w:eastAsia="en-AU"/>
    </w:rPr>
  </w:style>
  <w:style w:type="paragraph" w:customStyle="1" w:styleId="DoubleDot">
    <w:name w:val="Double Dot"/>
    <w:basedOn w:val="Normal"/>
    <w:link w:val="DoubleDotChar"/>
    <w:rsid w:val="009D7F7B"/>
    <w:pPr>
      <w:numPr>
        <w:ilvl w:val="2"/>
        <w:numId w:val="45"/>
      </w:numPr>
    </w:pPr>
  </w:style>
  <w:style w:type="character" w:customStyle="1" w:styleId="DoubleDotChar">
    <w:name w:val="Double Dot Char"/>
    <w:basedOn w:val="base-text-paragraphChar"/>
    <w:link w:val="DoubleDot"/>
    <w:rsid w:val="009D7F7B"/>
    <w:rPr>
      <w:rFonts w:ascii="Times New Roman" w:eastAsia="Times New Roman" w:hAnsi="Times New Roman" w:cs="Times New Roman"/>
      <w:szCs w:val="20"/>
      <w:lang w:eastAsia="en-AU"/>
    </w:rPr>
  </w:style>
  <w:style w:type="paragraph" w:customStyle="1" w:styleId="OutlineNumbered1">
    <w:name w:val="Outline Numbered 1"/>
    <w:basedOn w:val="Normal"/>
    <w:link w:val="OutlineNumbered1Char"/>
    <w:rsid w:val="009D7F7B"/>
    <w:pPr>
      <w:numPr>
        <w:numId w:val="46"/>
      </w:numPr>
    </w:pPr>
  </w:style>
  <w:style w:type="character" w:customStyle="1" w:styleId="OutlineNumbered1Char">
    <w:name w:val="Outline Numbered 1 Char"/>
    <w:basedOn w:val="BulletChar"/>
    <w:link w:val="OutlineNumbered1"/>
    <w:rsid w:val="009D7F7B"/>
    <w:rPr>
      <w:rFonts w:ascii="Times New Roman" w:eastAsia="Times New Roman" w:hAnsi="Times New Roman" w:cs="Times New Roman"/>
      <w:szCs w:val="20"/>
      <w:lang w:eastAsia="en-AU"/>
    </w:rPr>
  </w:style>
  <w:style w:type="paragraph" w:customStyle="1" w:styleId="OutlineNumbered2">
    <w:name w:val="Outline Numbered 2"/>
    <w:basedOn w:val="Normal"/>
    <w:link w:val="OutlineNumbered2Char"/>
    <w:rsid w:val="009D7F7B"/>
    <w:pPr>
      <w:numPr>
        <w:ilvl w:val="1"/>
        <w:numId w:val="46"/>
      </w:numPr>
    </w:pPr>
  </w:style>
  <w:style w:type="character" w:customStyle="1" w:styleId="OutlineNumbered2Char">
    <w:name w:val="Outline Numbered 2 Char"/>
    <w:basedOn w:val="BulletChar"/>
    <w:link w:val="OutlineNumbered2"/>
    <w:rsid w:val="009D7F7B"/>
    <w:rPr>
      <w:rFonts w:ascii="Times New Roman" w:eastAsia="Times New Roman" w:hAnsi="Times New Roman" w:cs="Times New Roman"/>
      <w:szCs w:val="20"/>
      <w:lang w:eastAsia="en-AU"/>
    </w:rPr>
  </w:style>
  <w:style w:type="paragraph" w:customStyle="1" w:styleId="OutlineNumbered3">
    <w:name w:val="Outline Numbered 3"/>
    <w:basedOn w:val="Normal"/>
    <w:link w:val="OutlineNumbered3Char"/>
    <w:rsid w:val="009D7F7B"/>
    <w:pPr>
      <w:numPr>
        <w:ilvl w:val="2"/>
        <w:numId w:val="46"/>
      </w:numPr>
    </w:pPr>
  </w:style>
  <w:style w:type="character" w:customStyle="1" w:styleId="OutlineNumbered3Char">
    <w:name w:val="Outline Numbered 3 Char"/>
    <w:basedOn w:val="BulletChar"/>
    <w:link w:val="OutlineNumbered3"/>
    <w:rsid w:val="009D7F7B"/>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C4015B"/>
    <w:rPr>
      <w:sz w:val="16"/>
      <w:szCs w:val="16"/>
    </w:rPr>
  </w:style>
  <w:style w:type="paragraph" w:styleId="CommentText">
    <w:name w:val="annotation text"/>
    <w:basedOn w:val="Normal"/>
    <w:link w:val="CommentTextChar"/>
    <w:uiPriority w:val="99"/>
    <w:semiHidden/>
    <w:unhideWhenUsed/>
    <w:rsid w:val="00C4015B"/>
    <w:rPr>
      <w:sz w:val="20"/>
    </w:rPr>
  </w:style>
  <w:style w:type="character" w:customStyle="1" w:styleId="CommentTextChar">
    <w:name w:val="Comment Text Char"/>
    <w:basedOn w:val="DefaultParagraphFont"/>
    <w:link w:val="CommentText"/>
    <w:uiPriority w:val="99"/>
    <w:semiHidden/>
    <w:rsid w:val="00C4015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4015B"/>
    <w:rPr>
      <w:b/>
      <w:bCs/>
    </w:rPr>
  </w:style>
  <w:style w:type="character" w:customStyle="1" w:styleId="CommentSubjectChar">
    <w:name w:val="Comment Subject Char"/>
    <w:basedOn w:val="CommentTextChar"/>
    <w:link w:val="CommentSubject"/>
    <w:uiPriority w:val="99"/>
    <w:semiHidden/>
    <w:rsid w:val="00C4015B"/>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C4015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15B"/>
    <w:rPr>
      <w:rFonts w:ascii="Tahoma" w:eastAsia="Times New Roman" w:hAnsi="Tahoma" w:cs="Tahoma"/>
      <w:sz w:val="16"/>
      <w:szCs w:val="16"/>
      <w:lang w:eastAsia="en-AU"/>
    </w:rPr>
  </w:style>
  <w:style w:type="character" w:styleId="FootnoteReference">
    <w:name w:val="footnote reference"/>
    <w:basedOn w:val="DefaultParagraphFont"/>
    <w:uiPriority w:val="99"/>
    <w:semiHidden/>
    <w:unhideWhenUsed/>
    <w:rsid w:val="00E2136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4"/>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6"/>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9"/>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9"/>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9"/>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9"/>
      </w:numPr>
      <w:spacing w:before="0" w:after="0"/>
    </w:pPr>
    <w:rPr>
      <w:b/>
    </w:rPr>
  </w:style>
  <w:style w:type="paragraph" w:customStyle="1" w:styleId="dotpoint">
    <w:name w:val="dot point"/>
    <w:basedOn w:val="Normal"/>
    <w:rsid w:val="00E56A6F"/>
    <w:pPr>
      <w:numPr>
        <w:numId w:val="11"/>
      </w:numPr>
    </w:pPr>
  </w:style>
  <w:style w:type="paragraph" w:customStyle="1" w:styleId="dotpoint2">
    <w:name w:val="dot point 2"/>
    <w:basedOn w:val="Normal"/>
    <w:rsid w:val="00E56A6F"/>
    <w:pPr>
      <w:numPr>
        <w:ilvl w:val="1"/>
        <w:numId w:val="13"/>
      </w:numPr>
    </w:pPr>
  </w:style>
  <w:style w:type="numbering" w:customStyle="1" w:styleId="DotPointList">
    <w:name w:val="Dot Point List"/>
    <w:uiPriority w:val="99"/>
    <w:rsid w:val="00E56A6F"/>
    <w:pPr>
      <w:numPr>
        <w:numId w:val="12"/>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6"/>
      </w:numPr>
      <w:spacing w:before="200" w:after="200"/>
      <w:ind w:left="2269" w:hanging="284"/>
    </w:pPr>
  </w:style>
  <w:style w:type="paragraph" w:customStyle="1" w:styleId="exampledotpoint2">
    <w:name w:val="example dot point 2"/>
    <w:basedOn w:val="exampletext"/>
    <w:rsid w:val="006A05D6"/>
    <w:pPr>
      <w:numPr>
        <w:ilvl w:val="1"/>
        <w:numId w:val="16"/>
      </w:numPr>
      <w:spacing w:before="200" w:after="200"/>
    </w:pPr>
  </w:style>
  <w:style w:type="numbering" w:customStyle="1" w:styleId="ExampleDotPointList">
    <w:name w:val="Example Dot Point List"/>
    <w:uiPriority w:val="99"/>
    <w:rsid w:val="00E56A6F"/>
    <w:pPr>
      <w:numPr>
        <w:numId w:val="14"/>
      </w:numPr>
    </w:pPr>
  </w:style>
  <w:style w:type="paragraph" w:customStyle="1" w:styleId="ExampleHeading">
    <w:name w:val="Example Heading"/>
    <w:basedOn w:val="Normal"/>
    <w:next w:val="exampletext"/>
    <w:rsid w:val="00E56A6F"/>
    <w:pPr>
      <w:keepNext/>
      <w:numPr>
        <w:ilvl w:val="3"/>
        <w:numId w:val="9"/>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9"/>
      </w:numPr>
    </w:pPr>
  </w:style>
  <w:style w:type="paragraph" w:styleId="ListBullet2">
    <w:name w:val="List Bullet 2"/>
    <w:basedOn w:val="Normal"/>
    <w:semiHidden/>
    <w:rsid w:val="00E56A6F"/>
    <w:pPr>
      <w:numPr>
        <w:numId w:val="21"/>
      </w:numPr>
    </w:pPr>
  </w:style>
  <w:style w:type="paragraph" w:styleId="ListBullet3">
    <w:name w:val="List Bullet 3"/>
    <w:basedOn w:val="Normal"/>
    <w:semiHidden/>
    <w:rsid w:val="00E56A6F"/>
    <w:pPr>
      <w:numPr>
        <w:numId w:val="23"/>
      </w:numPr>
    </w:pPr>
  </w:style>
  <w:style w:type="paragraph" w:styleId="ListBullet4">
    <w:name w:val="List Bullet 4"/>
    <w:basedOn w:val="Normal"/>
    <w:semiHidden/>
    <w:rsid w:val="00E56A6F"/>
    <w:pPr>
      <w:numPr>
        <w:numId w:val="25"/>
      </w:numPr>
    </w:pPr>
  </w:style>
  <w:style w:type="paragraph" w:styleId="ListBullet5">
    <w:name w:val="List Bullet 5"/>
    <w:basedOn w:val="Normal"/>
    <w:semiHidden/>
    <w:rsid w:val="00E56A6F"/>
    <w:pPr>
      <w:numPr>
        <w:numId w:val="27"/>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29"/>
      </w:numPr>
    </w:pPr>
  </w:style>
  <w:style w:type="paragraph" w:styleId="ListNumber2">
    <w:name w:val="List Number 2"/>
    <w:basedOn w:val="Normal"/>
    <w:semiHidden/>
    <w:rsid w:val="00E56A6F"/>
    <w:pPr>
      <w:numPr>
        <w:numId w:val="31"/>
      </w:numPr>
    </w:pPr>
  </w:style>
  <w:style w:type="paragraph" w:styleId="ListNumber3">
    <w:name w:val="List Number 3"/>
    <w:basedOn w:val="Normal"/>
    <w:semiHidden/>
    <w:rsid w:val="00E56A6F"/>
    <w:pPr>
      <w:numPr>
        <w:numId w:val="33"/>
      </w:numPr>
    </w:pPr>
  </w:style>
  <w:style w:type="paragraph" w:styleId="ListNumber4">
    <w:name w:val="List Number 4"/>
    <w:basedOn w:val="Normal"/>
    <w:semiHidden/>
    <w:rsid w:val="00E56A6F"/>
    <w:pPr>
      <w:numPr>
        <w:numId w:val="35"/>
      </w:numPr>
    </w:pPr>
  </w:style>
  <w:style w:type="paragraph" w:styleId="ListNumber5">
    <w:name w:val="List Number 5"/>
    <w:basedOn w:val="Normal"/>
    <w:semiHidden/>
    <w:rsid w:val="00E56A6F"/>
    <w:pPr>
      <w:numPr>
        <w:numId w:val="37"/>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40"/>
      </w:numPr>
    </w:pPr>
  </w:style>
  <w:style w:type="paragraph" w:customStyle="1" w:styleId="tabledotpoint2">
    <w:name w:val="table dot point 2"/>
    <w:basedOn w:val="tabletext"/>
    <w:rsid w:val="00E56A6F"/>
    <w:pPr>
      <w:numPr>
        <w:ilvl w:val="1"/>
        <w:numId w:val="40"/>
      </w:numPr>
    </w:pPr>
  </w:style>
  <w:style w:type="numbering" w:customStyle="1" w:styleId="TableDotPointList">
    <w:name w:val="Table Dot Point List"/>
    <w:uiPriority w:val="99"/>
    <w:rsid w:val="00E56A6F"/>
    <w:pPr>
      <w:numPr>
        <w:numId w:val="40"/>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9"/>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paragraph" w:customStyle="1" w:styleId="Bullet">
    <w:name w:val="Bullet"/>
    <w:basedOn w:val="Normal"/>
    <w:link w:val="BulletChar"/>
    <w:rsid w:val="009D7F7B"/>
    <w:pPr>
      <w:numPr>
        <w:numId w:val="45"/>
      </w:numPr>
    </w:pPr>
  </w:style>
  <w:style w:type="character" w:customStyle="1" w:styleId="BulletChar">
    <w:name w:val="Bullet Char"/>
    <w:basedOn w:val="base-text-paragraphChar"/>
    <w:link w:val="Bullet"/>
    <w:rsid w:val="009D7F7B"/>
    <w:rPr>
      <w:rFonts w:ascii="Times New Roman" w:eastAsia="Times New Roman" w:hAnsi="Times New Roman" w:cs="Times New Roman"/>
      <w:szCs w:val="20"/>
      <w:lang w:eastAsia="en-AU"/>
    </w:rPr>
  </w:style>
  <w:style w:type="paragraph" w:customStyle="1" w:styleId="Dash">
    <w:name w:val="Dash"/>
    <w:basedOn w:val="Normal"/>
    <w:link w:val="DashChar"/>
    <w:rsid w:val="009D7F7B"/>
    <w:pPr>
      <w:numPr>
        <w:ilvl w:val="1"/>
        <w:numId w:val="45"/>
      </w:numPr>
    </w:pPr>
  </w:style>
  <w:style w:type="character" w:customStyle="1" w:styleId="DashChar">
    <w:name w:val="Dash Char"/>
    <w:basedOn w:val="base-text-paragraphChar"/>
    <w:link w:val="Dash"/>
    <w:rsid w:val="009D7F7B"/>
    <w:rPr>
      <w:rFonts w:ascii="Times New Roman" w:eastAsia="Times New Roman" w:hAnsi="Times New Roman" w:cs="Times New Roman"/>
      <w:szCs w:val="20"/>
      <w:lang w:eastAsia="en-AU"/>
    </w:rPr>
  </w:style>
  <w:style w:type="paragraph" w:customStyle="1" w:styleId="DoubleDot">
    <w:name w:val="Double Dot"/>
    <w:basedOn w:val="Normal"/>
    <w:link w:val="DoubleDotChar"/>
    <w:rsid w:val="009D7F7B"/>
    <w:pPr>
      <w:numPr>
        <w:ilvl w:val="2"/>
        <w:numId w:val="45"/>
      </w:numPr>
    </w:pPr>
  </w:style>
  <w:style w:type="character" w:customStyle="1" w:styleId="DoubleDotChar">
    <w:name w:val="Double Dot Char"/>
    <w:basedOn w:val="base-text-paragraphChar"/>
    <w:link w:val="DoubleDot"/>
    <w:rsid w:val="009D7F7B"/>
    <w:rPr>
      <w:rFonts w:ascii="Times New Roman" w:eastAsia="Times New Roman" w:hAnsi="Times New Roman" w:cs="Times New Roman"/>
      <w:szCs w:val="20"/>
      <w:lang w:eastAsia="en-AU"/>
    </w:rPr>
  </w:style>
  <w:style w:type="paragraph" w:customStyle="1" w:styleId="OutlineNumbered1">
    <w:name w:val="Outline Numbered 1"/>
    <w:basedOn w:val="Normal"/>
    <w:link w:val="OutlineNumbered1Char"/>
    <w:rsid w:val="009D7F7B"/>
    <w:pPr>
      <w:numPr>
        <w:numId w:val="46"/>
      </w:numPr>
    </w:pPr>
  </w:style>
  <w:style w:type="character" w:customStyle="1" w:styleId="OutlineNumbered1Char">
    <w:name w:val="Outline Numbered 1 Char"/>
    <w:basedOn w:val="BulletChar"/>
    <w:link w:val="OutlineNumbered1"/>
    <w:rsid w:val="009D7F7B"/>
    <w:rPr>
      <w:rFonts w:ascii="Times New Roman" w:eastAsia="Times New Roman" w:hAnsi="Times New Roman" w:cs="Times New Roman"/>
      <w:szCs w:val="20"/>
      <w:lang w:eastAsia="en-AU"/>
    </w:rPr>
  </w:style>
  <w:style w:type="paragraph" w:customStyle="1" w:styleId="OutlineNumbered2">
    <w:name w:val="Outline Numbered 2"/>
    <w:basedOn w:val="Normal"/>
    <w:link w:val="OutlineNumbered2Char"/>
    <w:rsid w:val="009D7F7B"/>
    <w:pPr>
      <w:numPr>
        <w:ilvl w:val="1"/>
        <w:numId w:val="46"/>
      </w:numPr>
    </w:pPr>
  </w:style>
  <w:style w:type="character" w:customStyle="1" w:styleId="OutlineNumbered2Char">
    <w:name w:val="Outline Numbered 2 Char"/>
    <w:basedOn w:val="BulletChar"/>
    <w:link w:val="OutlineNumbered2"/>
    <w:rsid w:val="009D7F7B"/>
    <w:rPr>
      <w:rFonts w:ascii="Times New Roman" w:eastAsia="Times New Roman" w:hAnsi="Times New Roman" w:cs="Times New Roman"/>
      <w:szCs w:val="20"/>
      <w:lang w:eastAsia="en-AU"/>
    </w:rPr>
  </w:style>
  <w:style w:type="paragraph" w:customStyle="1" w:styleId="OutlineNumbered3">
    <w:name w:val="Outline Numbered 3"/>
    <w:basedOn w:val="Normal"/>
    <w:link w:val="OutlineNumbered3Char"/>
    <w:rsid w:val="009D7F7B"/>
    <w:pPr>
      <w:numPr>
        <w:ilvl w:val="2"/>
        <w:numId w:val="46"/>
      </w:numPr>
    </w:pPr>
  </w:style>
  <w:style w:type="character" w:customStyle="1" w:styleId="OutlineNumbered3Char">
    <w:name w:val="Outline Numbered 3 Char"/>
    <w:basedOn w:val="BulletChar"/>
    <w:link w:val="OutlineNumbered3"/>
    <w:rsid w:val="009D7F7B"/>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C4015B"/>
    <w:rPr>
      <w:sz w:val="16"/>
      <w:szCs w:val="16"/>
    </w:rPr>
  </w:style>
  <w:style w:type="paragraph" w:styleId="CommentText">
    <w:name w:val="annotation text"/>
    <w:basedOn w:val="Normal"/>
    <w:link w:val="CommentTextChar"/>
    <w:uiPriority w:val="99"/>
    <w:semiHidden/>
    <w:unhideWhenUsed/>
    <w:rsid w:val="00C4015B"/>
    <w:rPr>
      <w:sz w:val="20"/>
    </w:rPr>
  </w:style>
  <w:style w:type="character" w:customStyle="1" w:styleId="CommentTextChar">
    <w:name w:val="Comment Text Char"/>
    <w:basedOn w:val="DefaultParagraphFont"/>
    <w:link w:val="CommentText"/>
    <w:uiPriority w:val="99"/>
    <w:semiHidden/>
    <w:rsid w:val="00C4015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4015B"/>
    <w:rPr>
      <w:b/>
      <w:bCs/>
    </w:rPr>
  </w:style>
  <w:style w:type="character" w:customStyle="1" w:styleId="CommentSubjectChar">
    <w:name w:val="Comment Subject Char"/>
    <w:basedOn w:val="CommentTextChar"/>
    <w:link w:val="CommentSubject"/>
    <w:uiPriority w:val="99"/>
    <w:semiHidden/>
    <w:rsid w:val="00C4015B"/>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C4015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15B"/>
    <w:rPr>
      <w:rFonts w:ascii="Tahoma" w:eastAsia="Times New Roman" w:hAnsi="Tahoma" w:cs="Tahoma"/>
      <w:sz w:val="16"/>
      <w:szCs w:val="16"/>
      <w:lang w:eastAsia="en-AU"/>
    </w:rPr>
  </w:style>
  <w:style w:type="character" w:styleId="FootnoteReference">
    <w:name w:val="footnote reference"/>
    <w:basedOn w:val="DefaultParagraphFont"/>
    <w:uiPriority w:val="99"/>
    <w:semiHidden/>
    <w:unhideWhenUsed/>
    <w:rsid w:val="00E213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5.xml"/><Relationship Id="rId32"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header" Target="head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A4C39F1D50EC0F4EBD06D6A3817BE15D" ma:contentTypeVersion="17886" ma:contentTypeDescription=" " ma:contentTypeScope="" ma:versionID="dcfc8341fe5c3b2f17ae378ba269b986">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9035defeec2a07384202969f79448ecd"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072 - Retain as national archives|d71911a4-1e32-4fc6-834f-26c4fc33e21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f563589-9cf9-4143-b1eb-fb0534803d38">2019MG-93-34538</_dlc_DocId>
    <TaxCatchAll xmlns="0f563589-9cf9-4143-b1eb-fb0534803d38">
      <Value>7</Value>
    </TaxCatchAll>
    <IconOverlay xmlns="http://schemas.microsoft.com/sharepoint/v4" xsi:nil="true"/>
    <_dlc_DocIdUrl xmlns="0f563589-9cf9-4143-b1eb-fb0534803d38">
      <Url>http://tweb/sites/mg/fsd/_layouts/15/DocIdRedir.aspx?ID=2019MG-93-34538</Url>
      <Description>2019MG-93-34538</Description>
    </_dlc_DocIdUr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documentManagement>
</p:properties>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81C18-D099-478D-9F53-2F08777CD9EC}">
  <ds:schemaRefs>
    <ds:schemaRef ds:uri="http://schemas.microsoft.com/sharepoint/events"/>
  </ds:schemaRefs>
</ds:datastoreItem>
</file>

<file path=customXml/itemProps2.xml><?xml version="1.0" encoding="utf-8"?>
<ds:datastoreItem xmlns:ds="http://schemas.openxmlformats.org/officeDocument/2006/customXml" ds:itemID="{5BA049DE-8693-457B-89C3-787564C77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BAF427-109B-4CBB-8795-F0435C40EADF}">
  <ds:schemaRefs>
    <ds:schemaRef ds:uri="http://schemas.microsoft.com/sharepoint/v3/contenttype/forms"/>
  </ds:schemaRefs>
</ds:datastoreItem>
</file>

<file path=customXml/itemProps4.xml><?xml version="1.0" encoding="utf-8"?>
<ds:datastoreItem xmlns:ds="http://schemas.openxmlformats.org/officeDocument/2006/customXml" ds:itemID="{1CDDD8FD-3F04-449B-86BD-ABC4DF5BB0AD}">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http://purl.org/dc/terms/"/>
    <ds:schemaRef ds:uri="http://schemas.microsoft.com/sharepoint/v4"/>
    <ds:schemaRef ds:uri="http://www.w3.org/XML/1998/namespace"/>
    <ds:schemaRef ds:uri="d4dd4adf-ddb3-46a3-8d7c-fab3fb2a6bc7"/>
    <ds:schemaRef ds:uri="0f563589-9cf9-4143-b1eb-fb0534803d38"/>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26D1C5DA-BD4B-49C2-A9E5-814FF0446B77}">
  <ds:schemaRefs>
    <ds:schemaRef ds:uri="http://schemas.microsoft.com/sharepoint/events"/>
  </ds:schemaRefs>
</ds:datastoreItem>
</file>

<file path=customXml/itemProps6.xml><?xml version="1.0" encoding="utf-8"?>
<ds:datastoreItem xmlns:ds="http://schemas.openxmlformats.org/officeDocument/2006/customXml" ds:itemID="{CC9C45A1-10A9-42BF-8A7A-86F20E8612FA}">
  <ds:schemaRefs>
    <ds:schemaRef ds:uri="office.server.policy"/>
  </ds:schemaRefs>
</ds:datastoreItem>
</file>

<file path=customXml/itemProps7.xml><?xml version="1.0" encoding="utf-8"?>
<ds:datastoreItem xmlns:ds="http://schemas.openxmlformats.org/officeDocument/2006/customXml" ds:itemID="{9691CC8D-5D49-414D-926D-DEF8AEF4B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1531</Words>
  <Characters>8023</Characters>
  <Application>Microsoft Office Word</Application>
  <DocSecurity>0</DocSecurity>
  <Lines>200</Lines>
  <Paragraphs>69</Paragraphs>
  <ScaleCrop>false</ScaleCrop>
  <HeadingPairs>
    <vt:vector size="2" baseType="variant">
      <vt:variant>
        <vt:lpstr>Title</vt:lpstr>
      </vt:variant>
      <vt:variant>
        <vt:i4>1</vt:i4>
      </vt:variant>
    </vt:vector>
  </HeadingPairs>
  <TitlesOfParts>
    <vt:vector size="1" baseType="lpstr">
      <vt:lpstr>Explanatory Materials - Treasury Laws Amendment (Ending Grandfathered Conflicted Remuneration) Bill 2019</vt:lpstr>
    </vt:vector>
  </TitlesOfParts>
  <Company/>
  <LinksUpToDate>false</LinksUpToDate>
  <CharactersWithSpaces>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Materials - Treasury Laws Amendment (Ending Grandfathered Conflicted Remuneration) Bill 2019</dc:title>
  <dc:subject/>
  <dc:creator/>
  <cp:keywords/>
  <cp:lastModifiedBy/>
  <cp:revision>1</cp:revision>
  <dcterms:created xsi:type="dcterms:W3CDTF">2019-02-20T00:39:00Z</dcterms:created>
  <dcterms:modified xsi:type="dcterms:W3CDTF">2019-02-21T00:00:00Z</dcterms:modified>
</cp:coreProperties>
</file>