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jpeg" ContentType="image/jpeg"/>
  <Override PartName="/word/footer6.xml" ContentType="application/vnd.openxmlformats-officedocument.wordprocessingml.footer+xml"/>
  <Default Extension="emf" ContentType="image/x-emf"/>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00" w:type="dxa"/>
        <w:tblLayout w:type="fixed"/>
        <w:tblCellMar>
          <w:left w:w="0" w:type="dxa"/>
          <w:right w:w="0" w:type="dxa"/>
        </w:tblCellMar>
        <w:tblLook w:val="00BF"/>
      </w:tblPr>
      <w:tblGrid>
        <w:gridCol w:w="7953"/>
      </w:tblGrid>
      <w:tr w:rsidR="00885592" w:rsidRPr="0000605C" w:rsidTr="00083A51">
        <w:trPr>
          <w:trHeight w:hRule="exact" w:val="1985"/>
        </w:trPr>
        <w:tc>
          <w:tcPr>
            <w:tcW w:w="7953" w:type="dxa"/>
            <w:shd w:val="clear" w:color="auto" w:fill="auto"/>
          </w:tcPr>
          <w:p w:rsidR="00885592" w:rsidRPr="0000605C" w:rsidRDefault="00885592" w:rsidP="00885592"/>
        </w:tc>
      </w:tr>
      <w:tr w:rsidR="00885592" w:rsidRPr="0000605C" w:rsidTr="00083A51">
        <w:trPr>
          <w:trHeight w:hRule="exact" w:val="8505"/>
        </w:trPr>
        <w:tc>
          <w:tcPr>
            <w:tcW w:w="7953" w:type="dxa"/>
            <w:shd w:val="clear" w:color="auto" w:fill="auto"/>
          </w:tcPr>
          <w:tbl>
            <w:tblPr>
              <w:tblpPr w:leftFromText="180" w:rightFromText="180" w:vertAnchor="text" w:horzAnchor="margin" w:tblpXSpec="right" w:tblpY="637"/>
              <w:tblOverlap w:val="never"/>
              <w:tblW w:w="0" w:type="auto"/>
              <w:tblLayout w:type="fixed"/>
              <w:tblCellMar>
                <w:left w:w="0" w:type="dxa"/>
                <w:right w:w="0" w:type="dxa"/>
              </w:tblCellMar>
              <w:tblLook w:val="00BF"/>
            </w:tblPr>
            <w:tblGrid>
              <w:gridCol w:w="7600"/>
            </w:tblGrid>
            <w:tr w:rsidR="006F7A8D" w:rsidRPr="0000605C" w:rsidTr="00083A51">
              <w:trPr>
                <w:trHeight w:hRule="exact" w:val="5670"/>
              </w:trPr>
              <w:tc>
                <w:tcPr>
                  <w:tcW w:w="7600" w:type="dxa"/>
                  <w:shd w:val="clear" w:color="auto" w:fill="auto"/>
                  <w:vAlign w:val="bottom"/>
                </w:tcPr>
                <w:p w:rsidR="006F7A8D" w:rsidRPr="0000605C" w:rsidRDefault="00FB3B16" w:rsidP="006F7A8D">
                  <w:pPr>
                    <w:pStyle w:val="UrbisCoverTitle"/>
                  </w:pPr>
                  <w:bookmarkStart w:id="0" w:name="UrbisCoverB"/>
                  <w:r w:rsidRPr="0000605C">
                    <w:t>National Dwelling Cost Study</w:t>
                  </w:r>
                </w:p>
              </w:tc>
            </w:tr>
            <w:tr w:rsidR="006F7A8D" w:rsidRPr="0000605C" w:rsidTr="006F7A8D">
              <w:trPr>
                <w:trHeight w:val="786"/>
              </w:trPr>
              <w:tc>
                <w:tcPr>
                  <w:tcW w:w="7600" w:type="dxa"/>
                  <w:shd w:val="clear" w:color="auto" w:fill="auto"/>
                </w:tcPr>
                <w:p w:rsidR="006F7A8D" w:rsidRPr="0000605C" w:rsidRDefault="00FB3B16" w:rsidP="006F7A8D">
                  <w:pPr>
                    <w:pStyle w:val="UrbisCoverSubHeading"/>
                  </w:pPr>
                  <w:bookmarkStart w:id="1" w:name="UrbisCoverSubHeading"/>
                  <w:r w:rsidRPr="0000605C">
                    <w:t xml:space="preserve">Prepared for </w:t>
                  </w:r>
                  <w:r w:rsidR="009F18D7" w:rsidRPr="0000605C">
                    <w:t xml:space="preserve">the </w:t>
                  </w:r>
                  <w:r w:rsidRPr="0000605C">
                    <w:t>National Housing Supply Council</w:t>
                  </w:r>
                  <w:r w:rsidR="00D101BE" w:rsidRPr="0000605C">
                    <w:t xml:space="preserve"> </w:t>
                  </w:r>
                  <w:bookmarkEnd w:id="1"/>
                </w:p>
              </w:tc>
            </w:tr>
            <w:tr w:rsidR="006F7A8D" w:rsidRPr="0000605C" w:rsidTr="008619AE">
              <w:tc>
                <w:tcPr>
                  <w:tcW w:w="7600" w:type="dxa"/>
                  <w:shd w:val="clear" w:color="auto" w:fill="auto"/>
                </w:tcPr>
                <w:p w:rsidR="006F7A8D" w:rsidRPr="0000605C" w:rsidRDefault="00D91674" w:rsidP="00D101BE">
                  <w:pPr>
                    <w:pStyle w:val="UrbisCoverDateBlack"/>
                  </w:pPr>
                  <w:bookmarkStart w:id="2" w:name="UrbisCoverDate"/>
                  <w:r w:rsidRPr="0000605C">
                    <w:t>May</w:t>
                  </w:r>
                  <w:r w:rsidR="00FB3B16" w:rsidRPr="0000605C">
                    <w:t xml:space="preserve"> 2011</w:t>
                  </w:r>
                  <w:r w:rsidR="00D101BE" w:rsidRPr="0000605C">
                    <w:t xml:space="preserve"> </w:t>
                  </w:r>
                  <w:bookmarkEnd w:id="2"/>
                </w:p>
              </w:tc>
            </w:tr>
            <w:bookmarkEnd w:id="0"/>
          </w:tbl>
          <w:p w:rsidR="00885592" w:rsidRPr="0000605C" w:rsidRDefault="00885592" w:rsidP="00885592"/>
        </w:tc>
      </w:tr>
    </w:tbl>
    <w:p w:rsidR="00981AB9" w:rsidRPr="0000605C" w:rsidRDefault="00981AB9" w:rsidP="00D500C4">
      <w:pPr>
        <w:sectPr w:rsidR="00981AB9" w:rsidRPr="0000605C" w:rsidSect="00083A51">
          <w:footerReference w:type="even" r:id="rId8"/>
          <w:headerReference w:type="first" r:id="rId9"/>
          <w:pgSz w:w="11907" w:h="16840" w:code="9"/>
          <w:pgMar w:top="2169" w:right="459" w:bottom="380" w:left="5052" w:header="425" w:footer="113" w:gutter="0"/>
          <w:cols w:space="708"/>
          <w:titlePg/>
          <w:docGrid w:linePitch="360"/>
        </w:sectPr>
      </w:pPr>
    </w:p>
    <w:tbl>
      <w:tblPr>
        <w:tblW w:w="10737" w:type="dxa"/>
        <w:tblInd w:w="28" w:type="dxa"/>
        <w:tblLayout w:type="fixed"/>
        <w:tblCellMar>
          <w:left w:w="0" w:type="dxa"/>
          <w:right w:w="0" w:type="dxa"/>
        </w:tblCellMar>
        <w:tblLook w:val="01E0"/>
      </w:tblPr>
      <w:tblGrid>
        <w:gridCol w:w="4578"/>
        <w:gridCol w:w="1413"/>
        <w:gridCol w:w="4746"/>
      </w:tblGrid>
      <w:tr w:rsidR="00981AB9" w:rsidRPr="0000605C">
        <w:trPr>
          <w:trHeight w:hRule="exact" w:val="20"/>
        </w:trPr>
        <w:tc>
          <w:tcPr>
            <w:tcW w:w="4578" w:type="dxa"/>
            <w:shd w:val="clear" w:color="auto" w:fill="auto"/>
          </w:tcPr>
          <w:p w:rsidR="00981AB9" w:rsidRPr="0000605C" w:rsidRDefault="00981AB9" w:rsidP="008E37B8">
            <w:pPr>
              <w:pStyle w:val="Spacer"/>
            </w:pPr>
          </w:p>
        </w:tc>
        <w:tc>
          <w:tcPr>
            <w:tcW w:w="1413" w:type="dxa"/>
            <w:shd w:val="clear" w:color="auto" w:fill="auto"/>
          </w:tcPr>
          <w:p w:rsidR="00981AB9" w:rsidRPr="0000605C" w:rsidRDefault="00981AB9" w:rsidP="008E37B8">
            <w:pPr>
              <w:pStyle w:val="Spacer"/>
            </w:pPr>
          </w:p>
        </w:tc>
        <w:tc>
          <w:tcPr>
            <w:tcW w:w="4746" w:type="dxa"/>
            <w:shd w:val="clear" w:color="auto" w:fill="auto"/>
          </w:tcPr>
          <w:p w:rsidR="00981AB9" w:rsidRPr="0000605C" w:rsidRDefault="00981AB9" w:rsidP="008E37B8">
            <w:pPr>
              <w:pStyle w:val="Spacer"/>
            </w:pPr>
          </w:p>
        </w:tc>
      </w:tr>
    </w:tbl>
    <w:p w:rsidR="00C21327" w:rsidRPr="0000605C" w:rsidRDefault="00C21327">
      <w:pPr>
        <w:pStyle w:val="UrbisDisclaimer"/>
      </w:pPr>
      <w:bookmarkStart w:id="3" w:name="disclaimerheader"/>
      <w:bookmarkStart w:id="4" w:name="UrbisDisclaimer"/>
      <w:r w:rsidRPr="0000605C">
        <w:t xml:space="preserve"> </w:t>
      </w:r>
    </w:p>
    <w:p w:rsidR="00D72D01" w:rsidRPr="0000605C" w:rsidRDefault="00D72D01">
      <w:pPr>
        <w:pStyle w:val="UrbisDisclaimerTitle"/>
        <w:spacing w:before="480" w:after="240"/>
      </w:pPr>
      <w:bookmarkStart w:id="5" w:name="UrbisStaff"/>
      <w:bookmarkEnd w:id="4"/>
      <w:r w:rsidRPr="0000605C">
        <w:t>URBIS STAFF RESPONSIBLE FOR THIS REPORT WERE:</w:t>
      </w:r>
    </w:p>
    <w:tbl>
      <w:tblPr>
        <w:tblW w:w="9214" w:type="dxa"/>
        <w:tblLayout w:type="fixed"/>
        <w:tblCellMar>
          <w:left w:w="0" w:type="dxa"/>
          <w:right w:w="0" w:type="dxa"/>
        </w:tblCellMar>
        <w:tblLook w:val="00BF"/>
      </w:tblPr>
      <w:tblGrid>
        <w:gridCol w:w="1985"/>
        <w:gridCol w:w="7229"/>
      </w:tblGrid>
      <w:tr w:rsidR="00D72D01" w:rsidRPr="0000605C">
        <w:tc>
          <w:tcPr>
            <w:tcW w:w="1985" w:type="dxa"/>
            <w:shd w:val="clear" w:color="auto" w:fill="auto"/>
          </w:tcPr>
          <w:p w:rsidR="00D72D01" w:rsidRPr="0000605C" w:rsidRDefault="00D72D01">
            <w:pPr>
              <w:pStyle w:val="UrbisDisclaimer"/>
            </w:pPr>
            <w:r w:rsidRPr="0000605C">
              <w:t>Director</w:t>
            </w:r>
          </w:p>
        </w:tc>
        <w:tc>
          <w:tcPr>
            <w:tcW w:w="7229" w:type="dxa"/>
            <w:shd w:val="clear" w:color="auto" w:fill="auto"/>
          </w:tcPr>
          <w:p w:rsidR="00D72D01" w:rsidRPr="0000605C" w:rsidRDefault="0041700F">
            <w:pPr>
              <w:pStyle w:val="UrbisDisclaimer"/>
            </w:pPr>
            <w:smartTag w:uri="urn:schemas-microsoft-com:office:smarttags" w:element="PersonName">
              <w:r w:rsidRPr="0000605C">
                <w:t>Malcolm Aikman</w:t>
              </w:r>
            </w:smartTag>
          </w:p>
        </w:tc>
      </w:tr>
      <w:tr w:rsidR="00D72D01" w:rsidRPr="0000605C">
        <w:tc>
          <w:tcPr>
            <w:tcW w:w="1985" w:type="dxa"/>
            <w:shd w:val="clear" w:color="auto" w:fill="auto"/>
          </w:tcPr>
          <w:p w:rsidR="00D72D01" w:rsidRPr="0000605C" w:rsidRDefault="00D72D01">
            <w:pPr>
              <w:pStyle w:val="UrbisDisclaimer"/>
            </w:pPr>
            <w:r w:rsidRPr="0000605C">
              <w:t xml:space="preserve">Associate Director </w:t>
            </w:r>
          </w:p>
        </w:tc>
        <w:tc>
          <w:tcPr>
            <w:tcW w:w="7229" w:type="dxa"/>
            <w:shd w:val="clear" w:color="auto" w:fill="auto"/>
          </w:tcPr>
          <w:p w:rsidR="00D72D01" w:rsidRPr="0000605C" w:rsidRDefault="006B2652">
            <w:pPr>
              <w:pStyle w:val="UrbisDisclaimer"/>
            </w:pPr>
            <w:r w:rsidRPr="0000605C">
              <w:t>Deanne Frankel</w:t>
            </w:r>
          </w:p>
        </w:tc>
      </w:tr>
      <w:tr w:rsidR="000946E8" w:rsidRPr="0000605C">
        <w:tc>
          <w:tcPr>
            <w:tcW w:w="1985" w:type="dxa"/>
            <w:shd w:val="clear" w:color="auto" w:fill="auto"/>
          </w:tcPr>
          <w:p w:rsidR="000946E8" w:rsidRPr="0000605C" w:rsidRDefault="000946E8">
            <w:pPr>
              <w:pStyle w:val="UrbisDisclaimer"/>
            </w:pPr>
            <w:r w:rsidRPr="0000605C">
              <w:t>Senior Consultant</w:t>
            </w:r>
          </w:p>
        </w:tc>
        <w:tc>
          <w:tcPr>
            <w:tcW w:w="7229" w:type="dxa"/>
            <w:shd w:val="clear" w:color="auto" w:fill="auto"/>
          </w:tcPr>
          <w:p w:rsidR="000946E8" w:rsidRPr="0000605C" w:rsidRDefault="006B2652">
            <w:pPr>
              <w:pStyle w:val="UrbisDisclaimer"/>
            </w:pPr>
            <w:smartTag w:uri="urn:schemas-microsoft-com:office:smarttags" w:element="PersonName">
              <w:r w:rsidRPr="0000605C">
                <w:t>Sam Wood</w:t>
              </w:r>
            </w:smartTag>
          </w:p>
        </w:tc>
      </w:tr>
      <w:tr w:rsidR="00D72D01" w:rsidRPr="0000605C">
        <w:tc>
          <w:tcPr>
            <w:tcW w:w="1985" w:type="dxa"/>
            <w:shd w:val="clear" w:color="auto" w:fill="auto"/>
          </w:tcPr>
          <w:p w:rsidR="00D72D01" w:rsidRPr="0000605C" w:rsidRDefault="00D72D01">
            <w:pPr>
              <w:pStyle w:val="UrbisDisclaimer"/>
            </w:pPr>
            <w:r w:rsidRPr="0000605C">
              <w:t>Job Code</w:t>
            </w:r>
          </w:p>
        </w:tc>
        <w:tc>
          <w:tcPr>
            <w:tcW w:w="7229" w:type="dxa"/>
            <w:shd w:val="clear" w:color="auto" w:fill="auto"/>
          </w:tcPr>
          <w:p w:rsidR="00D72D01" w:rsidRPr="0000605C" w:rsidRDefault="006B2652">
            <w:pPr>
              <w:pStyle w:val="UrbisDisclaimer"/>
            </w:pPr>
            <w:r w:rsidRPr="0000605C">
              <w:t>SSP02511</w:t>
            </w:r>
          </w:p>
        </w:tc>
      </w:tr>
      <w:tr w:rsidR="00D72D01" w:rsidRPr="0000605C">
        <w:tc>
          <w:tcPr>
            <w:tcW w:w="1985" w:type="dxa"/>
            <w:shd w:val="clear" w:color="auto" w:fill="auto"/>
          </w:tcPr>
          <w:p w:rsidR="00D72D01" w:rsidRPr="0000605C" w:rsidRDefault="00D72D01">
            <w:pPr>
              <w:pStyle w:val="UrbisDisclaimer"/>
            </w:pPr>
            <w:r w:rsidRPr="0000605C">
              <w:t>Report Number</w:t>
            </w:r>
          </w:p>
        </w:tc>
        <w:tc>
          <w:tcPr>
            <w:tcW w:w="7229" w:type="dxa"/>
            <w:shd w:val="clear" w:color="auto" w:fill="auto"/>
          </w:tcPr>
          <w:p w:rsidR="00D72D01" w:rsidRPr="0000605C" w:rsidRDefault="00927DC2">
            <w:pPr>
              <w:pStyle w:val="UrbisDisclaimer"/>
            </w:pPr>
            <w:r w:rsidRPr="0000605C">
              <w:t>V</w:t>
            </w:r>
            <w:r w:rsidR="00940B5F">
              <w:t>2</w:t>
            </w:r>
          </w:p>
        </w:tc>
      </w:tr>
    </w:tbl>
    <w:bookmarkEnd w:id="5"/>
    <w:p w:rsidR="003E752E" w:rsidRPr="0000605C" w:rsidRDefault="00C87488" w:rsidP="003E752E">
      <w:pPr>
        <w:pStyle w:val="Header"/>
        <w:rPr>
          <w:color w:val="FFFFFF"/>
          <w:sz w:val="2"/>
          <w:szCs w:val="2"/>
        </w:rPr>
      </w:pPr>
      <w:proofErr w:type="gramStart"/>
      <w:r w:rsidRPr="0000605C">
        <w:rPr>
          <w:color w:val="FFFFFF"/>
          <w:sz w:val="2"/>
          <w:szCs w:val="2"/>
        </w:rPr>
        <w:t>x</w:t>
      </w:r>
      <w:r w:rsidR="003E752E" w:rsidRPr="0000605C">
        <w:rPr>
          <w:color w:val="FFFFFF"/>
          <w:sz w:val="2"/>
          <w:szCs w:val="2"/>
        </w:rPr>
        <w:t>disclaimerx</w:t>
      </w:r>
      <w:proofErr w:type="gramEnd"/>
    </w:p>
    <w:bookmarkEnd w:id="3"/>
    <w:p w:rsidR="00C87488" w:rsidRPr="0000605C" w:rsidRDefault="00C87488" w:rsidP="003E752E">
      <w:pPr>
        <w:pStyle w:val="Header"/>
        <w:rPr>
          <w:color w:val="FFFFFF"/>
        </w:rPr>
      </w:pPr>
    </w:p>
    <w:p w:rsidR="00C87488" w:rsidRPr="0000605C" w:rsidRDefault="00C87488" w:rsidP="003E752E">
      <w:pPr>
        <w:pStyle w:val="Header"/>
        <w:rPr>
          <w:color w:val="FFFFFF"/>
          <w:sz w:val="2"/>
          <w:szCs w:val="2"/>
        </w:rPr>
      </w:pPr>
    </w:p>
    <w:p w:rsidR="003415A9" w:rsidRPr="0000605C" w:rsidRDefault="003415A9">
      <w:pPr>
        <w:sectPr w:rsidR="003415A9" w:rsidRPr="0000605C" w:rsidSect="00FE44D5">
          <w:headerReference w:type="even" r:id="rId10"/>
          <w:headerReference w:type="default" r:id="rId11"/>
          <w:footerReference w:type="default" r:id="rId12"/>
          <w:headerReference w:type="first" r:id="rId13"/>
          <w:footerReference w:type="first" r:id="rId14"/>
          <w:pgSz w:w="11907" w:h="16840" w:code="9"/>
          <w:pgMar w:top="1134" w:right="1134" w:bottom="5670" w:left="1417" w:header="272" w:footer="340" w:gutter="0"/>
          <w:cols w:space="708"/>
          <w:titlePg/>
          <w:docGrid w:linePitch="360"/>
        </w:sectPr>
      </w:pPr>
    </w:p>
    <w:p w:rsidR="00752FF2" w:rsidRDefault="005A7F1D">
      <w:pPr>
        <w:pStyle w:val="TOC1"/>
        <w:rPr>
          <w:rFonts w:ascii="Times New Roman" w:hAnsi="Times New Roman"/>
          <w:b w:val="0"/>
          <w:sz w:val="24"/>
          <w:lang w:eastAsia="en-AU"/>
        </w:rPr>
      </w:pPr>
      <w:r w:rsidRPr="0000605C">
        <w:rPr>
          <w:noProof w:val="0"/>
        </w:rPr>
        <w:lastRenderedPageBreak/>
        <w:fldChar w:fldCharType="begin"/>
      </w:r>
      <w:r w:rsidRPr="0000605C">
        <w:rPr>
          <w:noProof w:val="0"/>
        </w:rPr>
        <w:instrText xml:space="preserve"> TOC \o "1-3" \h \z \t "Executive Summary,1,Appendix 1,1,Appendix 2,1,Urbis Definitions,1" </w:instrText>
      </w:r>
      <w:r w:rsidRPr="0000605C">
        <w:rPr>
          <w:noProof w:val="0"/>
        </w:rPr>
        <w:fldChar w:fldCharType="separate"/>
      </w:r>
      <w:hyperlink w:anchor="_Toc294088020" w:history="1">
        <w:r w:rsidR="00752FF2" w:rsidRPr="00AC1841">
          <w:rPr>
            <w:rStyle w:val="Hyperlink"/>
          </w:rPr>
          <w:t>Executive Summary</w:t>
        </w:r>
        <w:r w:rsidR="00752FF2">
          <w:rPr>
            <w:webHidden/>
          </w:rPr>
          <w:tab/>
        </w:r>
        <w:r w:rsidR="00752FF2">
          <w:rPr>
            <w:webHidden/>
          </w:rPr>
          <w:fldChar w:fldCharType="begin"/>
        </w:r>
        <w:r w:rsidR="00752FF2">
          <w:rPr>
            <w:webHidden/>
          </w:rPr>
          <w:instrText xml:space="preserve"> PAGEREF _Toc294088020 \h </w:instrText>
        </w:r>
        <w:r w:rsidR="00752FF2">
          <w:rPr>
            <w:webHidden/>
          </w:rPr>
          <w:fldChar w:fldCharType="separate"/>
        </w:r>
        <w:r w:rsidR="00752FF2">
          <w:rPr>
            <w:webHidden/>
          </w:rPr>
          <w:t>1</w:t>
        </w:r>
        <w:r w:rsidR="00752FF2">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21" w:history="1">
        <w:r w:rsidRPr="00AC1841">
          <w:rPr>
            <w:rStyle w:val="Hyperlink"/>
          </w:rPr>
          <w:t>Introduction and Study Purpose</w:t>
        </w:r>
        <w:r>
          <w:rPr>
            <w:webHidden/>
          </w:rPr>
          <w:tab/>
        </w:r>
        <w:r>
          <w:rPr>
            <w:webHidden/>
          </w:rPr>
          <w:fldChar w:fldCharType="begin"/>
        </w:r>
        <w:r>
          <w:rPr>
            <w:webHidden/>
          </w:rPr>
          <w:instrText xml:space="preserve"> PAGEREF _Toc294088021 \h </w:instrText>
        </w:r>
        <w:r>
          <w:rPr>
            <w:webHidden/>
          </w:rPr>
          <w:fldChar w:fldCharType="separate"/>
        </w:r>
        <w:r>
          <w:rPr>
            <w:webHidden/>
          </w:rPr>
          <w:t>1</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22" w:history="1">
        <w:r w:rsidRPr="00AC1841">
          <w:rPr>
            <w:rStyle w:val="Hyperlink"/>
          </w:rPr>
          <w:t>Approach</w:t>
        </w:r>
        <w:r>
          <w:rPr>
            <w:webHidden/>
          </w:rPr>
          <w:tab/>
        </w:r>
        <w:r>
          <w:rPr>
            <w:webHidden/>
          </w:rPr>
          <w:fldChar w:fldCharType="begin"/>
        </w:r>
        <w:r>
          <w:rPr>
            <w:webHidden/>
          </w:rPr>
          <w:instrText xml:space="preserve"> PAGEREF _Toc294088022 \h </w:instrText>
        </w:r>
        <w:r>
          <w:rPr>
            <w:webHidden/>
          </w:rPr>
          <w:fldChar w:fldCharType="separate"/>
        </w:r>
        <w:r>
          <w:rPr>
            <w:webHidden/>
          </w:rPr>
          <w:t>1</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23" w:history="1">
        <w:r w:rsidRPr="00AC1841">
          <w:rPr>
            <w:rStyle w:val="Hyperlink"/>
          </w:rPr>
          <w:t>Results and Analysis</w:t>
        </w:r>
        <w:r>
          <w:rPr>
            <w:webHidden/>
          </w:rPr>
          <w:tab/>
        </w:r>
        <w:r>
          <w:rPr>
            <w:webHidden/>
          </w:rPr>
          <w:fldChar w:fldCharType="begin"/>
        </w:r>
        <w:r>
          <w:rPr>
            <w:webHidden/>
          </w:rPr>
          <w:instrText xml:space="preserve"> PAGEREF _Toc294088023 \h </w:instrText>
        </w:r>
        <w:r>
          <w:rPr>
            <w:webHidden/>
          </w:rPr>
          <w:fldChar w:fldCharType="separate"/>
        </w:r>
        <w:r>
          <w:rPr>
            <w:webHidden/>
          </w:rPr>
          <w:t>2</w:t>
        </w:r>
        <w:r>
          <w:rPr>
            <w:webHidden/>
          </w:rPr>
          <w:fldChar w:fldCharType="end"/>
        </w:r>
      </w:hyperlink>
    </w:p>
    <w:p w:rsidR="00752FF2" w:rsidRDefault="00752FF2">
      <w:pPr>
        <w:pStyle w:val="TOC3"/>
        <w:rPr>
          <w:rFonts w:ascii="Times New Roman" w:hAnsi="Times New Roman"/>
          <w:noProof/>
          <w:sz w:val="24"/>
          <w:szCs w:val="24"/>
          <w:lang w:eastAsia="en-AU"/>
        </w:rPr>
      </w:pPr>
      <w:hyperlink w:anchor="_Toc294088024" w:history="1">
        <w:r w:rsidRPr="00AC1841">
          <w:rPr>
            <w:rStyle w:val="Hyperlink"/>
            <w:noProof/>
          </w:rPr>
          <w:t>Infill Dwelling Costs</w:t>
        </w:r>
        <w:r>
          <w:rPr>
            <w:noProof/>
            <w:webHidden/>
          </w:rPr>
          <w:tab/>
        </w:r>
        <w:r>
          <w:rPr>
            <w:noProof/>
            <w:webHidden/>
          </w:rPr>
          <w:fldChar w:fldCharType="begin"/>
        </w:r>
        <w:r>
          <w:rPr>
            <w:noProof/>
            <w:webHidden/>
          </w:rPr>
          <w:instrText xml:space="preserve"> PAGEREF _Toc294088024 \h </w:instrText>
        </w:r>
        <w:r>
          <w:rPr>
            <w:noProof/>
          </w:rPr>
        </w:r>
        <w:r>
          <w:rPr>
            <w:noProof/>
            <w:webHidden/>
          </w:rPr>
          <w:fldChar w:fldCharType="separate"/>
        </w:r>
        <w:r>
          <w:rPr>
            <w:noProof/>
            <w:webHidden/>
          </w:rPr>
          <w:t>2</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25" w:history="1">
        <w:r w:rsidRPr="00AC1841">
          <w:rPr>
            <w:rStyle w:val="Hyperlink"/>
            <w:noProof/>
          </w:rPr>
          <w:t>Greenfield Dwelling Costs</w:t>
        </w:r>
        <w:r>
          <w:rPr>
            <w:noProof/>
            <w:webHidden/>
          </w:rPr>
          <w:tab/>
        </w:r>
        <w:r>
          <w:rPr>
            <w:noProof/>
            <w:webHidden/>
          </w:rPr>
          <w:fldChar w:fldCharType="begin"/>
        </w:r>
        <w:r>
          <w:rPr>
            <w:noProof/>
            <w:webHidden/>
          </w:rPr>
          <w:instrText xml:space="preserve"> PAGEREF _Toc294088025 \h </w:instrText>
        </w:r>
        <w:r>
          <w:rPr>
            <w:noProof/>
          </w:rPr>
        </w:r>
        <w:r>
          <w:rPr>
            <w:noProof/>
            <w:webHidden/>
          </w:rPr>
          <w:fldChar w:fldCharType="separate"/>
        </w:r>
        <w:r>
          <w:rPr>
            <w:noProof/>
            <w:webHidden/>
          </w:rPr>
          <w:t>3</w:t>
        </w:r>
        <w:r>
          <w:rPr>
            <w:noProof/>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26" w:history="1">
        <w:r w:rsidRPr="00AC1841">
          <w:rPr>
            <w:rStyle w:val="Hyperlink"/>
          </w:rPr>
          <w:t>Policy Responses</w:t>
        </w:r>
        <w:r>
          <w:rPr>
            <w:webHidden/>
          </w:rPr>
          <w:tab/>
        </w:r>
        <w:r>
          <w:rPr>
            <w:webHidden/>
          </w:rPr>
          <w:fldChar w:fldCharType="begin"/>
        </w:r>
        <w:r>
          <w:rPr>
            <w:webHidden/>
          </w:rPr>
          <w:instrText xml:space="preserve"> PAGEREF _Toc294088026 \h </w:instrText>
        </w:r>
        <w:r>
          <w:rPr>
            <w:webHidden/>
          </w:rPr>
          <w:fldChar w:fldCharType="separate"/>
        </w:r>
        <w:r>
          <w:rPr>
            <w:webHidden/>
          </w:rPr>
          <w:t>4</w:t>
        </w:r>
        <w:r>
          <w:rPr>
            <w:webHidden/>
          </w:rPr>
          <w:fldChar w:fldCharType="end"/>
        </w:r>
      </w:hyperlink>
    </w:p>
    <w:p w:rsidR="00752FF2" w:rsidRDefault="00752FF2">
      <w:pPr>
        <w:pStyle w:val="TOC1"/>
        <w:rPr>
          <w:rFonts w:ascii="Times New Roman" w:hAnsi="Times New Roman"/>
          <w:b w:val="0"/>
          <w:sz w:val="24"/>
          <w:lang w:eastAsia="en-AU"/>
        </w:rPr>
      </w:pPr>
      <w:hyperlink w:anchor="_Toc294088027" w:history="1">
        <w:r w:rsidRPr="00AC1841">
          <w:rPr>
            <w:rStyle w:val="Hyperlink"/>
          </w:rPr>
          <w:t>1</w:t>
        </w:r>
        <w:r>
          <w:rPr>
            <w:rFonts w:ascii="Times New Roman" w:hAnsi="Times New Roman"/>
            <w:b w:val="0"/>
            <w:sz w:val="24"/>
            <w:lang w:eastAsia="en-AU"/>
          </w:rPr>
          <w:tab/>
        </w:r>
        <w:r w:rsidRPr="00AC1841">
          <w:rPr>
            <w:rStyle w:val="Hyperlink"/>
          </w:rPr>
          <w:t>Introduction</w:t>
        </w:r>
        <w:r>
          <w:rPr>
            <w:webHidden/>
          </w:rPr>
          <w:tab/>
        </w:r>
        <w:r>
          <w:rPr>
            <w:webHidden/>
          </w:rPr>
          <w:fldChar w:fldCharType="begin"/>
        </w:r>
        <w:r>
          <w:rPr>
            <w:webHidden/>
          </w:rPr>
          <w:instrText xml:space="preserve"> PAGEREF _Toc294088027 \h </w:instrText>
        </w:r>
        <w:r>
          <w:rPr>
            <w:webHidden/>
          </w:rPr>
          <w:fldChar w:fldCharType="separate"/>
        </w:r>
        <w:r>
          <w:rPr>
            <w:webHidden/>
          </w:rPr>
          <w:t>1</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28" w:history="1">
        <w:r w:rsidRPr="00AC1841">
          <w:rPr>
            <w:rStyle w:val="Hyperlink"/>
          </w:rPr>
          <w:t>1.1</w:t>
        </w:r>
        <w:r>
          <w:rPr>
            <w:rFonts w:ascii="Times New Roman" w:hAnsi="Times New Roman" w:cs="Times New Roman"/>
            <w:sz w:val="24"/>
            <w:szCs w:val="24"/>
            <w:lang w:eastAsia="en-AU"/>
          </w:rPr>
          <w:tab/>
        </w:r>
        <w:r w:rsidRPr="00AC1841">
          <w:rPr>
            <w:rStyle w:val="Hyperlink"/>
          </w:rPr>
          <w:t>Background</w:t>
        </w:r>
        <w:r>
          <w:rPr>
            <w:webHidden/>
          </w:rPr>
          <w:tab/>
        </w:r>
        <w:r>
          <w:rPr>
            <w:webHidden/>
          </w:rPr>
          <w:fldChar w:fldCharType="begin"/>
        </w:r>
        <w:r>
          <w:rPr>
            <w:webHidden/>
          </w:rPr>
          <w:instrText xml:space="preserve"> PAGEREF _Toc294088028 \h </w:instrText>
        </w:r>
        <w:r>
          <w:rPr>
            <w:webHidden/>
          </w:rPr>
          <w:fldChar w:fldCharType="separate"/>
        </w:r>
        <w:r>
          <w:rPr>
            <w:webHidden/>
          </w:rPr>
          <w:t>1</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29" w:history="1">
        <w:r w:rsidRPr="00AC1841">
          <w:rPr>
            <w:rStyle w:val="Hyperlink"/>
          </w:rPr>
          <w:t>1.2</w:t>
        </w:r>
        <w:r>
          <w:rPr>
            <w:rFonts w:ascii="Times New Roman" w:hAnsi="Times New Roman" w:cs="Times New Roman"/>
            <w:sz w:val="24"/>
            <w:szCs w:val="24"/>
            <w:lang w:eastAsia="en-AU"/>
          </w:rPr>
          <w:tab/>
        </w:r>
        <w:r w:rsidRPr="00AC1841">
          <w:rPr>
            <w:rStyle w:val="Hyperlink"/>
          </w:rPr>
          <w:t>Study Purpose</w:t>
        </w:r>
        <w:r>
          <w:rPr>
            <w:webHidden/>
          </w:rPr>
          <w:tab/>
        </w:r>
        <w:r>
          <w:rPr>
            <w:webHidden/>
          </w:rPr>
          <w:fldChar w:fldCharType="begin"/>
        </w:r>
        <w:r>
          <w:rPr>
            <w:webHidden/>
          </w:rPr>
          <w:instrText xml:space="preserve"> PAGEREF _Toc294088029 \h </w:instrText>
        </w:r>
        <w:r>
          <w:rPr>
            <w:webHidden/>
          </w:rPr>
          <w:fldChar w:fldCharType="separate"/>
        </w:r>
        <w:r>
          <w:rPr>
            <w:webHidden/>
          </w:rPr>
          <w:t>3</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30" w:history="1">
        <w:r w:rsidRPr="00AC1841">
          <w:rPr>
            <w:rStyle w:val="Hyperlink"/>
          </w:rPr>
          <w:t>1.3</w:t>
        </w:r>
        <w:r>
          <w:rPr>
            <w:rFonts w:ascii="Times New Roman" w:hAnsi="Times New Roman" w:cs="Times New Roman"/>
            <w:sz w:val="24"/>
            <w:szCs w:val="24"/>
            <w:lang w:eastAsia="en-AU"/>
          </w:rPr>
          <w:tab/>
        </w:r>
        <w:r w:rsidRPr="00AC1841">
          <w:rPr>
            <w:rStyle w:val="Hyperlink"/>
          </w:rPr>
          <w:t>Report Outline</w:t>
        </w:r>
        <w:r>
          <w:rPr>
            <w:webHidden/>
          </w:rPr>
          <w:tab/>
        </w:r>
        <w:r>
          <w:rPr>
            <w:webHidden/>
          </w:rPr>
          <w:fldChar w:fldCharType="begin"/>
        </w:r>
        <w:r>
          <w:rPr>
            <w:webHidden/>
          </w:rPr>
          <w:instrText xml:space="preserve"> PAGEREF _Toc294088030 \h </w:instrText>
        </w:r>
        <w:r>
          <w:rPr>
            <w:webHidden/>
          </w:rPr>
          <w:fldChar w:fldCharType="separate"/>
        </w:r>
        <w:r>
          <w:rPr>
            <w:webHidden/>
          </w:rPr>
          <w:t>3</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31" w:history="1">
        <w:r w:rsidRPr="00AC1841">
          <w:rPr>
            <w:rStyle w:val="Hyperlink"/>
          </w:rPr>
          <w:t>1.4</w:t>
        </w:r>
        <w:r>
          <w:rPr>
            <w:rFonts w:ascii="Times New Roman" w:hAnsi="Times New Roman" w:cs="Times New Roman"/>
            <w:sz w:val="24"/>
            <w:szCs w:val="24"/>
            <w:lang w:eastAsia="en-AU"/>
          </w:rPr>
          <w:tab/>
        </w:r>
        <w:r w:rsidRPr="00AC1841">
          <w:rPr>
            <w:rStyle w:val="Hyperlink"/>
          </w:rPr>
          <w:t>Report Limitations</w:t>
        </w:r>
        <w:r>
          <w:rPr>
            <w:webHidden/>
          </w:rPr>
          <w:tab/>
        </w:r>
        <w:r>
          <w:rPr>
            <w:webHidden/>
          </w:rPr>
          <w:fldChar w:fldCharType="begin"/>
        </w:r>
        <w:r>
          <w:rPr>
            <w:webHidden/>
          </w:rPr>
          <w:instrText xml:space="preserve"> PAGEREF _Toc294088031 \h </w:instrText>
        </w:r>
        <w:r>
          <w:rPr>
            <w:webHidden/>
          </w:rPr>
          <w:fldChar w:fldCharType="separate"/>
        </w:r>
        <w:r>
          <w:rPr>
            <w:webHidden/>
          </w:rPr>
          <w:t>3</w:t>
        </w:r>
        <w:r>
          <w:rPr>
            <w:webHidden/>
          </w:rPr>
          <w:fldChar w:fldCharType="end"/>
        </w:r>
      </w:hyperlink>
    </w:p>
    <w:p w:rsidR="00752FF2" w:rsidRDefault="00752FF2">
      <w:pPr>
        <w:pStyle w:val="TOC1"/>
        <w:rPr>
          <w:rFonts w:ascii="Times New Roman" w:hAnsi="Times New Roman"/>
          <w:b w:val="0"/>
          <w:sz w:val="24"/>
          <w:lang w:eastAsia="en-AU"/>
        </w:rPr>
      </w:pPr>
      <w:hyperlink w:anchor="_Toc294088032" w:history="1">
        <w:r w:rsidRPr="00AC1841">
          <w:rPr>
            <w:rStyle w:val="Hyperlink"/>
          </w:rPr>
          <w:t>2</w:t>
        </w:r>
        <w:r>
          <w:rPr>
            <w:rFonts w:ascii="Times New Roman" w:hAnsi="Times New Roman"/>
            <w:b w:val="0"/>
            <w:sz w:val="24"/>
            <w:lang w:eastAsia="en-AU"/>
          </w:rPr>
          <w:tab/>
        </w:r>
        <w:r w:rsidRPr="00AC1841">
          <w:rPr>
            <w:rStyle w:val="Hyperlink"/>
          </w:rPr>
          <w:t>Study Methodology</w:t>
        </w:r>
        <w:r>
          <w:rPr>
            <w:webHidden/>
          </w:rPr>
          <w:tab/>
        </w:r>
        <w:r>
          <w:rPr>
            <w:webHidden/>
          </w:rPr>
          <w:fldChar w:fldCharType="begin"/>
        </w:r>
        <w:r>
          <w:rPr>
            <w:webHidden/>
          </w:rPr>
          <w:instrText xml:space="preserve"> PAGEREF _Toc294088032 \h </w:instrText>
        </w:r>
        <w:r>
          <w:rPr>
            <w:webHidden/>
          </w:rPr>
          <w:fldChar w:fldCharType="separate"/>
        </w:r>
        <w:r>
          <w:rPr>
            <w:webHidden/>
          </w:rPr>
          <w:t>4</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33" w:history="1">
        <w:r w:rsidRPr="00AC1841">
          <w:rPr>
            <w:rStyle w:val="Hyperlink"/>
          </w:rPr>
          <w:t>2.1</w:t>
        </w:r>
        <w:r>
          <w:rPr>
            <w:rFonts w:ascii="Times New Roman" w:hAnsi="Times New Roman" w:cs="Times New Roman"/>
            <w:sz w:val="24"/>
            <w:szCs w:val="24"/>
            <w:lang w:eastAsia="en-AU"/>
          </w:rPr>
          <w:tab/>
        </w:r>
        <w:r w:rsidRPr="00AC1841">
          <w:rPr>
            <w:rStyle w:val="Hyperlink"/>
          </w:rPr>
          <w:t>Key Assumptions</w:t>
        </w:r>
        <w:r>
          <w:rPr>
            <w:webHidden/>
          </w:rPr>
          <w:tab/>
        </w:r>
        <w:r>
          <w:rPr>
            <w:webHidden/>
          </w:rPr>
          <w:fldChar w:fldCharType="begin"/>
        </w:r>
        <w:r>
          <w:rPr>
            <w:webHidden/>
          </w:rPr>
          <w:instrText xml:space="preserve"> PAGEREF _Toc294088033 \h </w:instrText>
        </w:r>
        <w:r>
          <w:rPr>
            <w:webHidden/>
          </w:rPr>
          <w:fldChar w:fldCharType="separate"/>
        </w:r>
        <w:r>
          <w:rPr>
            <w:webHidden/>
          </w:rPr>
          <w:t>6</w:t>
        </w:r>
        <w:r>
          <w:rPr>
            <w:webHidden/>
          </w:rPr>
          <w:fldChar w:fldCharType="end"/>
        </w:r>
      </w:hyperlink>
    </w:p>
    <w:p w:rsidR="00752FF2" w:rsidRDefault="00752FF2">
      <w:pPr>
        <w:pStyle w:val="TOC1"/>
        <w:rPr>
          <w:rFonts w:ascii="Times New Roman" w:hAnsi="Times New Roman"/>
          <w:b w:val="0"/>
          <w:sz w:val="24"/>
          <w:lang w:eastAsia="en-AU"/>
        </w:rPr>
      </w:pPr>
      <w:hyperlink w:anchor="_Toc294088034" w:history="1">
        <w:r w:rsidRPr="00AC1841">
          <w:rPr>
            <w:rStyle w:val="Hyperlink"/>
          </w:rPr>
          <w:t>3</w:t>
        </w:r>
        <w:r>
          <w:rPr>
            <w:rFonts w:ascii="Times New Roman" w:hAnsi="Times New Roman"/>
            <w:b w:val="0"/>
            <w:sz w:val="24"/>
            <w:lang w:eastAsia="en-AU"/>
          </w:rPr>
          <w:tab/>
        </w:r>
        <w:r w:rsidRPr="00AC1841">
          <w:rPr>
            <w:rStyle w:val="Hyperlink"/>
          </w:rPr>
          <w:t>Results and Analysis</w:t>
        </w:r>
        <w:r>
          <w:rPr>
            <w:webHidden/>
          </w:rPr>
          <w:tab/>
        </w:r>
        <w:r>
          <w:rPr>
            <w:webHidden/>
          </w:rPr>
          <w:fldChar w:fldCharType="begin"/>
        </w:r>
        <w:r>
          <w:rPr>
            <w:webHidden/>
          </w:rPr>
          <w:instrText xml:space="preserve"> PAGEREF _Toc294088034 \h </w:instrText>
        </w:r>
        <w:r>
          <w:rPr>
            <w:webHidden/>
          </w:rPr>
          <w:fldChar w:fldCharType="separate"/>
        </w:r>
        <w:r>
          <w:rPr>
            <w:webHidden/>
          </w:rPr>
          <w:t>9</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35" w:history="1">
        <w:r w:rsidRPr="00AC1841">
          <w:rPr>
            <w:rStyle w:val="Hyperlink"/>
          </w:rPr>
          <w:t>3.1</w:t>
        </w:r>
        <w:r>
          <w:rPr>
            <w:rFonts w:ascii="Times New Roman" w:hAnsi="Times New Roman" w:cs="Times New Roman"/>
            <w:sz w:val="24"/>
            <w:szCs w:val="24"/>
            <w:lang w:eastAsia="en-AU"/>
          </w:rPr>
          <w:tab/>
        </w:r>
        <w:r w:rsidRPr="00AC1841">
          <w:rPr>
            <w:rStyle w:val="Hyperlink"/>
          </w:rPr>
          <w:t>Infill Dwelling Costs</w:t>
        </w:r>
        <w:r>
          <w:rPr>
            <w:webHidden/>
          </w:rPr>
          <w:tab/>
        </w:r>
        <w:r>
          <w:rPr>
            <w:webHidden/>
          </w:rPr>
          <w:fldChar w:fldCharType="begin"/>
        </w:r>
        <w:r>
          <w:rPr>
            <w:webHidden/>
          </w:rPr>
          <w:instrText xml:space="preserve"> PAGEREF _Toc294088035 \h </w:instrText>
        </w:r>
        <w:r>
          <w:rPr>
            <w:webHidden/>
          </w:rPr>
          <w:fldChar w:fldCharType="separate"/>
        </w:r>
        <w:r>
          <w:rPr>
            <w:webHidden/>
          </w:rPr>
          <w:t>9</w:t>
        </w:r>
        <w:r>
          <w:rPr>
            <w:webHidden/>
          </w:rPr>
          <w:fldChar w:fldCharType="end"/>
        </w:r>
      </w:hyperlink>
    </w:p>
    <w:p w:rsidR="00752FF2" w:rsidRDefault="00752FF2">
      <w:pPr>
        <w:pStyle w:val="TOC3"/>
        <w:rPr>
          <w:rFonts w:ascii="Times New Roman" w:hAnsi="Times New Roman"/>
          <w:noProof/>
          <w:sz w:val="24"/>
          <w:szCs w:val="24"/>
          <w:lang w:eastAsia="en-AU"/>
        </w:rPr>
      </w:pPr>
      <w:hyperlink w:anchor="_Toc294088036" w:history="1">
        <w:r w:rsidRPr="00AC1841">
          <w:rPr>
            <w:rStyle w:val="Hyperlink"/>
            <w:noProof/>
          </w:rPr>
          <w:t>3.1.1</w:t>
        </w:r>
        <w:r>
          <w:rPr>
            <w:rFonts w:ascii="Times New Roman" w:hAnsi="Times New Roman"/>
            <w:noProof/>
            <w:sz w:val="24"/>
            <w:szCs w:val="24"/>
            <w:lang w:eastAsia="en-AU"/>
          </w:rPr>
          <w:tab/>
        </w:r>
        <w:r w:rsidRPr="00AC1841">
          <w:rPr>
            <w:rStyle w:val="Hyperlink"/>
            <w:noProof/>
          </w:rPr>
          <w:t>Land</w:t>
        </w:r>
        <w:r>
          <w:rPr>
            <w:noProof/>
            <w:webHidden/>
          </w:rPr>
          <w:tab/>
        </w:r>
        <w:r>
          <w:rPr>
            <w:noProof/>
            <w:webHidden/>
          </w:rPr>
          <w:fldChar w:fldCharType="begin"/>
        </w:r>
        <w:r>
          <w:rPr>
            <w:noProof/>
            <w:webHidden/>
          </w:rPr>
          <w:instrText xml:space="preserve"> PAGEREF _Toc294088036 \h </w:instrText>
        </w:r>
        <w:r>
          <w:rPr>
            <w:noProof/>
          </w:rPr>
        </w:r>
        <w:r>
          <w:rPr>
            <w:noProof/>
            <w:webHidden/>
          </w:rPr>
          <w:fldChar w:fldCharType="separate"/>
        </w:r>
        <w:r>
          <w:rPr>
            <w:noProof/>
            <w:webHidden/>
          </w:rPr>
          <w:t>14</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37" w:history="1">
        <w:r w:rsidRPr="00AC1841">
          <w:rPr>
            <w:rStyle w:val="Hyperlink"/>
            <w:noProof/>
          </w:rPr>
          <w:t>3.1.2</w:t>
        </w:r>
        <w:r>
          <w:rPr>
            <w:rFonts w:ascii="Times New Roman" w:hAnsi="Times New Roman"/>
            <w:noProof/>
            <w:sz w:val="24"/>
            <w:szCs w:val="24"/>
            <w:lang w:eastAsia="en-AU"/>
          </w:rPr>
          <w:tab/>
        </w:r>
        <w:r w:rsidRPr="00AC1841">
          <w:rPr>
            <w:rStyle w:val="Hyperlink"/>
            <w:noProof/>
          </w:rPr>
          <w:t>Construction</w:t>
        </w:r>
        <w:r>
          <w:rPr>
            <w:noProof/>
            <w:webHidden/>
          </w:rPr>
          <w:tab/>
        </w:r>
        <w:r>
          <w:rPr>
            <w:noProof/>
            <w:webHidden/>
          </w:rPr>
          <w:fldChar w:fldCharType="begin"/>
        </w:r>
        <w:r>
          <w:rPr>
            <w:noProof/>
            <w:webHidden/>
          </w:rPr>
          <w:instrText xml:space="preserve"> PAGEREF _Toc294088037 \h </w:instrText>
        </w:r>
        <w:r>
          <w:rPr>
            <w:noProof/>
          </w:rPr>
        </w:r>
        <w:r>
          <w:rPr>
            <w:noProof/>
            <w:webHidden/>
          </w:rPr>
          <w:fldChar w:fldCharType="separate"/>
        </w:r>
        <w:r>
          <w:rPr>
            <w:noProof/>
            <w:webHidden/>
          </w:rPr>
          <w:t>15</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38" w:history="1">
        <w:r w:rsidRPr="00AC1841">
          <w:rPr>
            <w:rStyle w:val="Hyperlink"/>
            <w:noProof/>
          </w:rPr>
          <w:t>3.1.3</w:t>
        </w:r>
        <w:r>
          <w:rPr>
            <w:rFonts w:ascii="Times New Roman" w:hAnsi="Times New Roman"/>
            <w:noProof/>
            <w:sz w:val="24"/>
            <w:szCs w:val="24"/>
            <w:lang w:eastAsia="en-AU"/>
          </w:rPr>
          <w:tab/>
        </w:r>
        <w:r w:rsidRPr="00AC1841">
          <w:rPr>
            <w:rStyle w:val="Hyperlink"/>
            <w:noProof/>
          </w:rPr>
          <w:t>Professional Fees</w:t>
        </w:r>
        <w:r>
          <w:rPr>
            <w:noProof/>
            <w:webHidden/>
          </w:rPr>
          <w:tab/>
        </w:r>
        <w:r>
          <w:rPr>
            <w:noProof/>
            <w:webHidden/>
          </w:rPr>
          <w:fldChar w:fldCharType="begin"/>
        </w:r>
        <w:r>
          <w:rPr>
            <w:noProof/>
            <w:webHidden/>
          </w:rPr>
          <w:instrText xml:space="preserve"> PAGEREF _Toc294088038 \h </w:instrText>
        </w:r>
        <w:r>
          <w:rPr>
            <w:noProof/>
          </w:rPr>
        </w:r>
        <w:r>
          <w:rPr>
            <w:noProof/>
            <w:webHidden/>
          </w:rPr>
          <w:fldChar w:fldCharType="separate"/>
        </w:r>
        <w:r>
          <w:rPr>
            <w:noProof/>
            <w:webHidden/>
          </w:rPr>
          <w:t>16</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39" w:history="1">
        <w:r w:rsidRPr="00AC1841">
          <w:rPr>
            <w:rStyle w:val="Hyperlink"/>
            <w:noProof/>
          </w:rPr>
          <w:t>3.1.4</w:t>
        </w:r>
        <w:r>
          <w:rPr>
            <w:rFonts w:ascii="Times New Roman" w:hAnsi="Times New Roman"/>
            <w:noProof/>
            <w:sz w:val="24"/>
            <w:szCs w:val="24"/>
            <w:lang w:eastAsia="en-AU"/>
          </w:rPr>
          <w:tab/>
        </w:r>
        <w:r w:rsidRPr="00AC1841">
          <w:rPr>
            <w:rStyle w:val="Hyperlink"/>
            <w:noProof/>
          </w:rPr>
          <w:t>Government Taxes and Charges</w:t>
        </w:r>
        <w:r>
          <w:rPr>
            <w:noProof/>
            <w:webHidden/>
          </w:rPr>
          <w:tab/>
        </w:r>
        <w:r>
          <w:rPr>
            <w:noProof/>
            <w:webHidden/>
          </w:rPr>
          <w:fldChar w:fldCharType="begin"/>
        </w:r>
        <w:r>
          <w:rPr>
            <w:noProof/>
            <w:webHidden/>
          </w:rPr>
          <w:instrText xml:space="preserve"> PAGEREF _Toc294088039 \h </w:instrText>
        </w:r>
        <w:r>
          <w:rPr>
            <w:noProof/>
          </w:rPr>
        </w:r>
        <w:r>
          <w:rPr>
            <w:noProof/>
            <w:webHidden/>
          </w:rPr>
          <w:fldChar w:fldCharType="separate"/>
        </w:r>
        <w:r>
          <w:rPr>
            <w:noProof/>
            <w:webHidden/>
          </w:rPr>
          <w:t>17</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40" w:history="1">
        <w:r w:rsidRPr="00AC1841">
          <w:rPr>
            <w:rStyle w:val="Hyperlink"/>
            <w:noProof/>
          </w:rPr>
          <w:t>3.1.5</w:t>
        </w:r>
        <w:r>
          <w:rPr>
            <w:rFonts w:ascii="Times New Roman" w:hAnsi="Times New Roman"/>
            <w:noProof/>
            <w:sz w:val="24"/>
            <w:szCs w:val="24"/>
            <w:lang w:eastAsia="en-AU"/>
          </w:rPr>
          <w:tab/>
        </w:r>
        <w:r w:rsidRPr="00AC1841">
          <w:rPr>
            <w:rStyle w:val="Hyperlink"/>
            <w:noProof/>
          </w:rPr>
          <w:t>Development Costs and Interest</w:t>
        </w:r>
        <w:r>
          <w:rPr>
            <w:noProof/>
            <w:webHidden/>
          </w:rPr>
          <w:tab/>
        </w:r>
        <w:r>
          <w:rPr>
            <w:noProof/>
            <w:webHidden/>
          </w:rPr>
          <w:fldChar w:fldCharType="begin"/>
        </w:r>
        <w:r>
          <w:rPr>
            <w:noProof/>
            <w:webHidden/>
          </w:rPr>
          <w:instrText xml:space="preserve"> PAGEREF _Toc294088040 \h </w:instrText>
        </w:r>
        <w:r>
          <w:rPr>
            <w:noProof/>
          </w:rPr>
        </w:r>
        <w:r>
          <w:rPr>
            <w:noProof/>
            <w:webHidden/>
          </w:rPr>
          <w:fldChar w:fldCharType="separate"/>
        </w:r>
        <w:r>
          <w:rPr>
            <w:noProof/>
            <w:webHidden/>
          </w:rPr>
          <w:t>19</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41" w:history="1">
        <w:r w:rsidRPr="00AC1841">
          <w:rPr>
            <w:rStyle w:val="Hyperlink"/>
            <w:noProof/>
          </w:rPr>
          <w:t>3.1.6</w:t>
        </w:r>
        <w:r>
          <w:rPr>
            <w:rFonts w:ascii="Times New Roman" w:hAnsi="Times New Roman"/>
            <w:noProof/>
            <w:sz w:val="24"/>
            <w:szCs w:val="24"/>
            <w:lang w:eastAsia="en-AU"/>
          </w:rPr>
          <w:tab/>
        </w:r>
        <w:r w:rsidRPr="00AC1841">
          <w:rPr>
            <w:rStyle w:val="Hyperlink"/>
            <w:noProof/>
          </w:rPr>
          <w:t>Development Profit</w:t>
        </w:r>
        <w:r>
          <w:rPr>
            <w:noProof/>
            <w:webHidden/>
          </w:rPr>
          <w:tab/>
        </w:r>
        <w:r>
          <w:rPr>
            <w:noProof/>
            <w:webHidden/>
          </w:rPr>
          <w:fldChar w:fldCharType="begin"/>
        </w:r>
        <w:r>
          <w:rPr>
            <w:noProof/>
            <w:webHidden/>
          </w:rPr>
          <w:instrText xml:space="preserve"> PAGEREF _Toc294088041 \h </w:instrText>
        </w:r>
        <w:r>
          <w:rPr>
            <w:noProof/>
          </w:rPr>
        </w:r>
        <w:r>
          <w:rPr>
            <w:noProof/>
            <w:webHidden/>
          </w:rPr>
          <w:fldChar w:fldCharType="separate"/>
        </w:r>
        <w:r>
          <w:rPr>
            <w:noProof/>
            <w:webHidden/>
          </w:rPr>
          <w:t>20</w:t>
        </w:r>
        <w:r>
          <w:rPr>
            <w:noProof/>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42" w:history="1">
        <w:r w:rsidRPr="00AC1841">
          <w:rPr>
            <w:rStyle w:val="Hyperlink"/>
          </w:rPr>
          <w:t>3.2</w:t>
        </w:r>
        <w:r>
          <w:rPr>
            <w:rFonts w:ascii="Times New Roman" w:hAnsi="Times New Roman" w:cs="Times New Roman"/>
            <w:sz w:val="24"/>
            <w:szCs w:val="24"/>
            <w:lang w:eastAsia="en-AU"/>
          </w:rPr>
          <w:tab/>
        </w:r>
        <w:r w:rsidRPr="00AC1841">
          <w:rPr>
            <w:rStyle w:val="Hyperlink"/>
          </w:rPr>
          <w:t>Greenfield Dwelling Costs</w:t>
        </w:r>
        <w:r>
          <w:rPr>
            <w:webHidden/>
          </w:rPr>
          <w:tab/>
        </w:r>
        <w:r>
          <w:rPr>
            <w:webHidden/>
          </w:rPr>
          <w:fldChar w:fldCharType="begin"/>
        </w:r>
        <w:r>
          <w:rPr>
            <w:webHidden/>
          </w:rPr>
          <w:instrText xml:space="preserve"> PAGEREF _Toc294088042 \h </w:instrText>
        </w:r>
        <w:r>
          <w:rPr>
            <w:webHidden/>
          </w:rPr>
          <w:fldChar w:fldCharType="separate"/>
        </w:r>
        <w:r>
          <w:rPr>
            <w:webHidden/>
          </w:rPr>
          <w:t>21</w:t>
        </w:r>
        <w:r>
          <w:rPr>
            <w:webHidden/>
          </w:rPr>
          <w:fldChar w:fldCharType="end"/>
        </w:r>
      </w:hyperlink>
    </w:p>
    <w:p w:rsidR="00752FF2" w:rsidRDefault="00752FF2">
      <w:pPr>
        <w:pStyle w:val="TOC3"/>
        <w:rPr>
          <w:rFonts w:ascii="Times New Roman" w:hAnsi="Times New Roman"/>
          <w:noProof/>
          <w:sz w:val="24"/>
          <w:szCs w:val="24"/>
          <w:lang w:eastAsia="en-AU"/>
        </w:rPr>
      </w:pPr>
      <w:hyperlink w:anchor="_Toc294088043" w:history="1">
        <w:r w:rsidRPr="00AC1841">
          <w:rPr>
            <w:rStyle w:val="Hyperlink"/>
            <w:noProof/>
          </w:rPr>
          <w:t>3.2.1</w:t>
        </w:r>
        <w:r>
          <w:rPr>
            <w:rFonts w:ascii="Times New Roman" w:hAnsi="Times New Roman"/>
            <w:noProof/>
            <w:sz w:val="24"/>
            <w:szCs w:val="24"/>
            <w:lang w:eastAsia="en-AU"/>
          </w:rPr>
          <w:tab/>
        </w:r>
        <w:r w:rsidRPr="00AC1841">
          <w:rPr>
            <w:rStyle w:val="Hyperlink"/>
            <w:noProof/>
          </w:rPr>
          <w:t>Land</w:t>
        </w:r>
        <w:r>
          <w:rPr>
            <w:noProof/>
            <w:webHidden/>
          </w:rPr>
          <w:tab/>
        </w:r>
        <w:r>
          <w:rPr>
            <w:noProof/>
            <w:webHidden/>
          </w:rPr>
          <w:fldChar w:fldCharType="begin"/>
        </w:r>
        <w:r>
          <w:rPr>
            <w:noProof/>
            <w:webHidden/>
          </w:rPr>
          <w:instrText xml:space="preserve"> PAGEREF _Toc294088043 \h </w:instrText>
        </w:r>
        <w:r>
          <w:rPr>
            <w:noProof/>
          </w:rPr>
        </w:r>
        <w:r>
          <w:rPr>
            <w:noProof/>
            <w:webHidden/>
          </w:rPr>
          <w:fldChar w:fldCharType="separate"/>
        </w:r>
        <w:r>
          <w:rPr>
            <w:noProof/>
            <w:webHidden/>
          </w:rPr>
          <w:t>26</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44" w:history="1">
        <w:r w:rsidRPr="00AC1841">
          <w:rPr>
            <w:rStyle w:val="Hyperlink"/>
            <w:noProof/>
          </w:rPr>
          <w:t>3.2.2</w:t>
        </w:r>
        <w:r>
          <w:rPr>
            <w:rFonts w:ascii="Times New Roman" w:hAnsi="Times New Roman"/>
            <w:noProof/>
            <w:sz w:val="24"/>
            <w:szCs w:val="24"/>
            <w:lang w:eastAsia="en-AU"/>
          </w:rPr>
          <w:tab/>
        </w:r>
        <w:r w:rsidRPr="00AC1841">
          <w:rPr>
            <w:rStyle w:val="Hyperlink"/>
            <w:noProof/>
          </w:rPr>
          <w:t>Construction</w:t>
        </w:r>
        <w:r>
          <w:rPr>
            <w:noProof/>
            <w:webHidden/>
          </w:rPr>
          <w:tab/>
        </w:r>
        <w:r>
          <w:rPr>
            <w:noProof/>
            <w:webHidden/>
          </w:rPr>
          <w:fldChar w:fldCharType="begin"/>
        </w:r>
        <w:r>
          <w:rPr>
            <w:noProof/>
            <w:webHidden/>
          </w:rPr>
          <w:instrText xml:space="preserve"> PAGEREF _Toc294088044 \h </w:instrText>
        </w:r>
        <w:r>
          <w:rPr>
            <w:noProof/>
          </w:rPr>
        </w:r>
        <w:r>
          <w:rPr>
            <w:noProof/>
            <w:webHidden/>
          </w:rPr>
          <w:fldChar w:fldCharType="separate"/>
        </w:r>
        <w:r>
          <w:rPr>
            <w:noProof/>
            <w:webHidden/>
          </w:rPr>
          <w:t>27</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45" w:history="1">
        <w:r w:rsidRPr="00AC1841">
          <w:rPr>
            <w:rStyle w:val="Hyperlink"/>
            <w:noProof/>
          </w:rPr>
          <w:t>3.2.3</w:t>
        </w:r>
        <w:r>
          <w:rPr>
            <w:rFonts w:ascii="Times New Roman" w:hAnsi="Times New Roman"/>
            <w:noProof/>
            <w:sz w:val="24"/>
            <w:szCs w:val="24"/>
            <w:lang w:eastAsia="en-AU"/>
          </w:rPr>
          <w:tab/>
        </w:r>
        <w:r w:rsidRPr="00AC1841">
          <w:rPr>
            <w:rStyle w:val="Hyperlink"/>
            <w:noProof/>
          </w:rPr>
          <w:t>Professional Fees</w:t>
        </w:r>
        <w:r>
          <w:rPr>
            <w:noProof/>
            <w:webHidden/>
          </w:rPr>
          <w:tab/>
        </w:r>
        <w:r>
          <w:rPr>
            <w:noProof/>
            <w:webHidden/>
          </w:rPr>
          <w:fldChar w:fldCharType="begin"/>
        </w:r>
        <w:r>
          <w:rPr>
            <w:noProof/>
            <w:webHidden/>
          </w:rPr>
          <w:instrText xml:space="preserve"> PAGEREF _Toc294088045 \h </w:instrText>
        </w:r>
        <w:r>
          <w:rPr>
            <w:noProof/>
          </w:rPr>
        </w:r>
        <w:r>
          <w:rPr>
            <w:noProof/>
            <w:webHidden/>
          </w:rPr>
          <w:fldChar w:fldCharType="separate"/>
        </w:r>
        <w:r>
          <w:rPr>
            <w:noProof/>
            <w:webHidden/>
          </w:rPr>
          <w:t>28</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46" w:history="1">
        <w:r w:rsidRPr="00AC1841">
          <w:rPr>
            <w:rStyle w:val="Hyperlink"/>
            <w:noProof/>
          </w:rPr>
          <w:t>3.2.4</w:t>
        </w:r>
        <w:r>
          <w:rPr>
            <w:rFonts w:ascii="Times New Roman" w:hAnsi="Times New Roman"/>
            <w:noProof/>
            <w:sz w:val="24"/>
            <w:szCs w:val="24"/>
            <w:lang w:eastAsia="en-AU"/>
          </w:rPr>
          <w:tab/>
        </w:r>
        <w:r w:rsidRPr="00AC1841">
          <w:rPr>
            <w:rStyle w:val="Hyperlink"/>
            <w:noProof/>
          </w:rPr>
          <w:t>Government Taxes and Charges</w:t>
        </w:r>
        <w:r>
          <w:rPr>
            <w:noProof/>
            <w:webHidden/>
          </w:rPr>
          <w:tab/>
        </w:r>
        <w:r>
          <w:rPr>
            <w:noProof/>
            <w:webHidden/>
          </w:rPr>
          <w:fldChar w:fldCharType="begin"/>
        </w:r>
        <w:r>
          <w:rPr>
            <w:noProof/>
            <w:webHidden/>
          </w:rPr>
          <w:instrText xml:space="preserve"> PAGEREF _Toc294088046 \h </w:instrText>
        </w:r>
        <w:r>
          <w:rPr>
            <w:noProof/>
          </w:rPr>
        </w:r>
        <w:r>
          <w:rPr>
            <w:noProof/>
            <w:webHidden/>
          </w:rPr>
          <w:fldChar w:fldCharType="separate"/>
        </w:r>
        <w:r>
          <w:rPr>
            <w:noProof/>
            <w:webHidden/>
          </w:rPr>
          <w:t>29</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47" w:history="1">
        <w:r w:rsidRPr="00AC1841">
          <w:rPr>
            <w:rStyle w:val="Hyperlink"/>
            <w:noProof/>
          </w:rPr>
          <w:t>3.2.5</w:t>
        </w:r>
        <w:r>
          <w:rPr>
            <w:rFonts w:ascii="Times New Roman" w:hAnsi="Times New Roman"/>
            <w:noProof/>
            <w:sz w:val="24"/>
            <w:szCs w:val="24"/>
            <w:lang w:eastAsia="en-AU"/>
          </w:rPr>
          <w:tab/>
        </w:r>
        <w:r w:rsidRPr="00AC1841">
          <w:rPr>
            <w:rStyle w:val="Hyperlink"/>
            <w:noProof/>
          </w:rPr>
          <w:t>Development Costs and Interest</w:t>
        </w:r>
        <w:r>
          <w:rPr>
            <w:noProof/>
            <w:webHidden/>
          </w:rPr>
          <w:tab/>
        </w:r>
        <w:r>
          <w:rPr>
            <w:noProof/>
            <w:webHidden/>
          </w:rPr>
          <w:fldChar w:fldCharType="begin"/>
        </w:r>
        <w:r>
          <w:rPr>
            <w:noProof/>
            <w:webHidden/>
          </w:rPr>
          <w:instrText xml:space="preserve"> PAGEREF _Toc294088047 \h </w:instrText>
        </w:r>
        <w:r>
          <w:rPr>
            <w:noProof/>
          </w:rPr>
        </w:r>
        <w:r>
          <w:rPr>
            <w:noProof/>
            <w:webHidden/>
          </w:rPr>
          <w:fldChar w:fldCharType="separate"/>
        </w:r>
        <w:r>
          <w:rPr>
            <w:noProof/>
            <w:webHidden/>
          </w:rPr>
          <w:t>31</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48" w:history="1">
        <w:r w:rsidRPr="00AC1841">
          <w:rPr>
            <w:rStyle w:val="Hyperlink"/>
            <w:noProof/>
          </w:rPr>
          <w:t>3.2.6</w:t>
        </w:r>
        <w:r>
          <w:rPr>
            <w:rFonts w:ascii="Times New Roman" w:hAnsi="Times New Roman"/>
            <w:noProof/>
            <w:sz w:val="24"/>
            <w:szCs w:val="24"/>
            <w:lang w:eastAsia="en-AU"/>
          </w:rPr>
          <w:tab/>
        </w:r>
        <w:r w:rsidRPr="00AC1841">
          <w:rPr>
            <w:rStyle w:val="Hyperlink"/>
            <w:noProof/>
          </w:rPr>
          <w:t>Development Profit</w:t>
        </w:r>
        <w:r>
          <w:rPr>
            <w:noProof/>
            <w:webHidden/>
          </w:rPr>
          <w:tab/>
        </w:r>
        <w:r>
          <w:rPr>
            <w:noProof/>
            <w:webHidden/>
          </w:rPr>
          <w:fldChar w:fldCharType="begin"/>
        </w:r>
        <w:r>
          <w:rPr>
            <w:noProof/>
            <w:webHidden/>
          </w:rPr>
          <w:instrText xml:space="preserve"> PAGEREF _Toc294088048 \h </w:instrText>
        </w:r>
        <w:r>
          <w:rPr>
            <w:noProof/>
          </w:rPr>
        </w:r>
        <w:r>
          <w:rPr>
            <w:noProof/>
            <w:webHidden/>
          </w:rPr>
          <w:fldChar w:fldCharType="separate"/>
        </w:r>
        <w:r>
          <w:rPr>
            <w:noProof/>
            <w:webHidden/>
          </w:rPr>
          <w:t>32</w:t>
        </w:r>
        <w:r>
          <w:rPr>
            <w:noProof/>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49" w:history="1">
        <w:r w:rsidRPr="00AC1841">
          <w:rPr>
            <w:rStyle w:val="Hyperlink"/>
          </w:rPr>
          <w:t>3.3</w:t>
        </w:r>
        <w:r>
          <w:rPr>
            <w:rFonts w:ascii="Times New Roman" w:hAnsi="Times New Roman" w:cs="Times New Roman"/>
            <w:sz w:val="24"/>
            <w:szCs w:val="24"/>
            <w:lang w:eastAsia="en-AU"/>
          </w:rPr>
          <w:tab/>
        </w:r>
        <w:r w:rsidRPr="00AC1841">
          <w:rPr>
            <w:rStyle w:val="Hyperlink"/>
          </w:rPr>
          <w:t>Infill vs Greenfield</w:t>
        </w:r>
        <w:r>
          <w:rPr>
            <w:webHidden/>
          </w:rPr>
          <w:tab/>
        </w:r>
        <w:r>
          <w:rPr>
            <w:webHidden/>
          </w:rPr>
          <w:fldChar w:fldCharType="begin"/>
        </w:r>
        <w:r>
          <w:rPr>
            <w:webHidden/>
          </w:rPr>
          <w:instrText xml:space="preserve"> PAGEREF _Toc294088049 \h </w:instrText>
        </w:r>
        <w:r>
          <w:rPr>
            <w:webHidden/>
          </w:rPr>
          <w:fldChar w:fldCharType="separate"/>
        </w:r>
        <w:r>
          <w:rPr>
            <w:webHidden/>
          </w:rPr>
          <w:t>33</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50" w:history="1">
        <w:r w:rsidRPr="00AC1841">
          <w:rPr>
            <w:rStyle w:val="Hyperlink"/>
          </w:rPr>
          <w:t>3.4</w:t>
        </w:r>
        <w:r>
          <w:rPr>
            <w:rFonts w:ascii="Times New Roman" w:hAnsi="Times New Roman" w:cs="Times New Roman"/>
            <w:sz w:val="24"/>
            <w:szCs w:val="24"/>
            <w:lang w:eastAsia="en-AU"/>
          </w:rPr>
          <w:tab/>
        </w:r>
        <w:r w:rsidRPr="00AC1841">
          <w:rPr>
            <w:rStyle w:val="Hyperlink"/>
          </w:rPr>
          <w:t>Review of Findings from Previous Study</w:t>
        </w:r>
        <w:r>
          <w:rPr>
            <w:webHidden/>
          </w:rPr>
          <w:tab/>
        </w:r>
        <w:r>
          <w:rPr>
            <w:webHidden/>
          </w:rPr>
          <w:fldChar w:fldCharType="begin"/>
        </w:r>
        <w:r>
          <w:rPr>
            <w:webHidden/>
          </w:rPr>
          <w:instrText xml:space="preserve"> PAGEREF _Toc294088050 \h </w:instrText>
        </w:r>
        <w:r>
          <w:rPr>
            <w:webHidden/>
          </w:rPr>
          <w:fldChar w:fldCharType="separate"/>
        </w:r>
        <w:r>
          <w:rPr>
            <w:webHidden/>
          </w:rPr>
          <w:t>36</w:t>
        </w:r>
        <w:r>
          <w:rPr>
            <w:webHidden/>
          </w:rPr>
          <w:fldChar w:fldCharType="end"/>
        </w:r>
      </w:hyperlink>
    </w:p>
    <w:p w:rsidR="00752FF2" w:rsidRDefault="00752FF2">
      <w:pPr>
        <w:pStyle w:val="TOC3"/>
        <w:rPr>
          <w:rFonts w:ascii="Times New Roman" w:hAnsi="Times New Roman"/>
          <w:noProof/>
          <w:sz w:val="24"/>
          <w:szCs w:val="24"/>
          <w:lang w:eastAsia="en-AU"/>
        </w:rPr>
      </w:pPr>
      <w:hyperlink w:anchor="_Toc294088051" w:history="1">
        <w:r w:rsidRPr="00AC1841">
          <w:rPr>
            <w:rStyle w:val="Hyperlink"/>
            <w:noProof/>
          </w:rPr>
          <w:t>3.4.1</w:t>
        </w:r>
        <w:r>
          <w:rPr>
            <w:rFonts w:ascii="Times New Roman" w:hAnsi="Times New Roman"/>
            <w:noProof/>
            <w:sz w:val="24"/>
            <w:szCs w:val="24"/>
            <w:lang w:eastAsia="en-AU"/>
          </w:rPr>
          <w:tab/>
        </w:r>
        <w:r w:rsidRPr="00AC1841">
          <w:rPr>
            <w:rStyle w:val="Hyperlink"/>
            <w:noProof/>
          </w:rPr>
          <w:t>Infill Dwelling Costs</w:t>
        </w:r>
        <w:r>
          <w:rPr>
            <w:noProof/>
            <w:webHidden/>
          </w:rPr>
          <w:tab/>
        </w:r>
        <w:r>
          <w:rPr>
            <w:noProof/>
            <w:webHidden/>
          </w:rPr>
          <w:fldChar w:fldCharType="begin"/>
        </w:r>
        <w:r>
          <w:rPr>
            <w:noProof/>
            <w:webHidden/>
          </w:rPr>
          <w:instrText xml:space="preserve"> PAGEREF _Toc294088051 \h </w:instrText>
        </w:r>
        <w:r>
          <w:rPr>
            <w:noProof/>
          </w:rPr>
        </w:r>
        <w:r>
          <w:rPr>
            <w:noProof/>
            <w:webHidden/>
          </w:rPr>
          <w:fldChar w:fldCharType="separate"/>
        </w:r>
        <w:r>
          <w:rPr>
            <w:noProof/>
            <w:webHidden/>
          </w:rPr>
          <w:t>36</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52" w:history="1">
        <w:r w:rsidRPr="00AC1841">
          <w:rPr>
            <w:rStyle w:val="Hyperlink"/>
            <w:noProof/>
          </w:rPr>
          <w:t>3.4.2</w:t>
        </w:r>
        <w:r>
          <w:rPr>
            <w:rFonts w:ascii="Times New Roman" w:hAnsi="Times New Roman"/>
            <w:noProof/>
            <w:sz w:val="24"/>
            <w:szCs w:val="24"/>
            <w:lang w:eastAsia="en-AU"/>
          </w:rPr>
          <w:tab/>
        </w:r>
        <w:r w:rsidRPr="00AC1841">
          <w:rPr>
            <w:rStyle w:val="Hyperlink"/>
            <w:noProof/>
          </w:rPr>
          <w:t>Greenfield Dwelling Cost Summary</w:t>
        </w:r>
        <w:r>
          <w:rPr>
            <w:noProof/>
            <w:webHidden/>
          </w:rPr>
          <w:tab/>
        </w:r>
        <w:r>
          <w:rPr>
            <w:noProof/>
            <w:webHidden/>
          </w:rPr>
          <w:fldChar w:fldCharType="begin"/>
        </w:r>
        <w:r>
          <w:rPr>
            <w:noProof/>
            <w:webHidden/>
          </w:rPr>
          <w:instrText xml:space="preserve"> PAGEREF _Toc294088052 \h </w:instrText>
        </w:r>
        <w:r>
          <w:rPr>
            <w:noProof/>
          </w:rPr>
        </w:r>
        <w:r>
          <w:rPr>
            <w:noProof/>
            <w:webHidden/>
          </w:rPr>
          <w:fldChar w:fldCharType="separate"/>
        </w:r>
        <w:r>
          <w:rPr>
            <w:noProof/>
            <w:webHidden/>
          </w:rPr>
          <w:t>36</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53" w:history="1">
        <w:r w:rsidRPr="00AC1841">
          <w:rPr>
            <w:rStyle w:val="Hyperlink"/>
            <w:noProof/>
          </w:rPr>
          <w:t>3.4.3</w:t>
        </w:r>
        <w:r>
          <w:rPr>
            <w:rFonts w:ascii="Times New Roman" w:hAnsi="Times New Roman"/>
            <w:noProof/>
            <w:sz w:val="24"/>
            <w:szCs w:val="24"/>
            <w:lang w:eastAsia="en-AU"/>
          </w:rPr>
          <w:tab/>
        </w:r>
        <w:r w:rsidRPr="00AC1841">
          <w:rPr>
            <w:rStyle w:val="Hyperlink"/>
            <w:noProof/>
          </w:rPr>
          <w:t>Infill vs Greenfield and Change over Time</w:t>
        </w:r>
        <w:r>
          <w:rPr>
            <w:noProof/>
            <w:webHidden/>
          </w:rPr>
          <w:tab/>
        </w:r>
        <w:r>
          <w:rPr>
            <w:noProof/>
            <w:webHidden/>
          </w:rPr>
          <w:fldChar w:fldCharType="begin"/>
        </w:r>
        <w:r>
          <w:rPr>
            <w:noProof/>
            <w:webHidden/>
          </w:rPr>
          <w:instrText xml:space="preserve"> PAGEREF _Toc294088053 \h </w:instrText>
        </w:r>
        <w:r>
          <w:rPr>
            <w:noProof/>
          </w:rPr>
        </w:r>
        <w:r>
          <w:rPr>
            <w:noProof/>
            <w:webHidden/>
          </w:rPr>
          <w:fldChar w:fldCharType="separate"/>
        </w:r>
        <w:r>
          <w:rPr>
            <w:noProof/>
            <w:webHidden/>
          </w:rPr>
          <w:t>36</w:t>
        </w:r>
        <w:r>
          <w:rPr>
            <w:noProof/>
            <w:webHidden/>
          </w:rPr>
          <w:fldChar w:fldCharType="end"/>
        </w:r>
      </w:hyperlink>
    </w:p>
    <w:p w:rsidR="00752FF2" w:rsidRDefault="00752FF2">
      <w:pPr>
        <w:pStyle w:val="TOC3"/>
        <w:rPr>
          <w:rFonts w:ascii="Times New Roman" w:hAnsi="Times New Roman"/>
          <w:noProof/>
          <w:sz w:val="24"/>
          <w:szCs w:val="24"/>
          <w:lang w:eastAsia="en-AU"/>
        </w:rPr>
      </w:pPr>
      <w:hyperlink w:anchor="_Toc294088054" w:history="1">
        <w:r w:rsidRPr="00AC1841">
          <w:rPr>
            <w:rStyle w:val="Hyperlink"/>
            <w:noProof/>
          </w:rPr>
          <w:t>3.4.4</w:t>
        </w:r>
        <w:r>
          <w:rPr>
            <w:rFonts w:ascii="Times New Roman" w:hAnsi="Times New Roman"/>
            <w:noProof/>
            <w:sz w:val="24"/>
            <w:szCs w:val="24"/>
            <w:lang w:eastAsia="en-AU"/>
          </w:rPr>
          <w:tab/>
        </w:r>
        <w:r w:rsidRPr="00AC1841">
          <w:rPr>
            <w:rStyle w:val="Hyperlink"/>
            <w:noProof/>
          </w:rPr>
          <w:t>The Focus for Policy Responses</w:t>
        </w:r>
        <w:r>
          <w:rPr>
            <w:noProof/>
            <w:webHidden/>
          </w:rPr>
          <w:tab/>
        </w:r>
        <w:r>
          <w:rPr>
            <w:noProof/>
            <w:webHidden/>
          </w:rPr>
          <w:fldChar w:fldCharType="begin"/>
        </w:r>
        <w:r>
          <w:rPr>
            <w:noProof/>
            <w:webHidden/>
          </w:rPr>
          <w:instrText xml:space="preserve"> PAGEREF _Toc294088054 \h </w:instrText>
        </w:r>
        <w:r>
          <w:rPr>
            <w:noProof/>
          </w:rPr>
        </w:r>
        <w:r>
          <w:rPr>
            <w:noProof/>
            <w:webHidden/>
          </w:rPr>
          <w:fldChar w:fldCharType="separate"/>
        </w:r>
        <w:r>
          <w:rPr>
            <w:noProof/>
            <w:webHidden/>
          </w:rPr>
          <w:t>37</w:t>
        </w:r>
        <w:r>
          <w:rPr>
            <w:noProof/>
            <w:webHidden/>
          </w:rPr>
          <w:fldChar w:fldCharType="end"/>
        </w:r>
      </w:hyperlink>
    </w:p>
    <w:p w:rsidR="00752FF2" w:rsidRDefault="00752FF2">
      <w:pPr>
        <w:pStyle w:val="TOC1"/>
        <w:rPr>
          <w:rFonts w:ascii="Times New Roman" w:hAnsi="Times New Roman"/>
          <w:b w:val="0"/>
          <w:sz w:val="24"/>
          <w:lang w:eastAsia="en-AU"/>
        </w:rPr>
      </w:pPr>
      <w:hyperlink w:anchor="_Toc294088055" w:history="1">
        <w:r w:rsidRPr="00AC1841">
          <w:rPr>
            <w:rStyle w:val="Hyperlink"/>
          </w:rPr>
          <w:t>4</w:t>
        </w:r>
        <w:r>
          <w:rPr>
            <w:rFonts w:ascii="Times New Roman" w:hAnsi="Times New Roman"/>
            <w:b w:val="0"/>
            <w:sz w:val="24"/>
            <w:lang w:eastAsia="en-AU"/>
          </w:rPr>
          <w:tab/>
        </w:r>
        <w:r w:rsidRPr="00AC1841">
          <w:rPr>
            <w:rStyle w:val="Hyperlink"/>
          </w:rPr>
          <w:t>Conclusion</w:t>
        </w:r>
        <w:r>
          <w:rPr>
            <w:webHidden/>
          </w:rPr>
          <w:tab/>
        </w:r>
        <w:r>
          <w:rPr>
            <w:webHidden/>
          </w:rPr>
          <w:fldChar w:fldCharType="begin"/>
        </w:r>
        <w:r>
          <w:rPr>
            <w:webHidden/>
          </w:rPr>
          <w:instrText xml:space="preserve"> PAGEREF _Toc294088055 \h </w:instrText>
        </w:r>
        <w:r>
          <w:rPr>
            <w:webHidden/>
          </w:rPr>
          <w:fldChar w:fldCharType="separate"/>
        </w:r>
        <w:r>
          <w:rPr>
            <w:webHidden/>
          </w:rPr>
          <w:t>38</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56" w:history="1">
        <w:r w:rsidRPr="00AC1841">
          <w:rPr>
            <w:rStyle w:val="Hyperlink"/>
          </w:rPr>
          <w:t>4.1</w:t>
        </w:r>
        <w:r>
          <w:rPr>
            <w:rFonts w:ascii="Times New Roman" w:hAnsi="Times New Roman" w:cs="Times New Roman"/>
            <w:sz w:val="24"/>
            <w:szCs w:val="24"/>
            <w:lang w:eastAsia="en-AU"/>
          </w:rPr>
          <w:tab/>
        </w:r>
        <w:r w:rsidRPr="00AC1841">
          <w:rPr>
            <w:rStyle w:val="Hyperlink"/>
          </w:rPr>
          <w:t>Infill Dwelling Cost Summary</w:t>
        </w:r>
        <w:r>
          <w:rPr>
            <w:webHidden/>
          </w:rPr>
          <w:tab/>
        </w:r>
        <w:r>
          <w:rPr>
            <w:webHidden/>
          </w:rPr>
          <w:fldChar w:fldCharType="begin"/>
        </w:r>
        <w:r>
          <w:rPr>
            <w:webHidden/>
          </w:rPr>
          <w:instrText xml:space="preserve"> PAGEREF _Toc294088056 \h </w:instrText>
        </w:r>
        <w:r>
          <w:rPr>
            <w:webHidden/>
          </w:rPr>
          <w:fldChar w:fldCharType="separate"/>
        </w:r>
        <w:r>
          <w:rPr>
            <w:webHidden/>
          </w:rPr>
          <w:t>38</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57" w:history="1">
        <w:r w:rsidRPr="00AC1841">
          <w:rPr>
            <w:rStyle w:val="Hyperlink"/>
          </w:rPr>
          <w:t>4.2</w:t>
        </w:r>
        <w:r>
          <w:rPr>
            <w:rFonts w:ascii="Times New Roman" w:hAnsi="Times New Roman" w:cs="Times New Roman"/>
            <w:sz w:val="24"/>
            <w:szCs w:val="24"/>
            <w:lang w:eastAsia="en-AU"/>
          </w:rPr>
          <w:tab/>
        </w:r>
        <w:r w:rsidRPr="00AC1841">
          <w:rPr>
            <w:rStyle w:val="Hyperlink"/>
          </w:rPr>
          <w:t>Greenfield Dwelling Cost Summary</w:t>
        </w:r>
        <w:r>
          <w:rPr>
            <w:webHidden/>
          </w:rPr>
          <w:tab/>
        </w:r>
        <w:r>
          <w:rPr>
            <w:webHidden/>
          </w:rPr>
          <w:fldChar w:fldCharType="begin"/>
        </w:r>
        <w:r>
          <w:rPr>
            <w:webHidden/>
          </w:rPr>
          <w:instrText xml:space="preserve"> PAGEREF _Toc294088057 \h </w:instrText>
        </w:r>
        <w:r>
          <w:rPr>
            <w:webHidden/>
          </w:rPr>
          <w:fldChar w:fldCharType="separate"/>
        </w:r>
        <w:r>
          <w:rPr>
            <w:webHidden/>
          </w:rPr>
          <w:t>38</w:t>
        </w:r>
        <w:r>
          <w:rPr>
            <w:webHidden/>
          </w:rPr>
          <w:fldChar w:fldCharType="end"/>
        </w:r>
      </w:hyperlink>
    </w:p>
    <w:p w:rsidR="00752FF2" w:rsidRDefault="00752FF2">
      <w:pPr>
        <w:pStyle w:val="TOC2"/>
        <w:rPr>
          <w:rFonts w:ascii="Times New Roman" w:hAnsi="Times New Roman" w:cs="Times New Roman"/>
          <w:sz w:val="24"/>
          <w:szCs w:val="24"/>
          <w:lang w:eastAsia="en-AU"/>
        </w:rPr>
      </w:pPr>
      <w:hyperlink w:anchor="_Toc294088058" w:history="1">
        <w:r w:rsidRPr="00AC1841">
          <w:rPr>
            <w:rStyle w:val="Hyperlink"/>
          </w:rPr>
          <w:t>4.3</w:t>
        </w:r>
        <w:r>
          <w:rPr>
            <w:rFonts w:ascii="Times New Roman" w:hAnsi="Times New Roman" w:cs="Times New Roman"/>
            <w:sz w:val="24"/>
            <w:szCs w:val="24"/>
            <w:lang w:eastAsia="en-AU"/>
          </w:rPr>
          <w:tab/>
        </w:r>
        <w:r w:rsidRPr="00AC1841">
          <w:rPr>
            <w:rStyle w:val="Hyperlink"/>
          </w:rPr>
          <w:t>The Focus for Policy Responses</w:t>
        </w:r>
        <w:r>
          <w:rPr>
            <w:webHidden/>
          </w:rPr>
          <w:tab/>
        </w:r>
        <w:r>
          <w:rPr>
            <w:webHidden/>
          </w:rPr>
          <w:fldChar w:fldCharType="begin"/>
        </w:r>
        <w:r>
          <w:rPr>
            <w:webHidden/>
          </w:rPr>
          <w:instrText xml:space="preserve"> PAGEREF _Toc294088058 \h </w:instrText>
        </w:r>
        <w:r>
          <w:rPr>
            <w:webHidden/>
          </w:rPr>
          <w:fldChar w:fldCharType="separate"/>
        </w:r>
        <w:r>
          <w:rPr>
            <w:webHidden/>
          </w:rPr>
          <w:t>39</w:t>
        </w:r>
        <w:r>
          <w:rPr>
            <w:webHidden/>
          </w:rPr>
          <w:fldChar w:fldCharType="end"/>
        </w:r>
      </w:hyperlink>
    </w:p>
    <w:p w:rsidR="00752FF2" w:rsidRDefault="00752FF2">
      <w:pPr>
        <w:pStyle w:val="TOC1"/>
        <w:tabs>
          <w:tab w:val="left" w:pos="1680"/>
        </w:tabs>
        <w:rPr>
          <w:rFonts w:ascii="Times New Roman" w:hAnsi="Times New Roman"/>
          <w:b w:val="0"/>
          <w:sz w:val="24"/>
          <w:lang w:eastAsia="en-AU"/>
        </w:rPr>
      </w:pPr>
      <w:hyperlink w:anchor="_Toc294088059" w:history="1">
        <w:r w:rsidRPr="00AC1841">
          <w:rPr>
            <w:rStyle w:val="Hyperlink"/>
          </w:rPr>
          <w:t>Appendix A</w:t>
        </w:r>
        <w:r>
          <w:rPr>
            <w:rFonts w:ascii="Times New Roman" w:hAnsi="Times New Roman"/>
            <w:b w:val="0"/>
            <w:sz w:val="24"/>
            <w:lang w:eastAsia="en-AU"/>
          </w:rPr>
          <w:tab/>
        </w:r>
        <w:r w:rsidRPr="00AC1841">
          <w:rPr>
            <w:rStyle w:val="Hyperlink"/>
          </w:rPr>
          <w:t>Estate Master Output for Infill Developments</w:t>
        </w:r>
        <w:r>
          <w:rPr>
            <w:webHidden/>
          </w:rPr>
          <w:tab/>
        </w:r>
        <w:r>
          <w:rPr>
            <w:webHidden/>
          </w:rPr>
          <w:fldChar w:fldCharType="begin"/>
        </w:r>
        <w:r>
          <w:rPr>
            <w:webHidden/>
          </w:rPr>
          <w:instrText xml:space="preserve"> PAGEREF _Toc294088059 \h </w:instrText>
        </w:r>
        <w:r>
          <w:rPr>
            <w:webHidden/>
          </w:rPr>
          <w:fldChar w:fldCharType="separate"/>
        </w:r>
        <w:r>
          <w:rPr>
            <w:webHidden/>
          </w:rPr>
          <w:t>41</w:t>
        </w:r>
        <w:r>
          <w:rPr>
            <w:webHidden/>
          </w:rPr>
          <w:fldChar w:fldCharType="end"/>
        </w:r>
      </w:hyperlink>
    </w:p>
    <w:p w:rsidR="00752FF2" w:rsidRDefault="00752FF2">
      <w:pPr>
        <w:pStyle w:val="TOC1"/>
        <w:tabs>
          <w:tab w:val="left" w:pos="1680"/>
        </w:tabs>
        <w:rPr>
          <w:rFonts w:ascii="Times New Roman" w:hAnsi="Times New Roman"/>
          <w:b w:val="0"/>
          <w:sz w:val="24"/>
          <w:lang w:eastAsia="en-AU"/>
        </w:rPr>
      </w:pPr>
      <w:hyperlink w:anchor="_Toc294088060" w:history="1">
        <w:r w:rsidRPr="00AC1841">
          <w:rPr>
            <w:rStyle w:val="Hyperlink"/>
          </w:rPr>
          <w:t>Appendix B</w:t>
        </w:r>
        <w:r>
          <w:rPr>
            <w:rFonts w:ascii="Times New Roman" w:hAnsi="Times New Roman"/>
            <w:b w:val="0"/>
            <w:sz w:val="24"/>
            <w:lang w:eastAsia="en-AU"/>
          </w:rPr>
          <w:tab/>
        </w:r>
        <w:r w:rsidRPr="00AC1841">
          <w:rPr>
            <w:rStyle w:val="Hyperlink"/>
          </w:rPr>
          <w:t>Estate Master Output for Greenfield Developments</w:t>
        </w:r>
        <w:r>
          <w:rPr>
            <w:webHidden/>
          </w:rPr>
          <w:tab/>
        </w:r>
        <w:r>
          <w:rPr>
            <w:webHidden/>
          </w:rPr>
          <w:fldChar w:fldCharType="begin"/>
        </w:r>
        <w:r>
          <w:rPr>
            <w:webHidden/>
          </w:rPr>
          <w:instrText xml:space="preserve"> PAGEREF _Toc294088060 \h </w:instrText>
        </w:r>
        <w:r>
          <w:rPr>
            <w:webHidden/>
          </w:rPr>
          <w:fldChar w:fldCharType="separate"/>
        </w:r>
        <w:r>
          <w:rPr>
            <w:webHidden/>
          </w:rPr>
          <w:t>47</w:t>
        </w:r>
        <w:r>
          <w:rPr>
            <w:webHidden/>
          </w:rPr>
          <w:fldChar w:fldCharType="end"/>
        </w:r>
      </w:hyperlink>
    </w:p>
    <w:p w:rsidR="00752FF2" w:rsidRDefault="00752FF2">
      <w:pPr>
        <w:pStyle w:val="TOC1"/>
        <w:tabs>
          <w:tab w:val="left" w:pos="1680"/>
        </w:tabs>
        <w:rPr>
          <w:rFonts w:ascii="Times New Roman" w:hAnsi="Times New Roman"/>
          <w:b w:val="0"/>
          <w:sz w:val="24"/>
          <w:lang w:eastAsia="en-AU"/>
        </w:rPr>
      </w:pPr>
      <w:hyperlink w:anchor="_Toc294088061" w:history="1">
        <w:r w:rsidRPr="00AC1841">
          <w:rPr>
            <w:rStyle w:val="Hyperlink"/>
          </w:rPr>
          <w:t>Appendix C</w:t>
        </w:r>
        <w:r>
          <w:rPr>
            <w:rFonts w:ascii="Times New Roman" w:hAnsi="Times New Roman"/>
            <w:b w:val="0"/>
            <w:sz w:val="24"/>
            <w:lang w:eastAsia="en-AU"/>
          </w:rPr>
          <w:tab/>
        </w:r>
        <w:r w:rsidRPr="00AC1841">
          <w:rPr>
            <w:rStyle w:val="Hyperlink"/>
          </w:rPr>
          <w:t>Construction and Professional Costs</w:t>
        </w:r>
        <w:r>
          <w:rPr>
            <w:webHidden/>
          </w:rPr>
          <w:tab/>
        </w:r>
        <w:r>
          <w:rPr>
            <w:webHidden/>
          </w:rPr>
          <w:fldChar w:fldCharType="begin"/>
        </w:r>
        <w:r>
          <w:rPr>
            <w:webHidden/>
          </w:rPr>
          <w:instrText xml:space="preserve"> PAGEREF _Toc294088061 \h </w:instrText>
        </w:r>
        <w:r>
          <w:rPr>
            <w:webHidden/>
          </w:rPr>
          <w:fldChar w:fldCharType="separate"/>
        </w:r>
        <w:r>
          <w:rPr>
            <w:webHidden/>
          </w:rPr>
          <w:t>53</w:t>
        </w:r>
        <w:r>
          <w:rPr>
            <w:webHidden/>
          </w:rPr>
          <w:fldChar w:fldCharType="end"/>
        </w:r>
      </w:hyperlink>
    </w:p>
    <w:p w:rsidR="00752FF2" w:rsidRDefault="00752FF2">
      <w:pPr>
        <w:pStyle w:val="TOC1"/>
        <w:tabs>
          <w:tab w:val="left" w:pos="1680"/>
        </w:tabs>
        <w:rPr>
          <w:rFonts w:ascii="Times New Roman" w:hAnsi="Times New Roman"/>
          <w:b w:val="0"/>
          <w:sz w:val="24"/>
          <w:lang w:eastAsia="en-AU"/>
        </w:rPr>
      </w:pPr>
      <w:hyperlink w:anchor="_Toc294088062" w:history="1">
        <w:r w:rsidRPr="00AC1841">
          <w:rPr>
            <w:rStyle w:val="Hyperlink"/>
          </w:rPr>
          <w:t>Appendix D</w:t>
        </w:r>
        <w:r>
          <w:rPr>
            <w:rFonts w:ascii="Times New Roman" w:hAnsi="Times New Roman"/>
            <w:b w:val="0"/>
            <w:sz w:val="24"/>
            <w:lang w:eastAsia="en-AU"/>
          </w:rPr>
          <w:tab/>
        </w:r>
        <w:r w:rsidRPr="00AC1841">
          <w:rPr>
            <w:rStyle w:val="Hyperlink"/>
          </w:rPr>
          <w:t>References</w:t>
        </w:r>
        <w:r>
          <w:rPr>
            <w:webHidden/>
          </w:rPr>
          <w:tab/>
        </w:r>
        <w:r>
          <w:rPr>
            <w:webHidden/>
          </w:rPr>
          <w:fldChar w:fldCharType="begin"/>
        </w:r>
        <w:r>
          <w:rPr>
            <w:webHidden/>
          </w:rPr>
          <w:instrText xml:space="preserve"> PAGEREF _Toc294088062 \h </w:instrText>
        </w:r>
        <w:r>
          <w:rPr>
            <w:webHidden/>
          </w:rPr>
          <w:fldChar w:fldCharType="separate"/>
        </w:r>
        <w:r>
          <w:rPr>
            <w:webHidden/>
          </w:rPr>
          <w:t>55</w:t>
        </w:r>
        <w:r>
          <w:rPr>
            <w:webHidden/>
          </w:rPr>
          <w:fldChar w:fldCharType="end"/>
        </w:r>
      </w:hyperlink>
    </w:p>
    <w:p w:rsidR="001103FE" w:rsidRPr="0000605C" w:rsidRDefault="005A7F1D" w:rsidP="00986DED">
      <w:pPr>
        <w:pStyle w:val="TableofFigures"/>
        <w:rPr>
          <w:b/>
          <w:bCs/>
        </w:rPr>
      </w:pPr>
      <w:r w:rsidRPr="0000605C">
        <w:rPr>
          <w:szCs w:val="24"/>
        </w:rPr>
        <w:fldChar w:fldCharType="end"/>
      </w:r>
      <w:r w:rsidR="00FB3B16" w:rsidRPr="0000605C">
        <w:rPr>
          <w:b/>
          <w:bCs/>
        </w:rPr>
        <w:t xml:space="preserve"> </w:t>
      </w:r>
    </w:p>
    <w:p w:rsidR="007C5498" w:rsidRPr="0000605C" w:rsidRDefault="007C5498" w:rsidP="00162570"/>
    <w:p w:rsidR="00B6398A" w:rsidRPr="0000605C" w:rsidRDefault="00B6398A" w:rsidP="00162570">
      <w:pPr>
        <w:sectPr w:rsidR="00B6398A" w:rsidRPr="0000605C" w:rsidSect="00FE44D5">
          <w:headerReference w:type="even" r:id="rId15"/>
          <w:headerReference w:type="default" r:id="rId16"/>
          <w:footerReference w:type="even" r:id="rId17"/>
          <w:footerReference w:type="default" r:id="rId18"/>
          <w:headerReference w:type="first" r:id="rId19"/>
          <w:pgSz w:w="11907" w:h="16840" w:code="9"/>
          <w:pgMar w:top="1134" w:right="1134" w:bottom="1418" w:left="1417" w:header="272" w:footer="340" w:gutter="0"/>
          <w:pgNumType w:start="1"/>
          <w:cols w:space="708"/>
          <w:docGrid w:linePitch="360"/>
        </w:sectPr>
      </w:pPr>
    </w:p>
    <w:p w:rsidR="00C73A34" w:rsidRPr="0000605C" w:rsidRDefault="00C73A34" w:rsidP="00C73A34">
      <w:pPr>
        <w:pStyle w:val="ExecutiveSummary"/>
      </w:pPr>
      <w:bookmarkStart w:id="6" w:name="_Toc233469292"/>
      <w:bookmarkStart w:id="7" w:name="_Toc235595507"/>
      <w:bookmarkStart w:id="8" w:name="_Toc294088020"/>
      <w:r w:rsidRPr="0000605C">
        <w:lastRenderedPageBreak/>
        <w:t>Executive Summary</w:t>
      </w:r>
      <w:bookmarkEnd w:id="8"/>
    </w:p>
    <w:p w:rsidR="00CC52B2" w:rsidRPr="0000605C" w:rsidRDefault="00CC52B2" w:rsidP="00CC52B2">
      <w:pPr>
        <w:pStyle w:val="Head2no"/>
      </w:pPr>
      <w:bookmarkStart w:id="9" w:name="_Toc294088021"/>
      <w:r w:rsidRPr="0000605C">
        <w:t>Introduction and Study Purpose</w:t>
      </w:r>
      <w:bookmarkEnd w:id="9"/>
    </w:p>
    <w:p w:rsidR="00CC52B2" w:rsidRPr="0000605C" w:rsidRDefault="00CC52B2" w:rsidP="00CC52B2">
      <w:pPr>
        <w:rPr>
          <w:rFonts w:cs="Arial"/>
        </w:rPr>
      </w:pPr>
      <w:r w:rsidRPr="0000605C">
        <w:t xml:space="preserve">The </w:t>
      </w:r>
      <w:r w:rsidR="00D91674" w:rsidRPr="0000605C">
        <w:rPr>
          <w:rFonts w:cs="Arial"/>
        </w:rPr>
        <w:t>Australian</w:t>
      </w:r>
      <w:r w:rsidRPr="0000605C">
        <w:rPr>
          <w:rFonts w:cs="Arial"/>
        </w:rPr>
        <w:t xml:space="preserve"> </w:t>
      </w:r>
      <w:r w:rsidR="00940B5F">
        <w:rPr>
          <w:rFonts w:cs="Arial"/>
        </w:rPr>
        <w:t>Government</w:t>
      </w:r>
      <w:r w:rsidR="009715E7" w:rsidRPr="0000605C">
        <w:rPr>
          <w:rFonts w:cs="Arial"/>
        </w:rPr>
        <w:t xml:space="preserve"> </w:t>
      </w:r>
      <w:r w:rsidRPr="0000605C">
        <w:rPr>
          <w:rFonts w:cs="Arial"/>
        </w:rPr>
        <w:t>Department of Families, Housing, Community Services and Indigenous Affairs (FaHCSIA) commissioned the inaugural National Dwelling Costs Study in December 2009 for delivery in early 2010</w:t>
      </w:r>
      <w:r w:rsidR="00D91674" w:rsidRPr="0000605C">
        <w:rPr>
          <w:rFonts w:cs="Arial"/>
        </w:rPr>
        <w:t xml:space="preserve"> (herein referred to as the 2010 study)</w:t>
      </w:r>
      <w:r w:rsidRPr="0000605C">
        <w:rPr>
          <w:rFonts w:cs="Arial"/>
        </w:rPr>
        <w:t>. This work provided input into the housing supply monitoring role of the National Housing Supply Council.</w:t>
      </w:r>
    </w:p>
    <w:p w:rsidR="00CC52B2" w:rsidRPr="0000605C" w:rsidRDefault="00CC52B2" w:rsidP="00CC52B2">
      <w:pPr>
        <w:rPr>
          <w:rFonts w:ascii="Calibri" w:hAnsi="Calibri"/>
          <w:sz w:val="22"/>
          <w:szCs w:val="22"/>
          <w:lang w:eastAsia="en-AU"/>
        </w:rPr>
      </w:pPr>
      <w:r w:rsidRPr="0000605C">
        <w:rPr>
          <w:rFonts w:cs="Arial"/>
        </w:rPr>
        <w:t xml:space="preserve">The </w:t>
      </w:r>
      <w:r w:rsidR="00D91674" w:rsidRPr="0000605C">
        <w:rPr>
          <w:rFonts w:cs="Arial"/>
        </w:rPr>
        <w:t>Australian</w:t>
      </w:r>
      <w:r w:rsidRPr="0000605C">
        <w:rPr>
          <w:rFonts w:cs="Arial"/>
        </w:rPr>
        <w:t xml:space="preserve"> Government is committed to monitoring the issue of dwelling costs as they affect housing affordability and has commissioned an update </w:t>
      </w:r>
      <w:r w:rsidR="00D91674" w:rsidRPr="0000605C">
        <w:rPr>
          <w:rFonts w:cs="Arial"/>
        </w:rPr>
        <w:t xml:space="preserve">(herein referred to as the 2011 study) </w:t>
      </w:r>
      <w:r w:rsidRPr="0000605C">
        <w:rPr>
          <w:rFonts w:cs="Arial"/>
        </w:rPr>
        <w:t xml:space="preserve">of the inaugural 2010 study. </w:t>
      </w:r>
      <w:r w:rsidR="00D91674" w:rsidRPr="0000605C">
        <w:rPr>
          <w:rFonts w:cs="Arial"/>
          <w:lang w:eastAsia="en-AU"/>
        </w:rPr>
        <w:t>As a result of reorganisation of Australian Government portfoli</w:t>
      </w:r>
      <w:r w:rsidR="008D4BEF" w:rsidRPr="0000605C">
        <w:rPr>
          <w:rFonts w:cs="Arial"/>
          <w:lang w:eastAsia="en-AU"/>
        </w:rPr>
        <w:t>os following the federal e</w:t>
      </w:r>
      <w:r w:rsidR="00D91674" w:rsidRPr="0000605C">
        <w:rPr>
          <w:rFonts w:cs="Arial"/>
          <w:lang w:eastAsia="en-AU"/>
        </w:rPr>
        <w:t>lection in 2010, the secretariat function supporting the work of the National Housing Supply Council has become part of the Department of Sustainability, Environment, Water, Population, and Communities (the Department) which becomes the commissioning department for this study update.</w:t>
      </w:r>
      <w:r w:rsidR="00D91674" w:rsidRPr="0000605C">
        <w:rPr>
          <w:rFonts w:ascii="Calibri" w:hAnsi="Calibri"/>
          <w:sz w:val="22"/>
          <w:szCs w:val="22"/>
          <w:lang w:eastAsia="en-AU"/>
        </w:rPr>
        <w:t xml:space="preserve"> </w:t>
      </w:r>
      <w:r w:rsidRPr="0000605C">
        <w:rPr>
          <w:rFonts w:cs="Arial"/>
        </w:rPr>
        <w:t xml:space="preserve">Through this study the Department is seeking to identify policies and programs that can reduce dwelling costs and improve housing affordability across </w:t>
      </w:r>
      <w:smartTag w:uri="urn:schemas-microsoft-com:office:smarttags" w:element="place">
        <w:smartTag w:uri="urn:schemas-microsoft-com:office:smarttags" w:element="country-region">
          <w:r w:rsidRPr="0000605C">
            <w:rPr>
              <w:rFonts w:cs="Arial"/>
            </w:rPr>
            <w:t>Australia</w:t>
          </w:r>
        </w:smartTag>
      </w:smartTag>
      <w:r w:rsidRPr="0000605C">
        <w:rPr>
          <w:rFonts w:cs="Arial"/>
        </w:rPr>
        <w:t>.</w:t>
      </w:r>
    </w:p>
    <w:p w:rsidR="00CC52B2" w:rsidRPr="0000605C" w:rsidRDefault="00CC52B2" w:rsidP="00CC52B2">
      <w:pPr>
        <w:rPr>
          <w:rFonts w:cs="Arial"/>
        </w:rPr>
      </w:pPr>
      <w:r w:rsidRPr="0000605C">
        <w:t>This report focuses on collating the individua</w:t>
      </w:r>
      <w:r w:rsidR="00D91674" w:rsidRPr="0000605C">
        <w:t xml:space="preserve">l costs involved in delivering </w:t>
      </w:r>
      <w:proofErr w:type="gramStart"/>
      <w:smartTag w:uri="urn:schemas-microsoft-com:office:smarttags" w:element="place">
        <w:smartTag w:uri="urn:schemas-microsoft-com:office:smarttags" w:element="City">
          <w:r w:rsidR="00D91674" w:rsidRPr="0000605C">
            <w:t>g</w:t>
          </w:r>
          <w:r w:rsidRPr="0000605C">
            <w:t>reenfield</w:t>
          </w:r>
        </w:smartTag>
      </w:smartTag>
      <w:proofErr w:type="gramEnd"/>
      <w:r w:rsidR="00D91674" w:rsidRPr="0000605C">
        <w:t xml:space="preserve"> and i</w:t>
      </w:r>
      <w:r w:rsidRPr="0000605C">
        <w:t xml:space="preserve">nfill housing product with the view to identifying the factors influencing rising dwelling prices. From this the study is able to provide policy recommendations on how the </w:t>
      </w:r>
      <w:r w:rsidR="009715E7" w:rsidRPr="0000605C">
        <w:t>Australian</w:t>
      </w:r>
      <w:r w:rsidRPr="0000605C">
        <w:t xml:space="preserve"> Government can more effectively address the widespread decline in housing affordability for Australian residents.</w:t>
      </w:r>
    </w:p>
    <w:p w:rsidR="00CC52B2" w:rsidRPr="0000605C" w:rsidRDefault="00CC52B2" w:rsidP="00CC52B2">
      <w:pPr>
        <w:pStyle w:val="Head2no"/>
      </w:pPr>
      <w:bookmarkStart w:id="10" w:name="_Toc294088022"/>
      <w:r w:rsidRPr="0000605C">
        <w:t>Approach</w:t>
      </w:r>
      <w:bookmarkEnd w:id="10"/>
    </w:p>
    <w:p w:rsidR="00CC52B2" w:rsidRPr="0000605C" w:rsidRDefault="009C7DE8" w:rsidP="00CC52B2">
      <w:r w:rsidRPr="0000605C">
        <w:t>The 2011 National Dwelling Costs Study is a direct update of the 2010 study. The 2010 study presented data on dwelling costs for 2009, while the 2011 report presents data for 2010</w:t>
      </w:r>
      <w:r w:rsidR="00E26A58" w:rsidRPr="0000605C">
        <w:t>.</w:t>
      </w:r>
      <w:r w:rsidR="00CC52B2" w:rsidRPr="0000605C">
        <w:t xml:space="preserve"> This study methodology required the segmentation of dwelling development costs into relevant categories that can be compared across locations and over time. This assessment allows comparison to the previous years study and other similar studies. </w:t>
      </w:r>
    </w:p>
    <w:p w:rsidR="00CC52B2" w:rsidRPr="0000605C" w:rsidRDefault="00CC52B2" w:rsidP="00CC52B2">
      <w:r w:rsidRPr="0000605C">
        <w:t>The key components of this approach are:</w:t>
      </w:r>
    </w:p>
    <w:p w:rsidR="00CC52B2" w:rsidRPr="0000605C" w:rsidRDefault="00CC52B2" w:rsidP="00CC52B2">
      <w:pPr>
        <w:pStyle w:val="ListBullet"/>
        <w:spacing w:before="40" w:after="160" w:line="240" w:lineRule="auto"/>
        <w:ind w:left="357" w:hanging="357"/>
      </w:pPr>
      <w:r w:rsidRPr="0000605C">
        <w:t xml:space="preserve">It comprises </w:t>
      </w:r>
      <w:smartTag w:uri="urn:schemas-microsoft-com:office:smarttags" w:element="country-region">
        <w:r w:rsidRPr="0000605C">
          <w:t>Australia</w:t>
        </w:r>
      </w:smartTag>
      <w:r w:rsidRPr="0000605C">
        <w:t xml:space="preserve">’s five largest cities – </w:t>
      </w:r>
      <w:smartTag w:uri="urn:schemas-microsoft-com:office:smarttags" w:element="City">
        <w:r w:rsidRPr="0000605C">
          <w:t>Sydney</w:t>
        </w:r>
      </w:smartTag>
      <w:r w:rsidRPr="0000605C">
        <w:t xml:space="preserve">, </w:t>
      </w:r>
      <w:smartTag w:uri="urn:schemas-microsoft-com:office:smarttags" w:element="City">
        <w:r w:rsidRPr="0000605C">
          <w:t>Melbourne</w:t>
        </w:r>
      </w:smartTag>
      <w:r w:rsidRPr="0000605C">
        <w:t xml:space="preserve">, </w:t>
      </w:r>
      <w:smartTag w:uri="urn:schemas-microsoft-com:office:smarttags" w:element="City">
        <w:r w:rsidRPr="0000605C">
          <w:t>Brisbane</w:t>
        </w:r>
      </w:smartTag>
      <w:r w:rsidRPr="0000605C">
        <w:t xml:space="preserve">, </w:t>
      </w:r>
      <w:smartTag w:uri="urn:schemas-microsoft-com:office:smarttags" w:element="City">
        <w:r w:rsidRPr="0000605C">
          <w:t>Perth</w:t>
        </w:r>
      </w:smartTag>
      <w:r w:rsidRPr="0000605C">
        <w:t xml:space="preserve">, </w:t>
      </w:r>
      <w:smartTag w:uri="urn:schemas-microsoft-com:office:smarttags" w:element="place">
        <w:smartTag w:uri="urn:schemas-microsoft-com:office:smarttags" w:element="City">
          <w:r w:rsidRPr="0000605C">
            <w:t>Adelaide</w:t>
          </w:r>
        </w:smartTag>
      </w:smartTag>
    </w:p>
    <w:p w:rsidR="00CC52B2" w:rsidRPr="0000605C" w:rsidRDefault="00CC52B2" w:rsidP="00CC52B2">
      <w:pPr>
        <w:pStyle w:val="ListBullet"/>
        <w:spacing w:before="40" w:after="160" w:line="240" w:lineRule="auto"/>
        <w:ind w:left="357" w:hanging="357"/>
      </w:pPr>
      <w:r w:rsidRPr="0000605C">
        <w:t>It includes two forms of resident</w:t>
      </w:r>
      <w:r w:rsidR="009C7DE8" w:rsidRPr="0000605C">
        <w:t xml:space="preserve">ial development in each city – </w:t>
      </w:r>
      <w:smartTag w:uri="urn:schemas-microsoft-com:office:smarttags" w:element="place">
        <w:smartTag w:uri="urn:schemas-microsoft-com:office:smarttags" w:element="City">
          <w:r w:rsidR="009C7DE8" w:rsidRPr="0000605C">
            <w:t>g</w:t>
          </w:r>
          <w:r w:rsidRPr="0000605C">
            <w:t>reenfield</w:t>
          </w:r>
        </w:smartTag>
      </w:smartTag>
      <w:r w:rsidR="009C7DE8" w:rsidRPr="0000605C">
        <w:t xml:space="preserve"> detached house; infill a</w:t>
      </w:r>
      <w:r w:rsidRPr="0000605C">
        <w:t xml:space="preserve">partment </w:t>
      </w:r>
    </w:p>
    <w:p w:rsidR="00CC52B2" w:rsidRPr="0000605C" w:rsidRDefault="00CC52B2" w:rsidP="00CC52B2">
      <w:pPr>
        <w:pStyle w:val="ListBullet"/>
        <w:spacing w:before="40" w:after="160" w:line="240" w:lineRule="auto"/>
        <w:ind w:left="357" w:hanging="357"/>
      </w:pPr>
      <w:r w:rsidRPr="0000605C">
        <w:t>Cost components are consistent across locations so that cost differences between cities can be identified and understood</w:t>
      </w:r>
    </w:p>
    <w:p w:rsidR="00CC52B2" w:rsidRPr="0000605C" w:rsidRDefault="00CC52B2" w:rsidP="00CC52B2">
      <w:pPr>
        <w:pStyle w:val="ListBullet"/>
        <w:spacing w:before="40" w:after="160" w:line="240" w:lineRule="auto"/>
        <w:ind w:left="357" w:hanging="357"/>
      </w:pPr>
      <w:r w:rsidRPr="0000605C">
        <w:t>It is structured so that it is capable of being updated every one to two years</w:t>
      </w:r>
    </w:p>
    <w:p w:rsidR="00CC52B2" w:rsidRDefault="00CC52B2" w:rsidP="00CC52B2">
      <w:r w:rsidRPr="0000605C">
        <w:t>It should be noted that this approach is a static approach that only allows for limited cost changes during the development timeframe. As property development is a time based activity that involves costs changing over time, typical feasibility analyses allow for cost escalation. Whil</w:t>
      </w:r>
      <w:r w:rsidR="00FD5BB4" w:rsidRPr="0000605C">
        <w:t>e</w:t>
      </w:r>
      <w:r w:rsidRPr="0000605C">
        <w:t xml:space="preserve"> some allowance for this has been incorporated into the results of this study other components of escalation have not, most notably sale prices in comparison to construction costs. Both of these factors are estimated in today’s terms thus excluding future sale price escalation during the development process. Whil</w:t>
      </w:r>
      <w:r w:rsidR="00FD5BB4" w:rsidRPr="0000605C">
        <w:t>e</w:t>
      </w:r>
      <w:r w:rsidRPr="0000605C">
        <w:t xml:space="preserve"> thi</w:t>
      </w:r>
      <w:r w:rsidR="009C7DE8" w:rsidRPr="0000605C">
        <w:t>s tends to underestimate development p</w:t>
      </w:r>
      <w:r w:rsidRPr="0000605C">
        <w:t>rofit this approach does provide the most appropriate estimates of all other components of costs. T</w:t>
      </w:r>
      <w:r w:rsidR="009C7DE8" w:rsidRPr="0000605C">
        <w:t>his is consistent with the 20</w:t>
      </w:r>
      <w:r w:rsidRPr="0000605C">
        <w:t xml:space="preserve">10 study approach. </w:t>
      </w:r>
    </w:p>
    <w:p w:rsidR="00CC52B2" w:rsidRDefault="00CC52B2" w:rsidP="00CC52B2">
      <w:r w:rsidRPr="0000605C">
        <w:t xml:space="preserve">From the </w:t>
      </w:r>
      <w:r w:rsidR="009C7DE8" w:rsidRPr="0000605C">
        <w:t>2010</w:t>
      </w:r>
      <w:r w:rsidRPr="0000605C">
        <w:t xml:space="preserve"> study and work undertaken by Urbis since then, there are some minor modifications to the previous approach that enhance the output of the updated </w:t>
      </w:r>
      <w:r w:rsidR="009C7DE8" w:rsidRPr="0000605C">
        <w:t>study. Improvements to the 20</w:t>
      </w:r>
      <w:r w:rsidRPr="0000605C">
        <w:t xml:space="preserve">10 approach include the use of Estate Master </w:t>
      </w:r>
      <w:proofErr w:type="gramStart"/>
      <w:r w:rsidRPr="0000605C">
        <w:t>software</w:t>
      </w:r>
      <w:proofErr w:type="gramEnd"/>
      <w:r w:rsidRPr="0000605C">
        <w:t xml:space="preserve"> to better automate the dwelling cost template. This provides a consistent spreadsheet platform across all dwelling types and locations and is designed to accommodate different tax rates for each State. </w:t>
      </w:r>
    </w:p>
    <w:p w:rsidR="003F1F95" w:rsidRPr="0000605C" w:rsidRDefault="003F1F95" w:rsidP="00CC52B2">
      <w:r>
        <w:t>Through the use of Estate Master there has been improved ac</w:t>
      </w:r>
      <w:r w:rsidR="00412306">
        <w:t>curacy in calculating interest</w:t>
      </w:r>
      <w:r>
        <w:t xml:space="preserve">. Through enabling payback periods to be calculated monthly the methodology has effectively reduced the amount of interest payable, more closely reflecting what happens in practice. </w:t>
      </w:r>
    </w:p>
    <w:p w:rsidR="00CC52B2" w:rsidRPr="0000605C" w:rsidRDefault="00CC52B2" w:rsidP="00CC52B2">
      <w:r w:rsidRPr="0000605C">
        <w:lastRenderedPageBreak/>
        <w:t>A further improvement is the inclusion of developer input to the underlying land cost and sale price of dwellings. This has been used as a check against publicly sourced information and provides the benefit of aligning specific land costs with dwelling types and locations.</w:t>
      </w:r>
    </w:p>
    <w:p w:rsidR="00CC52B2" w:rsidRDefault="00CC52B2" w:rsidP="00CC52B2">
      <w:r w:rsidRPr="0000605C">
        <w:t>A key compo</w:t>
      </w:r>
      <w:r w:rsidR="009C7DE8" w:rsidRPr="0000605C">
        <w:t>nent of this assessment is the c</w:t>
      </w:r>
      <w:r w:rsidRPr="0000605C">
        <w:t>onstruction cost component. To optimise accuracy and consistency across the five cities Quantity Surveyors Rider Levett Bucknall ha</w:t>
      </w:r>
      <w:r w:rsidR="00A5187B" w:rsidRPr="0000605C">
        <w:t>s</w:t>
      </w:r>
      <w:r w:rsidRPr="0000605C">
        <w:t xml:space="preserve"> been commissioned for this component of the study. </w:t>
      </w:r>
    </w:p>
    <w:p w:rsidR="004471DC" w:rsidRPr="0000605C" w:rsidRDefault="004471DC" w:rsidP="004471DC">
      <w:r>
        <w:t xml:space="preserve">Caution should be exercised in drawing conclusions from comparisons between the 2009 and 2010 data for some components of dwelling costs data owing to the changes in methodology. The cost component categories affected by the changes in methodology are interest costs and professional fees. </w:t>
      </w:r>
    </w:p>
    <w:p w:rsidR="00CC52B2" w:rsidRPr="0000605C" w:rsidRDefault="00CC52B2" w:rsidP="00CC52B2">
      <w:pPr>
        <w:pStyle w:val="Head2no"/>
      </w:pPr>
      <w:bookmarkStart w:id="11" w:name="_Toc294088023"/>
      <w:r w:rsidRPr="0000605C">
        <w:t>Results and Analysis</w:t>
      </w:r>
      <w:bookmarkEnd w:id="11"/>
    </w:p>
    <w:p w:rsidR="00E26A58" w:rsidRPr="0000605C" w:rsidRDefault="009C7DE8" w:rsidP="00E26A58">
      <w:r w:rsidRPr="0000605C">
        <w:t xml:space="preserve">The analysis of infill and </w:t>
      </w:r>
      <w:proofErr w:type="gramStart"/>
      <w:smartTag w:uri="urn:schemas-microsoft-com:office:smarttags" w:element="place">
        <w:smartTag w:uri="urn:schemas-microsoft-com:office:smarttags" w:element="City">
          <w:r w:rsidRPr="0000605C">
            <w:t>g</w:t>
          </w:r>
          <w:r w:rsidR="00C3440D" w:rsidRPr="0000605C">
            <w:t>reenfield</w:t>
          </w:r>
        </w:smartTag>
      </w:smartTag>
      <w:proofErr w:type="gramEnd"/>
      <w:r w:rsidR="00C3440D" w:rsidRPr="0000605C">
        <w:t xml:space="preserve"> development has enabled a comparison of cost components between the five subject cities. The results of the analysis are summarised as follows.  </w:t>
      </w:r>
    </w:p>
    <w:p w:rsidR="00CC52B2" w:rsidRPr="0000605C" w:rsidRDefault="00CC52B2" w:rsidP="00CC52B2">
      <w:pPr>
        <w:pStyle w:val="Head3no"/>
      </w:pPr>
      <w:bookmarkStart w:id="12" w:name="_Toc294088024"/>
      <w:r w:rsidRPr="0000605C">
        <w:t>Infill Dwelling Costs</w:t>
      </w:r>
      <w:bookmarkEnd w:id="12"/>
    </w:p>
    <w:p w:rsidR="00CC52B2" w:rsidRPr="0000605C" w:rsidRDefault="009C7DE8" w:rsidP="00CC52B2">
      <w:r w:rsidRPr="0000605C">
        <w:t>The commercial viability of i</w:t>
      </w:r>
      <w:r w:rsidR="00CC52B2" w:rsidRPr="0000605C">
        <w:t xml:space="preserve">nfill dwelling development </w:t>
      </w:r>
      <w:r w:rsidRPr="0000605C">
        <w:t xml:space="preserve">has </w:t>
      </w:r>
      <w:r w:rsidR="00CC52B2" w:rsidRPr="0000605C">
        <w:t xml:space="preserve">improved across </w:t>
      </w:r>
      <w:smartTag w:uri="urn:schemas-microsoft-com:office:smarttags" w:element="City">
        <w:r w:rsidRPr="0000605C">
          <w:t>Sydney</w:t>
        </w:r>
      </w:smartTag>
      <w:r w:rsidRPr="0000605C">
        <w:t xml:space="preserve">, </w:t>
      </w:r>
      <w:smartTag w:uri="urn:schemas-microsoft-com:office:smarttags" w:element="City">
        <w:r w:rsidRPr="0000605C">
          <w:t>Brisbane</w:t>
        </w:r>
      </w:smartTag>
      <w:r w:rsidRPr="0000605C">
        <w:t xml:space="preserve"> and </w:t>
      </w:r>
      <w:smartTag w:uri="urn:schemas-microsoft-com:office:smarttags" w:element="place">
        <w:smartTag w:uri="urn:schemas-microsoft-com:office:smarttags" w:element="City">
          <w:r w:rsidRPr="0000605C">
            <w:t>Perth</w:t>
          </w:r>
        </w:smartTag>
      </w:smartTag>
      <w:r w:rsidRPr="0000605C">
        <w:t xml:space="preserve">. In the </w:t>
      </w:r>
      <w:smartTag w:uri="urn:schemas-microsoft-com:office:smarttags" w:element="place">
        <w:smartTag w:uri="urn:schemas-microsoft-com:office:smarttags" w:element="City">
          <w:r w:rsidRPr="0000605C">
            <w:t>Melbourne</w:t>
          </w:r>
        </w:smartTag>
      </w:smartTag>
      <w:r w:rsidRPr="0000605C">
        <w:t xml:space="preserve"> market the viability of infill development declined marginally but is still performing relatively well. </w:t>
      </w:r>
      <w:smartTag w:uri="urn:schemas-microsoft-com:office:smarttags" w:element="place">
        <w:smartTag w:uri="urn:schemas-microsoft-com:office:smarttags" w:element="City">
          <w:r w:rsidR="00CC52B2" w:rsidRPr="0000605C">
            <w:t>Adelaide</w:t>
          </w:r>
        </w:smartTag>
      </w:smartTag>
      <w:r w:rsidRPr="0000605C">
        <w:t xml:space="preserve"> </w:t>
      </w:r>
      <w:r w:rsidR="00CC52B2" w:rsidRPr="0000605C">
        <w:t xml:space="preserve">saw a further decline in the viability of medium and high rise infill dwelling development. </w:t>
      </w:r>
    </w:p>
    <w:p w:rsidR="00CC52B2" w:rsidRPr="0000605C" w:rsidRDefault="00CC52B2" w:rsidP="00CC52B2">
      <w:smartTag w:uri="urn:schemas-microsoft-com:office:smarttags" w:element="City">
        <w:r w:rsidRPr="0000605C">
          <w:t>Melbourne</w:t>
        </w:r>
      </w:smartTag>
      <w:r w:rsidRPr="0000605C">
        <w:t xml:space="preserve"> conti</w:t>
      </w:r>
      <w:r w:rsidR="009C7DE8" w:rsidRPr="0000605C">
        <w:t>nues to be the best performing i</w:t>
      </w:r>
      <w:r w:rsidRPr="0000605C">
        <w:t xml:space="preserve">nfill dwelling market in </w:t>
      </w:r>
      <w:smartTag w:uri="urn:schemas-microsoft-com:office:smarttags" w:element="place">
        <w:smartTag w:uri="urn:schemas-microsoft-com:office:smarttags" w:element="country-region">
          <w:r w:rsidRPr="0000605C">
            <w:t>Australia</w:t>
          </w:r>
        </w:smartTag>
      </w:smartTag>
      <w:r w:rsidRPr="0000605C">
        <w:t xml:space="preserve"> both in terms of volume and profitability. This performance is underpinned by </w:t>
      </w:r>
      <w:r w:rsidR="009C7DE8" w:rsidRPr="0000605C">
        <w:t>low land costs and competitive government taxes and c</w:t>
      </w:r>
      <w:r w:rsidR="008D4BEF" w:rsidRPr="0000605C">
        <w:t>harges, principally low i</w:t>
      </w:r>
      <w:r w:rsidRPr="0000605C">
        <w:t xml:space="preserve">nfrastructure charges for this type of development. This is being offset by rising construction costs and sale prices which are starting to squeeze profit margins. It will be interesting to see if </w:t>
      </w:r>
      <w:smartTag w:uri="urn:schemas-microsoft-com:office:smarttags" w:element="place">
        <w:smartTag w:uri="urn:schemas-microsoft-com:office:smarttags" w:element="City">
          <w:r w:rsidRPr="0000605C">
            <w:t>Melbourne</w:t>
          </w:r>
        </w:smartTag>
      </w:smartTag>
      <w:r w:rsidRPr="0000605C">
        <w:t xml:space="preserve"> can retain the market balance it has been able to achieve between supply, demand, and costing</w:t>
      </w:r>
      <w:r w:rsidR="000B17E0" w:rsidRPr="0000605C">
        <w:t xml:space="preserve"> over the coming 12</w:t>
      </w:r>
      <w:r w:rsidR="008D4BEF" w:rsidRPr="0000605C">
        <w:t xml:space="preserve"> </w:t>
      </w:r>
      <w:r w:rsidR="000B17E0" w:rsidRPr="0000605C">
        <w:t xml:space="preserve">months. </w:t>
      </w:r>
    </w:p>
    <w:p w:rsidR="004A7516" w:rsidRPr="0000605C" w:rsidRDefault="00752FF2" w:rsidP="00CC52B2">
      <w:r w:rsidRPr="0000605C">
        <w:object w:dxaOrig="9370" w:dyaOrig="6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16.5pt" o:ole="">
            <v:imagedata r:id="rId20" o:title=""/>
          </v:shape>
          <o:OLEObject Type="Link" ProgID="Excel.Sheet.8" ShapeID="_x0000_i1025" DrawAspect="Content" r:id="rId21" UpdateMode="Always">
            <o:LinkType>Picture</o:LinkType>
            <o:LockedField>false</o:LockedField>
          </o:OLEObject>
        </w:object>
      </w:r>
    </w:p>
    <w:p w:rsidR="008E6601" w:rsidRDefault="008E6601" w:rsidP="00CC52B2"/>
    <w:p w:rsidR="008E6601" w:rsidRDefault="008E6601" w:rsidP="00CC52B2"/>
    <w:p w:rsidR="00CC52B2" w:rsidRPr="0000605C" w:rsidRDefault="00CC52B2" w:rsidP="00CC52B2">
      <w:smartTag w:uri="urn:schemas-microsoft-com:office:smarttags" w:element="City">
        <w:r w:rsidRPr="0000605C">
          <w:t>Sydney</w:t>
        </w:r>
      </w:smartTag>
      <w:r w:rsidRPr="0000605C">
        <w:t xml:space="preserve">, </w:t>
      </w:r>
      <w:smartTag w:uri="urn:schemas-microsoft-com:office:smarttags" w:element="City">
        <w:r w:rsidRPr="0000605C">
          <w:t>Brisbane</w:t>
        </w:r>
      </w:smartTag>
      <w:r w:rsidRPr="0000605C">
        <w:t xml:space="preserve"> and </w:t>
      </w:r>
      <w:smartTag w:uri="urn:schemas-microsoft-com:office:smarttags" w:element="place">
        <w:smartTag w:uri="urn:schemas-microsoft-com:office:smarttags" w:element="City">
          <w:r w:rsidRPr="0000605C">
            <w:t>Perth</w:t>
          </w:r>
        </w:smartTag>
      </w:smartTag>
      <w:r w:rsidRPr="0000605C">
        <w:t xml:space="preserve"> achieved </w:t>
      </w:r>
      <w:r w:rsidR="00F0641C" w:rsidRPr="0000605C">
        <w:t xml:space="preserve">a </w:t>
      </w:r>
      <w:r w:rsidRPr="0000605C">
        <w:t xml:space="preserve">notable </w:t>
      </w:r>
      <w:r w:rsidR="00F0641C" w:rsidRPr="0000605C">
        <w:t>increase in the costings of their i</w:t>
      </w:r>
      <w:r w:rsidRPr="0000605C">
        <w:t xml:space="preserve">nfill dwelling products. In </w:t>
      </w:r>
      <w:smartTag w:uri="urn:schemas-microsoft-com:office:smarttags" w:element="place">
        <w:smartTag w:uri="urn:schemas-microsoft-com:office:smarttags" w:element="City">
          <w:r w:rsidRPr="0000605C">
            <w:t>Sydney</w:t>
          </w:r>
        </w:smartTag>
      </w:smartTag>
      <w:r w:rsidRPr="0000605C">
        <w:t xml:space="preserve"> this has been driven by an increase in sale price and a stable construction cost. </w:t>
      </w:r>
      <w:smartTag w:uri="urn:schemas-microsoft-com:office:smarttags" w:element="place">
        <w:smartTag w:uri="urn:schemas-microsoft-com:office:smarttags" w:element="City">
          <w:r w:rsidRPr="0000605C">
            <w:t>Perth</w:t>
          </w:r>
        </w:smartTag>
      </w:smartTag>
      <w:r w:rsidRPr="0000605C">
        <w:t xml:space="preserve"> has benefited from the same situation though it has</w:t>
      </w:r>
      <w:r w:rsidR="000B17E0" w:rsidRPr="0000605C">
        <w:t xml:space="preserve"> also</w:t>
      </w:r>
      <w:r w:rsidRPr="0000605C">
        <w:t xml:space="preserve"> benefited from a reduction in construction costs. </w:t>
      </w:r>
      <w:smartTag w:uri="urn:schemas-microsoft-com:office:smarttags" w:element="place">
        <w:smartTag w:uri="urn:schemas-microsoft-com:office:smarttags" w:element="City">
          <w:r w:rsidRPr="0000605C">
            <w:t>Brisbane</w:t>
          </w:r>
        </w:smartTag>
      </w:smartTag>
      <w:r w:rsidRPr="0000605C">
        <w:t xml:space="preserve"> has benefited from an increase in sale prices and a reduction in land prices. This reflects the potential oversupply of sites (land price) and supply constraints from the detached housing market (benefiting price).</w:t>
      </w:r>
    </w:p>
    <w:p w:rsidR="00CC52B2" w:rsidRPr="0000605C" w:rsidRDefault="00CC52B2" w:rsidP="00CC52B2">
      <w:r w:rsidRPr="0000605C">
        <w:t>Construction remains</w:t>
      </w:r>
      <w:r w:rsidR="00F0641C" w:rsidRPr="0000605C">
        <w:t xml:space="preserve"> the largest cost component of i</w:t>
      </w:r>
      <w:r w:rsidRPr="0000605C">
        <w:t>nfill dwellings (45%-60%) and a key area to focus reform to impro</w:t>
      </w:r>
      <w:r w:rsidR="00FD5BB4" w:rsidRPr="0000605C">
        <w:t>ve housing affordability. While</w:t>
      </w:r>
      <w:r w:rsidRPr="0000605C">
        <w:t xml:space="preserve"> most of the other factors appear to respond to market pressures or </w:t>
      </w:r>
      <w:r w:rsidR="000B17E0" w:rsidRPr="0000605C">
        <w:t>move with sale price movements,</w:t>
      </w:r>
      <w:r w:rsidRPr="0000605C">
        <w:t xml:space="preserve"> construction costs appear to be less influenced by </w:t>
      </w:r>
      <w:r w:rsidR="008E6601">
        <w:t xml:space="preserve">dwelling </w:t>
      </w:r>
      <w:r w:rsidRPr="0000605C">
        <w:t xml:space="preserve">market changes. </w:t>
      </w:r>
      <w:r w:rsidR="008E6601">
        <w:t>Indirectly though the reduction in dwelling construction levels has placed price pressure on construction inputs including materials, labour costs and sub-contractor rates. This has been more noticeabl</w:t>
      </w:r>
      <w:r w:rsidR="00E21920">
        <w:t>e</w:t>
      </w:r>
      <w:r w:rsidR="008E6601">
        <w:t xml:space="preserve"> in </w:t>
      </w:r>
      <w:smartTag w:uri="urn:schemas-microsoft-com:office:smarttags" w:element="City">
        <w:r w:rsidR="008E6601">
          <w:t>Brisbane</w:t>
        </w:r>
      </w:smartTag>
      <w:r w:rsidR="008E6601">
        <w:t xml:space="preserve"> and </w:t>
      </w:r>
      <w:smartTag w:uri="urn:schemas-microsoft-com:office:smarttags" w:element="place">
        <w:smartTag w:uri="urn:schemas-microsoft-com:office:smarttags" w:element="City">
          <w:r w:rsidR="008E6601">
            <w:t>Perth</w:t>
          </w:r>
        </w:smartTag>
      </w:smartTag>
      <w:r w:rsidR="008E6601">
        <w:t xml:space="preserve"> where construction costs have declined at relatively low rates of 3%. </w:t>
      </w:r>
      <w:r w:rsidR="00200B88" w:rsidRPr="0000605C">
        <w:t>C</w:t>
      </w:r>
      <w:r w:rsidRPr="0000605C">
        <w:t xml:space="preserve">onstruction </w:t>
      </w:r>
      <w:r w:rsidR="00FD5BB4" w:rsidRPr="0000605C">
        <w:t>costs for medium and high rise i</w:t>
      </w:r>
      <w:r w:rsidRPr="0000605C">
        <w:t>nfill dwellings are in th</w:t>
      </w:r>
      <w:r w:rsidR="00F0641C" w:rsidRPr="0000605C">
        <w:t xml:space="preserve">e order of 50% higher than for </w:t>
      </w:r>
      <w:proofErr w:type="gramStart"/>
      <w:smartTag w:uri="urn:schemas-microsoft-com:office:smarttags" w:element="place">
        <w:smartTag w:uri="urn:schemas-microsoft-com:office:smarttags" w:element="City">
          <w:r w:rsidR="00F0641C" w:rsidRPr="0000605C">
            <w:t>g</w:t>
          </w:r>
          <w:r w:rsidRPr="0000605C">
            <w:t>reenfield</w:t>
          </w:r>
        </w:smartTag>
      </w:smartTag>
      <w:proofErr w:type="gramEnd"/>
      <w:r w:rsidRPr="0000605C">
        <w:t xml:space="preserve"> dwellings that are of a larger size</w:t>
      </w:r>
      <w:r w:rsidR="000B17E0" w:rsidRPr="0000605C">
        <w:t xml:space="preserve"> (2 bed vs 3 bed)</w:t>
      </w:r>
      <w:r w:rsidRPr="0000605C">
        <w:t xml:space="preserve">. This is a barrier to the provision of affordable inner city dwellings. There are a number of factors that lead to </w:t>
      </w:r>
      <w:r w:rsidR="00F0641C" w:rsidRPr="0000605C">
        <w:t xml:space="preserve">greater construction costs for infill dwellings over </w:t>
      </w:r>
      <w:proofErr w:type="gramStart"/>
      <w:smartTag w:uri="urn:schemas-microsoft-com:office:smarttags" w:element="place">
        <w:smartTag w:uri="urn:schemas-microsoft-com:office:smarttags" w:element="City">
          <w:r w:rsidR="00F0641C" w:rsidRPr="0000605C">
            <w:t>g</w:t>
          </w:r>
          <w:r w:rsidRPr="0000605C">
            <w:t>reenfield</w:t>
          </w:r>
        </w:smartTag>
      </w:smartTag>
      <w:proofErr w:type="gramEnd"/>
      <w:r w:rsidRPr="0000605C">
        <w:t xml:space="preserve"> dwellings. These include higher environmental and safety requirements; additional components such as lifts, sprinklers, basements, and fire stairs; and additional labour costs associated with unionisation. </w:t>
      </w:r>
    </w:p>
    <w:p w:rsidR="00CC52B2" w:rsidRPr="0000605C" w:rsidRDefault="00CC52B2" w:rsidP="00CC52B2">
      <w:r w:rsidRPr="0000605C">
        <w:t>The next</w:t>
      </w:r>
      <w:r w:rsidR="00F0641C" w:rsidRPr="0000605C">
        <w:t xml:space="preserve"> most significant component is government taxes and charges (14-16%). GST, stamp duty and infrastructure c</w:t>
      </w:r>
      <w:r w:rsidRPr="0000605C">
        <w:t>harges are the principal components here. Little progress appears to have been achieved in this regard across most jurisdictions in regard to addressing the big</w:t>
      </w:r>
      <w:r w:rsidR="00F0641C" w:rsidRPr="0000605C">
        <w:t xml:space="preserve"> issues of tax reform. GST and stamp d</w:t>
      </w:r>
      <w:r w:rsidRPr="0000605C">
        <w:t>uty remain a double cost blow to new dwellings in an industry which has affordability issues.</w:t>
      </w:r>
    </w:p>
    <w:p w:rsidR="00CC52B2" w:rsidRPr="0000605C" w:rsidRDefault="00CC52B2" w:rsidP="00CC52B2">
      <w:pPr>
        <w:pStyle w:val="BodyText"/>
      </w:pPr>
      <w:r w:rsidRPr="0000605C">
        <w:t xml:space="preserve">Price pressure on land appears to have reduced somewhat with </w:t>
      </w:r>
      <w:smartTag w:uri="urn:schemas-microsoft-com:office:smarttags" w:element="place">
        <w:smartTag w:uri="urn:schemas-microsoft-com:office:smarttags" w:element="City">
          <w:r w:rsidRPr="0000605C">
            <w:t>Brisbane</w:t>
          </w:r>
        </w:smartTag>
      </w:smartTag>
      <w:r w:rsidRPr="0000605C">
        <w:t xml:space="preserve"> experiencing a fall and most of the other cities remaining relatively stable. </w:t>
      </w:r>
      <w:smartTag w:uri="urn:schemas-microsoft-com:office:smarttags" w:element="place">
        <w:smartTag w:uri="urn:schemas-microsoft-com:office:smarttags" w:element="City">
          <w:r w:rsidRPr="0000605C">
            <w:t>Perth</w:t>
          </w:r>
        </w:smartTag>
      </w:smartTag>
      <w:r w:rsidRPr="0000605C">
        <w:t xml:space="preserve"> is the exception here and this may be the result of a shortage of appropriate sites and the improving market.</w:t>
      </w:r>
    </w:p>
    <w:p w:rsidR="00200B88" w:rsidRPr="0000605C" w:rsidRDefault="00200B88" w:rsidP="00CC52B2">
      <w:pPr>
        <w:pStyle w:val="BodyText"/>
      </w:pPr>
      <w:r w:rsidRPr="0000605C">
        <w:t xml:space="preserve">Across most markets, infill dwellings (medium to high density) have an average of 10% to 30% higher costs to purchasers than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Under current development conditions this is unlikely to change in the near future. While this situation continues this form of dwelling will provide a limited solution to improve housing affordability. </w:t>
      </w:r>
    </w:p>
    <w:p w:rsidR="00CC52B2" w:rsidRPr="0000605C" w:rsidRDefault="00CC52B2" w:rsidP="00CC52B2">
      <w:pPr>
        <w:pStyle w:val="Head3no"/>
      </w:pPr>
      <w:bookmarkStart w:id="13" w:name="_Toc294088025"/>
      <w:smartTag w:uri="urn:schemas-microsoft-com:office:smarttags" w:element="place">
        <w:smartTag w:uri="urn:schemas-microsoft-com:office:smarttags" w:element="City">
          <w:r w:rsidRPr="0000605C">
            <w:t>Greenfield</w:t>
          </w:r>
        </w:smartTag>
      </w:smartTag>
      <w:r w:rsidRPr="0000605C">
        <w:t xml:space="preserve"> Dwelling Costs</w:t>
      </w:r>
      <w:bookmarkEnd w:id="13"/>
    </w:p>
    <w:p w:rsidR="00CC52B2" w:rsidRPr="0000605C" w:rsidRDefault="00CC52B2" w:rsidP="00CC52B2">
      <w:smartTag w:uri="urn:schemas-microsoft-com:office:smarttags" w:element="place">
        <w:smartTag w:uri="urn:schemas-microsoft-com:office:smarttags" w:element="City">
          <w:r w:rsidRPr="0000605C">
            <w:t>Greenfield</w:t>
          </w:r>
        </w:smartTag>
      </w:smartTag>
      <w:r w:rsidRPr="0000605C">
        <w:t xml:space="preserve"> dwelling markets across the five major cities have varied over 2010. </w:t>
      </w:r>
      <w:smartTag w:uri="urn:schemas-microsoft-com:office:smarttags" w:element="place">
        <w:smartTag w:uri="urn:schemas-microsoft-com:office:smarttags" w:element="City">
          <w:r w:rsidRPr="0000605C">
            <w:t>Sydney</w:t>
          </w:r>
        </w:smartTag>
      </w:smartTag>
      <w:r w:rsidRPr="0000605C">
        <w:t xml:space="preserve"> has experienced a decline as the market has responded to price point pressures. Costs have not fallen in line with prices and subsequently profit margins have fallen. Land costs have come back in line with dwelling prices. Overall affordability in this market has improved but will not be sustainable unless other costs fall in line with prices.</w:t>
      </w:r>
    </w:p>
    <w:p w:rsidR="00CC52B2" w:rsidRPr="0000605C" w:rsidRDefault="00752FF2" w:rsidP="00CC52B2">
      <w:r w:rsidRPr="0000605C">
        <w:object w:dxaOrig="9370" w:dyaOrig="6480">
          <v:shape id="_x0000_i1026" type="#_x0000_t75" style="width:468.75pt;height:324pt" o:ole="">
            <v:imagedata r:id="rId22" o:title=""/>
          </v:shape>
          <o:OLEObject Type="Link" ProgID="Excel.Sheet.8" ShapeID="_x0000_i1026" DrawAspect="Content" r:id="rId23" UpdateMode="Always">
            <o:LinkType>Picture</o:LinkType>
            <o:LockedField>false</o:LockedField>
          </o:OLEObject>
        </w:object>
      </w:r>
    </w:p>
    <w:p w:rsidR="00CC52B2" w:rsidRPr="0000605C" w:rsidRDefault="00FD5BB4" w:rsidP="00CC52B2">
      <w:r w:rsidRPr="0000605C">
        <w:t xml:space="preserve">The </w:t>
      </w:r>
      <w:smartTag w:uri="urn:schemas-microsoft-com:office:smarttags" w:element="City">
        <w:r w:rsidRPr="0000605C">
          <w:t>Melbourne</w:t>
        </w:r>
      </w:smartTag>
      <w:r w:rsidRPr="0000605C">
        <w:t xml:space="preserve"> </w:t>
      </w:r>
      <w:proofErr w:type="gramStart"/>
      <w:smartTag w:uri="urn:schemas-microsoft-com:office:smarttags" w:element="place">
        <w:smartTag w:uri="urn:schemas-microsoft-com:office:smarttags" w:element="City">
          <w:r w:rsidRPr="0000605C">
            <w:t>g</w:t>
          </w:r>
          <w:r w:rsidR="00CC52B2" w:rsidRPr="0000605C">
            <w:t>reenfield</w:t>
          </w:r>
        </w:smartTag>
      </w:smartTag>
      <w:proofErr w:type="gramEnd"/>
      <w:r w:rsidR="00CC52B2" w:rsidRPr="0000605C">
        <w:t xml:space="preserve"> market has remained relatively strong over the year showing an increase in pricing and associated increases in costs. Developer margins have been squeezed slightly as costs have </w:t>
      </w:r>
      <w:proofErr w:type="gramStart"/>
      <w:r w:rsidR="00CC52B2" w:rsidRPr="0000605C">
        <w:t>risen</w:t>
      </w:r>
      <w:proofErr w:type="gramEnd"/>
      <w:r w:rsidR="00CC52B2" w:rsidRPr="0000605C">
        <w:t xml:space="preserve"> more than prices and this may reflect a downturn in the market going forward. </w:t>
      </w:r>
      <w:smartTag w:uri="urn:schemas-microsoft-com:office:smarttags" w:element="City">
        <w:r w:rsidR="00CC52B2" w:rsidRPr="0000605C">
          <w:t>Melbourne</w:t>
        </w:r>
      </w:smartTag>
      <w:r w:rsidR="00CC52B2" w:rsidRPr="0000605C">
        <w:t>’s affordability advantage through its depth of product priced under $450,000 allows</w:t>
      </w:r>
      <w:r w:rsidRPr="0000605C">
        <w:t xml:space="preserve"> it to maintain high levels of </w:t>
      </w:r>
      <w:proofErr w:type="gramStart"/>
      <w:smartTag w:uri="urn:schemas-microsoft-com:office:smarttags" w:element="place">
        <w:smartTag w:uri="urn:schemas-microsoft-com:office:smarttags" w:element="City">
          <w:r w:rsidRPr="0000605C">
            <w:t>g</w:t>
          </w:r>
          <w:r w:rsidR="00CC52B2" w:rsidRPr="0000605C">
            <w:t>reenfield</w:t>
          </w:r>
        </w:smartTag>
      </w:smartTag>
      <w:proofErr w:type="gramEnd"/>
      <w:r w:rsidR="00CC52B2" w:rsidRPr="0000605C">
        <w:t xml:space="preserve"> dwelling development.</w:t>
      </w:r>
    </w:p>
    <w:p w:rsidR="00CC52B2" w:rsidRPr="0000605C" w:rsidRDefault="00FD5BB4" w:rsidP="00CC52B2">
      <w:r w:rsidRPr="0000605C">
        <w:t xml:space="preserve">The </w:t>
      </w:r>
      <w:smartTag w:uri="urn:schemas-microsoft-com:office:smarttags" w:element="City">
        <w:r w:rsidRPr="0000605C">
          <w:t>Brisbane</w:t>
        </w:r>
      </w:smartTag>
      <w:r w:rsidRPr="0000605C">
        <w:t xml:space="preserve"> </w:t>
      </w:r>
      <w:proofErr w:type="gramStart"/>
      <w:smartTag w:uri="urn:schemas-microsoft-com:office:smarttags" w:element="City">
        <w:r w:rsidRPr="0000605C">
          <w:t>g</w:t>
        </w:r>
        <w:r w:rsidR="00CC52B2" w:rsidRPr="0000605C">
          <w:t>reenfield</w:t>
        </w:r>
      </w:smartTag>
      <w:proofErr w:type="gramEnd"/>
      <w:r w:rsidR="00CC52B2" w:rsidRPr="0000605C">
        <w:t xml:space="preserve"> dwelling market has responded to consum</w:t>
      </w:r>
      <w:r w:rsidRPr="0000605C">
        <w:t xml:space="preserve">er price pressures and reduced </w:t>
      </w:r>
      <w:smartTag w:uri="urn:schemas-microsoft-com:office:smarttags" w:element="place">
        <w:smartTag w:uri="urn:schemas-microsoft-com:office:smarttags" w:element="City">
          <w:r w:rsidRPr="0000605C">
            <w:t>g</w:t>
          </w:r>
          <w:r w:rsidR="00CC52B2" w:rsidRPr="0000605C">
            <w:t>reenfield</w:t>
          </w:r>
        </w:smartTag>
      </w:smartTag>
      <w:r w:rsidR="00CC52B2" w:rsidRPr="0000605C">
        <w:t xml:space="preserve"> dwelling prices and costs. This has been principally achieved through lower land costs, stable construction costs, and the reduced costs associated with lower</w:t>
      </w:r>
      <w:r w:rsidR="003B312E" w:rsidRPr="0000605C">
        <w:t xml:space="preserve"> sale prices including GST and stamp d</w:t>
      </w:r>
      <w:r w:rsidR="00CC52B2" w:rsidRPr="0000605C">
        <w:t>uty.</w:t>
      </w:r>
    </w:p>
    <w:p w:rsidR="00CC52B2" w:rsidRPr="0000605C" w:rsidRDefault="00FD5BB4" w:rsidP="00CC52B2">
      <w:r w:rsidRPr="0000605C">
        <w:t xml:space="preserve">The </w:t>
      </w:r>
      <w:proofErr w:type="gramStart"/>
      <w:smartTag w:uri="urn:schemas-microsoft-com:office:smarttags" w:element="City">
        <w:r w:rsidRPr="0000605C">
          <w:t>g</w:t>
        </w:r>
        <w:r w:rsidR="00CC52B2" w:rsidRPr="0000605C">
          <w:t>reenfield</w:t>
        </w:r>
      </w:smartTag>
      <w:proofErr w:type="gramEnd"/>
      <w:r w:rsidR="00CC52B2" w:rsidRPr="0000605C">
        <w:t xml:space="preserve"> dwelling market in </w:t>
      </w:r>
      <w:smartTag w:uri="urn:schemas-microsoft-com:office:smarttags" w:element="place">
        <w:smartTag w:uri="urn:schemas-microsoft-com:office:smarttags" w:element="City">
          <w:r w:rsidR="00CC52B2" w:rsidRPr="0000605C">
            <w:t>Perth</w:t>
          </w:r>
        </w:smartTag>
      </w:smartTag>
      <w:r w:rsidR="00CC52B2" w:rsidRPr="0000605C">
        <w:t xml:space="preserve"> has turned around in 2010 with increased sale prices, reduced land costs, and reduced construction costs. This has led to a recovery in profit to credible levels and strong dwelling development activity at long term averages.</w:t>
      </w:r>
    </w:p>
    <w:p w:rsidR="00CC52B2" w:rsidRPr="0000605C" w:rsidRDefault="00CC52B2" w:rsidP="00CC52B2">
      <w:r w:rsidRPr="0000605C">
        <w:t>Construction costs repr</w:t>
      </w:r>
      <w:r w:rsidR="003B312E" w:rsidRPr="0000605C">
        <w:t>esent the largest component of total costs to p</w:t>
      </w:r>
      <w:r w:rsidRPr="0000605C">
        <w:t>urchasers (36% to 53%) t</w:t>
      </w:r>
      <w:r w:rsidR="00FD5BB4" w:rsidRPr="0000605C">
        <w:t>hough at levels lower than for i</w:t>
      </w:r>
      <w:r w:rsidRPr="0000605C">
        <w:t xml:space="preserve">nfill dwellings. Most markets have experienced rises with </w:t>
      </w:r>
      <w:smartTag w:uri="urn:schemas-microsoft-com:office:smarttags" w:element="place">
        <w:smartTag w:uri="urn:schemas-microsoft-com:office:smarttags" w:element="City">
          <w:r w:rsidRPr="0000605C">
            <w:t>Perth</w:t>
          </w:r>
        </w:smartTag>
      </w:smartTag>
      <w:r w:rsidRPr="0000605C">
        <w:t xml:space="preserve"> the only market reflecting less competitive conditions with a $24,000 fall.</w:t>
      </w:r>
    </w:p>
    <w:p w:rsidR="00CC52B2" w:rsidRPr="0000605C" w:rsidRDefault="003B312E" w:rsidP="00CC52B2">
      <w:r w:rsidRPr="0000605C">
        <w:t>Government taxes and c</w:t>
      </w:r>
      <w:r w:rsidR="00CC52B2" w:rsidRPr="0000605C">
        <w:t>harges remain a significant component (17%</w:t>
      </w:r>
      <w:r w:rsidR="00FD5BB4" w:rsidRPr="0000605C">
        <w:t xml:space="preserve"> to 22%) of </w:t>
      </w:r>
      <w:proofErr w:type="gramStart"/>
      <w:smartTag w:uri="urn:schemas-microsoft-com:office:smarttags" w:element="place">
        <w:smartTag w:uri="urn:schemas-microsoft-com:office:smarttags" w:element="City">
          <w:r w:rsidR="00FD5BB4" w:rsidRPr="0000605C">
            <w:t>g</w:t>
          </w:r>
          <w:r w:rsidR="00CC52B2" w:rsidRPr="0000605C">
            <w:t>reenfield</w:t>
          </w:r>
        </w:smartTag>
      </w:smartTag>
      <w:proofErr w:type="gramEnd"/>
      <w:r w:rsidR="00CC52B2" w:rsidRPr="0000605C">
        <w:t xml:space="preserve"> dwelling costs through</w:t>
      </w:r>
      <w:r w:rsidRPr="0000605C">
        <w:t xml:space="preserve"> major contributions from GST, stamp duty, and i</w:t>
      </w:r>
      <w:r w:rsidR="00CC52B2" w:rsidRPr="0000605C">
        <w:t>nfrastructure charges in Sydney and</w:t>
      </w:r>
      <w:r w:rsidR="00FD5BB4" w:rsidRPr="0000605C">
        <w:t xml:space="preserve"> Brisbane. As is the case with i</w:t>
      </w:r>
      <w:r w:rsidRPr="0000605C">
        <w:t>nfill dwellings the</w:t>
      </w:r>
      <w:r w:rsidR="00CC52B2" w:rsidRPr="0000605C">
        <w:t>r</w:t>
      </w:r>
      <w:r w:rsidRPr="0000605C">
        <w:t>e</w:t>
      </w:r>
      <w:r w:rsidR="00CC52B2" w:rsidRPr="0000605C">
        <w:t xml:space="preserve"> remains pressure for reform in these areas.</w:t>
      </w:r>
    </w:p>
    <w:p w:rsidR="00CC52B2" w:rsidRPr="0000605C" w:rsidRDefault="00CC52B2" w:rsidP="00CC52B2">
      <w:pPr>
        <w:pStyle w:val="Head2no"/>
      </w:pPr>
      <w:bookmarkStart w:id="14" w:name="_Toc294088026"/>
      <w:r w:rsidRPr="0000605C">
        <w:t>Policy Responses</w:t>
      </w:r>
      <w:bookmarkEnd w:id="14"/>
    </w:p>
    <w:p w:rsidR="00CC52B2" w:rsidRDefault="00CC52B2" w:rsidP="00CC52B2">
      <w:r w:rsidRPr="0000605C">
        <w:t xml:space="preserve">The findings from </w:t>
      </w:r>
      <w:r w:rsidR="00A16704" w:rsidRPr="0000605C">
        <w:t xml:space="preserve">the 2011 </w:t>
      </w:r>
      <w:r w:rsidRPr="0000605C">
        <w:t>N</w:t>
      </w:r>
      <w:r w:rsidR="00453402" w:rsidRPr="0000605C">
        <w:t>ational Dwelling Cost S</w:t>
      </w:r>
      <w:r w:rsidR="00FD5BB4" w:rsidRPr="0000605C">
        <w:t xml:space="preserve">tudy of </w:t>
      </w:r>
      <w:proofErr w:type="gramStart"/>
      <w:smartTag w:uri="urn:schemas-microsoft-com:office:smarttags" w:element="City">
        <w:r w:rsidR="00FD5BB4" w:rsidRPr="0000605C">
          <w:t>g</w:t>
        </w:r>
        <w:r w:rsidRPr="0000605C">
          <w:t>reenfield</w:t>
        </w:r>
      </w:smartTag>
      <w:proofErr w:type="gramEnd"/>
      <w:r w:rsidR="00FD5BB4" w:rsidRPr="0000605C">
        <w:t xml:space="preserve"> and i</w:t>
      </w:r>
      <w:r w:rsidRPr="0000605C">
        <w:t xml:space="preserve">nfill dwellings across </w:t>
      </w:r>
      <w:smartTag w:uri="urn:schemas-microsoft-com:office:smarttags" w:element="country-region">
        <w:r w:rsidRPr="0000605C">
          <w:t>Australia</w:t>
        </w:r>
      </w:smartTag>
      <w:r w:rsidRPr="0000605C">
        <w:t xml:space="preserve">’s five major cities along with insights from the previous study, highlight four areas of focus for policy responses to improve housing affordability across </w:t>
      </w:r>
      <w:smartTag w:uri="urn:schemas-microsoft-com:office:smarttags" w:element="place">
        <w:smartTag w:uri="urn:schemas-microsoft-com:office:smarttags" w:element="country-region">
          <w:r w:rsidRPr="0000605C">
            <w:t>Australia</w:t>
          </w:r>
        </w:smartTag>
      </w:smartTag>
      <w:r w:rsidRPr="0000605C">
        <w:t>:</w:t>
      </w:r>
    </w:p>
    <w:p w:rsidR="008B51BF" w:rsidRDefault="008B51BF" w:rsidP="00CC52B2"/>
    <w:p w:rsidR="008B51BF" w:rsidRPr="0000605C" w:rsidRDefault="008B51BF" w:rsidP="00CC52B2"/>
    <w:p w:rsidR="000C302C" w:rsidRPr="0000605C" w:rsidRDefault="000C302C" w:rsidP="000C302C">
      <w:r w:rsidRPr="0000605C">
        <w:rPr>
          <w:b/>
        </w:rPr>
        <w:t>Construction Costs</w:t>
      </w:r>
      <w:r w:rsidRPr="0000605C">
        <w:t xml:space="preserve"> – These remain the single largest component of both infill and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 costs</w:t>
      </w:r>
      <w:r>
        <w:t xml:space="preserve"> and</w:t>
      </w:r>
      <w:r w:rsidRPr="0000605C">
        <w:t xml:space="preserve"> </w:t>
      </w:r>
      <w:r>
        <w:t>s</w:t>
      </w:r>
      <w:r w:rsidRPr="0000605C">
        <w:t>ubsequently reductions in this component can have significant benefits for improved affordability. This y</w:t>
      </w:r>
      <w:r>
        <w:t>ear’s study has shown that the c</w:t>
      </w:r>
      <w:r w:rsidRPr="0000605C">
        <w:t>onstruction sector can respond to changes in market demand and supply situations. The</w:t>
      </w:r>
      <w:r>
        <w:t xml:space="preserve"> Queensland Government has attempted to address this issue through their Building Revival F</w:t>
      </w:r>
      <w:r w:rsidRPr="0000605C">
        <w:t>orum. This forum had a strong focus on demand however policy responses were also identified with relation to costs.</w:t>
      </w:r>
    </w:p>
    <w:p w:rsidR="00CC52B2" w:rsidRPr="0000605C" w:rsidRDefault="00CC52B2" w:rsidP="00CC52B2">
      <w:r w:rsidRPr="0000605C">
        <w:t xml:space="preserve">An independent study into the </w:t>
      </w:r>
      <w:r w:rsidR="00FD5BB4" w:rsidRPr="0000605C">
        <w:t>value chain of both infill and g</w:t>
      </w:r>
      <w:r w:rsidRPr="0000605C">
        <w:t xml:space="preserve">reenfield dwelling </w:t>
      </w:r>
      <w:r w:rsidR="000B17E0" w:rsidRPr="0000605C">
        <w:t xml:space="preserve">construction </w:t>
      </w:r>
      <w:r w:rsidRPr="0000605C">
        <w:t xml:space="preserve">would provide an opportunity to breakdown the elements of this cost component (as this study has done) which would shed light on </w:t>
      </w:r>
      <w:r w:rsidR="00A16704" w:rsidRPr="0000605C">
        <w:t>what the major cost factors in c</w:t>
      </w:r>
      <w:r w:rsidRPr="0000605C">
        <w:t>onstruction are and whether measures can be taken to reduce these costs.</w:t>
      </w:r>
    </w:p>
    <w:p w:rsidR="00CC52B2" w:rsidRPr="0000605C" w:rsidRDefault="00CC52B2" w:rsidP="00CC52B2">
      <w:r w:rsidRPr="0000605C">
        <w:t xml:space="preserve">A further initiative to address this cost component is through alternative dwelling materials and construction techniques. Pilot testing of fast track dwelling development for both forms of dwellings in this study have been occurring in different parts of </w:t>
      </w:r>
      <w:smartTag w:uri="urn:schemas-microsoft-com:office:smarttags" w:element="place">
        <w:smartTag w:uri="urn:schemas-microsoft-com:office:smarttags" w:element="country-region">
          <w:r w:rsidRPr="0000605C">
            <w:t>Australia</w:t>
          </w:r>
        </w:smartTag>
      </w:smartTag>
      <w:r w:rsidRPr="0000605C">
        <w:t xml:space="preserve"> over the past few years. Government incentives could be provided for the mass production of these forms of innovative, more affordable dwellings.</w:t>
      </w:r>
    </w:p>
    <w:p w:rsidR="000C302C" w:rsidRPr="0000605C" w:rsidRDefault="000C302C" w:rsidP="00CC52B2">
      <w:r w:rsidRPr="0000605C">
        <w:rPr>
          <w:b/>
        </w:rPr>
        <w:t>Tax Reform</w:t>
      </w:r>
      <w:r w:rsidRPr="0000605C">
        <w:t xml:space="preserve"> – The Australian Government presented the findings of the Henry Tax Review in 2010</w:t>
      </w:r>
      <w:r>
        <w:t xml:space="preserve">. To date the follow up to this review has been limited. New dwelling taxation reform addressing GST and stamp duty may improve housing affordability. </w:t>
      </w:r>
      <w:r w:rsidRPr="0000605C">
        <w:t xml:space="preserve">Consideration needs to be given to how to restructure these components to improve this situation. We are conscious that as </w:t>
      </w:r>
      <w:smartTag w:uri="urn:schemas-microsoft-com:office:smarttags" w:element="place">
        <w:smartTag w:uri="urn:schemas-microsoft-com:office:smarttags" w:element="country-region">
          <w:r w:rsidRPr="0000605C">
            <w:t>Australia</w:t>
          </w:r>
        </w:smartTag>
      </w:smartTag>
      <w:r w:rsidRPr="0000605C">
        <w:t xml:space="preserve"> emerges from the global financial crisis in a tight fiscal environment, policies to reduce taxation are unlikely to be appealing.</w:t>
      </w:r>
    </w:p>
    <w:p w:rsidR="00CC52B2" w:rsidRPr="0000605C" w:rsidRDefault="00CC52B2" w:rsidP="00CC52B2">
      <w:r w:rsidRPr="0000605C">
        <w:t>Ini</w:t>
      </w:r>
      <w:r w:rsidR="00453402" w:rsidRPr="0000605C">
        <w:t>tiatives to address increasing i</w:t>
      </w:r>
      <w:r w:rsidRPr="0000605C">
        <w:t xml:space="preserve">nfrastructure charges are in the process of being introduced into </w:t>
      </w:r>
      <w:smartTag w:uri="urn:schemas-microsoft-com:office:smarttags" w:element="place">
        <w:smartTag w:uri="urn:schemas-microsoft-com:office:smarttags" w:element="State">
          <w:r w:rsidRPr="0000605C">
            <w:t>Queensland</w:t>
          </w:r>
        </w:smartTag>
      </w:smartTag>
      <w:r w:rsidRPr="0000605C">
        <w:t xml:space="preserve"> following the recommendations from the State Government’s Infrastructure Charges Task Force. There is debate over the affordability of the recommended charges however they have provided short term certainty for the development industry. </w:t>
      </w:r>
      <w:smartTag w:uri="urn:schemas-microsoft-com:office:smarttags" w:element="State">
        <w:r w:rsidRPr="0000605C">
          <w:t>Queensland</w:t>
        </w:r>
      </w:smartTag>
      <w:r w:rsidRPr="0000605C">
        <w:t xml:space="preserve"> now appears to be ahead of the other states in this regard however this has not been a significant issue in </w:t>
      </w:r>
      <w:smartTag w:uri="urn:schemas-microsoft-com:office:smarttags" w:element="State">
        <w:r w:rsidRPr="0000605C">
          <w:t>Western Australia</w:t>
        </w:r>
      </w:smartTag>
      <w:r w:rsidRPr="0000605C">
        <w:t xml:space="preserve"> or </w:t>
      </w:r>
      <w:smartTag w:uri="urn:schemas-microsoft-com:office:smarttags" w:element="place">
        <w:smartTag w:uri="urn:schemas-microsoft-com:office:smarttags" w:element="State">
          <w:r w:rsidRPr="0000605C">
            <w:t>South Australia</w:t>
          </w:r>
        </w:smartTag>
      </w:smartTag>
      <w:r w:rsidRPr="0000605C">
        <w:t xml:space="preserve">. It is emerging as an issue in </w:t>
      </w:r>
      <w:smartTag w:uri="urn:schemas-microsoft-com:office:smarttags" w:element="place">
        <w:smartTag w:uri="urn:schemas-microsoft-com:office:smarttags" w:element="State">
          <w:r w:rsidRPr="0000605C">
            <w:t>Victoria</w:t>
          </w:r>
        </w:smartTag>
      </w:smartTag>
      <w:r w:rsidRPr="0000605C">
        <w:t xml:space="preserve"> with respect </w:t>
      </w:r>
      <w:r w:rsidR="00A16704" w:rsidRPr="0000605C">
        <w:t>to areas newly included in the urban growth b</w:t>
      </w:r>
      <w:r w:rsidRPr="0000605C">
        <w:t>oundary</w:t>
      </w:r>
      <w:r w:rsidR="00C05DE1" w:rsidRPr="0000605C">
        <w:t xml:space="preserve"> </w:t>
      </w:r>
      <w:r w:rsidR="00A16704" w:rsidRPr="0000605C">
        <w:t>(Growth areas infrastructure c</w:t>
      </w:r>
      <w:r w:rsidR="00C05DE1" w:rsidRPr="0000605C">
        <w:t>harges)</w:t>
      </w:r>
      <w:r w:rsidRPr="0000605C">
        <w:t xml:space="preserve">. These are likely to be comparable to </w:t>
      </w:r>
      <w:smartTag w:uri="urn:schemas-microsoft-com:office:smarttags" w:element="place">
        <w:smartTag w:uri="urn:schemas-microsoft-com:office:smarttags" w:element="City">
          <w:r w:rsidRPr="0000605C">
            <w:t>Brisbane</w:t>
          </w:r>
        </w:smartTag>
      </w:smartTag>
      <w:r w:rsidRPr="0000605C">
        <w:t xml:space="preserve"> rates in the near future for the higher rated areas.</w:t>
      </w:r>
    </w:p>
    <w:p w:rsidR="00CC52B2" w:rsidRPr="0000605C" w:rsidRDefault="00CC52B2" w:rsidP="00CC52B2">
      <w:smartTag w:uri="urn:schemas-microsoft-com:office:smarttags" w:element="place">
        <w:smartTag w:uri="urn:schemas-microsoft-com:office:smarttags" w:element="City">
          <w:r w:rsidRPr="0000605C">
            <w:t>Sydney</w:t>
          </w:r>
        </w:smartTag>
      </w:smartTag>
      <w:r w:rsidRPr="0000605C">
        <w:t xml:space="preserve"> is moving back into a high infrastructure charges regime after a couple of years of respite. This is a </w:t>
      </w:r>
      <w:r w:rsidR="00C05DE1" w:rsidRPr="0000605C">
        <w:t xml:space="preserve">symptom of a government with significant debt and limited revenue. Unfortunately this is </w:t>
      </w:r>
      <w:r w:rsidRPr="0000605C">
        <w:t>likely to const</w:t>
      </w:r>
      <w:r w:rsidR="00FD5BB4" w:rsidRPr="0000605C">
        <w:t xml:space="preserve">rain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development</w:t>
      </w:r>
      <w:r w:rsidR="00C05DE1" w:rsidRPr="0000605C">
        <w:t xml:space="preserve"> going forward</w:t>
      </w:r>
      <w:r w:rsidRPr="0000605C">
        <w:t xml:space="preserve">. </w:t>
      </w:r>
      <w:smartTag w:uri="urn:schemas-microsoft-com:office:smarttags" w:element="place">
        <w:smartTag w:uri="urn:schemas-microsoft-com:office:smarttags" w:element="City">
          <w:r w:rsidRPr="0000605C">
            <w:t>Sydney</w:t>
          </w:r>
        </w:smartTag>
      </w:smartTag>
      <w:r w:rsidRPr="0000605C">
        <w:t xml:space="preserve"> needs to find a better solution to this approach as it has been down this path before with substantial negative impacts for the development and housing industry.</w:t>
      </w:r>
    </w:p>
    <w:p w:rsidR="00CC52B2" w:rsidRPr="0000605C" w:rsidRDefault="00551F03" w:rsidP="00CC52B2">
      <w:r w:rsidRPr="0000605C">
        <w:rPr>
          <w:b/>
        </w:rPr>
        <w:t>Land s</w:t>
      </w:r>
      <w:r w:rsidR="00CC52B2" w:rsidRPr="0000605C">
        <w:rPr>
          <w:b/>
        </w:rPr>
        <w:t>upply</w:t>
      </w:r>
      <w:r w:rsidR="00CC52B2" w:rsidRPr="0000605C">
        <w:t xml:space="preserve"> – Land supply is an area where State Governments have taken the most action. In </w:t>
      </w:r>
      <w:smartTag w:uri="urn:schemas-microsoft-com:office:smarttags" w:element="State">
        <w:r w:rsidR="00CC52B2" w:rsidRPr="0000605C">
          <w:t>Queensland</w:t>
        </w:r>
      </w:smartTag>
      <w:r w:rsidR="00FD5BB4" w:rsidRPr="0000605C">
        <w:t xml:space="preserve"> four major </w:t>
      </w:r>
      <w:proofErr w:type="gramStart"/>
      <w:smartTag w:uri="urn:schemas-microsoft-com:office:smarttags" w:element="place">
        <w:smartTag w:uri="urn:schemas-microsoft-com:office:smarttags" w:element="City">
          <w:r w:rsidR="00FD5BB4" w:rsidRPr="0000605C">
            <w:t>g</w:t>
          </w:r>
          <w:r w:rsidR="00CC52B2" w:rsidRPr="0000605C">
            <w:t>reenfield</w:t>
          </w:r>
        </w:smartTag>
      </w:smartTag>
      <w:proofErr w:type="gramEnd"/>
      <w:r w:rsidR="00CC52B2" w:rsidRPr="0000605C">
        <w:t xml:space="preserve"> development areas have been placed under the planning control of the Urban Land Development Authority for fast tracking of development. </w:t>
      </w:r>
      <w:smartTag w:uri="urn:schemas-microsoft-com:office:smarttags" w:element="place">
        <w:smartTag w:uri="urn:schemas-microsoft-com:office:smarttags" w:element="City">
          <w:r w:rsidR="00CC52B2" w:rsidRPr="0000605C">
            <w:t>Sydney</w:t>
          </w:r>
        </w:smartTag>
      </w:smartTag>
      <w:r w:rsidRPr="0000605C">
        <w:t>’s northern and southern growth c</w:t>
      </w:r>
      <w:r w:rsidR="00CC52B2" w:rsidRPr="0000605C">
        <w:t xml:space="preserve">orridors are beginning to gain momentum though pricing is still an issue. </w:t>
      </w:r>
      <w:smartTag w:uri="urn:schemas-microsoft-com:office:smarttags" w:element="place">
        <w:smartTag w:uri="urn:schemas-microsoft-com:office:smarttags" w:element="City">
          <w:r w:rsidR="00CC52B2" w:rsidRPr="0000605C">
            <w:t>Perth</w:t>
          </w:r>
        </w:smartTag>
      </w:smartTag>
      <w:r w:rsidR="00CC52B2" w:rsidRPr="0000605C">
        <w:t xml:space="preserve"> has placed greater emphasis on understanding its land supply allowing it to focus policy in the right areas. Reductions and the slowing in growth in land values </w:t>
      </w:r>
      <w:r w:rsidR="00A5187B" w:rsidRPr="0000605C">
        <w:t>appear</w:t>
      </w:r>
      <w:r w:rsidR="00CC52B2" w:rsidRPr="0000605C">
        <w:t xml:space="preserve"> to reflect the impact that these policies and initiatives are having. There are lessons </w:t>
      </w:r>
      <w:r w:rsidR="00C05DE1" w:rsidRPr="0000605C">
        <w:t xml:space="preserve">to be learned </w:t>
      </w:r>
      <w:r w:rsidR="00CC52B2" w:rsidRPr="0000605C">
        <w:t>across the different states in terms of policies and initiatives that have improved land supply. Specifically these include:</w:t>
      </w:r>
    </w:p>
    <w:p w:rsidR="00CC52B2" w:rsidRPr="0000605C" w:rsidRDefault="00CC52B2" w:rsidP="00CC52B2">
      <w:pPr>
        <w:numPr>
          <w:ilvl w:val="0"/>
          <w:numId w:val="45"/>
        </w:numPr>
      </w:pPr>
      <w:r w:rsidRPr="0000605C">
        <w:t>Accurate monitoring of land supply – Victoria (Urban Development Program)</w:t>
      </w:r>
    </w:p>
    <w:p w:rsidR="00CC52B2" w:rsidRPr="0000605C" w:rsidRDefault="00551F03" w:rsidP="00CC52B2">
      <w:pPr>
        <w:numPr>
          <w:ilvl w:val="0"/>
          <w:numId w:val="45"/>
        </w:numPr>
      </w:pPr>
      <w:r w:rsidRPr="0000605C">
        <w:t>Single government a</w:t>
      </w:r>
      <w:r w:rsidR="00CC52B2" w:rsidRPr="0000605C">
        <w:t>pproval authority for planning – Queensland (ULDA)</w:t>
      </w:r>
    </w:p>
    <w:p w:rsidR="00CC52B2" w:rsidRDefault="00551F03" w:rsidP="00CC52B2">
      <w:pPr>
        <w:numPr>
          <w:ilvl w:val="0"/>
          <w:numId w:val="45"/>
        </w:numPr>
      </w:pPr>
      <w:r w:rsidRPr="0000605C">
        <w:t>Clear planning g</w:t>
      </w:r>
      <w:r w:rsidR="00CC52B2" w:rsidRPr="0000605C">
        <w:t xml:space="preserve">uidelines – </w:t>
      </w:r>
      <w:smartTag w:uri="urn:schemas-microsoft-com:office:smarttags" w:element="place">
        <w:smartTag w:uri="urn:schemas-microsoft-com:office:smarttags" w:element="State">
          <w:r w:rsidR="00CC52B2" w:rsidRPr="0000605C">
            <w:t>Western Australia</w:t>
          </w:r>
        </w:smartTag>
      </w:smartTag>
      <w:r w:rsidR="00CC52B2" w:rsidRPr="0000605C">
        <w:t xml:space="preserve"> (greater code assessment)</w:t>
      </w:r>
    </w:p>
    <w:p w:rsidR="008B51BF" w:rsidRDefault="008B51BF" w:rsidP="008B51BF"/>
    <w:p w:rsidR="008B51BF" w:rsidRDefault="008B51BF" w:rsidP="008B51BF"/>
    <w:p w:rsidR="008B51BF" w:rsidRDefault="008B51BF" w:rsidP="008B51BF"/>
    <w:p w:rsidR="008B51BF" w:rsidRPr="0000605C" w:rsidRDefault="008B51BF" w:rsidP="008B51BF"/>
    <w:p w:rsidR="00CC52B2" w:rsidRPr="0000605C" w:rsidRDefault="00551F03" w:rsidP="00CC52B2">
      <w:r w:rsidRPr="0000605C">
        <w:rPr>
          <w:b/>
        </w:rPr>
        <w:t>Product i</w:t>
      </w:r>
      <w:r w:rsidR="00CC52B2" w:rsidRPr="0000605C">
        <w:rPr>
          <w:b/>
        </w:rPr>
        <w:t>nnovations</w:t>
      </w:r>
      <w:r w:rsidR="00CC52B2" w:rsidRPr="0000605C">
        <w:t xml:space="preserve"> – It is clear that the best performing dwelling market has been </w:t>
      </w:r>
      <w:smartTag w:uri="urn:schemas-microsoft-com:office:smarttags" w:element="place">
        <w:smartTag w:uri="urn:schemas-microsoft-com:office:smarttags" w:element="City">
          <w:r w:rsidR="00CC52B2" w:rsidRPr="0000605C">
            <w:t>Melbourne</w:t>
          </w:r>
        </w:smartTag>
      </w:smartTag>
      <w:r w:rsidR="00CC52B2" w:rsidRPr="0000605C">
        <w:t xml:space="preserve"> and a key reason for this has been its ability to provide high quantities of dwellings that meet the affordability requirements of its markets. An important driver of this has been the reduction in lot sizes. This has led to lower prices and higher dwelling yields which benefit both pricing and developer margins. </w:t>
      </w:r>
      <w:r w:rsidRPr="0000605C">
        <w:t>In the future</w:t>
      </w:r>
      <w:r w:rsidR="00CC52B2" w:rsidRPr="0000605C">
        <w:t xml:space="preserve"> this may also be associated with reductions in dwelling sizes which will provide further costs savings thereby improving housing affordability. This is a key learning for all other markets especially where minimum lot sizes prevent the del</w:t>
      </w:r>
      <w:r w:rsidR="00A5187B" w:rsidRPr="0000605C">
        <w:t>ivery of lots less than 600m</w:t>
      </w:r>
      <w:r w:rsidR="00A5187B" w:rsidRPr="007B539C">
        <w:rPr>
          <w:vertAlign w:val="superscript"/>
        </w:rPr>
        <w:t>2</w:t>
      </w:r>
      <w:r w:rsidR="00CC52B2" w:rsidRPr="0000605C">
        <w:t xml:space="preserve"> or m</w:t>
      </w:r>
      <w:r w:rsidR="00453402" w:rsidRPr="0000605C">
        <w:t>ore commonly less than 400m</w:t>
      </w:r>
      <w:r w:rsidR="00453402" w:rsidRPr="007B539C">
        <w:rPr>
          <w:vertAlign w:val="superscript"/>
        </w:rPr>
        <w:t>2</w:t>
      </w:r>
      <w:r w:rsidR="00CC52B2" w:rsidRPr="0000605C">
        <w:t>.  Government guidelines can assist with this ho</w:t>
      </w:r>
      <w:r w:rsidRPr="0000605C">
        <w:t>wever it is important that the g</w:t>
      </w:r>
      <w:r w:rsidR="00CC52B2" w:rsidRPr="0000605C">
        <w:t>overnment is not too prescriptive in relation to this as the market needs flexibility to meet market requirements and work with development constraints.</w:t>
      </w:r>
    </w:p>
    <w:p w:rsidR="006107C7" w:rsidRPr="0000605C" w:rsidRDefault="00C05DE1" w:rsidP="006107C7">
      <w:r w:rsidRPr="0000605C">
        <w:t>A small section of the construction industry is responding to high construction costs through concepts such</w:t>
      </w:r>
      <w:r w:rsidR="00551F03" w:rsidRPr="0000605C">
        <w:t xml:space="preserve"> as modular housing. </w:t>
      </w:r>
      <w:r w:rsidRPr="0000605C">
        <w:t xml:space="preserve">We recommend greater government incentives including tax dispensation for these types of products. </w:t>
      </w:r>
    </w:p>
    <w:p w:rsidR="00C73A34" w:rsidRPr="0000605C" w:rsidRDefault="00C73A34" w:rsidP="006107C7"/>
    <w:p w:rsidR="009F015B" w:rsidRPr="0000605C" w:rsidRDefault="009F015B" w:rsidP="00C73A34"/>
    <w:p w:rsidR="00C73A34" w:rsidRPr="0000605C" w:rsidRDefault="00C73A34" w:rsidP="00C73A34">
      <w:pPr>
        <w:sectPr w:rsidR="00C73A34" w:rsidRPr="0000605C" w:rsidSect="00023C4E">
          <w:headerReference w:type="even" r:id="rId24"/>
          <w:headerReference w:type="default" r:id="rId25"/>
          <w:footerReference w:type="even" r:id="rId26"/>
          <w:footerReference w:type="default" r:id="rId27"/>
          <w:headerReference w:type="first" r:id="rId28"/>
          <w:pgSz w:w="11907" w:h="16840" w:code="9"/>
          <w:pgMar w:top="1134" w:right="1134" w:bottom="1418" w:left="1417" w:header="272" w:footer="340" w:gutter="0"/>
          <w:pgNumType w:start="1"/>
          <w:cols w:space="708"/>
          <w:docGrid w:linePitch="360"/>
        </w:sectPr>
      </w:pPr>
    </w:p>
    <w:p w:rsidR="00B94B4B" w:rsidRPr="0000605C" w:rsidRDefault="00B94B4B" w:rsidP="00FE277B">
      <w:pPr>
        <w:pStyle w:val="Heading1"/>
      </w:pPr>
      <w:bookmarkStart w:id="15" w:name="_Toc294088027"/>
      <w:r w:rsidRPr="0000605C">
        <w:lastRenderedPageBreak/>
        <w:t>Introduction</w:t>
      </w:r>
      <w:bookmarkEnd w:id="7"/>
      <w:bookmarkEnd w:id="15"/>
    </w:p>
    <w:p w:rsidR="00551F03" w:rsidRPr="0000605C" w:rsidRDefault="00551F03" w:rsidP="00551F03">
      <w:pPr>
        <w:rPr>
          <w:rFonts w:cs="Arial"/>
        </w:rPr>
      </w:pPr>
      <w:r w:rsidRPr="0000605C">
        <w:t xml:space="preserve">The </w:t>
      </w:r>
      <w:r w:rsidRPr="0000605C">
        <w:rPr>
          <w:rFonts w:cs="Arial"/>
        </w:rPr>
        <w:t xml:space="preserve">Australian </w:t>
      </w:r>
      <w:r w:rsidR="00940B5F">
        <w:rPr>
          <w:rFonts w:cs="Arial"/>
        </w:rPr>
        <w:t>Government</w:t>
      </w:r>
      <w:r w:rsidR="009715E7" w:rsidRPr="0000605C">
        <w:rPr>
          <w:rFonts w:cs="Arial"/>
        </w:rPr>
        <w:t xml:space="preserve"> </w:t>
      </w:r>
      <w:r w:rsidRPr="0000605C">
        <w:rPr>
          <w:rFonts w:cs="Arial"/>
        </w:rPr>
        <w:t>Department of Families, Housing, Community Services and Indigenous Affairs (FaHCSIA) commissioned the inaugural National Dwelling Costs Study in December 2009 for delivery in early 2010 (herein referred to as the 2010 study). This work provided input into the housing supply monitoring role of the National Housing Supply Council.</w:t>
      </w:r>
    </w:p>
    <w:p w:rsidR="00551F03" w:rsidRPr="0000605C" w:rsidRDefault="00551F03" w:rsidP="00551F03">
      <w:pPr>
        <w:rPr>
          <w:rFonts w:ascii="Calibri" w:hAnsi="Calibri"/>
          <w:sz w:val="22"/>
          <w:szCs w:val="22"/>
          <w:lang w:eastAsia="en-AU"/>
        </w:rPr>
      </w:pPr>
      <w:r w:rsidRPr="0000605C">
        <w:rPr>
          <w:rFonts w:cs="Arial"/>
        </w:rPr>
        <w:t xml:space="preserve">The Australian Government is committed to monitoring the issue of dwelling costs as they affect housing affordability and has commissioned an update (herein referred to as the 2011 study) of the inaugural 2010 study. </w:t>
      </w:r>
      <w:r w:rsidRPr="0000605C">
        <w:rPr>
          <w:rFonts w:cs="Arial"/>
          <w:lang w:eastAsia="en-AU"/>
        </w:rPr>
        <w:t>As a result of reorganisation of Australian Gover</w:t>
      </w:r>
      <w:r w:rsidR="005B49D5" w:rsidRPr="0000605C">
        <w:rPr>
          <w:rFonts w:cs="Arial"/>
          <w:lang w:eastAsia="en-AU"/>
        </w:rPr>
        <w:t>nment portfolios following the federal e</w:t>
      </w:r>
      <w:r w:rsidRPr="0000605C">
        <w:rPr>
          <w:rFonts w:cs="Arial"/>
          <w:lang w:eastAsia="en-AU"/>
        </w:rPr>
        <w:t>lection in 2010, the secretariat function supporting the work of the National Housing Supply Council has become part of the Department of Sustainability, Environment, Water, Population, and Communities (the Department) which becomes the commissioning department for this study update.</w:t>
      </w:r>
      <w:r w:rsidRPr="0000605C">
        <w:rPr>
          <w:rFonts w:ascii="Calibri" w:hAnsi="Calibri"/>
          <w:sz w:val="22"/>
          <w:szCs w:val="22"/>
          <w:lang w:eastAsia="en-AU"/>
        </w:rPr>
        <w:t xml:space="preserve"> </w:t>
      </w:r>
      <w:r w:rsidRPr="0000605C">
        <w:rPr>
          <w:rFonts w:cs="Arial"/>
        </w:rPr>
        <w:t xml:space="preserve">Through this study the Department is seeking to identify policies and programs that can reduce dwelling costs and improve housing affordability across </w:t>
      </w:r>
      <w:smartTag w:uri="urn:schemas-microsoft-com:office:smarttags" w:element="place">
        <w:smartTag w:uri="urn:schemas-microsoft-com:office:smarttags" w:element="country-region">
          <w:r w:rsidRPr="0000605C">
            <w:rPr>
              <w:rFonts w:cs="Arial"/>
            </w:rPr>
            <w:t>Australia</w:t>
          </w:r>
        </w:smartTag>
      </w:smartTag>
      <w:r w:rsidRPr="0000605C">
        <w:rPr>
          <w:rFonts w:cs="Arial"/>
        </w:rPr>
        <w:t>.</w:t>
      </w:r>
    </w:p>
    <w:p w:rsidR="00B350E5" w:rsidRPr="0000605C" w:rsidRDefault="00F36D78" w:rsidP="00B350E5">
      <w:pPr>
        <w:rPr>
          <w:rFonts w:cs="Arial"/>
        </w:rPr>
      </w:pPr>
      <w:r w:rsidRPr="0000605C">
        <w:t>This study, the 201</w:t>
      </w:r>
      <w:r w:rsidR="00E06F7D">
        <w:t>1</w:t>
      </w:r>
      <w:r w:rsidRPr="0000605C">
        <w:t xml:space="preserve"> study, has refined the previous methodology to enhance the comparability of results across locations. Importantly it c</w:t>
      </w:r>
      <w:r w:rsidR="00FD5BB4" w:rsidRPr="0000605C">
        <w:t xml:space="preserve">ollates costing information on </w:t>
      </w:r>
      <w:proofErr w:type="gramStart"/>
      <w:smartTag w:uri="urn:schemas-microsoft-com:office:smarttags" w:element="City">
        <w:r w:rsidR="00FD5BB4" w:rsidRPr="0000605C">
          <w:t>g</w:t>
        </w:r>
        <w:r w:rsidRPr="0000605C">
          <w:t>reenfield</w:t>
        </w:r>
      </w:smartTag>
      <w:proofErr w:type="gramEnd"/>
      <w:r w:rsidR="00FD5BB4" w:rsidRPr="0000605C">
        <w:t xml:space="preserve"> and i</w:t>
      </w:r>
      <w:r w:rsidRPr="0000605C">
        <w:t>nfill dwelling developments</w:t>
      </w:r>
      <w:r w:rsidR="006B2652" w:rsidRPr="0000605C">
        <w:t xml:space="preserve"> across five capital cities (</w:t>
      </w:r>
      <w:smartTag w:uri="urn:schemas-microsoft-com:office:smarttags" w:element="City">
        <w:r w:rsidR="006B2652" w:rsidRPr="0000605C">
          <w:t>Sydney</w:t>
        </w:r>
      </w:smartTag>
      <w:r w:rsidR="006B2652" w:rsidRPr="0000605C">
        <w:t xml:space="preserve">, </w:t>
      </w:r>
      <w:smartTag w:uri="urn:schemas-microsoft-com:office:smarttags" w:element="City">
        <w:r w:rsidR="006B2652" w:rsidRPr="0000605C">
          <w:t>Brisbane</w:t>
        </w:r>
      </w:smartTag>
      <w:r w:rsidR="006B2652" w:rsidRPr="0000605C">
        <w:t xml:space="preserve">, </w:t>
      </w:r>
      <w:smartTag w:uri="urn:schemas-microsoft-com:office:smarttags" w:element="City">
        <w:r w:rsidR="006B2652" w:rsidRPr="0000605C">
          <w:t>Melbourne</w:t>
        </w:r>
      </w:smartTag>
      <w:r w:rsidR="006B2652" w:rsidRPr="0000605C">
        <w:t xml:space="preserve">, </w:t>
      </w:r>
      <w:smartTag w:uri="urn:schemas-microsoft-com:office:smarttags" w:element="City">
        <w:r w:rsidR="006B2652" w:rsidRPr="0000605C">
          <w:t>Adelaide</w:t>
        </w:r>
      </w:smartTag>
      <w:r w:rsidR="006B2652" w:rsidRPr="0000605C">
        <w:t xml:space="preserve"> and </w:t>
      </w:r>
      <w:smartTag w:uri="urn:schemas-microsoft-com:office:smarttags" w:element="place">
        <w:smartTag w:uri="urn:schemas-microsoft-com:office:smarttags" w:element="City">
          <w:r w:rsidR="006B2652" w:rsidRPr="0000605C">
            <w:t>Perth</w:t>
          </w:r>
        </w:smartTag>
      </w:smartTag>
      <w:r w:rsidR="006B2652" w:rsidRPr="0000605C">
        <w:t>)</w:t>
      </w:r>
      <w:r w:rsidRPr="0000605C">
        <w:t xml:space="preserve"> to gain insights into what factors are impacting rising dwelling prices. From this the study is able to provide policy recommendations on how the </w:t>
      </w:r>
      <w:r w:rsidR="00551F03" w:rsidRPr="0000605C">
        <w:t>Australian</w:t>
      </w:r>
      <w:r w:rsidRPr="0000605C">
        <w:t xml:space="preserve"> Government can more effectively address the widespread decline in housing affordability for Australian residents.</w:t>
      </w:r>
    </w:p>
    <w:p w:rsidR="00B350E5" w:rsidRPr="0000605C" w:rsidRDefault="00B350E5" w:rsidP="00B350E5">
      <w:pPr>
        <w:pStyle w:val="Heading2"/>
        <w:keepNext w:val="0"/>
        <w:spacing w:before="360" w:line="240" w:lineRule="auto"/>
      </w:pPr>
      <w:bookmarkStart w:id="16" w:name="_Toc250964514"/>
      <w:bookmarkStart w:id="17" w:name="_Toc250998400"/>
      <w:bookmarkStart w:id="18" w:name="_Toc294088028"/>
      <w:r w:rsidRPr="0000605C">
        <w:t>Background</w:t>
      </w:r>
      <w:bookmarkEnd w:id="16"/>
      <w:bookmarkEnd w:id="17"/>
      <w:bookmarkEnd w:id="18"/>
    </w:p>
    <w:p w:rsidR="003B5C7E" w:rsidRPr="0000605C" w:rsidRDefault="003B5C7E" w:rsidP="00B350E5">
      <w:pPr>
        <w:rPr>
          <w:rFonts w:cs="Arial"/>
        </w:rPr>
      </w:pPr>
      <w:r w:rsidRPr="0000605C">
        <w:rPr>
          <w:rFonts w:cs="Arial"/>
        </w:rPr>
        <w:t xml:space="preserve">This study has a key focus on </w:t>
      </w:r>
      <w:r w:rsidR="00F36D78" w:rsidRPr="0000605C">
        <w:rPr>
          <w:rFonts w:cs="Arial"/>
        </w:rPr>
        <w:t>identifying initiatives to improve</w:t>
      </w:r>
      <w:r w:rsidRPr="0000605C">
        <w:rPr>
          <w:rFonts w:cs="Arial"/>
        </w:rPr>
        <w:t xml:space="preserve"> housing affordability. The 20</w:t>
      </w:r>
      <w:r w:rsidR="00551F03" w:rsidRPr="0000605C">
        <w:rPr>
          <w:rFonts w:cs="Arial"/>
        </w:rPr>
        <w:t>10</w:t>
      </w:r>
      <w:r w:rsidRPr="0000605C">
        <w:rPr>
          <w:rFonts w:cs="Arial"/>
        </w:rPr>
        <w:t xml:space="preserve"> study noted how housing affordability had emerged as a key issue in the early 2000s and had worsened as the decade progressed. Government policy responses to this situation are yet to </w:t>
      </w:r>
      <w:r w:rsidR="00F36D78" w:rsidRPr="0000605C">
        <w:rPr>
          <w:rFonts w:cs="Arial"/>
        </w:rPr>
        <w:t>achieve noticeable impacts on this problem</w:t>
      </w:r>
      <w:r w:rsidRPr="0000605C">
        <w:rPr>
          <w:rFonts w:cs="Arial"/>
        </w:rPr>
        <w:t xml:space="preserve">. </w:t>
      </w:r>
    </w:p>
    <w:p w:rsidR="003B5C7E" w:rsidRPr="0000605C" w:rsidRDefault="006B2652" w:rsidP="00B350E5">
      <w:pPr>
        <w:rPr>
          <w:rFonts w:cs="Arial"/>
        </w:rPr>
      </w:pPr>
      <w:r w:rsidRPr="0000605C">
        <w:rPr>
          <w:rFonts w:cs="Arial"/>
        </w:rPr>
        <w:t xml:space="preserve">During </w:t>
      </w:r>
      <w:r w:rsidR="003B5C7E" w:rsidRPr="0000605C">
        <w:rPr>
          <w:rFonts w:cs="Arial"/>
        </w:rPr>
        <w:t xml:space="preserve">2010 </w:t>
      </w:r>
      <w:smartTag w:uri="urn:schemas-microsoft-com:office:smarttags" w:element="place">
        <w:smartTag w:uri="urn:schemas-microsoft-com:office:smarttags" w:element="country-region">
          <w:r w:rsidR="003B5C7E" w:rsidRPr="0000605C">
            <w:rPr>
              <w:rFonts w:cs="Arial"/>
            </w:rPr>
            <w:t>Australia</w:t>
          </w:r>
        </w:smartTag>
      </w:smartTag>
      <w:r w:rsidR="003B5C7E" w:rsidRPr="0000605C">
        <w:rPr>
          <w:rFonts w:cs="Arial"/>
        </w:rPr>
        <w:t xml:space="preserve">’s housing affordability situation has worsened as indicated by a number of publicly advertised housing affordability measures. </w:t>
      </w:r>
      <w:r w:rsidR="00AB6F02" w:rsidRPr="0000605C">
        <w:rPr>
          <w:rFonts w:cs="Arial"/>
        </w:rPr>
        <w:t>The Real Estate Institute of Australia (REIA), through its Deposit Power Housing Affordability Report, indicated that 2010 saw the largest annual decrease in housing affordability over the past decade</w:t>
      </w:r>
      <w:r w:rsidR="002B2994" w:rsidRPr="0000605C">
        <w:rPr>
          <w:rFonts w:cs="Arial"/>
        </w:rPr>
        <w:t xml:space="preserve"> noting that the proportion of income required </w:t>
      </w:r>
      <w:proofErr w:type="gramStart"/>
      <w:r w:rsidR="002B2994" w:rsidRPr="0000605C">
        <w:rPr>
          <w:rFonts w:cs="Arial"/>
        </w:rPr>
        <w:t>to meet</w:t>
      </w:r>
      <w:proofErr w:type="gramEnd"/>
      <w:r w:rsidR="002B2994" w:rsidRPr="0000605C">
        <w:rPr>
          <w:rFonts w:cs="Arial"/>
        </w:rPr>
        <w:t xml:space="preserve"> home loan repayments had increased</w:t>
      </w:r>
      <w:r w:rsidR="00551F03" w:rsidRPr="0000605C">
        <w:rPr>
          <w:rFonts w:cs="Arial"/>
        </w:rPr>
        <w:t xml:space="preserve"> from 29.0% to 34.8%</w:t>
      </w:r>
      <w:r w:rsidR="002B2994" w:rsidRPr="0000605C">
        <w:rPr>
          <w:rFonts w:cs="Arial"/>
        </w:rPr>
        <w:t xml:space="preserve"> over the year.</w:t>
      </w:r>
      <w:r w:rsidR="00F36D78" w:rsidRPr="0000605C">
        <w:rPr>
          <w:rFonts w:cs="Arial"/>
        </w:rPr>
        <w:t xml:space="preserve"> </w:t>
      </w:r>
      <w:r w:rsidR="000C7496" w:rsidRPr="0000605C">
        <w:rPr>
          <w:rFonts w:cs="Arial"/>
        </w:rPr>
        <w:t>At the end of 2010 the Housing Industry Association – Commonwealth Bank housing affordability index was 10% lower (reflecting declining affordability) than at the end of 2009</w:t>
      </w:r>
      <w:r w:rsidR="00F36D78" w:rsidRPr="0000605C">
        <w:rPr>
          <w:rFonts w:cs="Arial"/>
        </w:rPr>
        <w:t xml:space="preserve"> (Housing Industry Association, 2011).</w:t>
      </w:r>
      <w:r w:rsidR="002B2994" w:rsidRPr="0000605C">
        <w:rPr>
          <w:rFonts w:cs="Arial"/>
        </w:rPr>
        <w:t xml:space="preserve"> In addition, a survey of 976 home buyer candidates by Loan Market</w:t>
      </w:r>
      <w:r w:rsidR="0070665E" w:rsidRPr="0000605C">
        <w:rPr>
          <w:rFonts w:cs="Arial"/>
        </w:rPr>
        <w:t xml:space="preserve"> indicated that 65% of respondents rated housing affordability as the main market issue facing first home buyers</w:t>
      </w:r>
      <w:r w:rsidR="00165590" w:rsidRPr="0000605C">
        <w:rPr>
          <w:rFonts w:cs="Arial"/>
        </w:rPr>
        <w:t xml:space="preserve"> (Loanmarket.com.au). </w:t>
      </w:r>
    </w:p>
    <w:p w:rsidR="00165590" w:rsidRPr="0000605C" w:rsidRDefault="00165590" w:rsidP="00B350E5">
      <w:pPr>
        <w:rPr>
          <w:rFonts w:cs="Arial"/>
        </w:rPr>
      </w:pPr>
      <w:r w:rsidRPr="0000605C">
        <w:rPr>
          <w:rFonts w:cs="Arial"/>
        </w:rPr>
        <w:t xml:space="preserve">The worsening state of housing affordability in </w:t>
      </w:r>
      <w:smartTag w:uri="urn:schemas-microsoft-com:office:smarttags" w:element="country-region">
        <w:r w:rsidRPr="0000605C">
          <w:rPr>
            <w:rFonts w:cs="Arial"/>
          </w:rPr>
          <w:t>Australia</w:t>
        </w:r>
      </w:smartTag>
      <w:r w:rsidRPr="0000605C">
        <w:rPr>
          <w:rFonts w:cs="Arial"/>
        </w:rPr>
        <w:t xml:space="preserve"> over 2010 has been driven by rises in interest rates and increases in housing prices in a number of </w:t>
      </w:r>
      <w:smartTag w:uri="urn:schemas-microsoft-com:office:smarttags" w:element="place">
        <w:smartTag w:uri="urn:schemas-microsoft-com:office:smarttags" w:element="country-region">
          <w:r w:rsidRPr="0000605C">
            <w:rPr>
              <w:rFonts w:cs="Arial"/>
            </w:rPr>
            <w:t>Australia</w:t>
          </w:r>
        </w:smartTag>
      </w:smartTag>
      <w:r w:rsidRPr="0000605C">
        <w:rPr>
          <w:rFonts w:cs="Arial"/>
        </w:rPr>
        <w:t xml:space="preserve">’s major cities. During 2010 the Reserve Bank raised interest rates four times – March, April, May, and </w:t>
      </w:r>
      <w:r w:rsidR="005D26C5" w:rsidRPr="0000605C">
        <w:rPr>
          <w:rFonts w:cs="Arial"/>
        </w:rPr>
        <w:t xml:space="preserve">November. </w:t>
      </w:r>
      <w:proofErr w:type="gramStart"/>
      <w:r w:rsidR="005D26C5" w:rsidRPr="0000605C">
        <w:rPr>
          <w:rFonts w:cs="Arial"/>
        </w:rPr>
        <w:t>Increased</w:t>
      </w:r>
      <w:r w:rsidRPr="0000605C">
        <w:rPr>
          <w:rFonts w:cs="Arial"/>
        </w:rPr>
        <w:t xml:space="preserve"> interest payments for those with variable mortgage rates</w:t>
      </w:r>
      <w:r w:rsidR="00452890" w:rsidRPr="0000605C">
        <w:rPr>
          <w:rFonts w:cs="Arial"/>
        </w:rPr>
        <w:t xml:space="preserve"> </w:t>
      </w:r>
      <w:r w:rsidR="006B2652" w:rsidRPr="0000605C">
        <w:rPr>
          <w:rFonts w:cs="Arial"/>
        </w:rPr>
        <w:t>has</w:t>
      </w:r>
      <w:proofErr w:type="gramEnd"/>
      <w:r w:rsidR="006B2652" w:rsidRPr="0000605C">
        <w:rPr>
          <w:rFonts w:cs="Arial"/>
        </w:rPr>
        <w:t xml:space="preserve"> </w:t>
      </w:r>
      <w:r w:rsidR="00452890" w:rsidRPr="0000605C">
        <w:rPr>
          <w:rFonts w:cs="Arial"/>
        </w:rPr>
        <w:t>reduc</w:t>
      </w:r>
      <w:r w:rsidR="006B2652" w:rsidRPr="0000605C">
        <w:rPr>
          <w:rFonts w:cs="Arial"/>
        </w:rPr>
        <w:t>ed</w:t>
      </w:r>
      <w:r w:rsidR="00452890" w:rsidRPr="0000605C">
        <w:rPr>
          <w:rFonts w:cs="Arial"/>
        </w:rPr>
        <w:t xml:space="preserve"> their disposable income and subsequently the affordability of home ownership for them. </w:t>
      </w:r>
    </w:p>
    <w:p w:rsidR="00165590" w:rsidRPr="0000605C" w:rsidRDefault="00165590" w:rsidP="00B350E5">
      <w:pPr>
        <w:rPr>
          <w:rFonts w:cs="Arial"/>
        </w:rPr>
      </w:pPr>
      <w:r w:rsidRPr="0000605C">
        <w:rPr>
          <w:rFonts w:cs="Arial"/>
        </w:rPr>
        <w:t xml:space="preserve">An analysis of Australia’s housing market for the 2010 year by RP Data indicates that </w:t>
      </w:r>
      <w:r w:rsidR="00F36D78" w:rsidRPr="0000605C">
        <w:rPr>
          <w:rFonts w:cs="Arial"/>
        </w:rPr>
        <w:t>Sydney, Melbourne and Adelaide experienced real increases in median house prices whil</w:t>
      </w:r>
      <w:r w:rsidR="00FD5BB4" w:rsidRPr="0000605C">
        <w:rPr>
          <w:rFonts w:cs="Arial"/>
        </w:rPr>
        <w:t>e</w:t>
      </w:r>
      <w:r w:rsidR="00F36D78" w:rsidRPr="0000605C">
        <w:rPr>
          <w:rFonts w:cs="Arial"/>
        </w:rPr>
        <w:t xml:space="preserve"> house prices in Brisbane and Perth actually declined. </w:t>
      </w:r>
      <w:smartTag w:uri="urn:schemas-microsoft-com:office:smarttags" w:element="City">
        <w:r w:rsidR="00F36D78" w:rsidRPr="0000605C">
          <w:rPr>
            <w:rFonts w:cs="Arial"/>
          </w:rPr>
          <w:t>Sydney</w:t>
        </w:r>
      </w:smartTag>
      <w:r w:rsidR="00F36D78" w:rsidRPr="0000605C">
        <w:rPr>
          <w:rFonts w:cs="Arial"/>
        </w:rPr>
        <w:t xml:space="preserve"> houses ($605,000) remained the most expensive although </w:t>
      </w:r>
      <w:smartTag w:uri="urn:schemas-microsoft-com:office:smarttags" w:element="place">
        <w:smartTag w:uri="urn:schemas-microsoft-com:office:smarttags" w:element="City">
          <w:r w:rsidR="00F36D78" w:rsidRPr="0000605C">
            <w:rPr>
              <w:rFonts w:cs="Arial"/>
            </w:rPr>
            <w:t>Melbourne</w:t>
          </w:r>
        </w:smartTag>
      </w:smartTag>
      <w:r w:rsidR="00F36D78" w:rsidRPr="0000605C">
        <w:rPr>
          <w:rFonts w:cs="Arial"/>
        </w:rPr>
        <w:t xml:space="preserve"> houses ($557,750) </w:t>
      </w:r>
      <w:r w:rsidR="006B2652" w:rsidRPr="0000605C">
        <w:rPr>
          <w:rFonts w:cs="Arial"/>
        </w:rPr>
        <w:t>are closing</w:t>
      </w:r>
      <w:r w:rsidR="00F36D78" w:rsidRPr="0000605C">
        <w:rPr>
          <w:rFonts w:cs="Arial"/>
        </w:rPr>
        <w:t xml:space="preserve"> the gap. </w:t>
      </w:r>
    </w:p>
    <w:p w:rsidR="00B350E5" w:rsidRPr="0000605C" w:rsidRDefault="00752FF2" w:rsidP="00B350E5">
      <w:pPr>
        <w:rPr>
          <w:rFonts w:cs="Arial"/>
        </w:rPr>
      </w:pPr>
      <w:r w:rsidRPr="0000605C">
        <w:rPr>
          <w:rFonts w:cs="Arial"/>
        </w:rPr>
        <w:object w:dxaOrig="9197" w:dyaOrig="3010">
          <v:shape id="_x0000_i1027" type="#_x0000_t75" style="width:459.75pt;height:150.75pt" o:ole="">
            <v:imagedata r:id="rId29" o:title=""/>
          </v:shape>
          <o:OLEObject Type="Link" ProgID="Excel.Sheet.8" ShapeID="_x0000_i1027" DrawAspect="Content" r:id="rId30" UpdateMode="Always">
            <o:LinkType>Picture</o:LinkType>
            <o:LockedField>false</o:LockedField>
          </o:OLEObject>
        </w:object>
      </w:r>
    </w:p>
    <w:p w:rsidR="00F36D78" w:rsidRPr="0000605C" w:rsidRDefault="00F36D78" w:rsidP="00F36D78">
      <w:pPr>
        <w:rPr>
          <w:rFonts w:cs="Arial"/>
        </w:rPr>
      </w:pPr>
      <w:r w:rsidRPr="0000605C">
        <w:rPr>
          <w:rFonts w:cs="Arial"/>
        </w:rPr>
        <w:t xml:space="preserve">Though experiencing a decline in median prices, </w:t>
      </w:r>
      <w:smartTag w:uri="urn:schemas-microsoft-com:office:smarttags" w:element="City">
        <w:r w:rsidRPr="0000605C">
          <w:rPr>
            <w:rFonts w:cs="Arial"/>
          </w:rPr>
          <w:t>Perth</w:t>
        </w:r>
      </w:smartTag>
      <w:r w:rsidRPr="0000605C">
        <w:rPr>
          <w:rFonts w:cs="Arial"/>
        </w:rPr>
        <w:t xml:space="preserve"> houses remained the third most expensive of the major cities, comfortably ahead of </w:t>
      </w:r>
      <w:smartTag w:uri="urn:schemas-microsoft-com:office:smarttags" w:element="City">
        <w:r w:rsidRPr="0000605C">
          <w:rPr>
            <w:rFonts w:cs="Arial"/>
          </w:rPr>
          <w:t>Brisbane</w:t>
        </w:r>
      </w:smartTag>
      <w:r w:rsidRPr="0000605C">
        <w:rPr>
          <w:rFonts w:cs="Arial"/>
        </w:rPr>
        <w:t xml:space="preserve"> ($459,000), and </w:t>
      </w:r>
      <w:smartTag w:uri="urn:schemas-microsoft-com:office:smarttags" w:element="place">
        <w:smartTag w:uri="urn:schemas-microsoft-com:office:smarttags" w:element="City">
          <w:r w:rsidRPr="0000605C">
            <w:rPr>
              <w:rFonts w:cs="Arial"/>
            </w:rPr>
            <w:t>Adelaide</w:t>
          </w:r>
        </w:smartTag>
      </w:smartTag>
      <w:r w:rsidRPr="0000605C">
        <w:rPr>
          <w:rFonts w:cs="Arial"/>
        </w:rPr>
        <w:t xml:space="preserve"> ($405,000)</w:t>
      </w:r>
      <w:r w:rsidR="00775268" w:rsidRPr="0000605C">
        <w:rPr>
          <w:rFonts w:cs="Arial"/>
        </w:rPr>
        <w:t>.</w:t>
      </w:r>
    </w:p>
    <w:p w:rsidR="00F36D78" w:rsidRPr="0000605C" w:rsidRDefault="00E92C57" w:rsidP="00B350E5">
      <w:pPr>
        <w:rPr>
          <w:rFonts w:cs="Arial"/>
        </w:rPr>
      </w:pPr>
      <w:r w:rsidRPr="0000605C">
        <w:rPr>
          <w:rFonts w:cs="Arial"/>
        </w:rPr>
        <w:t>The median house price data whil</w:t>
      </w:r>
      <w:r w:rsidR="00FD5BB4" w:rsidRPr="0000605C">
        <w:rPr>
          <w:rFonts w:cs="Arial"/>
        </w:rPr>
        <w:t>e</w:t>
      </w:r>
      <w:r w:rsidRPr="0000605C">
        <w:rPr>
          <w:rFonts w:cs="Arial"/>
        </w:rPr>
        <w:t xml:space="preserve"> providing an overall picture for each city does not necessarily have a direct relationship with situations in particular sub markets of interest t</w:t>
      </w:r>
      <w:r w:rsidR="00FD5BB4" w:rsidRPr="0000605C">
        <w:rPr>
          <w:rFonts w:cs="Arial"/>
        </w:rPr>
        <w:t xml:space="preserve">o this study, such as the </w:t>
      </w:r>
      <w:proofErr w:type="gramStart"/>
      <w:smartTag w:uri="urn:schemas-microsoft-com:office:smarttags" w:element="place">
        <w:smartTag w:uri="urn:schemas-microsoft-com:office:smarttags" w:element="City">
          <w:r w:rsidR="00FD5BB4" w:rsidRPr="0000605C">
            <w:rPr>
              <w:rFonts w:cs="Arial"/>
            </w:rPr>
            <w:t>g</w:t>
          </w:r>
          <w:r w:rsidRPr="0000605C">
            <w:rPr>
              <w:rFonts w:cs="Arial"/>
            </w:rPr>
            <w:t>reenfield</w:t>
          </w:r>
        </w:smartTag>
      </w:smartTag>
      <w:proofErr w:type="gramEnd"/>
      <w:r w:rsidRPr="0000605C">
        <w:rPr>
          <w:rFonts w:cs="Arial"/>
        </w:rPr>
        <w:t xml:space="preserve"> dwelling market. </w:t>
      </w:r>
      <w:r w:rsidR="00B9205B" w:rsidRPr="0000605C">
        <w:rPr>
          <w:rFonts w:cs="Arial"/>
        </w:rPr>
        <w:t>An analysis of the volume of houses ava</w:t>
      </w:r>
      <w:r w:rsidR="00FD5BB4" w:rsidRPr="0000605C">
        <w:rPr>
          <w:rFonts w:cs="Arial"/>
        </w:rPr>
        <w:t xml:space="preserve">ilable for sale broadly in the </w:t>
      </w:r>
      <w:proofErr w:type="gramStart"/>
      <w:smartTag w:uri="urn:schemas-microsoft-com:office:smarttags" w:element="place">
        <w:smartTag w:uri="urn:schemas-microsoft-com:office:smarttags" w:element="City">
          <w:r w:rsidR="00FD5BB4" w:rsidRPr="0000605C">
            <w:rPr>
              <w:rFonts w:cs="Arial"/>
            </w:rPr>
            <w:t>g</w:t>
          </w:r>
          <w:r w:rsidR="00B9205B" w:rsidRPr="0000605C">
            <w:rPr>
              <w:rFonts w:cs="Arial"/>
            </w:rPr>
            <w:t>reenfield</w:t>
          </w:r>
        </w:smartTag>
      </w:smartTag>
      <w:proofErr w:type="gramEnd"/>
      <w:r w:rsidR="00B9205B" w:rsidRPr="0000605C">
        <w:rPr>
          <w:rFonts w:cs="Arial"/>
        </w:rPr>
        <w:t xml:space="preserve"> areas of the five cities indicates varying depths of the affordable dwelling markets in these cities.</w:t>
      </w:r>
    </w:p>
    <w:p w:rsidR="00B9205B" w:rsidRPr="0000605C" w:rsidRDefault="00752FF2" w:rsidP="00B350E5">
      <w:pPr>
        <w:rPr>
          <w:rFonts w:cs="Arial"/>
        </w:rPr>
      </w:pPr>
      <w:r w:rsidRPr="0000605C">
        <w:rPr>
          <w:rFonts w:cs="Arial"/>
        </w:rPr>
        <w:object w:dxaOrig="9168" w:dyaOrig="3360">
          <v:shape id="_x0000_i1028" type="#_x0000_t75" style="width:458.25pt;height:168pt" o:ole="">
            <v:imagedata r:id="rId31" o:title=""/>
          </v:shape>
          <o:OLEObject Type="Link" ProgID="Excel.Sheet.8" ShapeID="_x0000_i1028" DrawAspect="Content" r:id="rId32" UpdateMode="Always">
            <o:LinkType>Picture</o:LinkType>
            <o:LockedField>false</o:LockedField>
          </o:OLEObject>
        </w:object>
      </w:r>
    </w:p>
    <w:p w:rsidR="00B9205B" w:rsidRPr="0000605C" w:rsidRDefault="00B47799" w:rsidP="00B350E5">
      <w:pPr>
        <w:rPr>
          <w:rFonts w:cs="Arial"/>
        </w:rPr>
      </w:pPr>
      <w:r w:rsidRPr="0000605C">
        <w:rPr>
          <w:rFonts w:cs="Arial"/>
        </w:rPr>
        <w:t xml:space="preserve">The above table records advertised prices for detached dwellings (houses) in outer and fringe suburbs of </w:t>
      </w:r>
      <w:smartTag w:uri="urn:schemas-microsoft-com:office:smarttags" w:element="place">
        <w:smartTag w:uri="urn:schemas-microsoft-com:office:smarttags" w:element="country-region">
          <w:r w:rsidRPr="0000605C">
            <w:rPr>
              <w:rFonts w:cs="Arial"/>
            </w:rPr>
            <w:t>Australia</w:t>
          </w:r>
        </w:smartTag>
      </w:smartTag>
      <w:r w:rsidRPr="0000605C">
        <w:rPr>
          <w:rFonts w:cs="Arial"/>
        </w:rPr>
        <w:t xml:space="preserve">’s </w:t>
      </w:r>
      <w:r w:rsidR="009021A1" w:rsidRPr="0000605C">
        <w:rPr>
          <w:rFonts w:cs="Arial"/>
        </w:rPr>
        <w:t xml:space="preserve">five major cities as recorded by a major real estate web site. The table highlights the high proportion of houses that </w:t>
      </w:r>
      <w:smartTag w:uri="urn:schemas-microsoft-com:office:smarttags" w:element="City">
        <w:r w:rsidR="009021A1" w:rsidRPr="0000605C">
          <w:rPr>
            <w:rFonts w:cs="Arial"/>
          </w:rPr>
          <w:t>Adelaide</w:t>
        </w:r>
      </w:smartTag>
      <w:r w:rsidR="009021A1" w:rsidRPr="0000605C">
        <w:rPr>
          <w:rFonts w:cs="Arial"/>
        </w:rPr>
        <w:t xml:space="preserve"> (68%) and </w:t>
      </w:r>
      <w:smartTag w:uri="urn:schemas-microsoft-com:office:smarttags" w:element="place">
        <w:smartTag w:uri="urn:schemas-microsoft-com:office:smarttags" w:element="City">
          <w:r w:rsidR="009021A1" w:rsidRPr="0000605C">
            <w:rPr>
              <w:rFonts w:cs="Arial"/>
            </w:rPr>
            <w:t>Melbourne</w:t>
          </w:r>
        </w:smartTag>
      </w:smartTag>
      <w:r w:rsidR="009021A1" w:rsidRPr="0000605C">
        <w:rPr>
          <w:rFonts w:cs="Arial"/>
        </w:rPr>
        <w:t xml:space="preserve"> (61%) have in the affordable price </w:t>
      </w:r>
      <w:r w:rsidR="00775268" w:rsidRPr="0000605C">
        <w:rPr>
          <w:rFonts w:cs="Arial"/>
        </w:rPr>
        <w:t>range of less than $450,000</w:t>
      </w:r>
      <w:r w:rsidR="009021A1" w:rsidRPr="0000605C">
        <w:rPr>
          <w:rFonts w:cs="Arial"/>
        </w:rPr>
        <w:t xml:space="preserve">. </w:t>
      </w:r>
      <w:r w:rsidR="00775268" w:rsidRPr="0000605C">
        <w:rPr>
          <w:rFonts w:cs="Arial"/>
        </w:rPr>
        <w:t xml:space="preserve">Generally a lower proportion of houses in the more affordable price range </w:t>
      </w:r>
      <w:proofErr w:type="gramStart"/>
      <w:r w:rsidR="00775268" w:rsidRPr="0000605C">
        <w:rPr>
          <w:rFonts w:cs="Arial"/>
        </w:rPr>
        <w:t>is</w:t>
      </w:r>
      <w:proofErr w:type="gramEnd"/>
      <w:r w:rsidR="00775268" w:rsidRPr="0000605C">
        <w:rPr>
          <w:rFonts w:cs="Arial"/>
        </w:rPr>
        <w:t xml:space="preserve"> indicative of a higher median house price and vice versa</w:t>
      </w:r>
      <w:r w:rsidR="009021A1" w:rsidRPr="0000605C">
        <w:rPr>
          <w:rFonts w:cs="Arial"/>
        </w:rPr>
        <w:t xml:space="preserve">. That is, </w:t>
      </w:r>
      <w:smartTag w:uri="urn:schemas-microsoft-com:office:smarttags" w:element="place">
        <w:smartTag w:uri="urn:schemas-microsoft-com:office:smarttags" w:element="City">
          <w:r w:rsidR="009021A1" w:rsidRPr="0000605C">
            <w:rPr>
              <w:rFonts w:cs="Arial"/>
            </w:rPr>
            <w:t>Sydney</w:t>
          </w:r>
        </w:smartTag>
      </w:smartTag>
      <w:r w:rsidR="009021A1" w:rsidRPr="0000605C">
        <w:rPr>
          <w:rFonts w:cs="Arial"/>
        </w:rPr>
        <w:t xml:space="preserve"> has the highest median house price</w:t>
      </w:r>
      <w:r w:rsidR="0006252B" w:rsidRPr="0000605C">
        <w:rPr>
          <w:rFonts w:cs="Arial"/>
        </w:rPr>
        <w:t xml:space="preserve">. </w:t>
      </w:r>
      <w:smartTag w:uri="urn:schemas-microsoft-com:office:smarttags" w:element="City">
        <w:r w:rsidR="0006252B" w:rsidRPr="0000605C">
          <w:rPr>
            <w:rFonts w:cs="Arial"/>
          </w:rPr>
          <w:t>Sydney</w:t>
        </w:r>
      </w:smartTag>
      <w:r w:rsidR="0006252B" w:rsidRPr="0000605C">
        <w:rPr>
          <w:rFonts w:cs="Arial"/>
        </w:rPr>
        <w:t xml:space="preserve"> (40%) and </w:t>
      </w:r>
      <w:smartTag w:uri="urn:schemas-microsoft-com:office:smarttags" w:element="place">
        <w:smartTag w:uri="urn:schemas-microsoft-com:office:smarttags" w:element="City">
          <w:r w:rsidR="0006252B" w:rsidRPr="0000605C">
            <w:rPr>
              <w:rFonts w:cs="Arial"/>
            </w:rPr>
            <w:t>Perth</w:t>
          </w:r>
        </w:smartTag>
      </w:smartTag>
      <w:r w:rsidR="0006252B" w:rsidRPr="0000605C">
        <w:rPr>
          <w:rFonts w:cs="Arial"/>
        </w:rPr>
        <w:t xml:space="preserve"> (40%) have the </w:t>
      </w:r>
      <w:r w:rsidR="009021A1" w:rsidRPr="0000605C">
        <w:rPr>
          <w:rFonts w:cs="Arial"/>
        </w:rPr>
        <w:t>lowest proportion of dwellings under $</w:t>
      </w:r>
      <w:proofErr w:type="gramStart"/>
      <w:r w:rsidR="009021A1" w:rsidRPr="0000605C">
        <w:rPr>
          <w:rFonts w:cs="Arial"/>
        </w:rPr>
        <w:t xml:space="preserve">450,000 </w:t>
      </w:r>
      <w:r w:rsidR="0006252B" w:rsidRPr="0000605C">
        <w:rPr>
          <w:rFonts w:cs="Arial"/>
        </w:rPr>
        <w:t>.</w:t>
      </w:r>
      <w:proofErr w:type="gramEnd"/>
      <w:r w:rsidR="0006252B" w:rsidRPr="0000605C">
        <w:rPr>
          <w:rFonts w:cs="Arial"/>
        </w:rPr>
        <w:t xml:space="preserve"> </w:t>
      </w:r>
      <w:r w:rsidR="009021A1" w:rsidRPr="0000605C">
        <w:rPr>
          <w:rFonts w:cs="Arial"/>
        </w:rPr>
        <w:t xml:space="preserve">Brisbane (South East Queensland) has a moderately lower median house price than </w:t>
      </w:r>
      <w:smartTag w:uri="urn:schemas-microsoft-com:office:smarttags" w:element="place">
        <w:smartTag w:uri="urn:schemas-microsoft-com:office:smarttags" w:element="City">
          <w:r w:rsidR="009021A1" w:rsidRPr="0000605C">
            <w:rPr>
              <w:rFonts w:cs="Arial"/>
            </w:rPr>
            <w:t>Perth</w:t>
          </w:r>
        </w:smartTag>
      </w:smartTag>
      <w:r w:rsidR="009021A1" w:rsidRPr="0000605C">
        <w:rPr>
          <w:rFonts w:cs="Arial"/>
        </w:rPr>
        <w:t xml:space="preserve"> and a moderately higher share of dwellings (47%) under $450,000. </w:t>
      </w:r>
      <w:smartTag w:uri="urn:schemas-microsoft-com:office:smarttags" w:element="place">
        <w:smartTag w:uri="urn:schemas-microsoft-com:office:smarttags" w:element="City">
          <w:r w:rsidR="009021A1" w:rsidRPr="0000605C">
            <w:rPr>
              <w:rFonts w:cs="Arial"/>
            </w:rPr>
            <w:t>Adelaide</w:t>
          </w:r>
        </w:smartTag>
      </w:smartTag>
      <w:r w:rsidR="009021A1" w:rsidRPr="0000605C">
        <w:rPr>
          <w:rFonts w:cs="Arial"/>
        </w:rPr>
        <w:t xml:space="preserve"> (68%) has the lowest median house price and the highest proportion of dwellings below $450,000.</w:t>
      </w:r>
    </w:p>
    <w:p w:rsidR="009021A1" w:rsidRPr="0000605C" w:rsidRDefault="009021A1" w:rsidP="00B350E5">
      <w:pPr>
        <w:rPr>
          <w:rFonts w:cs="Arial"/>
        </w:rPr>
      </w:pPr>
      <w:r w:rsidRPr="0000605C">
        <w:rPr>
          <w:rFonts w:cs="Arial"/>
        </w:rPr>
        <w:t xml:space="preserve">The major exception to this position is the </w:t>
      </w:r>
      <w:smartTag w:uri="urn:schemas-microsoft-com:office:smarttags" w:element="place">
        <w:smartTag w:uri="urn:schemas-microsoft-com:office:smarttags" w:element="City">
          <w:r w:rsidRPr="0000605C">
            <w:rPr>
              <w:rFonts w:cs="Arial"/>
            </w:rPr>
            <w:t>Melbourne</w:t>
          </w:r>
        </w:smartTag>
      </w:smartTag>
      <w:r w:rsidRPr="0000605C">
        <w:rPr>
          <w:rFonts w:cs="Arial"/>
        </w:rPr>
        <w:t xml:space="preserve"> market. </w:t>
      </w:r>
      <w:smartTag w:uri="urn:schemas-microsoft-com:office:smarttags" w:element="place">
        <w:smartTag w:uri="urn:schemas-microsoft-com:office:smarttags" w:element="City">
          <w:r w:rsidRPr="0000605C">
            <w:rPr>
              <w:rFonts w:cs="Arial"/>
            </w:rPr>
            <w:t>Melbourne</w:t>
          </w:r>
        </w:smartTag>
      </w:smartTag>
      <w:r w:rsidRPr="0000605C">
        <w:rPr>
          <w:rFonts w:cs="Arial"/>
        </w:rPr>
        <w:t xml:space="preserve"> has a high median house price ($557,750) but a large proportion (61%) of its outer and fringe housing market priced under $450,000. Analysis undertaken for the Queensland Building Revival Forum in April this year (Lend Lease, April 2011, Building Revival Forum Presentation)</w:t>
      </w:r>
      <w:r w:rsidR="00B355CD" w:rsidRPr="0000605C">
        <w:rPr>
          <w:rFonts w:cs="Arial"/>
        </w:rPr>
        <w:t xml:space="preserve"> indicates that a key reason for this is the move by the </w:t>
      </w:r>
      <w:smartTag w:uri="urn:schemas-microsoft-com:office:smarttags" w:element="place">
        <w:smartTag w:uri="urn:schemas-microsoft-com:office:smarttags" w:element="City">
          <w:r w:rsidR="00B355CD" w:rsidRPr="0000605C">
            <w:rPr>
              <w:rFonts w:cs="Arial"/>
            </w:rPr>
            <w:t>Melbourne</w:t>
          </w:r>
        </w:smartTag>
      </w:smartTag>
      <w:r w:rsidR="00B355CD" w:rsidRPr="0000605C">
        <w:rPr>
          <w:rFonts w:cs="Arial"/>
        </w:rPr>
        <w:t xml:space="preserve"> market to smaller lot sizes. Whil</w:t>
      </w:r>
      <w:r w:rsidR="00FD5BB4" w:rsidRPr="0000605C">
        <w:rPr>
          <w:rFonts w:cs="Arial"/>
        </w:rPr>
        <w:t>e</w:t>
      </w:r>
      <w:r w:rsidR="00B355CD" w:rsidRPr="0000605C">
        <w:rPr>
          <w:rFonts w:cs="Arial"/>
        </w:rPr>
        <w:t xml:space="preserve"> this trend has been occurring across </w:t>
      </w:r>
      <w:smartTag w:uri="urn:schemas-microsoft-com:office:smarttags" w:element="country-region">
        <w:r w:rsidR="00B355CD" w:rsidRPr="0000605C">
          <w:rPr>
            <w:rFonts w:cs="Arial"/>
          </w:rPr>
          <w:t>Australia</w:t>
        </w:r>
      </w:smartTag>
      <w:r w:rsidR="00B355CD" w:rsidRPr="0000605C">
        <w:rPr>
          <w:rFonts w:cs="Arial"/>
        </w:rPr>
        <w:t xml:space="preserve"> as a measure to improve housing affordability, the move has been greater in </w:t>
      </w:r>
      <w:smartTag w:uri="urn:schemas-microsoft-com:office:smarttags" w:element="place">
        <w:smartTag w:uri="urn:schemas-microsoft-com:office:smarttags" w:element="City">
          <w:r w:rsidR="00B355CD" w:rsidRPr="0000605C">
            <w:rPr>
              <w:rFonts w:cs="Arial"/>
            </w:rPr>
            <w:t>Melbourne</w:t>
          </w:r>
        </w:smartTag>
      </w:smartTag>
      <w:r w:rsidR="00B355CD" w:rsidRPr="0000605C">
        <w:rPr>
          <w:rFonts w:cs="Arial"/>
        </w:rPr>
        <w:t xml:space="preserve"> than in other locations. Data collated by Lend Lease i</w:t>
      </w:r>
      <w:r w:rsidR="00FD5BB4" w:rsidRPr="0000605C">
        <w:rPr>
          <w:rFonts w:cs="Arial"/>
        </w:rPr>
        <w:t xml:space="preserve">ndicates that in the </w:t>
      </w:r>
      <w:smartTag w:uri="urn:schemas-microsoft-com:office:smarttags" w:element="City">
        <w:r w:rsidR="00FD5BB4" w:rsidRPr="0000605C">
          <w:rPr>
            <w:rFonts w:cs="Arial"/>
          </w:rPr>
          <w:t>Melbourne</w:t>
        </w:r>
      </w:smartTag>
      <w:r w:rsidR="00FD5BB4" w:rsidRPr="0000605C">
        <w:rPr>
          <w:rFonts w:cs="Arial"/>
        </w:rPr>
        <w:t xml:space="preserve"> </w:t>
      </w:r>
      <w:proofErr w:type="gramStart"/>
      <w:smartTag w:uri="urn:schemas-microsoft-com:office:smarttags" w:element="City">
        <w:r w:rsidR="00FD5BB4" w:rsidRPr="0000605C">
          <w:rPr>
            <w:rFonts w:cs="Arial"/>
          </w:rPr>
          <w:t>g</w:t>
        </w:r>
        <w:r w:rsidR="00B355CD" w:rsidRPr="0000605C">
          <w:rPr>
            <w:rFonts w:cs="Arial"/>
          </w:rPr>
          <w:t>reenfield</w:t>
        </w:r>
      </w:smartTag>
      <w:proofErr w:type="gramEnd"/>
      <w:r w:rsidR="00B355CD" w:rsidRPr="0000605C">
        <w:rPr>
          <w:rFonts w:cs="Arial"/>
        </w:rPr>
        <w:t xml:space="preserve"> market 46% of housing </w:t>
      </w:r>
      <w:r w:rsidR="00FD5BB4" w:rsidRPr="0000605C">
        <w:rPr>
          <w:rFonts w:cs="Arial"/>
        </w:rPr>
        <w:t>lots are 450</w:t>
      </w:r>
      <w:r w:rsidR="00D64DA3" w:rsidRPr="0000605C">
        <w:rPr>
          <w:rFonts w:cs="Arial"/>
        </w:rPr>
        <w:t>m</w:t>
      </w:r>
      <w:r w:rsidR="00D64DA3" w:rsidRPr="007B539C">
        <w:rPr>
          <w:rFonts w:cs="Arial"/>
          <w:vertAlign w:val="superscript"/>
        </w:rPr>
        <w:t>2</w:t>
      </w:r>
      <w:r w:rsidR="00D64DA3" w:rsidRPr="0000605C">
        <w:rPr>
          <w:rFonts w:cs="Arial"/>
        </w:rPr>
        <w:t xml:space="preserve"> </w:t>
      </w:r>
      <w:r w:rsidR="00FD5BB4" w:rsidRPr="0000605C">
        <w:rPr>
          <w:rFonts w:cs="Arial"/>
        </w:rPr>
        <w:t>or less while</w:t>
      </w:r>
      <w:r w:rsidR="00775268" w:rsidRPr="0000605C">
        <w:rPr>
          <w:rFonts w:cs="Arial"/>
        </w:rPr>
        <w:t xml:space="preserve"> in south e</w:t>
      </w:r>
      <w:r w:rsidR="00B355CD" w:rsidRPr="0000605C">
        <w:rPr>
          <w:rFonts w:cs="Arial"/>
        </w:rPr>
        <w:t xml:space="preserve">ast </w:t>
      </w:r>
      <w:smartTag w:uri="urn:schemas-microsoft-com:office:smarttags" w:element="place">
        <w:smartTag w:uri="urn:schemas-microsoft-com:office:smarttags" w:element="State">
          <w:r w:rsidR="00B355CD" w:rsidRPr="0000605C">
            <w:rPr>
              <w:rFonts w:cs="Arial"/>
            </w:rPr>
            <w:t>Queensland</w:t>
          </w:r>
        </w:smartTag>
      </w:smartTag>
      <w:r w:rsidR="00B355CD" w:rsidRPr="0000605C">
        <w:rPr>
          <w:rFonts w:cs="Arial"/>
        </w:rPr>
        <w:t xml:space="preserve"> only 25% of lots are in this size range.</w:t>
      </w:r>
    </w:p>
    <w:p w:rsidR="00B355CD" w:rsidRPr="0000605C" w:rsidRDefault="00B355CD" w:rsidP="00B350E5">
      <w:pPr>
        <w:rPr>
          <w:rFonts w:cs="Arial"/>
        </w:rPr>
      </w:pPr>
      <w:r w:rsidRPr="0000605C">
        <w:rPr>
          <w:rFonts w:cs="Arial"/>
        </w:rPr>
        <w:lastRenderedPageBreak/>
        <w:t xml:space="preserve">This is an important finding which is not directly identified in this study </w:t>
      </w:r>
      <w:r w:rsidR="0006252B" w:rsidRPr="0000605C">
        <w:rPr>
          <w:rFonts w:cs="Arial"/>
        </w:rPr>
        <w:t xml:space="preserve">as it </w:t>
      </w:r>
      <w:r w:rsidRPr="0000605C">
        <w:rPr>
          <w:rFonts w:cs="Arial"/>
        </w:rPr>
        <w:t>focuses on the cost component of comparable sized dwellings.</w:t>
      </w:r>
    </w:p>
    <w:p w:rsidR="00B350E5" w:rsidRPr="0000605C" w:rsidRDefault="00B350E5" w:rsidP="00B350E5">
      <w:pPr>
        <w:pStyle w:val="Heading2"/>
        <w:keepNext w:val="0"/>
        <w:spacing w:before="360" w:line="240" w:lineRule="auto"/>
      </w:pPr>
      <w:bookmarkStart w:id="19" w:name="_Toc250964515"/>
      <w:bookmarkStart w:id="20" w:name="_Toc250998401"/>
      <w:bookmarkStart w:id="21" w:name="_Toc294088029"/>
      <w:r w:rsidRPr="0000605C">
        <w:t>Study Purpose</w:t>
      </w:r>
      <w:bookmarkEnd w:id="19"/>
      <w:bookmarkEnd w:id="20"/>
      <w:bookmarkEnd w:id="21"/>
    </w:p>
    <w:p w:rsidR="00B350E5" w:rsidRPr="0000605C" w:rsidRDefault="00775268" w:rsidP="00B350E5">
      <w:pPr>
        <w:rPr>
          <w:rFonts w:cs="Arial"/>
        </w:rPr>
      </w:pPr>
      <w:r w:rsidRPr="0000605C">
        <w:rPr>
          <w:rFonts w:cs="Arial"/>
        </w:rPr>
        <w:t>This study updates the 2010</w:t>
      </w:r>
      <w:r w:rsidR="00D64DA3" w:rsidRPr="0000605C">
        <w:rPr>
          <w:rFonts w:cs="Arial"/>
        </w:rPr>
        <w:t xml:space="preserve"> National Dwelling Cost S</w:t>
      </w:r>
      <w:r w:rsidR="00B9205B" w:rsidRPr="0000605C">
        <w:rPr>
          <w:rFonts w:cs="Arial"/>
        </w:rPr>
        <w:t>tudy undertaken for the</w:t>
      </w:r>
      <w:r w:rsidR="00B350E5" w:rsidRPr="0000605C">
        <w:rPr>
          <w:rFonts w:cs="Arial"/>
        </w:rPr>
        <w:t xml:space="preserve"> </w:t>
      </w:r>
      <w:r w:rsidRPr="0000605C">
        <w:rPr>
          <w:rFonts w:cs="Arial"/>
        </w:rPr>
        <w:t>Australian</w:t>
      </w:r>
      <w:r w:rsidR="00B350E5" w:rsidRPr="0000605C">
        <w:rPr>
          <w:rFonts w:cs="Arial"/>
        </w:rPr>
        <w:t xml:space="preserve"> Government</w:t>
      </w:r>
      <w:r w:rsidR="00B9205B" w:rsidRPr="0000605C">
        <w:rPr>
          <w:rFonts w:cs="Arial"/>
        </w:rPr>
        <w:t>.</w:t>
      </w:r>
      <w:r w:rsidR="00B350E5" w:rsidRPr="0000605C">
        <w:rPr>
          <w:rFonts w:cs="Arial"/>
        </w:rPr>
        <w:t xml:space="preserve"> </w:t>
      </w:r>
      <w:r w:rsidR="00B9205B" w:rsidRPr="0000605C">
        <w:rPr>
          <w:rFonts w:cs="Arial"/>
        </w:rPr>
        <w:t>Dwelling</w:t>
      </w:r>
      <w:r w:rsidR="00B350E5" w:rsidRPr="0000605C">
        <w:rPr>
          <w:rFonts w:cs="Arial"/>
        </w:rPr>
        <w:t xml:space="preserve"> cost, as a major component of </w:t>
      </w:r>
      <w:r w:rsidR="00B9205B" w:rsidRPr="0000605C">
        <w:rPr>
          <w:rFonts w:cs="Arial"/>
        </w:rPr>
        <w:t xml:space="preserve">dwelling </w:t>
      </w:r>
      <w:r w:rsidR="00B350E5" w:rsidRPr="0000605C">
        <w:rPr>
          <w:rFonts w:cs="Arial"/>
        </w:rPr>
        <w:t xml:space="preserve">price, is a key to understanding housing affordability. To better understand the drivers of housing costs and thereby inform the most appropriate policy responses the Department has commissioned this independent assessment of residential dwelling costs across </w:t>
      </w:r>
      <w:smartTag w:uri="urn:schemas-microsoft-com:office:smarttags" w:element="place">
        <w:smartTag w:uri="urn:schemas-microsoft-com:office:smarttags" w:element="country-region">
          <w:r w:rsidR="00B350E5" w:rsidRPr="0000605C">
            <w:rPr>
              <w:rFonts w:cs="Arial"/>
            </w:rPr>
            <w:t>Australia</w:t>
          </w:r>
        </w:smartTag>
      </w:smartTag>
      <w:r w:rsidR="00B350E5" w:rsidRPr="0000605C">
        <w:rPr>
          <w:rFonts w:cs="Arial"/>
        </w:rPr>
        <w:t xml:space="preserve">’s major cities. Through an analysis of cost components of new dwelling development, </w:t>
      </w:r>
      <w:r w:rsidR="00B9205B" w:rsidRPr="0000605C">
        <w:rPr>
          <w:rFonts w:cs="Arial"/>
        </w:rPr>
        <w:t>the Department</w:t>
      </w:r>
      <w:r w:rsidR="00B350E5" w:rsidRPr="0000605C">
        <w:rPr>
          <w:rFonts w:cs="Arial"/>
        </w:rPr>
        <w:t xml:space="preserve"> is seeking to identify policy initiatives and programs that can reduce dwelling costs across the country.</w:t>
      </w:r>
    </w:p>
    <w:p w:rsidR="00B350E5" w:rsidRPr="0000605C" w:rsidRDefault="00B350E5" w:rsidP="00B350E5">
      <w:pPr>
        <w:rPr>
          <w:rFonts w:cs="Arial"/>
        </w:rPr>
      </w:pPr>
      <w:r w:rsidRPr="0000605C">
        <w:rPr>
          <w:rFonts w:cs="Arial"/>
        </w:rPr>
        <w:t xml:space="preserve">The study is intended to investigate housing affordability nationally and subsequently has reviewed housing costs in </w:t>
      </w:r>
      <w:smartTag w:uri="urn:schemas-microsoft-com:office:smarttags" w:element="country-region">
        <w:r w:rsidRPr="0000605C">
          <w:rPr>
            <w:rFonts w:cs="Arial"/>
          </w:rPr>
          <w:t>Australia</w:t>
        </w:r>
      </w:smartTag>
      <w:r w:rsidRPr="0000605C">
        <w:rPr>
          <w:rFonts w:cs="Arial"/>
        </w:rPr>
        <w:t xml:space="preserve">’s five major cities – </w:t>
      </w:r>
      <w:smartTag w:uri="urn:schemas-microsoft-com:office:smarttags" w:element="City">
        <w:r w:rsidRPr="0000605C">
          <w:rPr>
            <w:rFonts w:cs="Arial"/>
          </w:rPr>
          <w:t>Sydney</w:t>
        </w:r>
      </w:smartTag>
      <w:r w:rsidRPr="0000605C">
        <w:rPr>
          <w:rFonts w:cs="Arial"/>
        </w:rPr>
        <w:t xml:space="preserve">, </w:t>
      </w:r>
      <w:smartTag w:uri="urn:schemas-microsoft-com:office:smarttags" w:element="City">
        <w:r w:rsidRPr="0000605C">
          <w:rPr>
            <w:rFonts w:cs="Arial"/>
          </w:rPr>
          <w:t>Melbourne</w:t>
        </w:r>
      </w:smartTag>
      <w:r w:rsidRPr="0000605C">
        <w:rPr>
          <w:rFonts w:cs="Arial"/>
        </w:rPr>
        <w:t xml:space="preserve">, </w:t>
      </w:r>
      <w:smartTag w:uri="urn:schemas-microsoft-com:office:smarttags" w:element="City">
        <w:r w:rsidRPr="0000605C">
          <w:rPr>
            <w:rFonts w:cs="Arial"/>
          </w:rPr>
          <w:t>Brisbane</w:t>
        </w:r>
      </w:smartTag>
      <w:r w:rsidRPr="0000605C">
        <w:rPr>
          <w:rFonts w:cs="Arial"/>
        </w:rPr>
        <w:t xml:space="preserve">, </w:t>
      </w:r>
      <w:smartTag w:uri="urn:schemas-microsoft-com:office:smarttags" w:element="City">
        <w:r w:rsidRPr="0000605C">
          <w:rPr>
            <w:rFonts w:cs="Arial"/>
          </w:rPr>
          <w:t>Perth</w:t>
        </w:r>
      </w:smartTag>
      <w:r w:rsidRPr="0000605C">
        <w:rPr>
          <w:rFonts w:cs="Arial"/>
        </w:rPr>
        <w:t xml:space="preserve">, and </w:t>
      </w:r>
      <w:smartTag w:uri="urn:schemas-microsoft-com:office:smarttags" w:element="place">
        <w:smartTag w:uri="urn:schemas-microsoft-com:office:smarttags" w:element="City">
          <w:r w:rsidRPr="0000605C">
            <w:rPr>
              <w:rFonts w:cs="Arial"/>
            </w:rPr>
            <w:t>Adelaide</w:t>
          </w:r>
        </w:smartTag>
      </w:smartTag>
      <w:r w:rsidRPr="0000605C">
        <w:rPr>
          <w:rFonts w:cs="Arial"/>
        </w:rPr>
        <w:t xml:space="preserve">. </w:t>
      </w:r>
      <w:r w:rsidR="00B9205B" w:rsidRPr="0000605C">
        <w:rPr>
          <w:rFonts w:cs="Arial"/>
        </w:rPr>
        <w:t>The inclusion of regional locations is u</w:t>
      </w:r>
      <w:r w:rsidR="004E0585">
        <w:rPr>
          <w:rFonts w:cs="Arial"/>
        </w:rPr>
        <w:t>nder consideration as part of a future</w:t>
      </w:r>
      <w:r w:rsidR="00B9205B" w:rsidRPr="0000605C">
        <w:rPr>
          <w:rFonts w:cs="Arial"/>
        </w:rPr>
        <w:t xml:space="preserve"> extension to this study. </w:t>
      </w:r>
    </w:p>
    <w:p w:rsidR="00B350E5" w:rsidRPr="0000605C" w:rsidRDefault="00B350E5" w:rsidP="00B350E5">
      <w:pPr>
        <w:rPr>
          <w:rFonts w:cs="Arial"/>
        </w:rPr>
      </w:pPr>
      <w:r w:rsidRPr="0000605C">
        <w:rPr>
          <w:rFonts w:cs="Arial"/>
        </w:rPr>
        <w:t>The study is conscious of potential differences in dwelling costs for different types of dwellings. Due to this it has examined dwelling</w:t>
      </w:r>
      <w:r w:rsidR="00FD5BB4" w:rsidRPr="0000605C">
        <w:rPr>
          <w:rFonts w:cs="Arial"/>
        </w:rPr>
        <w:t xml:space="preserve"> costs for detached dwellings (</w:t>
      </w:r>
      <w:proofErr w:type="gramStart"/>
      <w:smartTag w:uri="urn:schemas-microsoft-com:office:smarttags" w:element="place">
        <w:smartTag w:uri="urn:schemas-microsoft-com:office:smarttags" w:element="City">
          <w:r w:rsidR="00FD5BB4" w:rsidRPr="0000605C">
            <w:rPr>
              <w:rFonts w:cs="Arial"/>
            </w:rPr>
            <w:t>g</w:t>
          </w:r>
          <w:r w:rsidRPr="0000605C">
            <w:rPr>
              <w:rFonts w:cs="Arial"/>
            </w:rPr>
            <w:t>reenfield</w:t>
          </w:r>
        </w:smartTag>
      </w:smartTag>
      <w:proofErr w:type="gramEnd"/>
      <w:r w:rsidR="00FD5BB4" w:rsidRPr="0000605C">
        <w:rPr>
          <w:rFonts w:cs="Arial"/>
        </w:rPr>
        <w:t>) and medium rise apartments (i</w:t>
      </w:r>
      <w:r w:rsidRPr="0000605C">
        <w:rPr>
          <w:rFonts w:cs="Arial"/>
        </w:rPr>
        <w:t>nfill).</w:t>
      </w:r>
    </w:p>
    <w:p w:rsidR="00B350E5" w:rsidRPr="0000605C" w:rsidRDefault="00B350E5" w:rsidP="00B350E5">
      <w:pPr>
        <w:pStyle w:val="Heading2"/>
        <w:keepNext w:val="0"/>
        <w:spacing w:before="360" w:line="240" w:lineRule="auto"/>
      </w:pPr>
      <w:bookmarkStart w:id="22" w:name="_Toc250964516"/>
      <w:bookmarkStart w:id="23" w:name="_Toc250998402"/>
      <w:bookmarkStart w:id="24" w:name="_Toc294088030"/>
      <w:r w:rsidRPr="0000605C">
        <w:t>Report Outline</w:t>
      </w:r>
      <w:bookmarkEnd w:id="22"/>
      <w:bookmarkEnd w:id="23"/>
      <w:bookmarkEnd w:id="24"/>
    </w:p>
    <w:p w:rsidR="00B350E5" w:rsidRPr="0000605C" w:rsidRDefault="00B9205B" w:rsidP="00B350E5">
      <w:r w:rsidRPr="0000605C">
        <w:t xml:space="preserve">The structure of this report </w:t>
      </w:r>
      <w:r w:rsidR="0006252B" w:rsidRPr="0000605C">
        <w:t>includes</w:t>
      </w:r>
      <w:r w:rsidR="00775268" w:rsidRPr="0000605C">
        <w:t xml:space="preserve"> an i</w:t>
      </w:r>
      <w:r w:rsidRPr="0000605C">
        <w:t>ntroduction t</w:t>
      </w:r>
      <w:r w:rsidR="00775268" w:rsidRPr="0000605C">
        <w:t>o the study, an outline of the methodology, the results and analysis, and c</w:t>
      </w:r>
      <w:r w:rsidRPr="0000605C">
        <w:t xml:space="preserve">onclusions: </w:t>
      </w:r>
    </w:p>
    <w:p w:rsidR="00B350E5" w:rsidRPr="0000605C" w:rsidRDefault="00B350E5" w:rsidP="0006252B">
      <w:pPr>
        <w:ind w:left="3600" w:hanging="3600"/>
      </w:pPr>
      <w:r w:rsidRPr="0000605C">
        <w:rPr>
          <w:b/>
          <w:i/>
        </w:rPr>
        <w:t>Section One: Introduction</w:t>
      </w:r>
      <w:r w:rsidRPr="0000605C">
        <w:t xml:space="preserve"> –</w:t>
      </w:r>
      <w:r w:rsidR="0006252B" w:rsidRPr="0000605C">
        <w:tab/>
        <w:t xml:space="preserve">Introduction, </w:t>
      </w:r>
      <w:r w:rsidR="00775268" w:rsidRPr="0000605C">
        <w:t>b</w:t>
      </w:r>
      <w:r w:rsidRPr="0000605C">
        <w:t xml:space="preserve">ackground, </w:t>
      </w:r>
      <w:r w:rsidR="00775268" w:rsidRPr="0000605C">
        <w:t>study p</w:t>
      </w:r>
      <w:r w:rsidR="0006252B" w:rsidRPr="0000605C">
        <w:t xml:space="preserve">urpose, </w:t>
      </w:r>
      <w:r w:rsidR="00775268" w:rsidRPr="0000605C">
        <w:t>report outline, report l</w:t>
      </w:r>
      <w:r w:rsidRPr="0000605C">
        <w:t>imitations</w:t>
      </w:r>
    </w:p>
    <w:p w:rsidR="00B350E5" w:rsidRPr="0000605C" w:rsidRDefault="00B350E5" w:rsidP="0006252B">
      <w:pPr>
        <w:ind w:left="3600" w:hanging="3600"/>
      </w:pPr>
      <w:r w:rsidRPr="0000605C">
        <w:rPr>
          <w:b/>
          <w:i/>
        </w:rPr>
        <w:t>Section Two: Methodology</w:t>
      </w:r>
      <w:r w:rsidRPr="0000605C">
        <w:t xml:space="preserve"> – </w:t>
      </w:r>
      <w:r w:rsidR="0006252B" w:rsidRPr="0000605C">
        <w:tab/>
      </w:r>
      <w:r w:rsidR="00775268" w:rsidRPr="0000605C">
        <w:t>Study m</w:t>
      </w:r>
      <w:r w:rsidR="0006252B" w:rsidRPr="0000605C">
        <w:t>ethodology</w:t>
      </w:r>
      <w:r w:rsidRPr="0000605C">
        <w:t xml:space="preserve">, </w:t>
      </w:r>
      <w:r w:rsidR="00775268" w:rsidRPr="0000605C">
        <w:t>key a</w:t>
      </w:r>
      <w:r w:rsidRPr="0000605C">
        <w:t>ssumptions</w:t>
      </w:r>
    </w:p>
    <w:p w:rsidR="00B350E5" w:rsidRPr="0000605C" w:rsidRDefault="00B350E5" w:rsidP="0006252B">
      <w:pPr>
        <w:ind w:left="3600" w:hanging="3600"/>
      </w:pPr>
      <w:r w:rsidRPr="0000605C">
        <w:rPr>
          <w:b/>
          <w:i/>
        </w:rPr>
        <w:t>Section Three: Results and Analysis</w:t>
      </w:r>
      <w:r w:rsidRPr="0000605C">
        <w:t xml:space="preserve"> </w:t>
      </w:r>
      <w:r w:rsidR="0006252B" w:rsidRPr="0000605C">
        <w:tab/>
      </w:r>
      <w:r w:rsidRPr="0000605C">
        <w:t xml:space="preserve">Infill </w:t>
      </w:r>
      <w:r w:rsidR="00775268" w:rsidRPr="0000605C">
        <w:t>dwelling c</w:t>
      </w:r>
      <w:r w:rsidR="0006252B" w:rsidRPr="0000605C">
        <w:t>osts</w:t>
      </w:r>
      <w:r w:rsidR="00FD5BB4" w:rsidRPr="0000605C">
        <w:t xml:space="preserve">, </w:t>
      </w:r>
      <w:proofErr w:type="gramStart"/>
      <w:smartTag w:uri="urn:schemas-microsoft-com:office:smarttags" w:element="City">
        <w:r w:rsidR="00FD5BB4" w:rsidRPr="0000605C">
          <w:t>g</w:t>
        </w:r>
        <w:r w:rsidRPr="0000605C">
          <w:t>reenfield</w:t>
        </w:r>
      </w:smartTag>
      <w:proofErr w:type="gramEnd"/>
      <w:r w:rsidR="00B9205B" w:rsidRPr="0000605C">
        <w:t xml:space="preserve"> </w:t>
      </w:r>
      <w:r w:rsidR="00775268" w:rsidRPr="0000605C">
        <w:t>dwelling c</w:t>
      </w:r>
      <w:r w:rsidR="0006252B" w:rsidRPr="0000605C">
        <w:t>osts</w:t>
      </w:r>
      <w:r w:rsidR="00FD5BB4" w:rsidRPr="0000605C">
        <w:t xml:space="preserve">, infill vs </w:t>
      </w:r>
      <w:smartTag w:uri="urn:schemas-microsoft-com:office:smarttags" w:element="place">
        <w:smartTag w:uri="urn:schemas-microsoft-com:office:smarttags" w:element="City">
          <w:r w:rsidR="00FD5BB4" w:rsidRPr="0000605C">
            <w:t>g</w:t>
          </w:r>
          <w:r w:rsidR="00B9205B" w:rsidRPr="0000605C">
            <w:t>reenfield</w:t>
          </w:r>
        </w:smartTag>
      </w:smartTag>
      <w:r w:rsidR="00775268" w:rsidRPr="0000605C">
        <w:t>, review of findings from previous s</w:t>
      </w:r>
      <w:r w:rsidR="0006252B" w:rsidRPr="0000605C">
        <w:t>tudy</w:t>
      </w:r>
    </w:p>
    <w:p w:rsidR="00B350E5" w:rsidRPr="0000605C" w:rsidRDefault="00B350E5" w:rsidP="0006252B">
      <w:pPr>
        <w:ind w:left="3600" w:hanging="3600"/>
      </w:pPr>
      <w:r w:rsidRPr="0000605C">
        <w:rPr>
          <w:b/>
          <w:i/>
        </w:rPr>
        <w:t>Section Four: Conclusion</w:t>
      </w:r>
      <w:r w:rsidRPr="0000605C">
        <w:t xml:space="preserve"> </w:t>
      </w:r>
      <w:r w:rsidR="0006252B" w:rsidRPr="0000605C">
        <w:tab/>
      </w:r>
      <w:r w:rsidR="00775268" w:rsidRPr="0000605C">
        <w:t>Infill dwelling costs s</w:t>
      </w:r>
      <w:r w:rsidR="00FD5BB4" w:rsidRPr="0000605C">
        <w:t xml:space="preserve">ummary, </w:t>
      </w:r>
      <w:proofErr w:type="gramStart"/>
      <w:smartTag w:uri="urn:schemas-microsoft-com:office:smarttags" w:element="place">
        <w:smartTag w:uri="urn:schemas-microsoft-com:office:smarttags" w:element="City">
          <w:r w:rsidR="00FD5BB4" w:rsidRPr="0000605C">
            <w:t>g</w:t>
          </w:r>
          <w:r w:rsidR="0006252B" w:rsidRPr="0000605C">
            <w:t>reenfield</w:t>
          </w:r>
        </w:smartTag>
      </w:smartTag>
      <w:proofErr w:type="gramEnd"/>
      <w:r w:rsidR="00775268" w:rsidRPr="0000605C">
        <w:t xml:space="preserve"> d</w:t>
      </w:r>
      <w:r w:rsidR="0006252B" w:rsidRPr="0000605C">
        <w:t>wel</w:t>
      </w:r>
      <w:r w:rsidR="00775268" w:rsidRPr="0000605C">
        <w:t>ling costs s</w:t>
      </w:r>
      <w:r w:rsidR="0006252B" w:rsidRPr="0000605C">
        <w:t xml:space="preserve">ummary, </w:t>
      </w:r>
      <w:r w:rsidR="00775268" w:rsidRPr="0000605C">
        <w:t>summary of results, focus for policy r</w:t>
      </w:r>
      <w:r w:rsidRPr="0000605C">
        <w:t>esponses.</w:t>
      </w:r>
    </w:p>
    <w:p w:rsidR="00B350E5" w:rsidRPr="0000605C" w:rsidRDefault="00B350E5" w:rsidP="00B350E5">
      <w:pPr>
        <w:pStyle w:val="Heading2"/>
        <w:keepNext w:val="0"/>
        <w:spacing w:before="360" w:line="240" w:lineRule="auto"/>
      </w:pPr>
      <w:bookmarkStart w:id="25" w:name="_Toc250964517"/>
      <w:bookmarkStart w:id="26" w:name="_Toc250998403"/>
      <w:bookmarkStart w:id="27" w:name="_Toc294088031"/>
      <w:r w:rsidRPr="0000605C">
        <w:t>Report Limitations</w:t>
      </w:r>
      <w:bookmarkEnd w:id="25"/>
      <w:bookmarkEnd w:id="26"/>
      <w:bookmarkEnd w:id="27"/>
    </w:p>
    <w:p w:rsidR="00B350E5" w:rsidRPr="0000605C" w:rsidRDefault="00B350E5" w:rsidP="00B350E5">
      <w:pPr>
        <w:rPr>
          <w:rFonts w:cs="Arial"/>
        </w:rPr>
      </w:pPr>
      <w:r w:rsidRPr="0000605C">
        <w:t xml:space="preserve">This report has been prepared for the </w:t>
      </w:r>
      <w:r w:rsidR="00775268" w:rsidRPr="0000605C">
        <w:rPr>
          <w:rFonts w:cs="Arial"/>
        </w:rPr>
        <w:t>Australian</w:t>
      </w:r>
      <w:r w:rsidRPr="0000605C">
        <w:rPr>
          <w:rFonts w:cs="Arial"/>
        </w:rPr>
        <w:t xml:space="preserve"> </w:t>
      </w:r>
      <w:r w:rsidR="00940B5F">
        <w:rPr>
          <w:rFonts w:cs="Arial"/>
        </w:rPr>
        <w:t>Government</w:t>
      </w:r>
      <w:r w:rsidR="009715E7" w:rsidRPr="0000605C">
        <w:rPr>
          <w:rFonts w:cs="Arial"/>
        </w:rPr>
        <w:t xml:space="preserve"> </w:t>
      </w:r>
      <w:r w:rsidR="00B9205B" w:rsidRPr="0000605C">
        <w:rPr>
          <w:rFonts w:cs="Arial"/>
        </w:rPr>
        <w:t>Department of Sustainability, Environment, Water, Population, and Communities (the Department)</w:t>
      </w:r>
      <w:r w:rsidRPr="0000605C">
        <w:rPr>
          <w:rFonts w:cs="Arial"/>
        </w:rPr>
        <w:t xml:space="preserve"> and is not suitable for use other than by the party to whom it is addressed. It represents for </w:t>
      </w:r>
      <w:r w:rsidR="00B9205B" w:rsidRPr="0000605C">
        <w:rPr>
          <w:rFonts w:cs="Arial"/>
        </w:rPr>
        <w:t>the Department</w:t>
      </w:r>
      <w:r w:rsidRPr="0000605C">
        <w:rPr>
          <w:rFonts w:cs="Arial"/>
        </w:rPr>
        <w:t xml:space="preserve"> the various estimates of Urbis Pty Ltd and its subcontractors but no assurance is given by Urbis Pty Ltd that the estimates will be achieved. </w:t>
      </w:r>
    </w:p>
    <w:p w:rsidR="00B350E5" w:rsidRPr="0000605C" w:rsidRDefault="00B350E5" w:rsidP="00B350E5">
      <w:r w:rsidRPr="0000605C">
        <w:rPr>
          <w:rFonts w:cs="Arial"/>
        </w:rPr>
        <w:t>This report contains a number of opinions and assumptions however</w:t>
      </w:r>
      <w:r w:rsidR="00BB3BDE" w:rsidRPr="0000605C">
        <w:rPr>
          <w:rFonts w:cs="Arial"/>
        </w:rPr>
        <w:t>,</w:t>
      </w:r>
      <w:r w:rsidRPr="0000605C">
        <w:rPr>
          <w:rFonts w:cs="Arial"/>
        </w:rPr>
        <w:t xml:space="preserve"> Urbis Pty Ltd will not accept liability or responsibility to any third party relying on information provided in this report.</w:t>
      </w:r>
    </w:p>
    <w:p w:rsidR="007F1426" w:rsidRPr="0000605C" w:rsidRDefault="007F1426" w:rsidP="007F1426"/>
    <w:p w:rsidR="007F1426" w:rsidRPr="0000605C" w:rsidRDefault="007F1426" w:rsidP="007F1426"/>
    <w:p w:rsidR="007F1426" w:rsidRPr="0000605C" w:rsidRDefault="007F1426" w:rsidP="007F1426"/>
    <w:p w:rsidR="00D101BE" w:rsidRPr="0000605C" w:rsidRDefault="00D101BE" w:rsidP="001B6408">
      <w:pPr>
        <w:pStyle w:val="Heading1"/>
      </w:pPr>
      <w:bookmarkStart w:id="28" w:name="_Toc294088032"/>
      <w:r w:rsidRPr="0000605C">
        <w:lastRenderedPageBreak/>
        <w:t>Study Methodology</w:t>
      </w:r>
      <w:bookmarkEnd w:id="28"/>
    </w:p>
    <w:p w:rsidR="00D101BE" w:rsidRPr="0000605C" w:rsidRDefault="0081470F" w:rsidP="00D101BE">
      <w:r w:rsidRPr="0000605C">
        <w:t>The 2011</w:t>
      </w:r>
      <w:r w:rsidR="00637BD5" w:rsidRPr="0000605C">
        <w:t xml:space="preserve"> National Dwelling Costs Stud</w:t>
      </w:r>
      <w:r w:rsidRPr="0000605C">
        <w:t>y is a direct update of the 2010</w:t>
      </w:r>
      <w:r w:rsidR="00637BD5" w:rsidRPr="0000605C">
        <w:t xml:space="preserve"> study</w:t>
      </w:r>
      <w:r w:rsidR="00AD0D50" w:rsidRPr="0000605C">
        <w:rPr>
          <w:rFonts w:cs="Arial"/>
        </w:rPr>
        <w:t>.</w:t>
      </w:r>
      <w:r w:rsidR="00637BD5" w:rsidRPr="0000605C">
        <w:rPr>
          <w:rFonts w:cs="Arial"/>
        </w:rPr>
        <w:t xml:space="preserve"> </w:t>
      </w:r>
      <w:r w:rsidR="00D101BE" w:rsidRPr="0000605C">
        <w:t>Th</w:t>
      </w:r>
      <w:r w:rsidRPr="0000605C">
        <w:t>e 2011</w:t>
      </w:r>
      <w:r w:rsidR="00D101BE" w:rsidRPr="0000605C">
        <w:t xml:space="preserve"> </w:t>
      </w:r>
      <w:r w:rsidR="00637BD5" w:rsidRPr="0000605C">
        <w:t>study methodology</w:t>
      </w:r>
      <w:r w:rsidR="00D101BE" w:rsidRPr="0000605C">
        <w:t xml:space="preserve"> require</w:t>
      </w:r>
      <w:r w:rsidR="00296D5F" w:rsidRPr="0000605C">
        <w:t>d</w:t>
      </w:r>
      <w:r w:rsidR="00D101BE" w:rsidRPr="0000605C">
        <w:t xml:space="preserve"> the segmentation of dwelling development costs into relevant categories that can be compared across locations and over time. This assessment allow</w:t>
      </w:r>
      <w:r w:rsidR="00637BD5" w:rsidRPr="0000605C">
        <w:t>s</w:t>
      </w:r>
      <w:r w:rsidR="00D101BE" w:rsidRPr="0000605C">
        <w:t xml:space="preserve"> comparison to </w:t>
      </w:r>
      <w:r w:rsidR="00637BD5" w:rsidRPr="0000605C">
        <w:t xml:space="preserve">the </w:t>
      </w:r>
      <w:r w:rsidR="00D101BE" w:rsidRPr="0000605C">
        <w:t xml:space="preserve">previous </w:t>
      </w:r>
      <w:r w:rsidR="00637BD5" w:rsidRPr="0000605C">
        <w:t xml:space="preserve">years study and other </w:t>
      </w:r>
      <w:r w:rsidR="00D101BE" w:rsidRPr="0000605C">
        <w:t>similar studies</w:t>
      </w:r>
      <w:r w:rsidR="00637BD5" w:rsidRPr="0000605C">
        <w:t>.</w:t>
      </w:r>
      <w:r w:rsidR="00D101BE" w:rsidRPr="0000605C">
        <w:t xml:space="preserve"> </w:t>
      </w:r>
    </w:p>
    <w:p w:rsidR="00D101BE" w:rsidRPr="0000605C" w:rsidRDefault="00D101BE" w:rsidP="00D101BE">
      <w:r w:rsidRPr="0000605C">
        <w:t xml:space="preserve">The key </w:t>
      </w:r>
      <w:r w:rsidR="00637BD5" w:rsidRPr="0000605C">
        <w:t>components of this approach</w:t>
      </w:r>
      <w:r w:rsidRPr="0000605C">
        <w:t xml:space="preserve"> are:</w:t>
      </w:r>
    </w:p>
    <w:p w:rsidR="00D101BE" w:rsidRPr="0000605C" w:rsidRDefault="00D101BE" w:rsidP="00D101BE">
      <w:pPr>
        <w:pStyle w:val="ListBullet"/>
        <w:spacing w:before="40" w:after="160" w:line="240" w:lineRule="auto"/>
        <w:ind w:left="357" w:hanging="357"/>
      </w:pPr>
      <w:r w:rsidRPr="0000605C">
        <w:t>It comprise</w:t>
      </w:r>
      <w:r w:rsidR="00637BD5" w:rsidRPr="0000605C">
        <w:t>s</w:t>
      </w:r>
      <w:r w:rsidRPr="0000605C">
        <w:t xml:space="preserve"> </w:t>
      </w:r>
      <w:smartTag w:uri="urn:schemas-microsoft-com:office:smarttags" w:element="country-region">
        <w:r w:rsidR="00637BD5" w:rsidRPr="0000605C">
          <w:t>Australia</w:t>
        </w:r>
      </w:smartTag>
      <w:r w:rsidR="00637BD5" w:rsidRPr="0000605C">
        <w:t xml:space="preserve">’s five largest </w:t>
      </w:r>
      <w:r w:rsidRPr="0000605C">
        <w:t xml:space="preserve">cities – </w:t>
      </w:r>
      <w:smartTag w:uri="urn:schemas-microsoft-com:office:smarttags" w:element="City">
        <w:r w:rsidRPr="0000605C">
          <w:t>Sydney</w:t>
        </w:r>
      </w:smartTag>
      <w:r w:rsidRPr="0000605C">
        <w:t xml:space="preserve">, </w:t>
      </w:r>
      <w:smartTag w:uri="urn:schemas-microsoft-com:office:smarttags" w:element="City">
        <w:r w:rsidRPr="0000605C">
          <w:t>Melbourne</w:t>
        </w:r>
      </w:smartTag>
      <w:r w:rsidRPr="0000605C">
        <w:t xml:space="preserve">, </w:t>
      </w:r>
      <w:smartTag w:uri="urn:schemas-microsoft-com:office:smarttags" w:element="City">
        <w:r w:rsidRPr="0000605C">
          <w:t>Brisbane</w:t>
        </w:r>
      </w:smartTag>
      <w:r w:rsidRPr="0000605C">
        <w:t xml:space="preserve">, </w:t>
      </w:r>
      <w:smartTag w:uri="urn:schemas-microsoft-com:office:smarttags" w:element="City">
        <w:r w:rsidRPr="0000605C">
          <w:t>Perth</w:t>
        </w:r>
      </w:smartTag>
      <w:r w:rsidRPr="0000605C">
        <w:t xml:space="preserve">, </w:t>
      </w:r>
      <w:smartTag w:uri="urn:schemas-microsoft-com:office:smarttags" w:element="place">
        <w:smartTag w:uri="urn:schemas-microsoft-com:office:smarttags" w:element="City">
          <w:r w:rsidRPr="0000605C">
            <w:t>Adelaide</w:t>
          </w:r>
        </w:smartTag>
      </w:smartTag>
    </w:p>
    <w:p w:rsidR="00D101BE" w:rsidRPr="0000605C" w:rsidRDefault="00D101BE" w:rsidP="00D101BE">
      <w:pPr>
        <w:pStyle w:val="ListBullet"/>
        <w:spacing w:before="40" w:after="160" w:line="240" w:lineRule="auto"/>
        <w:ind w:left="357" w:hanging="357"/>
      </w:pPr>
      <w:r w:rsidRPr="0000605C">
        <w:t xml:space="preserve">It </w:t>
      </w:r>
      <w:r w:rsidR="00637BD5" w:rsidRPr="0000605C">
        <w:t>i</w:t>
      </w:r>
      <w:r w:rsidRPr="0000605C">
        <w:t>nclude</w:t>
      </w:r>
      <w:r w:rsidR="00637BD5" w:rsidRPr="0000605C">
        <w:t>s two</w:t>
      </w:r>
      <w:r w:rsidRPr="0000605C">
        <w:t xml:space="preserve"> forms of resident</w:t>
      </w:r>
      <w:r w:rsidR="00FD5BB4" w:rsidRPr="0000605C">
        <w:t xml:space="preserve">ial development in each city – </w:t>
      </w:r>
      <w:smartTag w:uri="urn:schemas-microsoft-com:office:smarttags" w:element="place">
        <w:smartTag w:uri="urn:schemas-microsoft-com:office:smarttags" w:element="City">
          <w:r w:rsidR="00FD5BB4" w:rsidRPr="0000605C">
            <w:t>g</w:t>
          </w:r>
          <w:r w:rsidRPr="0000605C">
            <w:t>reenfield</w:t>
          </w:r>
        </w:smartTag>
      </w:smartTag>
      <w:r w:rsidR="00FD5BB4" w:rsidRPr="0000605C">
        <w:t xml:space="preserve"> detached house; i</w:t>
      </w:r>
      <w:r w:rsidRPr="0000605C">
        <w:t xml:space="preserve">nfill </w:t>
      </w:r>
      <w:r w:rsidR="00BB3BDE" w:rsidRPr="0000605C">
        <w:t>a</w:t>
      </w:r>
      <w:r w:rsidRPr="0000605C">
        <w:t xml:space="preserve">partment </w:t>
      </w:r>
    </w:p>
    <w:p w:rsidR="00D101BE" w:rsidRPr="0000605C" w:rsidRDefault="00D101BE" w:rsidP="00D101BE">
      <w:pPr>
        <w:pStyle w:val="ListBullet"/>
        <w:spacing w:before="40" w:after="160" w:line="240" w:lineRule="auto"/>
        <w:ind w:left="357" w:hanging="357"/>
      </w:pPr>
      <w:r w:rsidRPr="0000605C">
        <w:t xml:space="preserve">Cost components </w:t>
      </w:r>
      <w:r w:rsidR="00637BD5" w:rsidRPr="0000605C">
        <w:t>are</w:t>
      </w:r>
      <w:r w:rsidRPr="0000605C">
        <w:t xml:space="preserve"> consistent across locations so that cost differences between cities can be identified and understood</w:t>
      </w:r>
    </w:p>
    <w:p w:rsidR="00D101BE" w:rsidRPr="0000605C" w:rsidRDefault="00D101BE" w:rsidP="00D101BE">
      <w:pPr>
        <w:pStyle w:val="ListBullet"/>
        <w:spacing w:before="40" w:after="160" w:line="240" w:lineRule="auto"/>
        <w:ind w:left="357" w:hanging="357"/>
      </w:pPr>
      <w:r w:rsidRPr="0000605C">
        <w:t xml:space="preserve">It </w:t>
      </w:r>
      <w:r w:rsidR="00637BD5" w:rsidRPr="0000605C">
        <w:t>is</w:t>
      </w:r>
      <w:r w:rsidRPr="0000605C">
        <w:t xml:space="preserve"> structured so that it is capable of being updated every one to two years</w:t>
      </w:r>
    </w:p>
    <w:p w:rsidR="00D101BE" w:rsidRPr="0000605C" w:rsidRDefault="00637BD5" w:rsidP="00D101BE">
      <w:r w:rsidRPr="0000605C">
        <w:t xml:space="preserve">From the previous </w:t>
      </w:r>
      <w:r w:rsidR="0081470F" w:rsidRPr="0000605C">
        <w:t>2010</w:t>
      </w:r>
      <w:r w:rsidR="00BB3BDE" w:rsidRPr="0000605C">
        <w:t xml:space="preserve"> </w:t>
      </w:r>
      <w:r w:rsidRPr="0000605C">
        <w:t xml:space="preserve">study and work undertaken by Urbis since then, there are some minor modifications to the previous approach that enhance the output of the updated study. </w:t>
      </w:r>
      <w:r w:rsidR="0081470F" w:rsidRPr="0000605C">
        <w:t>Improvements to the 2010</w:t>
      </w:r>
      <w:r w:rsidR="00D101BE" w:rsidRPr="0000605C">
        <w:t xml:space="preserve"> approach include the use of Estate Master </w:t>
      </w:r>
      <w:proofErr w:type="gramStart"/>
      <w:r w:rsidR="00D101BE" w:rsidRPr="0000605C">
        <w:t>software</w:t>
      </w:r>
      <w:proofErr w:type="gramEnd"/>
      <w:r w:rsidR="00D101BE" w:rsidRPr="0000605C">
        <w:t xml:space="preserve"> to better automate the dwelling cost template. This provides a consistent spreadsheet platform across all dwelling types and locations and is designed to accommodate different tax rates for each State. </w:t>
      </w:r>
    </w:p>
    <w:p w:rsidR="00D101BE" w:rsidRPr="0000605C" w:rsidRDefault="00D101BE" w:rsidP="00D101BE">
      <w:r w:rsidRPr="0000605C">
        <w:t xml:space="preserve">A further improvement </w:t>
      </w:r>
      <w:r w:rsidR="00637BD5" w:rsidRPr="0000605C">
        <w:t>is</w:t>
      </w:r>
      <w:r w:rsidRPr="0000605C">
        <w:t xml:space="preserve"> the inclusion of developer input to the underlying land cost and sale price of dwellings. This </w:t>
      </w:r>
      <w:r w:rsidR="00637BD5" w:rsidRPr="0000605C">
        <w:t>has been</w:t>
      </w:r>
      <w:r w:rsidRPr="0000605C">
        <w:t xml:space="preserve"> used as a check against publicly sourced information and provide</w:t>
      </w:r>
      <w:r w:rsidR="00637BD5" w:rsidRPr="0000605C">
        <w:t>s</w:t>
      </w:r>
      <w:r w:rsidRPr="0000605C">
        <w:t xml:space="preserve"> the benefit of aligning specific land costs with dwelling types and locations.</w:t>
      </w:r>
    </w:p>
    <w:p w:rsidR="00D101BE" w:rsidRPr="0000605C" w:rsidRDefault="006144EA" w:rsidP="00D101BE">
      <w:r w:rsidRPr="0000605C">
        <w:t>A key compo</w:t>
      </w:r>
      <w:r w:rsidR="0081470F" w:rsidRPr="0000605C">
        <w:t>nent of this assessment is the c</w:t>
      </w:r>
      <w:r w:rsidRPr="0000605C">
        <w:t xml:space="preserve">onstruction cost component. To optimise accuracy and consistency across the five cities Quantity Surveyors Rider Levett Bucknall </w:t>
      </w:r>
      <w:r w:rsidR="00A5187B" w:rsidRPr="0000605C">
        <w:t>has</w:t>
      </w:r>
      <w:r w:rsidRPr="0000605C">
        <w:t xml:space="preserve"> been commissioned for this component of the study. </w:t>
      </w:r>
    </w:p>
    <w:p w:rsidR="006144EA" w:rsidRPr="0000605C" w:rsidRDefault="006144EA" w:rsidP="00D101BE">
      <w:r w:rsidRPr="0000605C">
        <w:t>The specific steps comprising the methodology for this study update are outlined below.</w:t>
      </w:r>
    </w:p>
    <w:p w:rsidR="00296D5F" w:rsidRPr="0000605C" w:rsidRDefault="00296D5F" w:rsidP="00D101BE">
      <w:pPr>
        <w:rPr>
          <w:rFonts w:cs="Arial"/>
          <w:b/>
        </w:rPr>
      </w:pPr>
      <w:r w:rsidRPr="0000605C">
        <w:rPr>
          <w:rFonts w:cs="Arial"/>
          <w:b/>
        </w:rPr>
        <w:t>Step 1 Confirmation of Criteria</w:t>
      </w:r>
    </w:p>
    <w:p w:rsidR="00D101BE" w:rsidRPr="0000605C" w:rsidRDefault="006144EA" w:rsidP="00D101BE">
      <w:pPr>
        <w:rPr>
          <w:rFonts w:cs="Arial"/>
        </w:rPr>
      </w:pPr>
      <w:r w:rsidRPr="0000605C">
        <w:rPr>
          <w:rFonts w:cs="Arial"/>
        </w:rPr>
        <w:t>The criteria used in this</w:t>
      </w:r>
      <w:r w:rsidR="00D101BE" w:rsidRPr="0000605C">
        <w:rPr>
          <w:rFonts w:cs="Arial"/>
        </w:rPr>
        <w:t xml:space="preserve"> study to provide both comparisons across locations and ongoing replicat</w:t>
      </w:r>
      <w:r w:rsidR="00FD5BB4" w:rsidRPr="0000605C">
        <w:rPr>
          <w:rFonts w:cs="Arial"/>
        </w:rPr>
        <w:t xml:space="preserve">ion included the following for </w:t>
      </w:r>
      <w:proofErr w:type="gramStart"/>
      <w:smartTag w:uri="urn:schemas-microsoft-com:office:smarttags" w:element="place">
        <w:smartTag w:uri="urn:schemas-microsoft-com:office:smarttags" w:element="City">
          <w:r w:rsidR="00FD5BB4" w:rsidRPr="0000605C">
            <w:rPr>
              <w:rFonts w:cs="Arial"/>
            </w:rPr>
            <w:t>g</w:t>
          </w:r>
          <w:r w:rsidR="00D101BE" w:rsidRPr="0000605C">
            <w:rPr>
              <w:rFonts w:cs="Arial"/>
            </w:rPr>
            <w:t>reenfield</w:t>
          </w:r>
        </w:smartTag>
      </w:smartTag>
      <w:proofErr w:type="gramEnd"/>
      <w:r w:rsidR="00FD5BB4" w:rsidRPr="0000605C">
        <w:rPr>
          <w:rFonts w:cs="Arial"/>
        </w:rPr>
        <w:t xml:space="preserve"> and i</w:t>
      </w:r>
      <w:r w:rsidR="00D101BE" w:rsidRPr="0000605C">
        <w:rPr>
          <w:rFonts w:cs="Arial"/>
        </w:rPr>
        <w:t>nfill sites:</w:t>
      </w:r>
    </w:p>
    <w:tbl>
      <w:tblPr>
        <w:tblStyle w:val="TableGrid"/>
        <w:tblW w:w="5000" w:type="pct"/>
        <w:tblLook w:val="01E0"/>
      </w:tblPr>
      <w:tblGrid>
        <w:gridCol w:w="1607"/>
        <w:gridCol w:w="3498"/>
        <w:gridCol w:w="4096"/>
      </w:tblGrid>
      <w:tr w:rsidR="00D101BE" w:rsidRPr="0000605C" w:rsidTr="00D101BE">
        <w:trPr>
          <w:cnfStyle w:val="100000000000"/>
          <w:tblHeader/>
        </w:trPr>
        <w:tc>
          <w:tcPr>
            <w:tcW w:w="873" w:type="pct"/>
          </w:tcPr>
          <w:p w:rsidR="00D101BE" w:rsidRPr="0000605C" w:rsidRDefault="00D101BE" w:rsidP="00D101BE">
            <w:pPr>
              <w:pStyle w:val="UrbisTableHeader"/>
              <w:rPr>
                <w:b/>
                <w:bCs/>
                <w:lang w:eastAsia="en-AU"/>
              </w:rPr>
            </w:pPr>
            <w:r w:rsidRPr="0000605C">
              <w:rPr>
                <w:b/>
                <w:bCs/>
                <w:lang w:eastAsia="en-AU"/>
              </w:rPr>
              <w:t>C</w:t>
            </w:r>
            <w:r w:rsidR="0081470F" w:rsidRPr="0000605C">
              <w:rPr>
                <w:b/>
                <w:bCs/>
                <w:caps w:val="0"/>
                <w:lang w:eastAsia="en-AU"/>
              </w:rPr>
              <w:t>riteria</w:t>
            </w:r>
          </w:p>
        </w:tc>
        <w:tc>
          <w:tcPr>
            <w:tcW w:w="1901" w:type="pct"/>
          </w:tcPr>
          <w:p w:rsidR="00D101BE" w:rsidRPr="0000605C" w:rsidRDefault="0081470F" w:rsidP="00D101BE">
            <w:pPr>
              <w:pStyle w:val="UrbisTableHeader"/>
              <w:rPr>
                <w:b/>
                <w:bCs/>
                <w:lang w:eastAsia="en-AU"/>
              </w:rPr>
            </w:pPr>
            <w:smartTag w:uri="urn:schemas-microsoft-com:office:smarttags" w:element="place">
              <w:smartTag w:uri="urn:schemas-microsoft-com:office:smarttags" w:element="City">
                <w:r w:rsidRPr="0000605C">
                  <w:rPr>
                    <w:b/>
                    <w:bCs/>
                    <w:caps w:val="0"/>
                    <w:lang w:eastAsia="en-AU"/>
                  </w:rPr>
                  <w:t>Greenfield</w:t>
                </w:r>
              </w:smartTag>
            </w:smartTag>
            <w:r w:rsidRPr="0000605C">
              <w:rPr>
                <w:b/>
                <w:bCs/>
                <w:caps w:val="0"/>
                <w:lang w:eastAsia="en-AU"/>
              </w:rPr>
              <w:t xml:space="preserve"> specification</w:t>
            </w:r>
          </w:p>
        </w:tc>
        <w:tc>
          <w:tcPr>
            <w:tcW w:w="2226" w:type="pct"/>
          </w:tcPr>
          <w:p w:rsidR="00D101BE" w:rsidRPr="0000605C" w:rsidRDefault="0081470F" w:rsidP="00D101BE">
            <w:pPr>
              <w:pStyle w:val="UrbisTableHeader"/>
              <w:rPr>
                <w:b/>
                <w:bCs/>
                <w:highlight w:val="green"/>
                <w:lang w:eastAsia="en-AU"/>
              </w:rPr>
            </w:pPr>
            <w:r w:rsidRPr="0000605C">
              <w:rPr>
                <w:b/>
                <w:bCs/>
                <w:caps w:val="0"/>
                <w:lang w:eastAsia="en-AU"/>
              </w:rPr>
              <w:t>Infill specification</w:t>
            </w:r>
          </w:p>
        </w:tc>
      </w:tr>
      <w:tr w:rsidR="00D101BE" w:rsidRPr="0000605C" w:rsidTr="00D101BE">
        <w:trPr>
          <w:cnfStyle w:val="000000100000"/>
        </w:trPr>
        <w:tc>
          <w:tcPr>
            <w:tcW w:w="873" w:type="pct"/>
          </w:tcPr>
          <w:p w:rsidR="00D101BE" w:rsidRPr="0000605C" w:rsidRDefault="00D101BE" w:rsidP="00D101BE">
            <w:pPr>
              <w:pStyle w:val="UrbisTableBody"/>
            </w:pPr>
            <w:r w:rsidRPr="0000605C">
              <w:t>Site Location</w:t>
            </w:r>
          </w:p>
        </w:tc>
        <w:tc>
          <w:tcPr>
            <w:tcW w:w="1901" w:type="pct"/>
          </w:tcPr>
          <w:p w:rsidR="00D101BE" w:rsidRPr="0000605C" w:rsidRDefault="00D101BE" w:rsidP="00D101BE">
            <w:pPr>
              <w:pStyle w:val="UrbisTableBody"/>
            </w:pPr>
            <w:r w:rsidRPr="0000605C">
              <w:t>Comparable outer city suburbs</w:t>
            </w:r>
          </w:p>
        </w:tc>
        <w:tc>
          <w:tcPr>
            <w:tcW w:w="2226" w:type="pct"/>
          </w:tcPr>
          <w:p w:rsidR="00D101BE" w:rsidRPr="0000605C" w:rsidRDefault="00D101BE" w:rsidP="00D101BE">
            <w:pPr>
              <w:pStyle w:val="UrbisTableBody"/>
            </w:pPr>
            <w:r w:rsidRPr="0000605C">
              <w:t>Comparable inner city locations</w:t>
            </w:r>
          </w:p>
        </w:tc>
      </w:tr>
      <w:tr w:rsidR="00D101BE" w:rsidRPr="0000605C" w:rsidTr="00D101BE">
        <w:tc>
          <w:tcPr>
            <w:tcW w:w="873" w:type="pct"/>
          </w:tcPr>
          <w:p w:rsidR="00D101BE" w:rsidRPr="0000605C" w:rsidRDefault="00D101BE" w:rsidP="00D101BE">
            <w:pPr>
              <w:pStyle w:val="UrbisTableBody"/>
            </w:pPr>
            <w:r w:rsidRPr="0000605C">
              <w:t>Land Zoning/Status</w:t>
            </w:r>
          </w:p>
        </w:tc>
        <w:tc>
          <w:tcPr>
            <w:tcW w:w="1901" w:type="pct"/>
          </w:tcPr>
          <w:p w:rsidR="00D101BE" w:rsidRPr="0000605C" w:rsidRDefault="00D101BE" w:rsidP="00D101BE">
            <w:pPr>
              <w:pStyle w:val="UrbisTableBody"/>
            </w:pPr>
            <w:r w:rsidRPr="0000605C">
              <w:t>Urban development zoning but not currently</w:t>
            </w:r>
            <w:r w:rsidR="00704D12" w:rsidRPr="0000605C">
              <w:t xml:space="preserve"> subdivided or </w:t>
            </w:r>
            <w:r w:rsidRPr="0000605C">
              <w:t>serviced</w:t>
            </w:r>
          </w:p>
        </w:tc>
        <w:tc>
          <w:tcPr>
            <w:tcW w:w="2226" w:type="pct"/>
          </w:tcPr>
          <w:p w:rsidR="00D101BE" w:rsidRPr="0000605C" w:rsidRDefault="00D101BE" w:rsidP="00D101BE">
            <w:pPr>
              <w:pStyle w:val="UrbisTableBody"/>
            </w:pPr>
            <w:r w:rsidRPr="0000605C">
              <w:t xml:space="preserve">Urban development zoning </w:t>
            </w:r>
          </w:p>
        </w:tc>
      </w:tr>
      <w:tr w:rsidR="00D101BE" w:rsidRPr="0000605C" w:rsidTr="00D101BE">
        <w:trPr>
          <w:cnfStyle w:val="000000100000"/>
        </w:trPr>
        <w:tc>
          <w:tcPr>
            <w:tcW w:w="873" w:type="pct"/>
          </w:tcPr>
          <w:p w:rsidR="00D101BE" w:rsidRPr="0000605C" w:rsidRDefault="00D101BE" w:rsidP="00D101BE">
            <w:pPr>
              <w:pStyle w:val="UrbisTableBody"/>
            </w:pPr>
            <w:r w:rsidRPr="0000605C">
              <w:t>Development size</w:t>
            </w:r>
          </w:p>
        </w:tc>
        <w:tc>
          <w:tcPr>
            <w:tcW w:w="1901" w:type="pct"/>
          </w:tcPr>
          <w:p w:rsidR="00D101BE" w:rsidRPr="0000605C" w:rsidRDefault="00D101BE" w:rsidP="00D101BE">
            <w:pPr>
              <w:pStyle w:val="UrbisTableBody"/>
            </w:pPr>
            <w:r w:rsidRPr="0000605C">
              <w:t xml:space="preserve">Approximately 100 lot development – could be first stage of much larger development </w:t>
            </w:r>
          </w:p>
        </w:tc>
        <w:tc>
          <w:tcPr>
            <w:tcW w:w="2226" w:type="pct"/>
          </w:tcPr>
          <w:p w:rsidR="00D101BE" w:rsidRPr="0000605C" w:rsidRDefault="00704D12" w:rsidP="00D101BE">
            <w:pPr>
              <w:pStyle w:val="UrbisTableBody"/>
            </w:pPr>
            <w:r w:rsidRPr="0000605C">
              <w:t>30-70</w:t>
            </w:r>
            <w:r w:rsidR="00D101BE" w:rsidRPr="0000605C">
              <w:t xml:space="preserve"> apartments, in block of </w:t>
            </w:r>
            <w:r w:rsidRPr="0000605C">
              <w:t>5</w:t>
            </w:r>
            <w:r w:rsidR="00D101BE" w:rsidRPr="0000605C">
              <w:t>-</w:t>
            </w:r>
            <w:r w:rsidRPr="0000605C">
              <w:t>9</w:t>
            </w:r>
            <w:r w:rsidR="00D101BE" w:rsidRPr="0000605C">
              <w:t xml:space="preserve"> storeys</w:t>
            </w:r>
          </w:p>
        </w:tc>
      </w:tr>
      <w:tr w:rsidR="00D101BE" w:rsidRPr="0000605C" w:rsidTr="00D101BE">
        <w:tc>
          <w:tcPr>
            <w:tcW w:w="873" w:type="pct"/>
          </w:tcPr>
          <w:p w:rsidR="00D101BE" w:rsidRPr="0000605C" w:rsidRDefault="00D101BE" w:rsidP="00D101BE">
            <w:pPr>
              <w:pStyle w:val="UrbisTableBody"/>
            </w:pPr>
            <w:smartTag w:uri="urn:schemas-microsoft-com:office:smarttags" w:element="place">
              <w:r w:rsidRPr="0000605C">
                <w:t>Lot</w:t>
              </w:r>
            </w:smartTag>
            <w:r w:rsidRPr="0000605C">
              <w:t xml:space="preserve"> size</w:t>
            </w:r>
          </w:p>
        </w:tc>
        <w:tc>
          <w:tcPr>
            <w:tcW w:w="1901" w:type="pct"/>
          </w:tcPr>
          <w:p w:rsidR="00D101BE" w:rsidRPr="0000605C" w:rsidRDefault="00D101BE" w:rsidP="00D101BE">
            <w:pPr>
              <w:pStyle w:val="UrbisTableBody"/>
            </w:pPr>
            <w:r w:rsidRPr="0000605C">
              <w:t>Average lots 4</w:t>
            </w:r>
            <w:r w:rsidR="00704D12" w:rsidRPr="0000605C">
              <w:t>0</w:t>
            </w:r>
            <w:r w:rsidRPr="0000605C">
              <w:t>0-5</w:t>
            </w:r>
            <w:r w:rsidR="00704D12" w:rsidRPr="0000605C">
              <w:t>0</w:t>
            </w:r>
            <w:r w:rsidRPr="0000605C">
              <w:t>0 m</w:t>
            </w:r>
            <w:r w:rsidRPr="007B539C">
              <w:rPr>
                <w:vertAlign w:val="superscript"/>
              </w:rPr>
              <w:t>2</w:t>
            </w:r>
          </w:p>
        </w:tc>
        <w:tc>
          <w:tcPr>
            <w:tcW w:w="2226" w:type="pct"/>
          </w:tcPr>
          <w:p w:rsidR="00D101BE" w:rsidRPr="0000605C" w:rsidRDefault="00D101BE" w:rsidP="00D101BE">
            <w:pPr>
              <w:pStyle w:val="UrbisTableBody"/>
            </w:pPr>
            <w:r w:rsidRPr="0000605C">
              <w:t>0.5-1 hectares</w:t>
            </w:r>
          </w:p>
        </w:tc>
      </w:tr>
      <w:tr w:rsidR="00D101BE" w:rsidRPr="0000605C" w:rsidTr="00D101BE">
        <w:trPr>
          <w:cnfStyle w:val="000000100000"/>
        </w:trPr>
        <w:tc>
          <w:tcPr>
            <w:tcW w:w="873" w:type="pct"/>
          </w:tcPr>
          <w:p w:rsidR="00D101BE" w:rsidRPr="0000605C" w:rsidRDefault="00D101BE" w:rsidP="00D101BE">
            <w:pPr>
              <w:pStyle w:val="UrbisTableBody"/>
            </w:pPr>
            <w:r w:rsidRPr="0000605C">
              <w:t>Dwelling type</w:t>
            </w:r>
          </w:p>
        </w:tc>
        <w:tc>
          <w:tcPr>
            <w:tcW w:w="1901" w:type="pct"/>
          </w:tcPr>
          <w:p w:rsidR="00D101BE" w:rsidRPr="0000605C" w:rsidRDefault="00D101BE" w:rsidP="00D101BE">
            <w:pPr>
              <w:pStyle w:val="UrbisTableBody"/>
            </w:pPr>
            <w:r w:rsidRPr="0000605C">
              <w:t>3 bedroom, one storey house</w:t>
            </w:r>
          </w:p>
        </w:tc>
        <w:tc>
          <w:tcPr>
            <w:tcW w:w="2226" w:type="pct"/>
          </w:tcPr>
          <w:p w:rsidR="00D101BE" w:rsidRPr="0000605C" w:rsidRDefault="00D101BE" w:rsidP="00D101BE">
            <w:pPr>
              <w:pStyle w:val="UrbisTableBody"/>
            </w:pPr>
            <w:r w:rsidRPr="0000605C">
              <w:t>2 bedroom, single level apartment</w:t>
            </w:r>
          </w:p>
        </w:tc>
      </w:tr>
      <w:tr w:rsidR="00D101BE" w:rsidRPr="0000605C" w:rsidTr="00D101BE">
        <w:tc>
          <w:tcPr>
            <w:tcW w:w="873" w:type="pct"/>
          </w:tcPr>
          <w:p w:rsidR="00D101BE" w:rsidRPr="0000605C" w:rsidRDefault="00D101BE" w:rsidP="00D101BE">
            <w:pPr>
              <w:pStyle w:val="UrbisTableBody"/>
              <w:rPr>
                <w:highlight w:val="green"/>
              </w:rPr>
            </w:pPr>
            <w:r w:rsidRPr="0000605C">
              <w:t xml:space="preserve">Proximity to </w:t>
            </w:r>
            <w:r w:rsidRPr="0000605C">
              <w:lastRenderedPageBreak/>
              <w:t xml:space="preserve">Services </w:t>
            </w:r>
          </w:p>
        </w:tc>
        <w:tc>
          <w:tcPr>
            <w:tcW w:w="1901" w:type="pct"/>
          </w:tcPr>
          <w:p w:rsidR="00D101BE" w:rsidRPr="0000605C" w:rsidRDefault="00D101BE" w:rsidP="00D101BE">
            <w:pPr>
              <w:pStyle w:val="UrbisTableBody"/>
            </w:pPr>
            <w:r w:rsidRPr="0000605C">
              <w:lastRenderedPageBreak/>
              <w:t xml:space="preserve">Approximately within 10km of major retail, </w:t>
            </w:r>
            <w:r w:rsidRPr="0000605C">
              <w:lastRenderedPageBreak/>
              <w:t>health (hospital), education (secondary) or planned services. Within 5km of primary education</w:t>
            </w:r>
          </w:p>
        </w:tc>
        <w:tc>
          <w:tcPr>
            <w:tcW w:w="2226" w:type="pct"/>
          </w:tcPr>
          <w:p w:rsidR="00D101BE" w:rsidRPr="0000605C" w:rsidRDefault="00D101BE" w:rsidP="00D101BE">
            <w:pPr>
              <w:pStyle w:val="UrbisTableBody"/>
            </w:pPr>
            <w:r w:rsidRPr="0000605C">
              <w:lastRenderedPageBreak/>
              <w:t xml:space="preserve">Within 2-3km of main street and/or major </w:t>
            </w:r>
            <w:r w:rsidRPr="0000605C">
              <w:lastRenderedPageBreak/>
              <w:t>supermarket (Coles/Wool</w:t>
            </w:r>
            <w:r w:rsidR="00A5187B" w:rsidRPr="0000605C">
              <w:t>worths</w:t>
            </w:r>
            <w:r w:rsidRPr="0000605C">
              <w:t>)</w:t>
            </w:r>
          </w:p>
        </w:tc>
      </w:tr>
      <w:tr w:rsidR="00D101BE" w:rsidRPr="0000605C" w:rsidTr="00D101BE">
        <w:trPr>
          <w:cnfStyle w:val="000000100000"/>
        </w:trPr>
        <w:tc>
          <w:tcPr>
            <w:tcW w:w="873" w:type="pct"/>
          </w:tcPr>
          <w:p w:rsidR="00D101BE" w:rsidRPr="0000605C" w:rsidRDefault="00D101BE" w:rsidP="00D101BE">
            <w:pPr>
              <w:pStyle w:val="UrbisTableBody"/>
            </w:pPr>
            <w:r w:rsidRPr="0000605C">
              <w:lastRenderedPageBreak/>
              <w:t>Public Transport Access</w:t>
            </w:r>
          </w:p>
        </w:tc>
        <w:tc>
          <w:tcPr>
            <w:tcW w:w="1901" w:type="pct"/>
          </w:tcPr>
          <w:p w:rsidR="00D101BE" w:rsidRPr="0000605C" w:rsidRDefault="00D101BE" w:rsidP="00D101BE">
            <w:pPr>
              <w:pStyle w:val="UrbisTableBody"/>
            </w:pPr>
            <w:r w:rsidRPr="0000605C">
              <w:t>Within 5-10km of rail station or major bus station. Within 1km of bus route or future bus route</w:t>
            </w:r>
          </w:p>
        </w:tc>
        <w:tc>
          <w:tcPr>
            <w:tcW w:w="2226" w:type="pct"/>
          </w:tcPr>
          <w:p w:rsidR="00D101BE" w:rsidRPr="0000605C" w:rsidRDefault="00D101BE" w:rsidP="00D101BE">
            <w:pPr>
              <w:pStyle w:val="UrbisTableBody"/>
            </w:pPr>
            <w:r w:rsidRPr="0000605C">
              <w:t>Within 1km of major public transport – rail station, bus stop/station</w:t>
            </w:r>
          </w:p>
        </w:tc>
      </w:tr>
      <w:tr w:rsidR="00D101BE" w:rsidRPr="0000605C" w:rsidTr="00D101BE">
        <w:tc>
          <w:tcPr>
            <w:tcW w:w="873" w:type="pct"/>
          </w:tcPr>
          <w:p w:rsidR="00D101BE" w:rsidRPr="0000605C" w:rsidRDefault="00D101BE" w:rsidP="00D101BE">
            <w:pPr>
              <w:pStyle w:val="UrbisTableBody"/>
            </w:pPr>
            <w:r w:rsidRPr="0000605C">
              <w:t>Land Preparation</w:t>
            </w:r>
          </w:p>
        </w:tc>
        <w:tc>
          <w:tcPr>
            <w:tcW w:w="1901" w:type="pct"/>
          </w:tcPr>
          <w:p w:rsidR="00D101BE" w:rsidRPr="0000605C" w:rsidRDefault="00D101BE" w:rsidP="00D101BE">
            <w:pPr>
              <w:pStyle w:val="ListBullet"/>
              <w:spacing w:before="40" w:after="40" w:line="240" w:lineRule="auto"/>
              <w:ind w:left="357" w:hanging="357"/>
            </w:pPr>
            <w:r w:rsidRPr="0000605C">
              <w:t>Assume relatively flat</w:t>
            </w:r>
          </w:p>
          <w:p w:rsidR="00D101BE" w:rsidRPr="0000605C" w:rsidRDefault="00D101BE" w:rsidP="00D101BE">
            <w:pPr>
              <w:pStyle w:val="ListBullet"/>
              <w:spacing w:before="40" w:after="40" w:line="240" w:lineRule="auto"/>
              <w:ind w:left="357" w:hanging="357"/>
            </w:pPr>
            <w:r w:rsidRPr="0000605C">
              <w:t>Minimal vegetation clearing</w:t>
            </w:r>
          </w:p>
          <w:p w:rsidR="00D101BE" w:rsidRPr="0000605C" w:rsidRDefault="00D101BE" w:rsidP="00D101BE">
            <w:pPr>
              <w:pStyle w:val="ListBullet"/>
              <w:spacing w:before="40" w:after="40" w:line="240" w:lineRule="auto"/>
              <w:ind w:left="357" w:hanging="357"/>
            </w:pPr>
            <w:r w:rsidRPr="0000605C">
              <w:t>No major civil infrastructure works required off site to support development</w:t>
            </w:r>
          </w:p>
        </w:tc>
        <w:tc>
          <w:tcPr>
            <w:tcW w:w="2226" w:type="pct"/>
          </w:tcPr>
          <w:p w:rsidR="00D101BE" w:rsidRPr="0000605C" w:rsidRDefault="00D101BE" w:rsidP="00D101BE">
            <w:pPr>
              <w:pStyle w:val="ListBullet"/>
              <w:spacing w:before="40" w:after="40" w:line="240" w:lineRule="auto"/>
              <w:ind w:left="357" w:hanging="357"/>
            </w:pPr>
            <w:r w:rsidRPr="0000605C">
              <w:t>Assume relatively flat</w:t>
            </w:r>
          </w:p>
          <w:p w:rsidR="00D101BE" w:rsidRPr="0000605C" w:rsidRDefault="00D101BE" w:rsidP="00D101BE">
            <w:pPr>
              <w:pStyle w:val="ListBullet"/>
              <w:spacing w:before="40" w:after="40" w:line="240" w:lineRule="auto"/>
              <w:ind w:left="357" w:hanging="357"/>
            </w:pPr>
            <w:r w:rsidRPr="0000605C">
              <w:t>Minimal demolition</w:t>
            </w:r>
          </w:p>
          <w:p w:rsidR="00D101BE" w:rsidRPr="0000605C" w:rsidRDefault="00D101BE" w:rsidP="00D101BE">
            <w:pPr>
              <w:pStyle w:val="ListBullet"/>
              <w:spacing w:before="40" w:after="40" w:line="240" w:lineRule="auto"/>
              <w:ind w:left="357" w:hanging="357"/>
            </w:pPr>
            <w:r w:rsidRPr="0000605C">
              <w:t>No major civil infrastructure works required off site to support development</w:t>
            </w:r>
          </w:p>
        </w:tc>
      </w:tr>
      <w:tr w:rsidR="00D101BE" w:rsidRPr="0000605C" w:rsidTr="00D101BE">
        <w:trPr>
          <w:cnfStyle w:val="000000100000"/>
        </w:trPr>
        <w:tc>
          <w:tcPr>
            <w:tcW w:w="873" w:type="pct"/>
          </w:tcPr>
          <w:p w:rsidR="00D101BE" w:rsidRPr="0000605C" w:rsidRDefault="00D101BE" w:rsidP="00D101BE">
            <w:pPr>
              <w:pStyle w:val="UrbisTableBody"/>
            </w:pPr>
            <w:r w:rsidRPr="0000605C">
              <w:t>Quality of finishes</w:t>
            </w:r>
          </w:p>
        </w:tc>
        <w:tc>
          <w:tcPr>
            <w:tcW w:w="1901" w:type="pct"/>
          </w:tcPr>
          <w:p w:rsidR="00D101BE" w:rsidRPr="0000605C" w:rsidRDefault="00D101BE" w:rsidP="00D101BE">
            <w:pPr>
              <w:pStyle w:val="UrbisTableBody"/>
            </w:pPr>
            <w:r w:rsidRPr="0000605C">
              <w:t>Medium quality finishes (not top of range or bottom)</w:t>
            </w:r>
          </w:p>
        </w:tc>
        <w:tc>
          <w:tcPr>
            <w:tcW w:w="2226" w:type="pct"/>
          </w:tcPr>
          <w:p w:rsidR="00D101BE" w:rsidRPr="0000605C" w:rsidRDefault="00D101BE" w:rsidP="00D101BE">
            <w:pPr>
              <w:pStyle w:val="UrbisTableBody"/>
            </w:pPr>
            <w:r w:rsidRPr="0000605C">
              <w:t>Medium quality finishes (not top of range or bottom)</w:t>
            </w:r>
          </w:p>
        </w:tc>
      </w:tr>
    </w:tbl>
    <w:p w:rsidR="00296D5F" w:rsidRPr="0000605C" w:rsidRDefault="00296D5F" w:rsidP="00D101BE">
      <w:pPr>
        <w:rPr>
          <w:b/>
        </w:rPr>
      </w:pPr>
    </w:p>
    <w:p w:rsidR="00296D5F" w:rsidRPr="0000605C" w:rsidRDefault="00296D5F" w:rsidP="00D101BE">
      <w:pPr>
        <w:rPr>
          <w:b/>
        </w:rPr>
      </w:pPr>
      <w:r w:rsidRPr="0000605C">
        <w:rPr>
          <w:b/>
        </w:rPr>
        <w:t>Step 2 Cost Compilation</w:t>
      </w:r>
    </w:p>
    <w:p w:rsidR="00D101BE" w:rsidRPr="0000605C" w:rsidRDefault="00D101BE" w:rsidP="00D101BE">
      <w:r w:rsidRPr="0000605C">
        <w:t xml:space="preserve">The core cost components and the approaches </w:t>
      </w:r>
      <w:r w:rsidR="006144EA" w:rsidRPr="0000605C">
        <w:t>f</w:t>
      </w:r>
      <w:r w:rsidRPr="0000605C">
        <w:t>o</w:t>
      </w:r>
      <w:r w:rsidR="006144EA" w:rsidRPr="0000605C">
        <w:t>r</w:t>
      </w:r>
      <w:r w:rsidRPr="0000605C">
        <w:t xml:space="preserve"> compiling these costs are:</w:t>
      </w:r>
    </w:p>
    <w:p w:rsidR="00D101BE" w:rsidRPr="0000605C" w:rsidRDefault="00D101BE" w:rsidP="00D101BE">
      <w:pPr>
        <w:pStyle w:val="ListBullet"/>
        <w:spacing w:before="40" w:after="160" w:line="240" w:lineRule="auto"/>
        <w:ind w:left="357" w:hanging="357"/>
      </w:pPr>
      <w:r w:rsidRPr="0000605C">
        <w:t xml:space="preserve">Land – Review of development feasibility assessments for the appropriate dwelling type in the relevant location. This </w:t>
      </w:r>
      <w:r w:rsidR="006144EA" w:rsidRPr="0000605C">
        <w:t>has been</w:t>
      </w:r>
      <w:r w:rsidRPr="0000605C">
        <w:t xml:space="preserve"> compared to publicly sourced land sale information from RP Data, Victorian Valuer General’s Department, and other land sales databases.</w:t>
      </w:r>
    </w:p>
    <w:p w:rsidR="00D101BE" w:rsidRPr="0000605C" w:rsidRDefault="004958C4" w:rsidP="00D101BE">
      <w:pPr>
        <w:pStyle w:val="ListBullet"/>
        <w:spacing w:before="40" w:after="160" w:line="240" w:lineRule="auto"/>
        <w:ind w:left="357" w:hanging="357"/>
      </w:pPr>
      <w:r w:rsidRPr="0000605C">
        <w:t>Development t</w:t>
      </w:r>
      <w:r w:rsidR="00D101BE" w:rsidRPr="0000605C">
        <w:t xml:space="preserve">iming – This </w:t>
      </w:r>
      <w:r w:rsidR="006144EA" w:rsidRPr="0000605C">
        <w:t>is</w:t>
      </w:r>
      <w:r w:rsidR="00D101BE" w:rsidRPr="0000605C">
        <w:t xml:space="preserve"> based on re</w:t>
      </w:r>
      <w:r w:rsidRPr="0000605C">
        <w:t>search and experience from our town p</w:t>
      </w:r>
      <w:r w:rsidR="00D101BE" w:rsidRPr="0000605C">
        <w:t>lanning division across the relevant geographies. This has relevance in terms of development holding costs and consultant’s fees</w:t>
      </w:r>
      <w:r w:rsidR="00BB3BDE" w:rsidRPr="0000605C">
        <w:t>.</w:t>
      </w:r>
    </w:p>
    <w:p w:rsidR="00D101BE" w:rsidRPr="0000605C" w:rsidRDefault="004958C4" w:rsidP="00D101BE">
      <w:pPr>
        <w:pStyle w:val="ListBullet"/>
        <w:spacing w:before="40" w:after="160" w:line="240" w:lineRule="auto"/>
        <w:ind w:left="357" w:hanging="357"/>
      </w:pPr>
      <w:r w:rsidRPr="0000605C">
        <w:t>Council r</w:t>
      </w:r>
      <w:r w:rsidR="00D101BE" w:rsidRPr="0000605C">
        <w:t>a</w:t>
      </w:r>
      <w:r w:rsidRPr="0000605C">
        <w:t>tes and f</w:t>
      </w:r>
      <w:r w:rsidR="00D101BE" w:rsidRPr="0000605C">
        <w:t>ees – Council based costs incurred during the development of each type of dwelling</w:t>
      </w:r>
      <w:r w:rsidR="006144EA" w:rsidRPr="0000605C">
        <w:t xml:space="preserve">. Sourced from Council web sites and other published </w:t>
      </w:r>
      <w:r w:rsidR="00393C15" w:rsidRPr="0000605C">
        <w:t>Council documentation</w:t>
      </w:r>
      <w:r w:rsidR="00BB3BDE" w:rsidRPr="0000605C">
        <w:t>.</w:t>
      </w:r>
    </w:p>
    <w:p w:rsidR="00D101BE" w:rsidRPr="0000605C" w:rsidRDefault="004958C4" w:rsidP="00D101BE">
      <w:pPr>
        <w:pStyle w:val="ListBullet"/>
        <w:spacing w:before="40" w:after="160" w:line="240" w:lineRule="auto"/>
        <w:ind w:left="357" w:hanging="357"/>
      </w:pPr>
      <w:r w:rsidRPr="0000605C">
        <w:t>Taxes – Drawn from government published rates for stamp duty, land t</w:t>
      </w:r>
      <w:r w:rsidR="00D101BE" w:rsidRPr="0000605C">
        <w:t>ax, and GST</w:t>
      </w:r>
      <w:r w:rsidR="001C6EB3" w:rsidRPr="0000605C">
        <w:t>.</w:t>
      </w:r>
    </w:p>
    <w:p w:rsidR="00D101BE" w:rsidRPr="0000605C" w:rsidRDefault="00BB3BDE" w:rsidP="00D101BE">
      <w:pPr>
        <w:pStyle w:val="ListBullet"/>
        <w:spacing w:before="40" w:after="160" w:line="240" w:lineRule="auto"/>
        <w:ind w:left="357" w:hanging="357"/>
      </w:pPr>
      <w:r w:rsidRPr="0000605C">
        <w:t xml:space="preserve">Professional </w:t>
      </w:r>
      <w:r w:rsidR="004958C4" w:rsidRPr="0000605C">
        <w:t>f</w:t>
      </w:r>
      <w:r w:rsidR="00D101BE" w:rsidRPr="0000605C">
        <w:t xml:space="preserve">ees – </w:t>
      </w:r>
      <w:r w:rsidR="00A5187B" w:rsidRPr="0000605C">
        <w:t>These have been provided by our sub consultants, Rider Levitt Bucknall and are</w:t>
      </w:r>
      <w:r w:rsidR="001C6EB3" w:rsidRPr="0000605C">
        <w:t xml:space="preserve"> based on relevant project examples.</w:t>
      </w:r>
    </w:p>
    <w:p w:rsidR="00D101BE" w:rsidRPr="0000605C" w:rsidRDefault="004958C4" w:rsidP="00D101BE">
      <w:pPr>
        <w:pStyle w:val="ListBullet"/>
        <w:spacing w:before="40" w:after="160" w:line="240" w:lineRule="auto"/>
        <w:ind w:left="357" w:hanging="357"/>
      </w:pPr>
      <w:r w:rsidRPr="0000605C">
        <w:t>Infrastructure c</w:t>
      </w:r>
      <w:r w:rsidR="00D101BE" w:rsidRPr="0000605C">
        <w:t xml:space="preserve">harges – These </w:t>
      </w:r>
      <w:r w:rsidR="00393C15" w:rsidRPr="0000605C">
        <w:t>are</w:t>
      </w:r>
      <w:r w:rsidR="00D101BE" w:rsidRPr="0000605C">
        <w:t xml:space="preserve"> based on a range of sources including Local Gover</w:t>
      </w:r>
      <w:r w:rsidRPr="0000605C">
        <w:t>nment Association information, c</w:t>
      </w:r>
      <w:r w:rsidR="00D101BE" w:rsidRPr="0000605C">
        <w:t xml:space="preserve">ouncil information, and information from </w:t>
      </w:r>
      <w:r w:rsidR="00393C15" w:rsidRPr="0000605C">
        <w:t>the Urbis</w:t>
      </w:r>
      <w:r w:rsidR="00D101BE" w:rsidRPr="0000605C">
        <w:t xml:space="preserve"> Town Planning division</w:t>
      </w:r>
      <w:r w:rsidR="00393C15" w:rsidRPr="0000605C">
        <w:t xml:space="preserve">. These reflect charges incurred during 2010 </w:t>
      </w:r>
      <w:r w:rsidRPr="0000605C">
        <w:t>(and do not reflect changes to infrastructure c</w:t>
      </w:r>
      <w:r w:rsidR="00393C15" w:rsidRPr="0000605C">
        <w:t>harging regimes that have been implemented in 2011)</w:t>
      </w:r>
      <w:r w:rsidR="001C6EB3" w:rsidRPr="0000605C">
        <w:t>.</w:t>
      </w:r>
    </w:p>
    <w:p w:rsidR="00D101BE" w:rsidRPr="0000605C" w:rsidRDefault="004958C4" w:rsidP="00D101BE">
      <w:pPr>
        <w:pStyle w:val="ListBullet"/>
        <w:spacing w:before="40" w:after="160" w:line="240" w:lineRule="auto"/>
        <w:ind w:left="357" w:hanging="357"/>
      </w:pPr>
      <w:r w:rsidRPr="0000605C">
        <w:t>Land preparation costs and dwelling construction c</w:t>
      </w:r>
      <w:r w:rsidR="00D101BE" w:rsidRPr="0000605C">
        <w:t xml:space="preserve">osts – This </w:t>
      </w:r>
      <w:r w:rsidR="00393C15" w:rsidRPr="0000605C">
        <w:t>has</w:t>
      </w:r>
      <w:r w:rsidR="00D101BE" w:rsidRPr="0000605C">
        <w:t xml:space="preserve"> be</w:t>
      </w:r>
      <w:r w:rsidR="00393C15" w:rsidRPr="0000605C">
        <w:t>en</w:t>
      </w:r>
      <w:r w:rsidR="00D101BE" w:rsidRPr="0000605C">
        <w:t xml:space="preserve"> provided by Rider Levett Bucknall through its national office network and databases. This </w:t>
      </w:r>
      <w:r w:rsidR="00393C15" w:rsidRPr="0000605C">
        <w:t>is</w:t>
      </w:r>
      <w:r w:rsidR="00D101BE" w:rsidRPr="0000605C">
        <w:t xml:space="preserve"> based on identical dwelling developments across the study locations (</w:t>
      </w:r>
      <w:r w:rsidR="00393C15" w:rsidRPr="0000605C">
        <w:t>taking into account appropriate geographic and climatic difference</w:t>
      </w:r>
      <w:r w:rsidR="00D101BE" w:rsidRPr="0000605C">
        <w:t>s)</w:t>
      </w:r>
      <w:r w:rsidR="001C6EB3" w:rsidRPr="0000605C">
        <w:t>.</w:t>
      </w:r>
    </w:p>
    <w:p w:rsidR="00D101BE" w:rsidRPr="0000605C" w:rsidRDefault="001B6408" w:rsidP="00D101BE">
      <w:pPr>
        <w:pStyle w:val="ListBullet"/>
        <w:spacing w:before="40" w:after="160" w:line="240" w:lineRule="auto"/>
        <w:ind w:left="357" w:hanging="357"/>
      </w:pPr>
      <w:r w:rsidRPr="0000605C">
        <w:t>Devel</w:t>
      </w:r>
      <w:r w:rsidR="004958C4" w:rsidRPr="0000605C">
        <w:t>opment c</w:t>
      </w:r>
      <w:r w:rsidRPr="0000605C">
        <w:t>osts – These</w:t>
      </w:r>
      <w:r w:rsidR="00D101BE" w:rsidRPr="0000605C">
        <w:t xml:space="preserve"> </w:t>
      </w:r>
      <w:r w:rsidR="00393C15" w:rsidRPr="0000605C">
        <w:t>are</w:t>
      </w:r>
      <w:r w:rsidR="00D101BE" w:rsidRPr="0000605C">
        <w:t xml:space="preserve"> a compilation of development management, marketing, and selling costs and any other development costs not included in the above categories. </w:t>
      </w:r>
      <w:r w:rsidR="00393C15" w:rsidRPr="0000605C">
        <w:t>These are</w:t>
      </w:r>
      <w:r w:rsidR="00D101BE" w:rsidRPr="0000605C">
        <w:t xml:space="preserve"> based primarily on industry benchmarks (typically these are percentages of overal</w:t>
      </w:r>
      <w:r w:rsidR="004958C4" w:rsidRPr="0000605C">
        <w:t>l costs and estimates of development m</w:t>
      </w:r>
      <w:r w:rsidR="00D101BE" w:rsidRPr="0000605C">
        <w:t>anagement salaries)</w:t>
      </w:r>
      <w:r w:rsidR="00393C15" w:rsidRPr="0000605C">
        <w:t xml:space="preserve"> which have been verified through discussions with developers</w:t>
      </w:r>
      <w:r w:rsidR="00BB3BDE" w:rsidRPr="0000605C">
        <w:t>.</w:t>
      </w:r>
    </w:p>
    <w:p w:rsidR="00D101BE" w:rsidRPr="0000605C" w:rsidRDefault="00D101BE" w:rsidP="00D101BE">
      <w:pPr>
        <w:pStyle w:val="ListBullet"/>
        <w:spacing w:before="40" w:after="160" w:line="240" w:lineRule="auto"/>
        <w:ind w:left="357" w:hanging="357"/>
      </w:pPr>
      <w:r w:rsidRPr="0000605C">
        <w:t>Sale</w:t>
      </w:r>
      <w:r w:rsidR="004958C4" w:rsidRPr="0000605C">
        <w:t xml:space="preserve"> p</w:t>
      </w:r>
      <w:r w:rsidR="001B6408" w:rsidRPr="0000605C">
        <w:t>rices – These</w:t>
      </w:r>
      <w:r w:rsidRPr="0000605C">
        <w:t xml:space="preserve"> </w:t>
      </w:r>
      <w:r w:rsidR="00C604BF" w:rsidRPr="0000605C">
        <w:t>ha</w:t>
      </w:r>
      <w:r w:rsidR="001B6408" w:rsidRPr="0000605C">
        <w:t>ve</w:t>
      </w:r>
      <w:r w:rsidR="00C604BF" w:rsidRPr="0000605C">
        <w:t xml:space="preserve"> been</w:t>
      </w:r>
      <w:r w:rsidRPr="0000605C">
        <w:t xml:space="preserve"> draw</w:t>
      </w:r>
      <w:r w:rsidR="00C604BF" w:rsidRPr="0000605C">
        <w:t xml:space="preserve">n from </w:t>
      </w:r>
      <w:r w:rsidRPr="0000605C">
        <w:t xml:space="preserve">national RP Data information, Victorian Valuer Generals data, and other dwelling sale data sources for dwelling sale prices over the relevant period and for the study locations and dwelling typologies. </w:t>
      </w:r>
      <w:r w:rsidR="00C604BF" w:rsidRPr="0000605C">
        <w:t>This assessment has also reviewed</w:t>
      </w:r>
      <w:r w:rsidRPr="0000605C">
        <w:t xml:space="preserve"> developer feasibility assessments to cross check publicly sourced information</w:t>
      </w:r>
      <w:r w:rsidR="00BB3BDE" w:rsidRPr="0000605C">
        <w:t>.</w:t>
      </w:r>
    </w:p>
    <w:p w:rsidR="00D101BE" w:rsidRPr="0000605C" w:rsidRDefault="00D101BE" w:rsidP="00D101BE">
      <w:pPr>
        <w:pStyle w:val="ListBullet"/>
        <w:spacing w:before="40" w:after="160" w:line="240" w:lineRule="auto"/>
        <w:ind w:left="357" w:hanging="357"/>
      </w:pPr>
      <w:r w:rsidRPr="0000605C">
        <w:lastRenderedPageBreak/>
        <w:t>Development Profit – This is calculated as a result of the compilation of the above costs subtracted from the identified dwelling sale price.</w:t>
      </w:r>
    </w:p>
    <w:p w:rsidR="00296D5F" w:rsidRPr="0000605C" w:rsidRDefault="00296D5F" w:rsidP="00D101BE">
      <w:pPr>
        <w:rPr>
          <w:b/>
        </w:rPr>
      </w:pPr>
      <w:r w:rsidRPr="0000605C">
        <w:rPr>
          <w:b/>
        </w:rPr>
        <w:t>Step 3 Results Compilation and Analysis</w:t>
      </w:r>
    </w:p>
    <w:p w:rsidR="00D101BE" w:rsidRPr="0000605C" w:rsidRDefault="00D101BE" w:rsidP="00D101BE">
      <w:r w:rsidRPr="0000605C">
        <w:t>From the above cost analysis</w:t>
      </w:r>
      <w:r w:rsidR="00BB3BDE" w:rsidRPr="0000605C">
        <w:t>,</w:t>
      </w:r>
      <w:r w:rsidRPr="0000605C">
        <w:t xml:space="preserve"> cost tables </w:t>
      </w:r>
      <w:r w:rsidR="00C604BF" w:rsidRPr="0000605C">
        <w:t xml:space="preserve">were compiled </w:t>
      </w:r>
      <w:r w:rsidRPr="0000605C">
        <w:t>for each of two dwelling types for each of the 5 study locations. Effectively this generate</w:t>
      </w:r>
      <w:r w:rsidR="00C604BF" w:rsidRPr="0000605C">
        <w:t>s</w:t>
      </w:r>
      <w:r w:rsidR="00FD5BB4" w:rsidRPr="0000605C">
        <w:t xml:space="preserve"> 5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00FD5BB4" w:rsidRPr="0000605C">
        <w:t xml:space="preserve"> tables and 5 i</w:t>
      </w:r>
      <w:r w:rsidRPr="0000605C">
        <w:t>nfill tables across the study locations for comparison.</w:t>
      </w:r>
      <w:r w:rsidR="00C604BF" w:rsidRPr="0000605C">
        <w:t xml:space="preserve"> This information has then been analysed to ascertain changes in dwelling cost components over the past year, the significance of each component, and compar</w:t>
      </w:r>
      <w:r w:rsidR="00BB3BDE" w:rsidRPr="0000605C">
        <w:t xml:space="preserve">e </w:t>
      </w:r>
      <w:r w:rsidR="00C604BF" w:rsidRPr="0000605C">
        <w:t>cost components across geographies and dwelling types.</w:t>
      </w:r>
      <w:r w:rsidR="009301D6" w:rsidRPr="0000605C">
        <w:t xml:space="preserve"> Detailed data </w:t>
      </w:r>
      <w:r w:rsidR="009F1F40">
        <w:t>tables</w:t>
      </w:r>
      <w:r w:rsidR="009301D6" w:rsidRPr="0000605C">
        <w:t xml:space="preserve"> for infill, </w:t>
      </w:r>
      <w:proofErr w:type="gramStart"/>
      <w:smartTag w:uri="urn:schemas-microsoft-com:office:smarttags" w:element="place">
        <w:smartTag w:uri="urn:schemas-microsoft-com:office:smarttags" w:element="City">
          <w:r w:rsidR="009301D6" w:rsidRPr="0000605C">
            <w:t>greenfield</w:t>
          </w:r>
        </w:smartTag>
      </w:smartTag>
      <w:proofErr w:type="gramEnd"/>
      <w:r w:rsidR="009301D6" w:rsidRPr="0000605C">
        <w:t xml:space="preserve"> and construction and professional costs appear in appendices A, B and C respectively.</w:t>
      </w:r>
    </w:p>
    <w:p w:rsidR="00296D5F" w:rsidRPr="0000605C" w:rsidRDefault="00296D5F" w:rsidP="00D101BE">
      <w:pPr>
        <w:rPr>
          <w:b/>
        </w:rPr>
      </w:pPr>
      <w:r w:rsidRPr="0000605C">
        <w:rPr>
          <w:b/>
        </w:rPr>
        <w:t>Step 4 Conclusions and Recommendations</w:t>
      </w:r>
    </w:p>
    <w:p w:rsidR="00C604BF" w:rsidRPr="0000605C" w:rsidRDefault="00C604BF" w:rsidP="00D101BE">
      <w:r w:rsidRPr="0000605C">
        <w:t xml:space="preserve">The final stage of the study draws together the key findings and </w:t>
      </w:r>
      <w:proofErr w:type="gramStart"/>
      <w:r w:rsidRPr="0000605C">
        <w:t>insights of the study and from this identifies</w:t>
      </w:r>
      <w:proofErr w:type="gramEnd"/>
      <w:r w:rsidRPr="0000605C">
        <w:t xml:space="preserve"> recommendations and policy responses aimed at improving housing affordability across </w:t>
      </w:r>
      <w:smartTag w:uri="urn:schemas-microsoft-com:office:smarttags" w:element="place">
        <w:smartTag w:uri="urn:schemas-microsoft-com:office:smarttags" w:element="country-region">
          <w:r w:rsidRPr="0000605C">
            <w:t>Australia</w:t>
          </w:r>
        </w:smartTag>
      </w:smartTag>
      <w:r w:rsidRPr="0000605C">
        <w:t>.</w:t>
      </w:r>
    </w:p>
    <w:p w:rsidR="00D101BE" w:rsidRPr="0000605C" w:rsidRDefault="00D101BE" w:rsidP="00D101BE">
      <w:pPr>
        <w:pStyle w:val="Heading2"/>
        <w:keepNext w:val="0"/>
        <w:spacing w:before="360" w:line="240" w:lineRule="auto"/>
      </w:pPr>
      <w:bookmarkStart w:id="29" w:name="_Toc250964521"/>
      <w:bookmarkStart w:id="30" w:name="_Toc250998407"/>
      <w:bookmarkStart w:id="31" w:name="_Toc294088033"/>
      <w:r w:rsidRPr="0000605C">
        <w:t>Key Assumptions</w:t>
      </w:r>
      <w:bookmarkEnd w:id="29"/>
      <w:bookmarkEnd w:id="30"/>
      <w:bookmarkEnd w:id="31"/>
    </w:p>
    <w:p w:rsidR="00D101BE" w:rsidRPr="0000605C" w:rsidRDefault="00D101BE" w:rsidP="00D101BE">
      <w:pPr>
        <w:pStyle w:val="BodyText"/>
        <w:rPr>
          <w:rFonts w:cs="Arial"/>
        </w:rPr>
      </w:pPr>
      <w:r w:rsidRPr="0000605C">
        <w:rPr>
          <w:rFonts w:cs="Arial"/>
        </w:rPr>
        <w:t>The key assumptions for each cost component are outlin</w:t>
      </w:r>
      <w:r w:rsidR="00FD5BB4" w:rsidRPr="0000605C">
        <w:rPr>
          <w:rFonts w:cs="Arial"/>
        </w:rPr>
        <w:t xml:space="preserve">ed in the following tables for </w:t>
      </w:r>
      <w:proofErr w:type="gramStart"/>
      <w:smartTag w:uri="urn:schemas-microsoft-com:office:smarttags" w:element="place">
        <w:smartTag w:uri="urn:schemas-microsoft-com:office:smarttags" w:element="City">
          <w:r w:rsidR="00FD5BB4" w:rsidRPr="0000605C">
            <w:rPr>
              <w:rFonts w:cs="Arial"/>
            </w:rPr>
            <w:t>g</w:t>
          </w:r>
          <w:r w:rsidRPr="0000605C">
            <w:rPr>
              <w:rFonts w:cs="Arial"/>
            </w:rPr>
            <w:t>reenfield</w:t>
          </w:r>
        </w:smartTag>
      </w:smartTag>
      <w:proofErr w:type="gramEnd"/>
      <w:r w:rsidR="00FD5BB4" w:rsidRPr="0000605C">
        <w:rPr>
          <w:rFonts w:cs="Arial"/>
        </w:rPr>
        <w:t xml:space="preserve"> and i</w:t>
      </w:r>
      <w:r w:rsidRPr="0000605C">
        <w:rPr>
          <w:rFonts w:cs="Arial"/>
        </w:rPr>
        <w:t>nfill dwellings.</w:t>
      </w:r>
    </w:p>
    <w:p w:rsidR="00D101BE" w:rsidRPr="0000605C" w:rsidRDefault="00D101BE" w:rsidP="00D101BE">
      <w:pPr>
        <w:pStyle w:val="BodyText"/>
        <w:rPr>
          <w:rFonts w:cs="Arial"/>
          <w:b/>
        </w:rPr>
      </w:pPr>
      <w:bookmarkStart w:id="32" w:name="_Toc250964168"/>
      <w:bookmarkStart w:id="33" w:name="_Toc290649608"/>
      <w:r w:rsidRPr="0000605C">
        <w:t xml:space="preserve">Table </w:t>
      </w:r>
      <w:fldSimple w:instr=" SEQ Table \* ARABIC ">
        <w:r w:rsidR="00752FF2">
          <w:rPr>
            <w:noProof/>
          </w:rPr>
          <w:t>1</w:t>
        </w:r>
      </w:fldSimple>
      <w:r w:rsidRPr="0000605C">
        <w:t xml:space="preserve"> – </w:t>
      </w:r>
      <w:smartTag w:uri="urn:schemas-microsoft-com:office:smarttags" w:element="place">
        <w:smartTag w:uri="urn:schemas-microsoft-com:office:smarttags" w:element="City">
          <w:r w:rsidRPr="0000605C">
            <w:rPr>
              <w:rFonts w:cs="Arial"/>
            </w:rPr>
            <w:t>Greenfield</w:t>
          </w:r>
        </w:smartTag>
      </w:smartTag>
      <w:r w:rsidR="009301D6" w:rsidRPr="0000605C">
        <w:rPr>
          <w:rFonts w:cs="Arial"/>
        </w:rPr>
        <w:t xml:space="preserve"> d</w:t>
      </w:r>
      <w:r w:rsidRPr="0000605C">
        <w:rPr>
          <w:rFonts w:cs="Arial"/>
        </w:rPr>
        <w:t>welling</w:t>
      </w:r>
      <w:r w:rsidR="009301D6" w:rsidRPr="0000605C">
        <w:rPr>
          <w:rFonts w:cs="Arial"/>
        </w:rPr>
        <w:t xml:space="preserve"> cost a</w:t>
      </w:r>
      <w:r w:rsidRPr="0000605C">
        <w:rPr>
          <w:rFonts w:cs="Arial"/>
        </w:rPr>
        <w:t>ssumptions</w:t>
      </w:r>
      <w:bookmarkEnd w:id="32"/>
      <w:bookmarkEnd w:id="33"/>
    </w:p>
    <w:tbl>
      <w:tblPr>
        <w:tblStyle w:val="TableGrid"/>
        <w:tblW w:w="9177" w:type="dxa"/>
        <w:tblInd w:w="108" w:type="dxa"/>
        <w:shd w:val="solid" w:color="FFFFFF" w:fill="000000"/>
        <w:tblLayout w:type="fixed"/>
        <w:tblCellMar>
          <w:left w:w="85" w:type="dxa"/>
          <w:right w:w="85" w:type="dxa"/>
        </w:tblCellMar>
        <w:tblLook w:val="00BF"/>
      </w:tblPr>
      <w:tblGrid>
        <w:gridCol w:w="2726"/>
        <w:gridCol w:w="6451"/>
      </w:tblGrid>
      <w:tr w:rsidR="00D101BE" w:rsidRPr="0000605C" w:rsidTr="00D101BE">
        <w:trPr>
          <w:cnfStyle w:val="100000000000"/>
        </w:trPr>
        <w:tc>
          <w:tcPr>
            <w:tcW w:w="2726" w:type="dxa"/>
            <w:tcBorders>
              <w:top w:val="single" w:sz="4" w:space="0" w:color="999999"/>
              <w:bottom w:val="single" w:sz="4" w:space="0" w:color="999999"/>
              <w:right w:val="single" w:sz="4" w:space="0" w:color="999999"/>
            </w:tcBorders>
            <w:shd w:val="solid" w:color="E0E0E0" w:fill="000000"/>
            <w:tcMar>
              <w:top w:w="0" w:type="dxa"/>
              <w:bottom w:w="0" w:type="dxa"/>
            </w:tcMar>
            <w:vAlign w:val="center"/>
          </w:tcPr>
          <w:p w:rsidR="00D101BE" w:rsidRPr="0000605C" w:rsidRDefault="009301D6" w:rsidP="00D101BE">
            <w:pPr>
              <w:pStyle w:val="UrbisTableHeader"/>
            </w:pPr>
            <w:r w:rsidRPr="0000605C">
              <w:rPr>
                <w:caps w:val="0"/>
              </w:rPr>
              <w:t>Cost component</w:t>
            </w:r>
          </w:p>
        </w:tc>
        <w:tc>
          <w:tcPr>
            <w:tcW w:w="6451" w:type="dxa"/>
            <w:tcBorders>
              <w:top w:val="single" w:sz="4" w:space="0" w:color="999999"/>
              <w:left w:val="single" w:sz="4" w:space="0" w:color="999999"/>
              <w:bottom w:val="single" w:sz="4" w:space="0" w:color="999999"/>
              <w:right w:val="single" w:sz="4" w:space="0" w:color="999999"/>
            </w:tcBorders>
            <w:shd w:val="solid" w:color="E0E0E0" w:fill="000000"/>
            <w:tcMar>
              <w:top w:w="0" w:type="dxa"/>
              <w:bottom w:w="0" w:type="dxa"/>
            </w:tcMar>
            <w:vAlign w:val="center"/>
          </w:tcPr>
          <w:p w:rsidR="00D101BE" w:rsidRPr="0000605C" w:rsidRDefault="009301D6" w:rsidP="00D101BE">
            <w:pPr>
              <w:pStyle w:val="UrbisTableHeader"/>
            </w:pPr>
            <w:r w:rsidRPr="0000605C">
              <w:rPr>
                <w:caps w:val="0"/>
              </w:rPr>
              <w:t>Key assumptions</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UrbisTableBody"/>
            </w:pPr>
            <w:r w:rsidRPr="0000605C">
              <w:t>Land</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Based on </w:t>
            </w:r>
            <w:r w:rsidR="00BB3BDE" w:rsidRPr="0000605C">
              <w:t xml:space="preserve">the </w:t>
            </w:r>
            <w:r w:rsidRPr="0000605C">
              <w:t>average price of urban development land in each city location over the period Jan 200</w:t>
            </w:r>
            <w:r w:rsidR="00441B75" w:rsidRPr="0000605C">
              <w:t>8</w:t>
            </w:r>
            <w:r w:rsidRPr="0000605C">
              <w:t xml:space="preserve"> to J</w:t>
            </w:r>
            <w:r w:rsidR="00441B75" w:rsidRPr="0000605C">
              <w:t>an</w:t>
            </w:r>
            <w:r w:rsidRPr="0000605C">
              <w:t xml:space="preserve"> 20</w:t>
            </w:r>
            <w:r w:rsidR="00441B75" w:rsidRPr="0000605C">
              <w:t>11 combined with advice received from developers</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Stamp duty</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ListBullet"/>
              <w:spacing w:before="40" w:after="160" w:line="240" w:lineRule="auto"/>
              <w:ind w:left="357" w:hanging="357"/>
            </w:pPr>
            <w:r w:rsidRPr="0000605C">
              <w:t>Stamp d</w:t>
            </w:r>
            <w:r w:rsidR="00D101BE" w:rsidRPr="0000605C">
              <w:t xml:space="preserve">uty assumes there are no concessions available to the developer </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Local council fees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Based on candidate location local government charges</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Professional fees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1C6EB3" w:rsidP="00D101BE">
            <w:pPr>
              <w:pStyle w:val="ListBullet"/>
              <w:spacing w:before="40" w:after="160" w:line="240" w:lineRule="auto"/>
              <w:ind w:left="357" w:hanging="357"/>
            </w:pPr>
            <w:r w:rsidRPr="0000605C">
              <w:t>Provided by Rider Levett Bucknall and is based on relevant project examples</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Infrastructure charges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Based on state and local government identified charges appropriate for each location </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Land preparation</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Based on minimal constraints to development </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Council rates/water</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Rates are calculated on </w:t>
            </w:r>
            <w:r w:rsidR="0072368E" w:rsidRPr="0000605C">
              <w:t xml:space="preserve">the parent site throughout the </w:t>
            </w:r>
            <w:r w:rsidRPr="0000605C">
              <w:t>d</w:t>
            </w:r>
            <w:r w:rsidR="0072368E" w:rsidRPr="0000605C">
              <w:t xml:space="preserve">evelopment period. </w:t>
            </w:r>
            <w:r w:rsidR="00511CCA" w:rsidRPr="0000605C">
              <w:t xml:space="preserve">Assumes no water </w:t>
            </w:r>
            <w:proofErr w:type="gramStart"/>
            <w:r w:rsidR="00511CCA" w:rsidRPr="0000605C">
              <w:t>usage,</w:t>
            </w:r>
            <w:proofErr w:type="gramEnd"/>
            <w:r w:rsidR="00511CCA" w:rsidRPr="0000605C">
              <w:t xml:space="preserve"> however </w:t>
            </w:r>
            <w:r w:rsidR="00BB3BDE" w:rsidRPr="0000605C">
              <w:t>charges are applied</w:t>
            </w:r>
            <w:r w:rsidR="00511CCA" w:rsidRPr="0000605C">
              <w:t xml:space="preserve"> for connection</w:t>
            </w:r>
            <w:r w:rsidR="00BB3BDE" w:rsidRPr="0000605C">
              <w:t>.</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Land tax</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ED38B4" w:rsidP="00D101BE">
            <w:pPr>
              <w:pStyle w:val="ListBullet"/>
              <w:spacing w:before="40" w:after="160" w:line="240" w:lineRule="auto"/>
              <w:ind w:left="357" w:hanging="357"/>
            </w:pPr>
            <w:r w:rsidRPr="0000605C">
              <w:t>Calculated on a</w:t>
            </w:r>
            <w:r w:rsidR="00354D02" w:rsidRPr="0000605C">
              <w:t>n 80</w:t>
            </w:r>
            <w:r w:rsidRPr="0000605C">
              <w:t>% market value to estimate unimproved capital value</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Development timing</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Assumes no undue time delay caused by developer in seeking planning</w:t>
            </w:r>
            <w:r w:rsidR="00354D02" w:rsidRPr="0000605C">
              <w:t xml:space="preserve"> approvals</w:t>
            </w:r>
            <w:r w:rsidRPr="0000605C">
              <w:t>, land preparation or dwelling construction</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301D6" w:rsidP="00D101BE">
            <w:pPr>
              <w:pStyle w:val="UrbisTableBody"/>
            </w:pPr>
            <w:r w:rsidRPr="0000605C">
              <w:t>Dwelling construction costs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FD5BB4" w:rsidP="00D101BE">
            <w:pPr>
              <w:pStyle w:val="ListBullet"/>
              <w:spacing w:before="40" w:after="160" w:line="240" w:lineRule="auto"/>
              <w:ind w:left="357" w:hanging="357"/>
            </w:pPr>
            <w:r w:rsidRPr="0000605C">
              <w:t>While</w:t>
            </w:r>
            <w:r w:rsidR="00D101BE" w:rsidRPr="0000605C">
              <w:t xml:space="preserve"> costs were based on effectively identical dwellings across states, it was considered appropriate to account for factors relating to climatic, geographic, and regulatory differences across the study locations</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UrbisTableBody"/>
            </w:pPr>
            <w:r w:rsidRPr="0000605C">
              <w:lastRenderedPageBreak/>
              <w:t xml:space="preserve">Development </w:t>
            </w:r>
            <w:r w:rsidR="00F225A6" w:rsidRPr="0000605C">
              <w:t>costs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Marketing costs </w:t>
            </w:r>
            <w:r w:rsidR="00511CCA" w:rsidRPr="0000605C">
              <w:t xml:space="preserve">have increased in areas to account for in depth marketing strategies </w:t>
            </w:r>
          </w:p>
          <w:p w:rsidR="00D101BE" w:rsidRPr="0000605C" w:rsidRDefault="00511CCA" w:rsidP="00D101BE">
            <w:pPr>
              <w:pStyle w:val="ListBullet"/>
              <w:spacing w:before="40" w:after="160" w:line="240" w:lineRule="auto"/>
              <w:ind w:left="357" w:hanging="357"/>
            </w:pPr>
            <w:r w:rsidRPr="0000605C">
              <w:t xml:space="preserve">Sales costs are calculated at 3% of sales </w:t>
            </w:r>
            <w:r w:rsidR="00354D02" w:rsidRPr="0000605C">
              <w:t>value</w:t>
            </w:r>
            <w:r w:rsidRPr="0000605C">
              <w:t>. This is consistent with market rates.</w:t>
            </w:r>
          </w:p>
          <w:p w:rsidR="00D101BE" w:rsidRPr="0000605C" w:rsidRDefault="00D101BE" w:rsidP="00D101BE">
            <w:pPr>
              <w:pStyle w:val="ListBullet"/>
              <w:spacing w:before="40" w:after="160" w:line="240" w:lineRule="auto"/>
              <w:ind w:left="357" w:hanging="357"/>
            </w:pPr>
            <w:r w:rsidRPr="0000605C">
              <w:t xml:space="preserve">Development management fees typically represent </w:t>
            </w:r>
            <w:r w:rsidR="00511CCA" w:rsidRPr="0000605C">
              <w:t>1.0</w:t>
            </w:r>
            <w:r w:rsidRPr="0000605C">
              <w:t xml:space="preserve">% of </w:t>
            </w:r>
            <w:r w:rsidR="00511CCA" w:rsidRPr="0000605C">
              <w:t>project costs</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UrbisTableBody"/>
            </w:pPr>
            <w:r w:rsidRPr="0000605C">
              <w:t>Interest</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A0027D" w:rsidRPr="0000605C" w:rsidRDefault="00A0027D" w:rsidP="00D101BE">
            <w:pPr>
              <w:pStyle w:val="ListBullet"/>
              <w:spacing w:before="40" w:after="160" w:line="240" w:lineRule="auto"/>
              <w:ind w:left="357" w:hanging="357"/>
            </w:pPr>
            <w:r w:rsidRPr="0000605C">
              <w:t xml:space="preserve">Assumed developer provides 40% equity on the purchase of land (consistent with market rate) </w:t>
            </w:r>
          </w:p>
          <w:p w:rsidR="00D101BE" w:rsidRPr="0000605C" w:rsidRDefault="00D101BE" w:rsidP="00D101BE">
            <w:pPr>
              <w:pStyle w:val="ListBullet"/>
              <w:spacing w:before="40" w:after="160" w:line="240" w:lineRule="auto"/>
              <w:ind w:left="357" w:hanging="357"/>
            </w:pPr>
            <w:r w:rsidRPr="0000605C">
              <w:t xml:space="preserve">Interest on land </w:t>
            </w:r>
            <w:r w:rsidR="00A0027D" w:rsidRPr="0000605C">
              <w:t>(remaining 60%) a</w:t>
            </w:r>
            <w:r w:rsidRPr="0000605C">
              <w:t xml:space="preserve">nd purchase costs is calculated on </w:t>
            </w:r>
            <w:r w:rsidR="00511CCA" w:rsidRPr="0000605C">
              <w:t>9.5</w:t>
            </w:r>
            <w:r w:rsidRPr="0000605C">
              <w:t xml:space="preserve">% p.a. for the whole of the development period </w:t>
            </w:r>
          </w:p>
          <w:p w:rsidR="00D101BE" w:rsidRPr="0000605C" w:rsidRDefault="00D101BE" w:rsidP="00D101BE">
            <w:pPr>
              <w:pStyle w:val="ListBullet"/>
              <w:spacing w:before="40" w:after="160" w:line="240" w:lineRule="auto"/>
              <w:ind w:left="357" w:hanging="357"/>
            </w:pPr>
            <w:r w:rsidRPr="0000605C">
              <w:t>Interest for the remaining costs is calculated on a draw down facility at 9.</w:t>
            </w:r>
            <w:r w:rsidR="00A0027D" w:rsidRPr="0000605C">
              <w:t>5</w:t>
            </w:r>
            <w:r w:rsidRPr="0000605C">
              <w:t>% p.a.</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F225A6" w:rsidP="00D101BE">
            <w:pPr>
              <w:pStyle w:val="UrbisTableBody"/>
            </w:pPr>
            <w:smartTag w:uri="urn:schemas-microsoft-com:office:smarttags" w:element="place">
              <w:smartTag w:uri="urn:schemas-microsoft-com:office:smarttags" w:element="City">
                <w:r w:rsidRPr="0000605C">
                  <w:t>Sale</w:t>
                </w:r>
              </w:smartTag>
            </w:smartTag>
            <w:r w:rsidRPr="0000605C">
              <w:t xml:space="preserve"> price</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Reflective of recent sales of new 3 bedroom, 2 bathroom detached houses on </w:t>
            </w:r>
            <w:r w:rsidR="00A0027D" w:rsidRPr="0000605C">
              <w:t>400</w:t>
            </w:r>
            <w:r w:rsidR="00D64DA3" w:rsidRPr="0000605C">
              <w:t>m</w:t>
            </w:r>
            <w:r w:rsidR="00D64DA3" w:rsidRPr="007B539C">
              <w:rPr>
                <w:vertAlign w:val="superscript"/>
              </w:rPr>
              <w:t>2</w:t>
            </w:r>
            <w:r w:rsidRPr="0000605C">
              <w:t xml:space="preserve"> to 5</w:t>
            </w:r>
            <w:r w:rsidR="00A0027D" w:rsidRPr="0000605C">
              <w:t>0</w:t>
            </w:r>
            <w:r w:rsidR="00D64DA3" w:rsidRPr="0000605C">
              <w:t>0m</w:t>
            </w:r>
            <w:r w:rsidR="00D64DA3" w:rsidRPr="007B539C">
              <w:rPr>
                <w:vertAlign w:val="superscript"/>
              </w:rPr>
              <w:t>2</w:t>
            </w:r>
            <w:r w:rsidRPr="0000605C">
              <w:t xml:space="preserve"> lots in relevant area</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F225A6" w:rsidP="00D101BE">
            <w:pPr>
              <w:pStyle w:val="UrbisTableBody"/>
            </w:pPr>
            <w:r w:rsidRPr="0000605C">
              <w:t>GST liability</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Calculated as 10% of end sale price </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F225A6" w:rsidP="00D101BE">
            <w:pPr>
              <w:pStyle w:val="UrbisTableBody"/>
            </w:pPr>
            <w:r w:rsidRPr="0000605C">
              <w:t>Development profit</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Based on difference between sale price and total development costs</w:t>
            </w:r>
          </w:p>
        </w:tc>
      </w:tr>
    </w:tbl>
    <w:p w:rsidR="00D101BE" w:rsidRPr="0000605C" w:rsidRDefault="00D101BE" w:rsidP="00D101BE">
      <w:pPr>
        <w:pStyle w:val="BodyText"/>
        <w:rPr>
          <w:rFonts w:cs="Arial"/>
          <w:highlight w:val="green"/>
        </w:rPr>
      </w:pPr>
    </w:p>
    <w:p w:rsidR="00D101BE" w:rsidRPr="0000605C" w:rsidRDefault="00D101BE" w:rsidP="00D101BE">
      <w:pPr>
        <w:pStyle w:val="BodyText"/>
        <w:rPr>
          <w:rFonts w:cs="Arial"/>
          <w:b/>
        </w:rPr>
      </w:pPr>
      <w:bookmarkStart w:id="34" w:name="_Toc250964169"/>
      <w:bookmarkStart w:id="35" w:name="_Toc290649609"/>
      <w:r w:rsidRPr="0000605C">
        <w:t xml:space="preserve">Table </w:t>
      </w:r>
      <w:fldSimple w:instr=" SEQ Table \* ARABIC ">
        <w:r w:rsidR="00752FF2">
          <w:rPr>
            <w:noProof/>
          </w:rPr>
          <w:t>2</w:t>
        </w:r>
      </w:fldSimple>
      <w:r w:rsidRPr="0000605C">
        <w:t xml:space="preserve"> – </w:t>
      </w:r>
      <w:r w:rsidR="00F225A6" w:rsidRPr="0000605C">
        <w:rPr>
          <w:rFonts w:cs="Arial"/>
        </w:rPr>
        <w:t>Infill dwelling cost a</w:t>
      </w:r>
      <w:r w:rsidRPr="0000605C">
        <w:rPr>
          <w:rFonts w:cs="Arial"/>
        </w:rPr>
        <w:t>ssumptions</w:t>
      </w:r>
      <w:bookmarkEnd w:id="34"/>
      <w:bookmarkEnd w:id="35"/>
    </w:p>
    <w:tbl>
      <w:tblPr>
        <w:tblStyle w:val="TableGrid"/>
        <w:tblW w:w="9177" w:type="dxa"/>
        <w:tblInd w:w="108" w:type="dxa"/>
        <w:shd w:val="solid" w:color="FFFFFF" w:fill="000000"/>
        <w:tblLayout w:type="fixed"/>
        <w:tblCellMar>
          <w:left w:w="85" w:type="dxa"/>
          <w:right w:w="85" w:type="dxa"/>
        </w:tblCellMar>
        <w:tblLook w:val="00BF"/>
      </w:tblPr>
      <w:tblGrid>
        <w:gridCol w:w="2726"/>
        <w:gridCol w:w="6451"/>
      </w:tblGrid>
      <w:tr w:rsidR="00D101BE" w:rsidRPr="0000605C" w:rsidTr="00D101BE">
        <w:trPr>
          <w:cnfStyle w:val="100000000000"/>
          <w:tblHeader/>
        </w:trPr>
        <w:tc>
          <w:tcPr>
            <w:tcW w:w="2726" w:type="dxa"/>
            <w:tcBorders>
              <w:top w:val="single" w:sz="4" w:space="0" w:color="999999"/>
              <w:bottom w:val="single" w:sz="4" w:space="0" w:color="999999"/>
              <w:right w:val="single" w:sz="4" w:space="0" w:color="999999"/>
            </w:tcBorders>
            <w:shd w:val="solid" w:color="E0E0E0" w:fill="000000"/>
            <w:tcMar>
              <w:top w:w="0" w:type="dxa"/>
              <w:bottom w:w="0" w:type="dxa"/>
            </w:tcMar>
            <w:vAlign w:val="center"/>
          </w:tcPr>
          <w:p w:rsidR="00D101BE" w:rsidRPr="0000605C" w:rsidRDefault="009C2848" w:rsidP="00D101BE">
            <w:pPr>
              <w:pStyle w:val="UrbisTableHeader"/>
            </w:pPr>
            <w:r w:rsidRPr="0000605C">
              <w:rPr>
                <w:caps w:val="0"/>
              </w:rPr>
              <w:t>Cost component</w:t>
            </w:r>
          </w:p>
        </w:tc>
        <w:tc>
          <w:tcPr>
            <w:tcW w:w="6451" w:type="dxa"/>
            <w:tcBorders>
              <w:top w:val="single" w:sz="4" w:space="0" w:color="999999"/>
              <w:left w:val="single" w:sz="4" w:space="0" w:color="999999"/>
              <w:bottom w:val="single" w:sz="4" w:space="0" w:color="999999"/>
              <w:right w:val="single" w:sz="4" w:space="0" w:color="999999"/>
            </w:tcBorders>
            <w:shd w:val="solid" w:color="E0E0E0" w:fill="000000"/>
            <w:tcMar>
              <w:top w:w="0" w:type="dxa"/>
              <w:bottom w:w="0" w:type="dxa"/>
            </w:tcMar>
            <w:vAlign w:val="center"/>
          </w:tcPr>
          <w:p w:rsidR="00D101BE" w:rsidRPr="0000605C" w:rsidRDefault="009C2848" w:rsidP="00D101BE">
            <w:pPr>
              <w:pStyle w:val="UrbisTableHeader"/>
            </w:pPr>
            <w:r w:rsidRPr="0000605C">
              <w:rPr>
                <w:caps w:val="0"/>
              </w:rPr>
              <w:t>Key assumptions</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UrbisTableBody"/>
            </w:pPr>
            <w:r w:rsidRPr="0000605C">
              <w:t>Land</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Based on average price of urban development land in each city location over the period Jan 200</w:t>
            </w:r>
            <w:r w:rsidR="00A0027D" w:rsidRPr="0000605C">
              <w:t>8</w:t>
            </w:r>
            <w:r w:rsidRPr="0000605C">
              <w:t xml:space="preserve"> to J</w:t>
            </w:r>
            <w:r w:rsidR="00A0027D" w:rsidRPr="0000605C">
              <w:t>a</w:t>
            </w:r>
            <w:r w:rsidRPr="0000605C">
              <w:t>n 20</w:t>
            </w:r>
            <w:r w:rsidR="00A0027D" w:rsidRPr="0000605C">
              <w:t>11</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pPr>
            <w:r w:rsidRPr="0000605C">
              <w:t>Stamp duty</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ListBullet"/>
              <w:spacing w:before="40" w:after="160" w:line="240" w:lineRule="auto"/>
              <w:ind w:left="357" w:hanging="357"/>
            </w:pPr>
            <w:r w:rsidRPr="0000605C">
              <w:t>Stamp d</w:t>
            </w:r>
            <w:r w:rsidR="00D101BE" w:rsidRPr="0000605C">
              <w:t>uty assumes there are no concessions available to the developer</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pPr>
            <w:r w:rsidRPr="0000605C">
              <w:t>Local council fees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Based on candidate location local government charges</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rPr>
                <w:highlight w:val="green"/>
              </w:rPr>
            </w:pPr>
            <w:r w:rsidRPr="0000605C">
              <w:t>Professional fees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1C6EB3" w:rsidP="00D101BE">
            <w:pPr>
              <w:pStyle w:val="ListBullet"/>
              <w:spacing w:before="40" w:after="160" w:line="240" w:lineRule="auto"/>
              <w:ind w:left="357" w:hanging="357"/>
            </w:pPr>
            <w:r w:rsidRPr="0000605C">
              <w:t>Provided by Rider Levett Bucknall and is based on relevant project examples</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pPr>
            <w:r w:rsidRPr="0000605C">
              <w:t>Infrastructure charges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A0027D">
            <w:pPr>
              <w:pStyle w:val="ListBullet"/>
              <w:spacing w:before="40" w:after="160" w:line="240" w:lineRule="auto"/>
              <w:ind w:left="357" w:hanging="357"/>
            </w:pPr>
            <w:r w:rsidRPr="0000605C">
              <w:t>Based on state and local government identified charges appropriate for each location</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pPr>
            <w:r w:rsidRPr="0000605C">
              <w:t>Land preparation</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Based on minimal constraints to development</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pPr>
            <w:r w:rsidRPr="0000605C">
              <w:t>Council rates/water</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ED38B4" w:rsidP="00D101BE">
            <w:pPr>
              <w:pStyle w:val="ListBullet"/>
              <w:spacing w:before="40" w:after="160" w:line="240" w:lineRule="auto"/>
              <w:ind w:left="357" w:hanging="357"/>
            </w:pPr>
            <w:r w:rsidRPr="0000605C">
              <w:t xml:space="preserve">Rates are calculated on the parent site throughout the development period. Assumes no water usage, however </w:t>
            </w:r>
            <w:r w:rsidR="00354D02" w:rsidRPr="0000605C">
              <w:t>charges are applied</w:t>
            </w:r>
            <w:r w:rsidRPr="0000605C">
              <w:t xml:space="preserve"> for connection</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pPr>
            <w:r w:rsidRPr="0000605C">
              <w:t>Land tax</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 xml:space="preserve">Calculated on </w:t>
            </w:r>
            <w:r w:rsidR="00354D02" w:rsidRPr="0000605C">
              <w:t>80</w:t>
            </w:r>
            <w:r w:rsidRPr="0000605C">
              <w:t xml:space="preserve">% </w:t>
            </w:r>
            <w:r w:rsidR="00354D02" w:rsidRPr="0000605C">
              <w:t xml:space="preserve">of </w:t>
            </w:r>
            <w:r w:rsidRPr="0000605C">
              <w:t xml:space="preserve"> market value to estimate unimproved capital value</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pPr>
            <w:r w:rsidRPr="0000605C">
              <w:t>Development timing</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Assumes no undue time delay caused by developer in seeking planning</w:t>
            </w:r>
            <w:r w:rsidR="00354D02" w:rsidRPr="0000605C">
              <w:t xml:space="preserve"> approvals</w:t>
            </w:r>
            <w:r w:rsidRPr="0000605C">
              <w:t>, land preparation or dwelling construction</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9C2848" w:rsidP="00D101BE">
            <w:pPr>
              <w:pStyle w:val="UrbisTableBody"/>
              <w:rPr>
                <w:highlight w:val="green"/>
              </w:rPr>
            </w:pPr>
            <w:r w:rsidRPr="0000605C">
              <w:t>Dwelling construction costs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FD5BB4" w:rsidP="00D101BE">
            <w:pPr>
              <w:pStyle w:val="ListBullet"/>
              <w:spacing w:before="40" w:after="160" w:line="240" w:lineRule="auto"/>
              <w:ind w:left="357" w:hanging="357"/>
            </w:pPr>
            <w:r w:rsidRPr="0000605C">
              <w:t>While</w:t>
            </w:r>
            <w:r w:rsidR="00D101BE" w:rsidRPr="0000605C">
              <w:t xml:space="preserve"> costs were based on effectively identical dwellings across states, it was considered appropriate to account for factors relating to climatic, </w:t>
            </w:r>
            <w:r w:rsidR="00D101BE" w:rsidRPr="0000605C">
              <w:lastRenderedPageBreak/>
              <w:t>geographic, and regulatory differences across the study locations</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3148D6" w:rsidP="00D101BE">
            <w:pPr>
              <w:pStyle w:val="UrbisTableBody"/>
              <w:rPr>
                <w:highlight w:val="green"/>
              </w:rPr>
            </w:pPr>
            <w:r w:rsidRPr="0000605C">
              <w:lastRenderedPageBreak/>
              <w:t>Development c</w:t>
            </w:r>
            <w:r w:rsidR="00D101BE" w:rsidRPr="0000605C">
              <w:t>osts</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B75D56" w:rsidRPr="0000605C" w:rsidRDefault="00B75D56" w:rsidP="00B75D56">
            <w:pPr>
              <w:pStyle w:val="ListBullet"/>
              <w:spacing w:before="40" w:after="160" w:line="240" w:lineRule="auto"/>
              <w:ind w:left="357" w:hanging="357"/>
            </w:pPr>
            <w:r w:rsidRPr="0000605C">
              <w:t xml:space="preserve">Marketing costs have increased in areas to account for in depth marketing strategies </w:t>
            </w:r>
          </w:p>
          <w:p w:rsidR="00B75D56" w:rsidRPr="0000605C" w:rsidRDefault="00B75D56" w:rsidP="00B75D56">
            <w:pPr>
              <w:pStyle w:val="ListBullet"/>
              <w:spacing w:before="40" w:after="160" w:line="240" w:lineRule="auto"/>
              <w:ind w:left="357" w:hanging="357"/>
            </w:pPr>
            <w:r w:rsidRPr="0000605C">
              <w:t xml:space="preserve">Sales costs are calculated at 3% of sales </w:t>
            </w:r>
            <w:r w:rsidR="00354D02" w:rsidRPr="0000605C">
              <w:t>value</w:t>
            </w:r>
            <w:r w:rsidRPr="0000605C">
              <w:t>. This is consistent with market rates.</w:t>
            </w:r>
          </w:p>
          <w:p w:rsidR="00D101BE" w:rsidRPr="0000605C" w:rsidRDefault="00B75D56" w:rsidP="00B75D56">
            <w:pPr>
              <w:pStyle w:val="ListBullet"/>
              <w:spacing w:before="40" w:after="160" w:line="240" w:lineRule="auto"/>
              <w:ind w:left="357" w:hanging="357"/>
            </w:pPr>
            <w:r w:rsidRPr="0000605C">
              <w:t>Development management fees typically represent 1.0% of project costs</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UrbisTableBody"/>
              <w:rPr>
                <w:highlight w:val="green"/>
              </w:rPr>
            </w:pPr>
            <w:r w:rsidRPr="0000605C">
              <w:t>Interest</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B75D56" w:rsidRPr="0000605C" w:rsidRDefault="00B75D56" w:rsidP="00B75D56">
            <w:pPr>
              <w:pStyle w:val="ListBullet"/>
              <w:spacing w:before="40" w:after="160" w:line="240" w:lineRule="auto"/>
              <w:ind w:left="357" w:hanging="357"/>
            </w:pPr>
            <w:r w:rsidRPr="0000605C">
              <w:t xml:space="preserve">Assumed developer provides 40% equity on the purchase of land (consistent with market rate) </w:t>
            </w:r>
          </w:p>
          <w:p w:rsidR="00B75D56" w:rsidRPr="0000605C" w:rsidRDefault="00B75D56" w:rsidP="00B75D56">
            <w:pPr>
              <w:pStyle w:val="ListBullet"/>
              <w:spacing w:before="40" w:after="160" w:line="240" w:lineRule="auto"/>
              <w:ind w:left="357" w:hanging="357"/>
            </w:pPr>
            <w:r w:rsidRPr="0000605C">
              <w:t xml:space="preserve">Interest on land (remaining 60%) and purchase costs is calculated on 9.5% p.a. for the whole of the development period </w:t>
            </w:r>
          </w:p>
          <w:p w:rsidR="00D101BE" w:rsidRPr="0000605C" w:rsidRDefault="00B75D56" w:rsidP="00B75D56">
            <w:pPr>
              <w:pStyle w:val="ListBullet"/>
              <w:spacing w:before="40" w:after="160" w:line="240" w:lineRule="auto"/>
              <w:ind w:left="357" w:hanging="357"/>
            </w:pPr>
            <w:r w:rsidRPr="0000605C">
              <w:t>Interest for the remaining costs is calculated on a draw down facility at 9.5% p.a.</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UrbisTableBody"/>
              <w:rPr>
                <w:highlight w:val="green"/>
              </w:rPr>
            </w:pPr>
            <w:smartTag w:uri="urn:schemas-microsoft-com:office:smarttags" w:element="place">
              <w:smartTag w:uri="urn:schemas-microsoft-com:office:smarttags" w:element="City">
                <w:r w:rsidRPr="0000605C">
                  <w:t>Sale</w:t>
                </w:r>
              </w:smartTag>
            </w:smartTag>
            <w:r w:rsidR="003148D6" w:rsidRPr="0000605C">
              <w:t xml:space="preserve"> p</w:t>
            </w:r>
            <w:r w:rsidRPr="0000605C">
              <w:t>rice</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Reflective of recent sales of new 2 bedroom, 2 bathroom apartments in the relevant area</w:t>
            </w:r>
          </w:p>
        </w:tc>
      </w:tr>
      <w:tr w:rsidR="00D101BE" w:rsidRPr="0000605C" w:rsidTr="00D101BE">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3148D6" w:rsidP="00D101BE">
            <w:pPr>
              <w:pStyle w:val="UrbisTableBody"/>
            </w:pPr>
            <w:r w:rsidRPr="0000605C">
              <w:t>GST l</w:t>
            </w:r>
            <w:r w:rsidR="00D101BE" w:rsidRPr="0000605C">
              <w:t>iability</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Calculated as a 10% of end sale price</w:t>
            </w:r>
          </w:p>
        </w:tc>
      </w:tr>
      <w:tr w:rsidR="00D101BE" w:rsidRPr="0000605C" w:rsidTr="00D101BE">
        <w:trPr>
          <w:cnfStyle w:val="000000100000"/>
        </w:trPr>
        <w:tc>
          <w:tcPr>
            <w:tcW w:w="2726"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UrbisTableBody"/>
            </w:pPr>
            <w:r w:rsidRPr="0000605C">
              <w:t>Developm</w:t>
            </w:r>
            <w:r w:rsidR="003148D6" w:rsidRPr="0000605C">
              <w:t>ent p</w:t>
            </w:r>
            <w:r w:rsidRPr="0000605C">
              <w:t>rofit</w:t>
            </w:r>
          </w:p>
        </w:tc>
        <w:tc>
          <w:tcPr>
            <w:tcW w:w="6451"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D101BE" w:rsidRPr="0000605C" w:rsidRDefault="00D101BE" w:rsidP="00D101BE">
            <w:pPr>
              <w:pStyle w:val="ListBullet"/>
              <w:spacing w:before="40" w:after="160" w:line="240" w:lineRule="auto"/>
              <w:ind w:left="357" w:hanging="357"/>
            </w:pPr>
            <w:r w:rsidRPr="0000605C">
              <w:t>Based on difference between sale price and total development costs</w:t>
            </w:r>
          </w:p>
        </w:tc>
      </w:tr>
    </w:tbl>
    <w:p w:rsidR="00D101BE" w:rsidRPr="0000605C" w:rsidRDefault="00D101BE" w:rsidP="00D101BE">
      <w:pPr>
        <w:pStyle w:val="BodyText"/>
        <w:rPr>
          <w:rFonts w:cs="Arial"/>
        </w:rPr>
      </w:pPr>
    </w:p>
    <w:p w:rsidR="00D101BE" w:rsidRPr="0000605C" w:rsidRDefault="00D101BE" w:rsidP="00D101BE">
      <w:pPr>
        <w:pStyle w:val="Heading1"/>
        <w:keepNext w:val="0"/>
        <w:spacing w:before="0" w:after="120" w:line="240" w:lineRule="auto"/>
        <w:contextualSpacing w:val="0"/>
      </w:pPr>
      <w:bookmarkStart w:id="36" w:name="_Toc250964522"/>
      <w:bookmarkStart w:id="37" w:name="_Toc250998408"/>
      <w:bookmarkStart w:id="38" w:name="_Toc294088034"/>
      <w:r w:rsidRPr="0000605C">
        <w:lastRenderedPageBreak/>
        <w:t>Results and Analysis</w:t>
      </w:r>
      <w:bookmarkEnd w:id="36"/>
      <w:bookmarkEnd w:id="37"/>
      <w:bookmarkEnd w:id="38"/>
    </w:p>
    <w:p w:rsidR="00D101BE" w:rsidRPr="0000605C" w:rsidRDefault="00D101BE" w:rsidP="00D101BE">
      <w:pPr>
        <w:pStyle w:val="BodyText"/>
      </w:pPr>
      <w:r w:rsidRPr="0000605C">
        <w:t xml:space="preserve">This </w:t>
      </w:r>
      <w:r w:rsidR="00296D5F" w:rsidRPr="0000605C">
        <w:t>second edition of the</w:t>
      </w:r>
      <w:r w:rsidR="004F6C81" w:rsidRPr="0000605C">
        <w:t xml:space="preserve"> </w:t>
      </w:r>
      <w:r w:rsidR="00296D5F" w:rsidRPr="0000605C">
        <w:t>N</w:t>
      </w:r>
      <w:r w:rsidRPr="0000605C">
        <w:t xml:space="preserve">ational </w:t>
      </w:r>
      <w:r w:rsidR="00296D5F" w:rsidRPr="0000605C">
        <w:t>D</w:t>
      </w:r>
      <w:r w:rsidRPr="0000605C">
        <w:t xml:space="preserve">welling </w:t>
      </w:r>
      <w:r w:rsidR="00296D5F" w:rsidRPr="0000605C">
        <w:t>C</w:t>
      </w:r>
      <w:r w:rsidR="00D64DA3" w:rsidRPr="0000605C">
        <w:t>ost S</w:t>
      </w:r>
      <w:r w:rsidRPr="0000605C">
        <w:t xml:space="preserve">tudy </w:t>
      </w:r>
      <w:r w:rsidR="004F6C81" w:rsidRPr="0000605C">
        <w:t xml:space="preserve">for the </w:t>
      </w:r>
      <w:r w:rsidR="00457ACF" w:rsidRPr="0000605C">
        <w:t>Australian</w:t>
      </w:r>
      <w:r w:rsidR="004F6C81" w:rsidRPr="0000605C">
        <w:t xml:space="preserve"> Government </w:t>
      </w:r>
      <w:r w:rsidRPr="0000605C">
        <w:t>examined the costs for ne</w:t>
      </w:r>
      <w:r w:rsidR="00FD5BB4" w:rsidRPr="0000605C">
        <w:t>w dwelling development of both i</w:t>
      </w:r>
      <w:r w:rsidRPr="0000605C">
        <w:t xml:space="preserve">nfill </w:t>
      </w:r>
      <w:r w:rsidR="00FD5BB4" w:rsidRPr="0000605C">
        <w:t>and g</w:t>
      </w:r>
      <w:r w:rsidRPr="0000605C">
        <w:t>reenfield dwellings in Australia’s five major cities. The results of this assessment are pr</w:t>
      </w:r>
      <w:r w:rsidR="00FD5BB4" w:rsidRPr="0000605C">
        <w:t xml:space="preserve">esented in separate infill and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sections with the emphasis on comparing cost similarities and differences </w:t>
      </w:r>
      <w:r w:rsidR="00447245" w:rsidRPr="0000605C">
        <w:t xml:space="preserve">between </w:t>
      </w:r>
      <w:r w:rsidRPr="0000605C">
        <w:t>cities</w:t>
      </w:r>
      <w:r w:rsidR="004F6C81" w:rsidRPr="0000605C">
        <w:t xml:space="preserve"> and changes over the past year</w:t>
      </w:r>
      <w:r w:rsidRPr="0000605C">
        <w:t xml:space="preserve">. To focus the analysis of the results of this dwelling cost study the individual </w:t>
      </w:r>
      <w:r w:rsidR="00FD5BB4" w:rsidRPr="0000605C">
        <w:t>cost components for infill and g</w:t>
      </w:r>
      <w:r w:rsidRPr="0000605C">
        <w:t>reenfield dwelling developments have been compiled into six main categories as shown below.</w:t>
      </w:r>
    </w:p>
    <w:p w:rsidR="00D101BE" w:rsidRPr="0000605C" w:rsidRDefault="00D101BE" w:rsidP="00D101BE">
      <w:pPr>
        <w:pStyle w:val="Caption"/>
      </w:pPr>
      <w:bookmarkStart w:id="39" w:name="_Toc170495910"/>
      <w:bookmarkStart w:id="40" w:name="_Toc250964170"/>
      <w:bookmarkStart w:id="41" w:name="_Toc290649610"/>
      <w:r w:rsidRPr="0000605C">
        <w:t xml:space="preserve">Table </w:t>
      </w:r>
      <w:fldSimple w:instr=" SEQ Table \* ARABIC ">
        <w:r w:rsidR="00752FF2">
          <w:rPr>
            <w:noProof/>
          </w:rPr>
          <w:t>3</w:t>
        </w:r>
      </w:fldSimple>
      <w:r w:rsidRPr="0000605C">
        <w:t xml:space="preserve"> – </w:t>
      </w:r>
      <w:r w:rsidR="00457ACF" w:rsidRPr="0000605C">
        <w:rPr>
          <w:caps w:val="0"/>
        </w:rPr>
        <w:t>Dwelling cost categories</w:t>
      </w:r>
      <w:bookmarkEnd w:id="40"/>
      <w:bookmarkEnd w:id="41"/>
    </w:p>
    <w:tbl>
      <w:tblPr>
        <w:tblStyle w:val="TableGrid"/>
        <w:tblW w:w="9177" w:type="dxa"/>
        <w:tblInd w:w="108" w:type="dxa"/>
        <w:shd w:val="solid" w:color="FFFFFF" w:fill="000000"/>
        <w:tblLayout w:type="fixed"/>
        <w:tblCellMar>
          <w:left w:w="85" w:type="dxa"/>
          <w:right w:w="85" w:type="dxa"/>
        </w:tblCellMar>
        <w:tblLook w:val="00BF"/>
      </w:tblPr>
      <w:tblGrid>
        <w:gridCol w:w="1891"/>
        <w:gridCol w:w="3586"/>
        <w:gridCol w:w="1900"/>
        <w:gridCol w:w="1800"/>
      </w:tblGrid>
      <w:tr w:rsidR="00DD5A15" w:rsidRPr="0000605C" w:rsidTr="00DC31E7">
        <w:trPr>
          <w:cnfStyle w:val="100000000000"/>
        </w:trPr>
        <w:tc>
          <w:tcPr>
            <w:tcW w:w="1891" w:type="dxa"/>
            <w:tcBorders>
              <w:top w:val="single" w:sz="4" w:space="0" w:color="999999"/>
              <w:bottom w:val="single" w:sz="4" w:space="0" w:color="999999"/>
              <w:right w:val="single" w:sz="4" w:space="0" w:color="999999"/>
            </w:tcBorders>
            <w:shd w:val="solid" w:color="E0E0E0" w:fill="000000"/>
            <w:tcMar>
              <w:top w:w="0" w:type="dxa"/>
              <w:bottom w:w="0" w:type="dxa"/>
            </w:tcMar>
            <w:vAlign w:val="center"/>
          </w:tcPr>
          <w:bookmarkEnd w:id="39"/>
          <w:p w:rsidR="00DD5A15" w:rsidRPr="0000605C" w:rsidRDefault="00457ACF" w:rsidP="00D101BE">
            <w:pPr>
              <w:pStyle w:val="UrbisTableHeader"/>
            </w:pPr>
            <w:r w:rsidRPr="0000605C">
              <w:rPr>
                <w:caps w:val="0"/>
              </w:rPr>
              <w:t>Major category</w:t>
            </w:r>
          </w:p>
        </w:tc>
        <w:tc>
          <w:tcPr>
            <w:tcW w:w="3586" w:type="dxa"/>
            <w:tcBorders>
              <w:top w:val="single" w:sz="4" w:space="0" w:color="999999"/>
              <w:left w:val="single" w:sz="4" w:space="0" w:color="999999"/>
              <w:bottom w:val="single" w:sz="4" w:space="0" w:color="999999"/>
              <w:right w:val="single" w:sz="4" w:space="0" w:color="999999"/>
            </w:tcBorders>
            <w:shd w:val="solid" w:color="E0E0E0" w:fill="000000"/>
            <w:tcMar>
              <w:top w:w="0" w:type="dxa"/>
              <w:bottom w:w="0" w:type="dxa"/>
            </w:tcMar>
            <w:vAlign w:val="center"/>
          </w:tcPr>
          <w:p w:rsidR="00DD5A15" w:rsidRPr="0000605C" w:rsidRDefault="00457ACF" w:rsidP="00D101BE">
            <w:pPr>
              <w:pStyle w:val="UrbisTableHeader"/>
            </w:pPr>
            <w:r w:rsidRPr="0000605C">
              <w:rPr>
                <w:caps w:val="0"/>
              </w:rPr>
              <w:t>Component costs</w:t>
            </w:r>
          </w:p>
        </w:tc>
        <w:tc>
          <w:tcPr>
            <w:tcW w:w="1900" w:type="dxa"/>
            <w:tcBorders>
              <w:top w:val="single" w:sz="4" w:space="0" w:color="999999"/>
              <w:left w:val="single" w:sz="4" w:space="0" w:color="999999"/>
              <w:bottom w:val="single" w:sz="4" w:space="0" w:color="999999"/>
              <w:right w:val="single" w:sz="4" w:space="0" w:color="999999"/>
            </w:tcBorders>
            <w:shd w:val="solid" w:color="E0E0E0" w:fill="000000"/>
            <w:vAlign w:val="center"/>
          </w:tcPr>
          <w:p w:rsidR="00DD5A15" w:rsidRPr="0000605C" w:rsidRDefault="00457ACF" w:rsidP="00D101BE">
            <w:pPr>
              <w:pStyle w:val="UrbisTableHeader"/>
            </w:pPr>
            <w:r w:rsidRPr="0000605C">
              <w:rPr>
                <w:caps w:val="0"/>
              </w:rPr>
              <w:t>Cost to developer</w:t>
            </w:r>
          </w:p>
        </w:tc>
        <w:tc>
          <w:tcPr>
            <w:tcW w:w="1800" w:type="dxa"/>
            <w:tcBorders>
              <w:top w:val="single" w:sz="4" w:space="0" w:color="999999"/>
              <w:left w:val="single" w:sz="4" w:space="0" w:color="999999"/>
              <w:bottom w:val="single" w:sz="4" w:space="0" w:color="999999"/>
              <w:right w:val="single" w:sz="4" w:space="0" w:color="999999"/>
            </w:tcBorders>
            <w:shd w:val="solid" w:color="E0E0E0" w:fill="000000"/>
          </w:tcPr>
          <w:p w:rsidR="00DD5A15" w:rsidRPr="0000605C" w:rsidRDefault="00457ACF" w:rsidP="00D101BE">
            <w:pPr>
              <w:pStyle w:val="UrbisTableHeader"/>
            </w:pPr>
            <w:r w:rsidRPr="0000605C">
              <w:rPr>
                <w:caps w:val="0"/>
              </w:rPr>
              <w:t>Cost to purchaser</w:t>
            </w:r>
          </w:p>
        </w:tc>
      </w:tr>
      <w:tr w:rsidR="00EB66A9" w:rsidRPr="0000605C" w:rsidTr="00DC31E7">
        <w:trPr>
          <w:cnfStyle w:val="000000100000"/>
        </w:trPr>
        <w:tc>
          <w:tcPr>
            <w:tcW w:w="1891"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EB66A9" w:rsidP="00D101BE">
            <w:pPr>
              <w:pStyle w:val="UrbisTableBody"/>
              <w:rPr>
                <w:b/>
                <w:i/>
              </w:rPr>
            </w:pPr>
            <w:r w:rsidRPr="0000605C">
              <w:rPr>
                <w:b/>
                <w:i/>
              </w:rPr>
              <w:t>Land</w:t>
            </w:r>
          </w:p>
        </w:tc>
        <w:tc>
          <w:tcPr>
            <w:tcW w:w="3586"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ullets"/>
              <w:spacing w:line="240" w:lineRule="auto"/>
            </w:pPr>
            <w:r w:rsidRPr="0000605C">
              <w:t>Land a</w:t>
            </w:r>
            <w:r w:rsidR="00EB66A9" w:rsidRPr="0000605C">
              <w:t>cquisition</w:t>
            </w:r>
          </w:p>
        </w:tc>
        <w:tc>
          <w:tcPr>
            <w:tcW w:w="19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c>
          <w:tcPr>
            <w:tcW w:w="18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r>
      <w:tr w:rsidR="00EB66A9" w:rsidRPr="0000605C" w:rsidTr="00DC31E7">
        <w:tc>
          <w:tcPr>
            <w:tcW w:w="1891"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ody"/>
              <w:rPr>
                <w:b/>
                <w:i/>
              </w:rPr>
            </w:pPr>
            <w:r w:rsidRPr="0000605C">
              <w:rPr>
                <w:b/>
                <w:i/>
              </w:rPr>
              <w:t>Government taxes and c</w:t>
            </w:r>
            <w:r w:rsidR="00EB66A9" w:rsidRPr="0000605C">
              <w:rPr>
                <w:b/>
                <w:i/>
              </w:rPr>
              <w:t>harges</w:t>
            </w:r>
          </w:p>
        </w:tc>
        <w:tc>
          <w:tcPr>
            <w:tcW w:w="3586"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ullets"/>
              <w:spacing w:line="240" w:lineRule="auto"/>
            </w:pPr>
            <w:r w:rsidRPr="0000605C">
              <w:t>Stamp duty on l</w:t>
            </w:r>
            <w:r w:rsidR="00EB66A9" w:rsidRPr="0000605C">
              <w:t>and</w:t>
            </w:r>
          </w:p>
          <w:p w:rsidR="00EB66A9" w:rsidRPr="0000605C" w:rsidRDefault="00457ACF" w:rsidP="00D101BE">
            <w:pPr>
              <w:pStyle w:val="UrbisTableBullets"/>
              <w:spacing w:line="240" w:lineRule="auto"/>
            </w:pPr>
            <w:r w:rsidRPr="0000605C">
              <w:t>Stamp duty on dwelling s</w:t>
            </w:r>
            <w:r w:rsidR="00EB66A9" w:rsidRPr="0000605C">
              <w:t>ale</w:t>
            </w:r>
          </w:p>
          <w:p w:rsidR="00EB66A9" w:rsidRPr="0000605C" w:rsidRDefault="00457ACF" w:rsidP="00D101BE">
            <w:pPr>
              <w:pStyle w:val="UrbisTableBullets"/>
              <w:spacing w:line="240" w:lineRule="auto"/>
            </w:pPr>
            <w:r w:rsidRPr="0000605C">
              <w:t>Local council fees</w:t>
            </w:r>
          </w:p>
          <w:p w:rsidR="00EB66A9" w:rsidRPr="0000605C" w:rsidRDefault="00457ACF" w:rsidP="00D101BE">
            <w:pPr>
              <w:pStyle w:val="UrbisTableBullets"/>
              <w:spacing w:line="240" w:lineRule="auto"/>
            </w:pPr>
            <w:r w:rsidRPr="0000605C">
              <w:t>Infrastructure charges</w:t>
            </w:r>
          </w:p>
          <w:p w:rsidR="00EB66A9" w:rsidRPr="0000605C" w:rsidRDefault="00457ACF" w:rsidP="00D101BE">
            <w:pPr>
              <w:pStyle w:val="UrbisTableBullets"/>
              <w:spacing w:line="240" w:lineRule="auto"/>
            </w:pPr>
            <w:r w:rsidRPr="0000605C">
              <w:t>Council rates/water</w:t>
            </w:r>
          </w:p>
          <w:p w:rsidR="00EB66A9" w:rsidRPr="0000605C" w:rsidRDefault="00457ACF" w:rsidP="00D101BE">
            <w:pPr>
              <w:pStyle w:val="UrbisTableBullets"/>
              <w:spacing w:line="240" w:lineRule="auto"/>
            </w:pPr>
            <w:r w:rsidRPr="0000605C">
              <w:t>Land tax</w:t>
            </w:r>
          </w:p>
          <w:p w:rsidR="00EB66A9" w:rsidRPr="0000605C" w:rsidRDefault="00457ACF" w:rsidP="00D101BE">
            <w:pPr>
              <w:pStyle w:val="UrbisTableBullets"/>
              <w:spacing w:line="240" w:lineRule="auto"/>
            </w:pPr>
            <w:r w:rsidRPr="0000605C">
              <w:t>GST l</w:t>
            </w:r>
            <w:r w:rsidR="00EB66A9" w:rsidRPr="0000605C">
              <w:t>iability</w:t>
            </w:r>
          </w:p>
          <w:p w:rsidR="00EB66A9" w:rsidRPr="0000605C" w:rsidRDefault="00457ACF" w:rsidP="00D101BE">
            <w:pPr>
              <w:pStyle w:val="UrbisTableBullets"/>
              <w:spacing w:line="240" w:lineRule="auto"/>
            </w:pPr>
            <w:r w:rsidRPr="0000605C">
              <w:t>Transfer fee on s</w:t>
            </w:r>
            <w:r w:rsidR="00EB66A9" w:rsidRPr="0000605C">
              <w:t>ale</w:t>
            </w:r>
          </w:p>
        </w:tc>
        <w:tc>
          <w:tcPr>
            <w:tcW w:w="19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B"/>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B"/>
            </w:r>
          </w:p>
        </w:tc>
        <w:tc>
          <w:tcPr>
            <w:tcW w:w="18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r>
      <w:tr w:rsidR="00EB66A9" w:rsidRPr="0000605C" w:rsidTr="00DC31E7">
        <w:trPr>
          <w:cnfStyle w:val="000000100000"/>
        </w:trPr>
        <w:tc>
          <w:tcPr>
            <w:tcW w:w="1891"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ody"/>
              <w:rPr>
                <w:b/>
                <w:i/>
              </w:rPr>
            </w:pPr>
            <w:r w:rsidRPr="0000605C">
              <w:rPr>
                <w:b/>
                <w:i/>
              </w:rPr>
              <w:t>Professional fees</w:t>
            </w:r>
          </w:p>
        </w:tc>
        <w:tc>
          <w:tcPr>
            <w:tcW w:w="3586"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ullets"/>
              <w:spacing w:line="240" w:lineRule="auto"/>
            </w:pPr>
            <w:r w:rsidRPr="0000605C">
              <w:t>Professional fees during development</w:t>
            </w:r>
          </w:p>
          <w:p w:rsidR="00EB66A9" w:rsidRPr="0000605C" w:rsidRDefault="00457ACF" w:rsidP="00D101BE">
            <w:pPr>
              <w:pStyle w:val="UrbisTableBullets"/>
              <w:spacing w:line="240" w:lineRule="auto"/>
            </w:pPr>
            <w:r w:rsidRPr="0000605C">
              <w:t>Professional fees on sale</w:t>
            </w:r>
          </w:p>
        </w:tc>
        <w:tc>
          <w:tcPr>
            <w:tcW w:w="19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DC31E7" w:rsidP="00DC31E7">
            <w:pPr>
              <w:pStyle w:val="UrbisTableBullets"/>
              <w:numPr>
                <w:ilvl w:val="0"/>
                <w:numId w:val="0"/>
              </w:numPr>
              <w:tabs>
                <w:tab w:val="center" w:pos="965"/>
                <w:tab w:val="right" w:pos="1930"/>
              </w:tabs>
              <w:spacing w:line="240" w:lineRule="auto"/>
              <w:rPr>
                <w:sz w:val="22"/>
                <w:szCs w:val="22"/>
              </w:rPr>
            </w:pPr>
            <w:r w:rsidRPr="0000605C">
              <w:rPr>
                <w:sz w:val="22"/>
                <w:szCs w:val="22"/>
              </w:rPr>
              <w:tab/>
            </w:r>
            <w:r w:rsidR="00EB66A9" w:rsidRPr="0000605C">
              <w:rPr>
                <w:sz w:val="22"/>
                <w:szCs w:val="22"/>
              </w:rPr>
              <w:sym w:font="Wingdings" w:char="F0FC"/>
            </w:r>
            <w:r w:rsidRPr="0000605C">
              <w:rPr>
                <w:sz w:val="22"/>
                <w:szCs w:val="22"/>
              </w:rPr>
              <w:tab/>
            </w:r>
          </w:p>
          <w:p w:rsidR="00DC31E7" w:rsidRPr="0000605C" w:rsidRDefault="00DC31E7" w:rsidP="00DC31E7">
            <w:pPr>
              <w:pStyle w:val="UrbisTableBullets"/>
              <w:numPr>
                <w:ilvl w:val="0"/>
                <w:numId w:val="0"/>
              </w:numPr>
              <w:spacing w:line="240" w:lineRule="auto"/>
              <w:jc w:val="center"/>
              <w:rPr>
                <w:sz w:val="22"/>
                <w:szCs w:val="22"/>
              </w:rPr>
            </w:pPr>
            <w:r w:rsidRPr="0000605C">
              <w:rPr>
                <w:sz w:val="22"/>
                <w:szCs w:val="22"/>
              </w:rPr>
              <w:sym w:font="Wingdings" w:char="F0FB"/>
            </w:r>
          </w:p>
        </w:tc>
        <w:tc>
          <w:tcPr>
            <w:tcW w:w="18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r>
      <w:tr w:rsidR="00EB66A9" w:rsidRPr="0000605C" w:rsidTr="00DC31E7">
        <w:tc>
          <w:tcPr>
            <w:tcW w:w="1891"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EB66A9" w:rsidP="00D101BE">
            <w:pPr>
              <w:pStyle w:val="UrbisTableBody"/>
              <w:rPr>
                <w:b/>
                <w:i/>
                <w:highlight w:val="green"/>
              </w:rPr>
            </w:pPr>
            <w:r w:rsidRPr="0000605C">
              <w:rPr>
                <w:b/>
                <w:i/>
              </w:rPr>
              <w:t>Construction</w:t>
            </w:r>
          </w:p>
        </w:tc>
        <w:tc>
          <w:tcPr>
            <w:tcW w:w="3586"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ullets"/>
              <w:spacing w:line="240" w:lineRule="auto"/>
            </w:pPr>
            <w:r w:rsidRPr="0000605C">
              <w:t>Land preparation</w:t>
            </w:r>
          </w:p>
          <w:p w:rsidR="00EB66A9" w:rsidRPr="0000605C" w:rsidRDefault="00457ACF" w:rsidP="00D101BE">
            <w:pPr>
              <w:pStyle w:val="UrbisTableBullets"/>
              <w:spacing w:line="240" w:lineRule="auto"/>
            </w:pPr>
            <w:r w:rsidRPr="0000605C">
              <w:t>Dwelling construction costs</w:t>
            </w:r>
          </w:p>
        </w:tc>
        <w:tc>
          <w:tcPr>
            <w:tcW w:w="19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c>
          <w:tcPr>
            <w:tcW w:w="18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r>
      <w:tr w:rsidR="00EB66A9" w:rsidRPr="0000605C" w:rsidTr="00DC31E7">
        <w:trPr>
          <w:cnfStyle w:val="000000100000"/>
        </w:trPr>
        <w:tc>
          <w:tcPr>
            <w:tcW w:w="1891"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ody"/>
              <w:rPr>
                <w:b/>
                <w:i/>
                <w:highlight w:val="green"/>
              </w:rPr>
            </w:pPr>
            <w:r w:rsidRPr="0000605C">
              <w:rPr>
                <w:b/>
                <w:i/>
              </w:rPr>
              <w:t>Development costs and i</w:t>
            </w:r>
            <w:r w:rsidR="00EB66A9" w:rsidRPr="0000605C">
              <w:rPr>
                <w:b/>
                <w:i/>
              </w:rPr>
              <w:t>nterest</w:t>
            </w:r>
          </w:p>
        </w:tc>
        <w:tc>
          <w:tcPr>
            <w:tcW w:w="3586"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D101BE">
            <w:pPr>
              <w:pStyle w:val="UrbisTableBullets"/>
              <w:spacing w:line="240" w:lineRule="auto"/>
            </w:pPr>
            <w:r w:rsidRPr="0000605C">
              <w:t>Development man</w:t>
            </w:r>
            <w:r w:rsidR="00EB66A9" w:rsidRPr="0000605C">
              <w:t>agement</w:t>
            </w:r>
          </w:p>
          <w:p w:rsidR="00EB66A9" w:rsidRPr="0000605C" w:rsidRDefault="00EB66A9" w:rsidP="00D101BE">
            <w:pPr>
              <w:pStyle w:val="UrbisTableBullets"/>
              <w:spacing w:line="240" w:lineRule="auto"/>
            </w:pPr>
            <w:r w:rsidRPr="0000605C">
              <w:t>Marketing</w:t>
            </w:r>
          </w:p>
          <w:p w:rsidR="00EB66A9" w:rsidRPr="0000605C" w:rsidRDefault="00457ACF" w:rsidP="00D101BE">
            <w:pPr>
              <w:pStyle w:val="UrbisTableBullets"/>
              <w:spacing w:line="240" w:lineRule="auto"/>
            </w:pPr>
            <w:r w:rsidRPr="0000605C">
              <w:t>Due diligence / legal fees</w:t>
            </w:r>
          </w:p>
          <w:p w:rsidR="00EB66A9" w:rsidRPr="0000605C" w:rsidRDefault="00457ACF" w:rsidP="00D101BE">
            <w:pPr>
              <w:pStyle w:val="UrbisTableBullets"/>
              <w:spacing w:line="240" w:lineRule="auto"/>
            </w:pPr>
            <w:smartTag w:uri="urn:schemas-microsoft-com:office:smarttags" w:element="City">
              <w:smartTag w:uri="urn:schemas-microsoft-com:office:smarttags" w:element="place">
                <w:r w:rsidRPr="0000605C">
                  <w:t>Sale</w:t>
                </w:r>
              </w:smartTag>
            </w:smartTag>
            <w:r w:rsidRPr="0000605C">
              <w:t xml:space="preserve"> costs</w:t>
            </w:r>
          </w:p>
          <w:p w:rsidR="00EB66A9" w:rsidRPr="0000605C" w:rsidRDefault="00EB66A9" w:rsidP="00D101BE">
            <w:pPr>
              <w:pStyle w:val="UrbisTableBullets"/>
              <w:spacing w:line="240" w:lineRule="auto"/>
            </w:pPr>
            <w:r w:rsidRPr="0000605C">
              <w:t>Interest on land and purchase costs</w:t>
            </w:r>
          </w:p>
          <w:p w:rsidR="00EB66A9" w:rsidRPr="0000605C" w:rsidRDefault="00EB66A9" w:rsidP="00D101BE">
            <w:pPr>
              <w:pStyle w:val="UrbisTableBullets"/>
              <w:spacing w:line="240" w:lineRule="auto"/>
            </w:pPr>
            <w:r w:rsidRPr="0000605C">
              <w:t>Interest on construction</w:t>
            </w:r>
          </w:p>
          <w:p w:rsidR="00EB66A9" w:rsidRPr="0000605C" w:rsidRDefault="00457ACF" w:rsidP="00D101BE">
            <w:pPr>
              <w:pStyle w:val="UrbisTableBullets"/>
              <w:spacing w:line="240" w:lineRule="auto"/>
            </w:pPr>
            <w:r w:rsidRPr="0000605C">
              <w:t>Finance charges</w:t>
            </w:r>
          </w:p>
        </w:tc>
        <w:tc>
          <w:tcPr>
            <w:tcW w:w="19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c>
          <w:tcPr>
            <w:tcW w:w="18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rPr>
                <w:sz w:val="22"/>
                <w:szCs w:val="22"/>
              </w:rPr>
            </w:pPr>
            <w:r w:rsidRPr="0000605C">
              <w:rPr>
                <w:sz w:val="22"/>
                <w:szCs w:val="22"/>
              </w:rPr>
              <w:sym w:font="Wingdings" w:char="F0FC"/>
            </w:r>
          </w:p>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r>
      <w:tr w:rsidR="00EB66A9" w:rsidRPr="0000605C" w:rsidTr="00DC31E7">
        <w:tc>
          <w:tcPr>
            <w:tcW w:w="1891" w:type="dxa"/>
            <w:tcBorders>
              <w:top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704B78">
            <w:pPr>
              <w:pStyle w:val="UrbisTableBody"/>
              <w:ind w:left="0"/>
              <w:rPr>
                <w:b/>
                <w:i/>
              </w:rPr>
            </w:pPr>
            <w:r w:rsidRPr="0000605C">
              <w:rPr>
                <w:b/>
                <w:i/>
              </w:rPr>
              <w:t>Development p</w:t>
            </w:r>
            <w:r w:rsidR="00EB66A9" w:rsidRPr="0000605C">
              <w:rPr>
                <w:b/>
                <w:i/>
              </w:rPr>
              <w:t>rofit</w:t>
            </w:r>
          </w:p>
        </w:tc>
        <w:tc>
          <w:tcPr>
            <w:tcW w:w="3586" w:type="dxa"/>
            <w:tcBorders>
              <w:top w:val="single" w:sz="4" w:space="0" w:color="999999"/>
              <w:left w:val="single" w:sz="4" w:space="0" w:color="999999"/>
              <w:bottom w:val="single" w:sz="4" w:space="0" w:color="999999"/>
              <w:right w:val="single" w:sz="4" w:space="0" w:color="999999"/>
            </w:tcBorders>
            <w:shd w:val="solid" w:color="FFFFFF" w:fill="000000"/>
            <w:tcMar>
              <w:top w:w="57" w:type="dxa"/>
              <w:left w:w="85" w:type="dxa"/>
              <w:bottom w:w="57" w:type="dxa"/>
              <w:right w:w="85" w:type="dxa"/>
            </w:tcMar>
          </w:tcPr>
          <w:p w:rsidR="00EB66A9" w:rsidRPr="0000605C" w:rsidRDefault="00457ACF" w:rsidP="00A248CA">
            <w:pPr>
              <w:pStyle w:val="UrbisTableBullets"/>
              <w:spacing w:line="240" w:lineRule="auto"/>
            </w:pPr>
            <w:r w:rsidRPr="0000605C">
              <w:t>Developer profit</w:t>
            </w:r>
          </w:p>
        </w:tc>
        <w:tc>
          <w:tcPr>
            <w:tcW w:w="19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B"/>
            </w:r>
          </w:p>
        </w:tc>
        <w:tc>
          <w:tcPr>
            <w:tcW w:w="1800" w:type="dxa"/>
            <w:tcBorders>
              <w:top w:val="single" w:sz="4" w:space="0" w:color="999999"/>
              <w:left w:val="single" w:sz="4" w:space="0" w:color="999999"/>
              <w:bottom w:val="single" w:sz="4" w:space="0" w:color="999999"/>
              <w:right w:val="single" w:sz="4" w:space="0" w:color="999999"/>
            </w:tcBorders>
            <w:shd w:val="solid" w:color="FFFFFF" w:fill="000000"/>
          </w:tcPr>
          <w:p w:rsidR="00EB66A9" w:rsidRPr="0000605C" w:rsidRDefault="00EB66A9" w:rsidP="00EB66A9">
            <w:pPr>
              <w:pStyle w:val="UrbisTableBullets"/>
              <w:numPr>
                <w:ilvl w:val="0"/>
                <w:numId w:val="0"/>
              </w:numPr>
              <w:spacing w:line="240" w:lineRule="auto"/>
              <w:jc w:val="center"/>
            </w:pPr>
            <w:r w:rsidRPr="0000605C">
              <w:rPr>
                <w:sz w:val="22"/>
                <w:szCs w:val="22"/>
              </w:rPr>
              <w:sym w:font="Wingdings" w:char="F0FC"/>
            </w:r>
          </w:p>
        </w:tc>
      </w:tr>
    </w:tbl>
    <w:p w:rsidR="00D101BE" w:rsidRPr="0000605C" w:rsidRDefault="004F6C81" w:rsidP="00D101BE">
      <w:pPr>
        <w:pStyle w:val="BodyText"/>
      </w:pPr>
      <w:r w:rsidRPr="0000605C">
        <w:t xml:space="preserve">This study examines the entire dwelling costs for a </w:t>
      </w:r>
      <w:r w:rsidR="00457ACF" w:rsidRPr="0000605C">
        <w:t>d</w:t>
      </w:r>
      <w:r w:rsidR="00296D5F" w:rsidRPr="0000605C">
        <w:t>well</w:t>
      </w:r>
      <w:r w:rsidR="00457ACF" w:rsidRPr="0000605C">
        <w:t>ing p</w:t>
      </w:r>
      <w:r w:rsidRPr="0000605C">
        <w:t xml:space="preserve">urchaser including post sale costs </w:t>
      </w:r>
      <w:proofErr w:type="gramStart"/>
      <w:r w:rsidRPr="0000605C">
        <w:t xml:space="preserve">- </w:t>
      </w:r>
      <w:r w:rsidR="00457ACF" w:rsidRPr="0000605C">
        <w:t xml:space="preserve"> stamp</w:t>
      </w:r>
      <w:proofErr w:type="gramEnd"/>
      <w:r w:rsidR="00457ACF" w:rsidRPr="0000605C">
        <w:t xml:space="preserve"> duty, transfer fees, and p</w:t>
      </w:r>
      <w:r w:rsidR="00D101BE" w:rsidRPr="0000605C">
        <w:t>rofessional transaction fees</w:t>
      </w:r>
      <w:r w:rsidRPr="0000605C">
        <w:t>.</w:t>
      </w:r>
      <w:r w:rsidR="00D101BE" w:rsidRPr="0000605C">
        <w:t xml:space="preserve"> These </w:t>
      </w:r>
      <w:r w:rsidRPr="0000605C">
        <w:t>components</w:t>
      </w:r>
      <w:r w:rsidR="00D101BE" w:rsidRPr="0000605C">
        <w:t xml:space="preserve"> are </w:t>
      </w:r>
      <w:r w:rsidRPr="0000605C">
        <w:t xml:space="preserve">generally </w:t>
      </w:r>
      <w:r w:rsidR="00D101BE" w:rsidRPr="0000605C">
        <w:t>not</w:t>
      </w:r>
      <w:r w:rsidRPr="0000605C">
        <w:t xml:space="preserve"> included</w:t>
      </w:r>
      <w:r w:rsidR="00D101BE" w:rsidRPr="0000605C">
        <w:t xml:space="preserve"> when compiling housing affordability </w:t>
      </w:r>
      <w:proofErr w:type="gramStart"/>
      <w:r w:rsidR="00D101BE" w:rsidRPr="0000605C">
        <w:t>measures,</w:t>
      </w:r>
      <w:proofErr w:type="gramEnd"/>
      <w:r w:rsidR="00D101BE" w:rsidRPr="0000605C">
        <w:t xml:space="preserve"> however they are genuine costs of purchasing dwellings and need to be considered in a study that aims to assess housing affordability including all costs of dwelling development and purchase.</w:t>
      </w:r>
    </w:p>
    <w:p w:rsidR="00D101BE" w:rsidRPr="0000605C" w:rsidRDefault="00D101BE" w:rsidP="00D101BE">
      <w:pPr>
        <w:pStyle w:val="Heading2"/>
        <w:keepNext w:val="0"/>
        <w:spacing w:before="360" w:line="240" w:lineRule="auto"/>
      </w:pPr>
      <w:bookmarkStart w:id="42" w:name="_Toc250964523"/>
      <w:bookmarkStart w:id="43" w:name="_Toc250998409"/>
      <w:bookmarkStart w:id="44" w:name="_Toc294088035"/>
      <w:r w:rsidRPr="0000605C">
        <w:t>Infill Dwelling Costs</w:t>
      </w:r>
      <w:bookmarkEnd w:id="42"/>
      <w:bookmarkEnd w:id="43"/>
      <w:bookmarkEnd w:id="44"/>
    </w:p>
    <w:p w:rsidR="00C33E72" w:rsidRPr="0000605C" w:rsidRDefault="00C33E72" w:rsidP="00C33E72">
      <w:pPr>
        <w:spacing w:before="0" w:after="0"/>
        <w:rPr>
          <w:szCs w:val="22"/>
          <w:lang w:eastAsia="en-AU"/>
        </w:rPr>
      </w:pPr>
      <w:r w:rsidRPr="0000605C">
        <w:rPr>
          <w:szCs w:val="22"/>
          <w:lang w:eastAsia="en-AU"/>
        </w:rPr>
        <w:t xml:space="preserve">In 2010 sale prices for infill dwellings were higher for all cities than in 2009. Sales prices in </w:t>
      </w:r>
      <w:smartTag w:uri="urn:schemas-microsoft-com:office:smarttags" w:element="City">
        <w:r w:rsidRPr="0000605C">
          <w:rPr>
            <w:szCs w:val="22"/>
            <w:lang w:eastAsia="en-AU"/>
          </w:rPr>
          <w:t>Sydney</w:t>
        </w:r>
      </w:smartTag>
      <w:r w:rsidRPr="0000605C">
        <w:rPr>
          <w:szCs w:val="22"/>
          <w:lang w:eastAsia="en-AU"/>
        </w:rPr>
        <w:t xml:space="preserve">, </w:t>
      </w:r>
      <w:smartTag w:uri="urn:schemas-microsoft-com:office:smarttags" w:element="City">
        <w:r w:rsidRPr="0000605C">
          <w:rPr>
            <w:szCs w:val="22"/>
            <w:lang w:eastAsia="en-AU"/>
          </w:rPr>
          <w:t>Brisbane</w:t>
        </w:r>
      </w:smartTag>
      <w:r w:rsidRPr="0000605C">
        <w:rPr>
          <w:szCs w:val="22"/>
          <w:lang w:eastAsia="en-AU"/>
        </w:rPr>
        <w:t xml:space="preserve"> and </w:t>
      </w:r>
      <w:smartTag w:uri="urn:schemas-microsoft-com:office:smarttags" w:element="City">
        <w:r w:rsidRPr="0000605C">
          <w:rPr>
            <w:szCs w:val="22"/>
            <w:lang w:eastAsia="en-AU"/>
          </w:rPr>
          <w:t>Perth</w:t>
        </w:r>
      </w:smartTag>
      <w:r w:rsidRPr="0000605C">
        <w:rPr>
          <w:szCs w:val="22"/>
          <w:lang w:eastAsia="en-AU"/>
        </w:rPr>
        <w:t xml:space="preserve"> experienced the highest increases (13-14%) while price increases in </w:t>
      </w:r>
      <w:smartTag w:uri="urn:schemas-microsoft-com:office:smarttags" w:element="City">
        <w:r w:rsidRPr="0000605C">
          <w:rPr>
            <w:szCs w:val="22"/>
            <w:lang w:eastAsia="en-AU"/>
          </w:rPr>
          <w:t>Melbourne</w:t>
        </w:r>
      </w:smartTag>
      <w:r w:rsidRPr="0000605C">
        <w:rPr>
          <w:szCs w:val="22"/>
          <w:lang w:eastAsia="en-AU"/>
        </w:rPr>
        <w:t xml:space="preserve"> and </w:t>
      </w:r>
      <w:smartTag w:uri="urn:schemas-microsoft-com:office:smarttags" w:element="City">
        <w:smartTag w:uri="urn:schemas-microsoft-com:office:smarttags" w:element="place">
          <w:r w:rsidRPr="0000605C">
            <w:rPr>
              <w:szCs w:val="22"/>
              <w:lang w:eastAsia="en-AU"/>
            </w:rPr>
            <w:t>Adelaide</w:t>
          </w:r>
        </w:smartTag>
      </w:smartTag>
      <w:r w:rsidRPr="0000605C">
        <w:rPr>
          <w:szCs w:val="22"/>
          <w:lang w:eastAsia="en-AU"/>
        </w:rPr>
        <w:t xml:space="preserve"> were more modest (4-5%). The total costs to the purchaser have seen comparable increases to sales prices. </w:t>
      </w:r>
    </w:p>
    <w:p w:rsidR="00C33E72" w:rsidRPr="0000605C" w:rsidRDefault="00C33E72" w:rsidP="00C33E72">
      <w:pPr>
        <w:spacing w:before="0" w:after="0"/>
        <w:rPr>
          <w:rFonts w:ascii="Calibri" w:hAnsi="Calibri"/>
          <w:sz w:val="22"/>
          <w:szCs w:val="22"/>
          <w:lang w:eastAsia="en-AU"/>
        </w:rPr>
      </w:pPr>
    </w:p>
    <w:p w:rsidR="00296D5F" w:rsidRPr="0000605C" w:rsidRDefault="00296D5F" w:rsidP="00D101BE">
      <w:r w:rsidRPr="0000605C">
        <w:lastRenderedPageBreak/>
        <w:t>When these price rises are placed in the context</w:t>
      </w:r>
      <w:r w:rsidR="00C33E72" w:rsidRPr="0000605C">
        <w:t xml:space="preserve"> of new dwelling approvals for o</w:t>
      </w:r>
      <w:r w:rsidRPr="0000605C">
        <w:t>ther dwellings (</w:t>
      </w:r>
      <w:r w:rsidR="00052887" w:rsidRPr="0000605C">
        <w:t>a</w:t>
      </w:r>
      <w:r w:rsidRPr="0000605C">
        <w:t xml:space="preserve">partments, </w:t>
      </w:r>
      <w:r w:rsidR="00052887" w:rsidRPr="0000605C">
        <w:t>s</w:t>
      </w:r>
      <w:r w:rsidRPr="0000605C">
        <w:t xml:space="preserve">emi-detached, </w:t>
      </w:r>
      <w:r w:rsidR="00052887" w:rsidRPr="0000605C">
        <w:t>t</w:t>
      </w:r>
      <w:r w:rsidRPr="0000605C">
        <w:t xml:space="preserve">ownhouses, cabins, and other dwellings) the Sydney and Brisbane markets appear to </w:t>
      </w:r>
      <w:r w:rsidR="0017737A" w:rsidRPr="0000605C">
        <w:t xml:space="preserve">be on the upward part of the cycle seeing both strong increases in dwelling approvals and price increases. </w:t>
      </w:r>
      <w:smartTag w:uri="urn:schemas-microsoft-com:office:smarttags" w:element="City">
        <w:smartTag w:uri="urn:schemas-microsoft-com:office:smarttags" w:element="place">
          <w:r w:rsidR="0017737A" w:rsidRPr="0000605C">
            <w:t>Perth</w:t>
          </w:r>
        </w:smartTag>
      </w:smartTag>
      <w:r w:rsidR="0017737A" w:rsidRPr="0000605C">
        <w:t xml:space="preserve"> also appears to be in the early stages of the upward cycle with price growth leading a moderate increase in new </w:t>
      </w:r>
      <w:r w:rsidR="00052887" w:rsidRPr="0000605C">
        <w:t>o</w:t>
      </w:r>
      <w:r w:rsidR="0017737A" w:rsidRPr="0000605C">
        <w:t xml:space="preserve">ther dwelling approvals. </w:t>
      </w:r>
    </w:p>
    <w:p w:rsidR="00296D5F" w:rsidRPr="0000605C" w:rsidRDefault="00752FF2" w:rsidP="00D101BE">
      <w:r w:rsidRPr="0000605C">
        <w:object w:dxaOrig="8976" w:dyaOrig="5755">
          <v:shape id="_x0000_i1029" type="#_x0000_t75" style="width:459.75pt;height:295.5pt" o:ole="">
            <v:imagedata r:id="rId33" o:title=""/>
          </v:shape>
          <o:OLEObject Type="Link" ProgID="Excel.Sheet.8" ShapeID="_x0000_i1029" DrawAspect="Content" r:id="rId34" UpdateMode="Always">
            <o:LinkType>Picture</o:LinkType>
            <o:LockedField>false</o:LockedField>
            <o:FieldCodes>\* MERGEFORMAT</o:FieldCodes>
          </o:OLEObject>
        </w:object>
      </w:r>
    </w:p>
    <w:p w:rsidR="0017737A" w:rsidRPr="0000605C" w:rsidRDefault="0017737A" w:rsidP="00D101BE">
      <w:r w:rsidRPr="0000605C">
        <w:t xml:space="preserve">The </w:t>
      </w:r>
      <w:smartTag w:uri="urn:schemas-microsoft-com:office:smarttags" w:element="City">
        <w:smartTag w:uri="urn:schemas-microsoft-com:office:smarttags" w:element="place">
          <w:r w:rsidRPr="0000605C">
            <w:t>Melbourne</w:t>
          </w:r>
        </w:smartTag>
      </w:smartTag>
      <w:r w:rsidRPr="0000605C">
        <w:t xml:space="preserve"> market appears to be turning with the potential for an oversupply through strong growth in new </w:t>
      </w:r>
      <w:r w:rsidR="00052887" w:rsidRPr="0000605C">
        <w:t>o</w:t>
      </w:r>
      <w:r w:rsidRPr="0000605C">
        <w:t xml:space="preserve">ther dwellings leading to a slowing in price growth. </w:t>
      </w:r>
      <w:smartTag w:uri="urn:schemas-microsoft-com:office:smarttags" w:element="City">
        <w:smartTag w:uri="urn:schemas-microsoft-com:office:smarttags" w:element="place">
          <w:r w:rsidRPr="0000605C">
            <w:t>Adelaide</w:t>
          </w:r>
        </w:smartTag>
      </w:smartTag>
      <w:r w:rsidRPr="0000605C">
        <w:t xml:space="preserve"> could be on the way down with a drop in new </w:t>
      </w:r>
      <w:r w:rsidR="00052887" w:rsidRPr="0000605C">
        <w:t>o</w:t>
      </w:r>
      <w:r w:rsidRPr="0000605C">
        <w:t>ther dwelling approvals and low price growth.</w:t>
      </w:r>
    </w:p>
    <w:p w:rsidR="00D101BE" w:rsidRPr="0000605C" w:rsidRDefault="00D101BE" w:rsidP="00D101BE"/>
    <w:p w:rsidR="00D101BE" w:rsidRPr="0000605C" w:rsidRDefault="00D101BE" w:rsidP="00D101BE">
      <w:pPr>
        <w:sectPr w:rsidR="00D101BE" w:rsidRPr="0000605C" w:rsidSect="00D101BE">
          <w:headerReference w:type="even" r:id="rId35"/>
          <w:headerReference w:type="default" r:id="rId36"/>
          <w:footerReference w:type="even" r:id="rId37"/>
          <w:footerReference w:type="default" r:id="rId38"/>
          <w:headerReference w:type="first" r:id="rId39"/>
          <w:pgSz w:w="11907" w:h="16840" w:code="9"/>
          <w:pgMar w:top="2081" w:right="1298" w:bottom="1418" w:left="1418" w:header="272" w:footer="340" w:gutter="0"/>
          <w:pgNumType w:start="1"/>
          <w:cols w:space="708"/>
          <w:docGrid w:linePitch="360"/>
        </w:sectPr>
      </w:pPr>
    </w:p>
    <w:p w:rsidR="00D101BE" w:rsidRPr="0000605C" w:rsidRDefault="00752FF2" w:rsidP="00D101BE">
      <w:r w:rsidRPr="0000605C">
        <w:object w:dxaOrig="14259" w:dyaOrig="9238">
          <v:shape id="_x0000_i1030" type="#_x0000_t75" style="width:713.25pt;height:462pt" o:ole="">
            <v:imagedata r:id="rId40" o:title=""/>
          </v:shape>
          <o:OLEObject Type="Link" ProgID="Excel.Sheet.8" ShapeID="_x0000_i1030" DrawAspect="Content" r:id="rId41" UpdateMode="Always">
            <o:LinkType>EnhancedMetaFile</o:LinkType>
            <o:LockedField>false</o:LockedField>
          </o:OLEObject>
        </w:object>
      </w:r>
    </w:p>
    <w:p w:rsidR="00D101BE" w:rsidRPr="0000605C" w:rsidRDefault="00D101BE" w:rsidP="00D101BE">
      <w:pPr>
        <w:sectPr w:rsidR="00D101BE" w:rsidRPr="0000605C" w:rsidSect="00D101BE">
          <w:headerReference w:type="even" r:id="rId42"/>
          <w:headerReference w:type="default" r:id="rId43"/>
          <w:footerReference w:type="even" r:id="rId44"/>
          <w:footerReference w:type="default" r:id="rId45"/>
          <w:headerReference w:type="first" r:id="rId46"/>
          <w:pgSz w:w="16840" w:h="11907" w:orient="landscape" w:code="9"/>
          <w:pgMar w:top="1417" w:right="1417" w:bottom="1134" w:left="1134" w:header="272" w:footer="147" w:gutter="0"/>
          <w:cols w:space="708"/>
          <w:docGrid w:linePitch="360"/>
        </w:sectPr>
      </w:pPr>
    </w:p>
    <w:p w:rsidR="00EE6EF2" w:rsidRPr="0000605C" w:rsidRDefault="00EE6EF2" w:rsidP="00EE6EF2">
      <w:r w:rsidRPr="0000605C">
        <w:lastRenderedPageBreak/>
        <w:t xml:space="preserve">The relative </w:t>
      </w:r>
      <w:r w:rsidR="00052E0E" w:rsidRPr="0000605C">
        <w:t>proportion</w:t>
      </w:r>
      <w:r w:rsidRPr="0000605C">
        <w:t xml:space="preserve"> of </w:t>
      </w:r>
      <w:r w:rsidR="00052E0E" w:rsidRPr="0000605C">
        <w:t xml:space="preserve">the various </w:t>
      </w:r>
      <w:r w:rsidRPr="0000605C">
        <w:t xml:space="preserve">dwelling cost components have not changed </w:t>
      </w:r>
      <w:r w:rsidR="00052E0E" w:rsidRPr="0000605C">
        <w:t>in 2010, with c</w:t>
      </w:r>
      <w:r w:rsidRPr="0000605C">
        <w:t xml:space="preserve">onstruction costs (45-60%) remaining the </w:t>
      </w:r>
      <w:r w:rsidR="00052E0E" w:rsidRPr="0000605C">
        <w:t>largest</w:t>
      </w:r>
      <w:r w:rsidRPr="0000605C">
        <w:t xml:space="preserve"> dwelli</w:t>
      </w:r>
      <w:r w:rsidR="00052E0E" w:rsidRPr="0000605C">
        <w:t>ng cost component, followed by government taxes and charges (14-16%), land (6-14%), and development costs and i</w:t>
      </w:r>
      <w:r w:rsidRPr="0000605C">
        <w:t xml:space="preserve">nterest (9-11%). </w:t>
      </w:r>
      <w:r w:rsidR="00052E0E" w:rsidRPr="0000605C">
        <w:t xml:space="preserve">Development profit increased in 2010, with most cities achieving profit for infill developments of, on average, around 9-14% of total costs to the purchaser. </w:t>
      </w:r>
      <w:r w:rsidRPr="0000605C">
        <w:t xml:space="preserve">The exception to this is </w:t>
      </w:r>
      <w:smartTag w:uri="urn:schemas-microsoft-com:office:smarttags" w:element="City">
        <w:smartTag w:uri="urn:schemas-microsoft-com:office:smarttags" w:element="place">
          <w:r w:rsidRPr="0000605C">
            <w:t>Adelaide</w:t>
          </w:r>
        </w:smartTag>
      </w:smartTag>
      <w:r w:rsidRPr="0000605C">
        <w:t xml:space="preserve"> (-3%) wher</w:t>
      </w:r>
      <w:r w:rsidR="00FD5BB4" w:rsidRPr="0000605C">
        <w:t>e the i</w:t>
      </w:r>
      <w:r w:rsidRPr="0000605C">
        <w:t>nfill development market for mid rise apartments remains commercially challenging.</w:t>
      </w:r>
    </w:p>
    <w:p w:rsidR="00D101BE" w:rsidRPr="0000605C" w:rsidRDefault="00752FF2" w:rsidP="00D101BE">
      <w:pPr>
        <w:pStyle w:val="BodyText"/>
      </w:pPr>
      <w:r w:rsidRPr="0000605C">
        <w:object w:dxaOrig="9175" w:dyaOrig="6351">
          <v:shape id="_x0000_i1031" type="#_x0000_t75" style="width:459pt;height:317.25pt" o:ole="">
            <v:imagedata r:id="rId47" o:title=""/>
          </v:shape>
          <o:OLEObject Type="Link" ProgID="Excel.Sheet.8" ShapeID="_x0000_i1031" DrawAspect="Content" r:id="rId48" UpdateMode="Always">
            <o:LinkType>EnhancedMetaFile</o:LinkType>
            <o:LockedField>false</o:LockedField>
          </o:OLEObject>
        </w:object>
      </w:r>
    </w:p>
    <w:p w:rsidR="00D101BE" w:rsidRPr="0000605C" w:rsidRDefault="00D101BE" w:rsidP="00D101BE">
      <w:pPr>
        <w:pStyle w:val="BodyText"/>
      </w:pPr>
    </w:p>
    <w:p w:rsidR="005F7AB9" w:rsidRPr="0000605C" w:rsidRDefault="00A811D3" w:rsidP="00D101BE">
      <w:pPr>
        <w:pStyle w:val="BodyText"/>
      </w:pPr>
      <w:smartTag w:uri="urn:schemas-microsoft-com:office:smarttags" w:element="City">
        <w:r w:rsidRPr="0000605C">
          <w:t>Sydney</w:t>
        </w:r>
      </w:smartTag>
      <w:r w:rsidRPr="0000605C">
        <w:t xml:space="preserve"> ($624,000) rem</w:t>
      </w:r>
      <w:r w:rsidR="00FD5BB4" w:rsidRPr="0000605C">
        <w:t>ains the highest cost city for i</w:t>
      </w:r>
      <w:r w:rsidRPr="0000605C">
        <w:t xml:space="preserve">nfill dwelling development followed by </w:t>
      </w:r>
      <w:smartTag w:uri="urn:schemas-microsoft-com:office:smarttags" w:element="City">
        <w:r w:rsidRPr="0000605C">
          <w:t>Perth</w:t>
        </w:r>
      </w:smartTag>
      <w:r w:rsidRPr="0000605C">
        <w:t xml:space="preserve"> ($609,000), </w:t>
      </w:r>
      <w:smartTag w:uri="urn:schemas-microsoft-com:office:smarttags" w:element="City">
        <w:r w:rsidRPr="0000605C">
          <w:t>Melbourne</w:t>
        </w:r>
      </w:smartTag>
      <w:r w:rsidRPr="0000605C">
        <w:t xml:space="preserve"> ($604,000)</w:t>
      </w:r>
      <w:r w:rsidR="00BF6B40" w:rsidRPr="0000605C">
        <w:t xml:space="preserve">, </w:t>
      </w:r>
      <w:smartTag w:uri="urn:schemas-microsoft-com:office:smarttags" w:element="City">
        <w:r w:rsidR="00BF6B40" w:rsidRPr="0000605C">
          <w:t>Brisbane</w:t>
        </w:r>
      </w:smartTag>
      <w:r w:rsidR="00BF6B40" w:rsidRPr="0000605C">
        <w:t xml:space="preserve"> ($565,000), and </w:t>
      </w:r>
      <w:smartTag w:uri="urn:schemas-microsoft-com:office:smarttags" w:element="City">
        <w:smartTag w:uri="urn:schemas-microsoft-com:office:smarttags" w:element="place">
          <w:r w:rsidR="00BF6B40" w:rsidRPr="0000605C">
            <w:t>Adelaide</w:t>
          </w:r>
        </w:smartTag>
      </w:smartTag>
      <w:r w:rsidR="00BF6B40" w:rsidRPr="0000605C">
        <w:t xml:space="preserve"> ($484,000).</w:t>
      </w:r>
      <w:r w:rsidR="005F7AB9" w:rsidRPr="0000605C">
        <w:t xml:space="preserve"> </w:t>
      </w:r>
    </w:p>
    <w:p w:rsidR="005F7AB9" w:rsidRPr="0000605C" w:rsidRDefault="005F7AB9" w:rsidP="00D101BE">
      <w:pPr>
        <w:pStyle w:val="BodyText"/>
      </w:pPr>
    </w:p>
    <w:p w:rsidR="00D101BE" w:rsidRPr="0000605C" w:rsidRDefault="00752FF2" w:rsidP="00D101BE">
      <w:pPr>
        <w:pStyle w:val="BodyText"/>
      </w:pPr>
      <w:r w:rsidRPr="0000605C">
        <w:object w:dxaOrig="9175" w:dyaOrig="5236">
          <v:shape id="_x0000_i1032" type="#_x0000_t75" style="width:459pt;height:261.75pt" o:ole="">
            <v:imagedata r:id="rId49" o:title=""/>
          </v:shape>
          <o:OLEObject Type="Link" ProgID="Excel.Sheet.8" ShapeID="_x0000_i1032" DrawAspect="Content" r:id="rId50" UpdateMode="Always">
            <o:LinkType>EnhancedMetaFile</o:LinkType>
            <o:LockedField>false</o:LockedField>
            <o:FieldCodes>\* MERGEFORMAT</o:FieldCodes>
          </o:OLEObject>
        </w:object>
      </w: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7E1541" w:rsidRPr="0000605C" w:rsidRDefault="007E1541" w:rsidP="00D101BE">
      <w:pPr>
        <w:pStyle w:val="BodyText"/>
      </w:pPr>
    </w:p>
    <w:p w:rsidR="00D101BE" w:rsidRPr="0000605C" w:rsidRDefault="00D101BE" w:rsidP="00D101BE">
      <w:pPr>
        <w:pStyle w:val="Heading3"/>
        <w:keepNext w:val="0"/>
        <w:spacing w:line="240" w:lineRule="auto"/>
      </w:pPr>
      <w:bookmarkStart w:id="45" w:name="_Toc291853666"/>
      <w:bookmarkStart w:id="46" w:name="_Toc291856767"/>
      <w:bookmarkStart w:id="47" w:name="_Toc250964524"/>
      <w:bookmarkStart w:id="48" w:name="_Toc294088036"/>
      <w:bookmarkEnd w:id="45"/>
      <w:bookmarkEnd w:id="46"/>
      <w:r w:rsidRPr="0000605C">
        <w:lastRenderedPageBreak/>
        <w:t>Land</w:t>
      </w:r>
      <w:bookmarkEnd w:id="47"/>
      <w:bookmarkEnd w:id="48"/>
    </w:p>
    <w:p w:rsidR="00142B98" w:rsidRPr="0000605C" w:rsidRDefault="00142B98" w:rsidP="00142B98">
      <w:pPr>
        <w:rPr>
          <w:rFonts w:cs="Arial"/>
          <w:lang w:eastAsia="en-AU"/>
        </w:rPr>
      </w:pPr>
      <w:r w:rsidRPr="0000605C">
        <w:rPr>
          <w:rFonts w:cs="Arial"/>
          <w:lang w:eastAsia="en-AU"/>
        </w:rPr>
        <w:t xml:space="preserve">In 2010 the land cost component of infill dwelling development remained at a similar proportion of overall cost to that in 2009 for all cities with the exception of </w:t>
      </w:r>
      <w:smartTag w:uri="urn:schemas-microsoft-com:office:smarttags" w:element="City">
        <w:smartTag w:uri="urn:schemas-microsoft-com:office:smarttags" w:element="place">
          <w:r w:rsidRPr="0000605C">
            <w:rPr>
              <w:rFonts w:cs="Arial"/>
              <w:lang w:eastAsia="en-AU"/>
            </w:rPr>
            <w:t>Brisbane</w:t>
          </w:r>
        </w:smartTag>
      </w:smartTag>
      <w:r w:rsidRPr="0000605C">
        <w:rPr>
          <w:rFonts w:cs="Arial"/>
          <w:lang w:eastAsia="en-AU"/>
        </w:rPr>
        <w:t xml:space="preserve">. </w:t>
      </w:r>
      <w:smartTag w:uri="urn:schemas-microsoft-com:office:smarttags" w:element="City">
        <w:smartTag w:uri="urn:schemas-microsoft-com:office:smarttags" w:element="place">
          <w:r w:rsidRPr="0000605C">
            <w:rPr>
              <w:rFonts w:cs="Arial"/>
              <w:lang w:eastAsia="en-AU"/>
            </w:rPr>
            <w:t>Brisbane</w:t>
          </w:r>
        </w:smartTag>
      </w:smartTag>
      <w:r w:rsidRPr="0000605C">
        <w:rPr>
          <w:rFonts w:cs="Arial"/>
          <w:lang w:eastAsia="en-AU"/>
        </w:rPr>
        <w:t xml:space="preserve"> has experienced a notable decrease in the land cost component of new infill dwellings, declining from around $72,000 to $45,000 (14% to 8% of the total cost to the purchaser). </w:t>
      </w:r>
      <w:r w:rsidR="00500471" w:rsidRPr="0000605C">
        <w:rPr>
          <w:rFonts w:cs="Arial"/>
        </w:rPr>
        <w:t xml:space="preserve">This reflects the difficult market conditions being experienced in the </w:t>
      </w:r>
      <w:smartTag w:uri="urn:schemas-microsoft-com:office:smarttags" w:element="City">
        <w:r w:rsidR="00500471" w:rsidRPr="0000605C">
          <w:rPr>
            <w:rFonts w:cs="Arial"/>
          </w:rPr>
          <w:t>Brisbane</w:t>
        </w:r>
      </w:smartTag>
      <w:r w:rsidR="00500471" w:rsidRPr="0000605C">
        <w:rPr>
          <w:rFonts w:cs="Arial"/>
        </w:rPr>
        <w:t xml:space="preserve"> residential market and </w:t>
      </w:r>
      <w:smartTag w:uri="urn:schemas-microsoft-com:office:smarttags" w:element="State">
        <w:smartTag w:uri="urn:schemas-microsoft-com:office:smarttags" w:element="place">
          <w:r w:rsidR="00500471" w:rsidRPr="0000605C">
            <w:rPr>
              <w:rFonts w:cs="Arial"/>
            </w:rPr>
            <w:t>Queensland</w:t>
          </w:r>
        </w:smartTag>
      </w:smartTag>
      <w:r w:rsidR="00500471" w:rsidRPr="0000605C">
        <w:rPr>
          <w:rFonts w:cs="Arial"/>
        </w:rPr>
        <w:t xml:space="preserve"> economy in general. </w:t>
      </w:r>
      <w:r w:rsidR="00B6559D" w:rsidRPr="0000605C">
        <w:rPr>
          <w:rFonts w:cs="Arial"/>
        </w:rPr>
        <w:t xml:space="preserve">The decline in raw land </w:t>
      </w:r>
      <w:r w:rsidR="00363C7B" w:rsidRPr="0000605C">
        <w:rPr>
          <w:rFonts w:cs="Arial"/>
        </w:rPr>
        <w:t xml:space="preserve">cost </w:t>
      </w:r>
      <w:r w:rsidR="00B6559D" w:rsidRPr="0000605C">
        <w:rPr>
          <w:rFonts w:cs="Arial"/>
        </w:rPr>
        <w:t>is a function of meeting the relatively low demand</w:t>
      </w:r>
      <w:r w:rsidR="00D907CE" w:rsidRPr="0000605C">
        <w:rPr>
          <w:rFonts w:cs="Arial"/>
        </w:rPr>
        <w:t xml:space="preserve"> and t</w:t>
      </w:r>
      <w:r w:rsidR="00B6559D" w:rsidRPr="0000605C">
        <w:rPr>
          <w:rFonts w:cs="Arial"/>
        </w:rPr>
        <w:t xml:space="preserve">ransactions that have occurred </w:t>
      </w:r>
      <w:r w:rsidR="00363C7B" w:rsidRPr="0000605C">
        <w:rPr>
          <w:rFonts w:cs="Arial"/>
        </w:rPr>
        <w:t xml:space="preserve">over the last 12 months which is reflective of </w:t>
      </w:r>
      <w:r w:rsidR="00D907CE" w:rsidRPr="0000605C">
        <w:rPr>
          <w:rFonts w:cs="Arial"/>
        </w:rPr>
        <w:t xml:space="preserve">a quieter market. </w:t>
      </w:r>
      <w:r w:rsidRPr="0000605C">
        <w:rPr>
          <w:rFonts w:cs="Arial"/>
          <w:lang w:eastAsia="en-AU"/>
        </w:rPr>
        <w:t xml:space="preserve">According to the April 2011 Comsec Economic report, </w:t>
      </w:r>
      <w:smartTag w:uri="urn:schemas-microsoft-com:office:smarttags" w:element="State">
        <w:r w:rsidRPr="0000605C">
          <w:rPr>
            <w:rFonts w:cs="Arial"/>
            <w:lang w:eastAsia="en-AU"/>
          </w:rPr>
          <w:t>Queensland</w:t>
        </w:r>
      </w:smartTag>
      <w:r w:rsidRPr="0000605C">
        <w:rPr>
          <w:rFonts w:cs="Arial"/>
          <w:lang w:eastAsia="en-AU"/>
        </w:rPr>
        <w:t xml:space="preserve"> is currently experiencing the slowest economic growth and highest unemployment rate of any state or territory in </w:t>
      </w:r>
      <w:smartTag w:uri="urn:schemas-microsoft-com:office:smarttags" w:element="country-region">
        <w:smartTag w:uri="urn:schemas-microsoft-com:office:smarttags" w:element="place">
          <w:r w:rsidRPr="0000605C">
            <w:rPr>
              <w:rFonts w:cs="Arial"/>
              <w:lang w:eastAsia="en-AU"/>
            </w:rPr>
            <w:t>Australia</w:t>
          </w:r>
        </w:smartTag>
      </w:smartTag>
      <w:r w:rsidRPr="0000605C">
        <w:rPr>
          <w:rFonts w:cs="Arial"/>
          <w:lang w:eastAsia="en-AU"/>
        </w:rPr>
        <w:t xml:space="preserve">. In terms of these economic indicators NSW is faring only marginally better than </w:t>
      </w:r>
      <w:smartTag w:uri="urn:schemas-microsoft-com:office:smarttags" w:element="State">
        <w:smartTag w:uri="urn:schemas-microsoft-com:office:smarttags" w:element="place">
          <w:r w:rsidRPr="0000605C">
            <w:rPr>
              <w:rFonts w:cs="Arial"/>
              <w:lang w:eastAsia="en-AU"/>
            </w:rPr>
            <w:t>Queensland</w:t>
          </w:r>
        </w:smartTag>
      </w:smartTag>
      <w:r w:rsidRPr="0000605C">
        <w:rPr>
          <w:rFonts w:cs="Arial"/>
          <w:lang w:eastAsia="en-AU"/>
        </w:rPr>
        <w:t>.</w:t>
      </w:r>
    </w:p>
    <w:p w:rsidR="00142B98" w:rsidRPr="0000605C" w:rsidRDefault="00142B98" w:rsidP="00142B98">
      <w:pPr>
        <w:spacing w:before="0" w:after="0"/>
        <w:rPr>
          <w:rFonts w:cs="Arial"/>
          <w:lang w:eastAsia="en-AU"/>
        </w:rPr>
      </w:pPr>
      <w:r w:rsidRPr="0000605C">
        <w:rPr>
          <w:rFonts w:cs="Arial"/>
          <w:lang w:eastAsia="en-AU"/>
        </w:rPr>
        <w:t xml:space="preserve">In 2010 the land cost component for infill dwellings in </w:t>
      </w:r>
      <w:smartTag w:uri="urn:schemas-microsoft-com:office:smarttags" w:element="City">
        <w:r w:rsidRPr="0000605C">
          <w:rPr>
            <w:rFonts w:cs="Arial"/>
            <w:lang w:eastAsia="en-AU"/>
          </w:rPr>
          <w:t>Melbourne</w:t>
        </w:r>
      </w:smartTag>
      <w:r w:rsidRPr="0000605C">
        <w:rPr>
          <w:rFonts w:cs="Arial"/>
          <w:lang w:eastAsia="en-AU"/>
        </w:rPr>
        <w:t xml:space="preserve"> remained at the lowest proportion of total cost to purchaser (6%) of </w:t>
      </w:r>
      <w:smartTag w:uri="urn:schemas-microsoft-com:office:smarttags" w:element="country-region">
        <w:smartTag w:uri="urn:schemas-microsoft-com:office:smarttags" w:element="place">
          <w:r w:rsidRPr="0000605C">
            <w:rPr>
              <w:rFonts w:cs="Arial"/>
              <w:lang w:eastAsia="en-AU"/>
            </w:rPr>
            <w:t>Australia</w:t>
          </w:r>
        </w:smartTag>
      </w:smartTag>
      <w:r w:rsidRPr="0000605C">
        <w:rPr>
          <w:rFonts w:cs="Arial"/>
          <w:lang w:eastAsia="en-AU"/>
        </w:rPr>
        <w:t xml:space="preserve">’s largest five cities. Land cost accounted for a larger proportion of overall cost in </w:t>
      </w:r>
      <w:smartTag w:uri="urn:schemas-microsoft-com:office:smarttags" w:element="City">
        <w:r w:rsidRPr="0000605C">
          <w:rPr>
            <w:rFonts w:cs="Arial"/>
            <w:lang w:eastAsia="en-AU"/>
          </w:rPr>
          <w:t>Sydney</w:t>
        </w:r>
      </w:smartTag>
      <w:r w:rsidRPr="0000605C">
        <w:rPr>
          <w:rFonts w:cs="Arial"/>
          <w:lang w:eastAsia="en-AU"/>
        </w:rPr>
        <w:t xml:space="preserve"> (14% down from 15% the previous year), </w:t>
      </w:r>
      <w:smartTag w:uri="urn:schemas-microsoft-com:office:smarttags" w:element="City">
        <w:r w:rsidRPr="0000605C">
          <w:rPr>
            <w:rFonts w:cs="Arial"/>
            <w:lang w:eastAsia="en-AU"/>
          </w:rPr>
          <w:t>Perth</w:t>
        </w:r>
      </w:smartTag>
      <w:r w:rsidRPr="0000605C">
        <w:rPr>
          <w:rFonts w:cs="Arial"/>
          <w:lang w:eastAsia="en-AU"/>
        </w:rPr>
        <w:t xml:space="preserve"> (12% up from 11%), and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(remaining at 10%).</w:t>
      </w:r>
    </w:p>
    <w:p w:rsidR="00142B98" w:rsidRPr="0000605C" w:rsidRDefault="00142B98" w:rsidP="00142B98">
      <w:pPr>
        <w:spacing w:before="0" w:after="0"/>
        <w:rPr>
          <w:rFonts w:ascii="Calibri" w:hAnsi="Calibri"/>
          <w:sz w:val="22"/>
          <w:szCs w:val="22"/>
          <w:lang w:eastAsia="en-AU"/>
        </w:rPr>
      </w:pPr>
    </w:p>
    <w:p w:rsidR="005F7AB9" w:rsidRPr="0000605C" w:rsidRDefault="00500471" w:rsidP="005F7AB9">
      <w:pPr>
        <w:pStyle w:val="BodyText"/>
      </w:pPr>
      <w:smartTag w:uri="urn:schemas-microsoft-com:office:smarttags" w:element="City">
        <w:r w:rsidRPr="0000605C">
          <w:t>Sydney</w:t>
        </w:r>
      </w:smartTag>
      <w:r w:rsidRPr="0000605C">
        <w:t xml:space="preserve"> also ha</w:t>
      </w:r>
      <w:r w:rsidR="00FD5BB4" w:rsidRPr="0000605C">
        <w:t>s the highest cost for land in i</w:t>
      </w:r>
      <w:r w:rsidRPr="0000605C">
        <w:t xml:space="preserve">nfill dwelling development at </w:t>
      </w:r>
      <w:r w:rsidR="005F7AB9" w:rsidRPr="0000605C">
        <w:t xml:space="preserve">$90,000 compared to </w:t>
      </w:r>
      <w:smartTag w:uri="urn:schemas-microsoft-com:office:smarttags" w:element="City">
        <w:smartTag w:uri="urn:schemas-microsoft-com:office:smarttags" w:element="place">
          <w:r w:rsidR="005F7AB9" w:rsidRPr="0000605C">
            <w:t>Melbourne</w:t>
          </w:r>
        </w:smartTag>
      </w:smartTag>
      <w:r w:rsidR="005F7AB9" w:rsidRPr="0000605C">
        <w:t xml:space="preserve">’s low of $35,000. </w:t>
      </w:r>
      <w:smartTag w:uri="urn:schemas-microsoft-com:office:smarttags" w:element="City">
        <w:r w:rsidR="005F7AB9" w:rsidRPr="0000605C">
          <w:t>Brisbane</w:t>
        </w:r>
      </w:smartTag>
      <w:r w:rsidR="005F7AB9" w:rsidRPr="0000605C">
        <w:t xml:space="preserve"> ($45,000) and </w:t>
      </w:r>
      <w:smartTag w:uri="urn:schemas-microsoft-com:office:smarttags" w:element="City">
        <w:r w:rsidR="005F7AB9" w:rsidRPr="0000605C">
          <w:t>Adelaide</w:t>
        </w:r>
      </w:smartTag>
      <w:r w:rsidR="005F7AB9" w:rsidRPr="0000605C">
        <w:t xml:space="preserve"> ($50,000) a</w:t>
      </w:r>
      <w:r w:rsidR="00FD5BB4" w:rsidRPr="0000605C">
        <w:t>re also at the lower end, while</w:t>
      </w:r>
      <w:r w:rsidR="005F7AB9" w:rsidRPr="0000605C">
        <w:t xml:space="preserve"> </w:t>
      </w:r>
      <w:smartTag w:uri="urn:schemas-microsoft-com:office:smarttags" w:element="City">
        <w:r w:rsidR="005F7AB9" w:rsidRPr="0000605C">
          <w:t>Perth</w:t>
        </w:r>
      </w:smartTag>
      <w:r w:rsidR="005F7AB9" w:rsidRPr="0000605C">
        <w:t xml:space="preserve"> ($71,000) is closer to </w:t>
      </w:r>
      <w:smartTag w:uri="urn:schemas-microsoft-com:office:smarttags" w:element="City">
        <w:smartTag w:uri="urn:schemas-microsoft-com:office:smarttags" w:element="place">
          <w:r w:rsidR="005F7AB9" w:rsidRPr="0000605C">
            <w:t>Sydney</w:t>
          </w:r>
        </w:smartTag>
      </w:smartTag>
      <w:r w:rsidR="005F7AB9" w:rsidRPr="0000605C">
        <w:t>’s high.</w:t>
      </w:r>
    </w:p>
    <w:p w:rsidR="00500471" w:rsidRPr="0000605C" w:rsidRDefault="00500471" w:rsidP="00D101BE"/>
    <w:p w:rsidR="00D101BE" w:rsidRPr="0000605C" w:rsidRDefault="00752FF2" w:rsidP="00D101BE">
      <w:pPr>
        <w:pStyle w:val="BodyText"/>
      </w:pPr>
      <w:r w:rsidRPr="0000605C">
        <w:object w:dxaOrig="9194" w:dyaOrig="4828">
          <v:shape id="_x0000_i1033" type="#_x0000_t75" style="width:459.75pt;height:241.5pt" o:ole="">
            <v:imagedata r:id="rId51" o:title=""/>
          </v:shape>
          <o:OLEObject Type="Link" ProgID="Excel.Sheet.8" ShapeID="_x0000_i1033" DrawAspect="Content" r:id="rId52" UpdateMode="Always">
            <o:LinkType>EnhancedMetaFile</o:LinkType>
            <o:LockedField>false</o:LockedField>
          </o:OLEObject>
        </w:object>
      </w:r>
    </w:p>
    <w:p w:rsidR="00D101BE" w:rsidRPr="0000605C" w:rsidRDefault="00D101BE" w:rsidP="00D101BE">
      <w:pPr>
        <w:pStyle w:val="BodyText"/>
      </w:pPr>
    </w:p>
    <w:p w:rsidR="00DF241F" w:rsidRPr="0000605C" w:rsidRDefault="00DF241F" w:rsidP="00D101BE">
      <w:pPr>
        <w:pStyle w:val="BodyText"/>
      </w:pPr>
    </w:p>
    <w:p w:rsidR="00DF241F" w:rsidRPr="0000605C" w:rsidRDefault="00DF241F" w:rsidP="00D101BE">
      <w:pPr>
        <w:pStyle w:val="BodyText"/>
      </w:pPr>
    </w:p>
    <w:p w:rsidR="00DF241F" w:rsidRPr="0000605C" w:rsidRDefault="00DF241F" w:rsidP="00D101BE">
      <w:pPr>
        <w:pStyle w:val="BodyText"/>
      </w:pPr>
    </w:p>
    <w:p w:rsidR="00DF241F" w:rsidRPr="0000605C" w:rsidRDefault="00DF241F" w:rsidP="00D101BE">
      <w:pPr>
        <w:pStyle w:val="BodyText"/>
      </w:pPr>
    </w:p>
    <w:p w:rsidR="00DF241F" w:rsidRPr="0000605C" w:rsidRDefault="00DF241F" w:rsidP="00D101BE">
      <w:pPr>
        <w:pStyle w:val="BodyText"/>
      </w:pPr>
    </w:p>
    <w:p w:rsidR="00DF241F" w:rsidRPr="0000605C" w:rsidRDefault="00DF241F" w:rsidP="00D101BE">
      <w:pPr>
        <w:pStyle w:val="BodyText"/>
      </w:pPr>
    </w:p>
    <w:p w:rsidR="00DF241F" w:rsidRPr="0000605C" w:rsidRDefault="00DF241F" w:rsidP="00D101BE">
      <w:pPr>
        <w:pStyle w:val="BodyText"/>
      </w:pPr>
    </w:p>
    <w:p w:rsidR="00D101BE" w:rsidRPr="0000605C" w:rsidRDefault="00D101BE" w:rsidP="00D101BE">
      <w:pPr>
        <w:pStyle w:val="Heading3"/>
        <w:keepNext w:val="0"/>
        <w:spacing w:line="240" w:lineRule="auto"/>
      </w:pPr>
      <w:bookmarkStart w:id="49" w:name="_Toc250964525"/>
      <w:bookmarkStart w:id="50" w:name="_Toc294088037"/>
      <w:r w:rsidRPr="0000605C">
        <w:lastRenderedPageBreak/>
        <w:t>Construction</w:t>
      </w:r>
      <w:bookmarkEnd w:id="49"/>
      <w:bookmarkEnd w:id="50"/>
    </w:p>
    <w:p w:rsidR="00D101BE" w:rsidRPr="0000605C" w:rsidRDefault="008F2902" w:rsidP="00D101BE">
      <w:pPr>
        <w:pStyle w:val="BodyText"/>
        <w:rPr>
          <w:rFonts w:cs="Arial"/>
        </w:rPr>
      </w:pPr>
      <w:r w:rsidRPr="0000605C">
        <w:rPr>
          <w:rFonts w:cs="Arial"/>
        </w:rPr>
        <w:t xml:space="preserve">In 2010, movements in construction costs for infill dwellings across the five cities varied with </w:t>
      </w:r>
      <w:smartTag w:uri="urn:schemas-microsoft-com:office:smarttags" w:element="City">
        <w:r w:rsidRPr="0000605C">
          <w:rPr>
            <w:rFonts w:cs="Arial"/>
          </w:rPr>
          <w:t>Sydney</w:t>
        </w:r>
      </w:smartTag>
      <w:r w:rsidRPr="0000605C">
        <w:rPr>
          <w:rFonts w:cs="Arial"/>
        </w:rPr>
        <w:t xml:space="preserve"> and </w:t>
      </w:r>
      <w:smartTag w:uri="urn:schemas-microsoft-com:office:smarttags" w:element="City">
        <w:r w:rsidRPr="0000605C">
          <w:rPr>
            <w:rFonts w:cs="Arial"/>
          </w:rPr>
          <w:t>Adelaide</w:t>
        </w:r>
      </w:smartTag>
      <w:r w:rsidRPr="0000605C">
        <w:rPr>
          <w:rFonts w:cs="Arial"/>
        </w:rPr>
        <w:t xml:space="preserve"> recording virtually no increase; </w:t>
      </w:r>
      <w:smartTag w:uri="urn:schemas-microsoft-com:office:smarttags" w:element="City">
        <w:r w:rsidRPr="0000605C">
          <w:rPr>
            <w:rFonts w:cs="Arial"/>
          </w:rPr>
          <w:t>Brisbane</w:t>
        </w:r>
      </w:smartTag>
      <w:r w:rsidRPr="0000605C">
        <w:rPr>
          <w:rFonts w:cs="Arial"/>
        </w:rPr>
        <w:t xml:space="preserve"> and </w:t>
      </w:r>
      <w:smartTag w:uri="urn:schemas-microsoft-com:office:smarttags" w:element="City">
        <w:r w:rsidRPr="0000605C">
          <w:rPr>
            <w:rFonts w:cs="Arial"/>
          </w:rPr>
          <w:t>Perth</w:t>
        </w:r>
      </w:smartTag>
      <w:r w:rsidRPr="0000605C">
        <w:rPr>
          <w:rFonts w:cs="Arial"/>
        </w:rPr>
        <w:t xml:space="preserve"> recording declines; and </w:t>
      </w:r>
      <w:smartTag w:uri="urn:schemas-microsoft-com:office:smarttags" w:element="City">
        <w:smartTag w:uri="urn:schemas-microsoft-com:office:smarttags" w:element="place">
          <w:r w:rsidRPr="0000605C">
            <w:rPr>
              <w:rFonts w:cs="Arial"/>
            </w:rPr>
            <w:t>Melbourne</w:t>
          </w:r>
        </w:smartTag>
      </w:smartTag>
      <w:r w:rsidRPr="0000605C">
        <w:rPr>
          <w:rFonts w:cs="Arial"/>
        </w:rPr>
        <w:t xml:space="preserve"> recording an increase. In most instances construction costs have decreased as a proportion of overall</w:t>
      </w:r>
      <w:r w:rsidRPr="0000605C">
        <w:rPr>
          <w:rFonts w:cs="Arial"/>
          <w:color w:val="1F497D"/>
        </w:rPr>
        <w:t xml:space="preserve"> </w:t>
      </w:r>
      <w:r w:rsidRPr="0000605C">
        <w:rPr>
          <w:rFonts w:cs="Arial"/>
        </w:rPr>
        <w:t xml:space="preserve">costs </w:t>
      </w:r>
      <w:r w:rsidR="00E732DF" w:rsidRPr="0000605C">
        <w:rPr>
          <w:rFonts w:cs="Arial"/>
        </w:rPr>
        <w:t>to the p</w:t>
      </w:r>
      <w:r w:rsidRPr="0000605C">
        <w:rPr>
          <w:rFonts w:cs="Arial"/>
        </w:rPr>
        <w:t xml:space="preserve">urchaser with the exception of </w:t>
      </w:r>
      <w:smartTag w:uri="urn:schemas-microsoft-com:office:smarttags" w:element="City">
        <w:smartTag w:uri="urn:schemas-microsoft-com:office:smarttags" w:element="place">
          <w:r w:rsidRPr="0000605C">
            <w:rPr>
              <w:rFonts w:cs="Arial"/>
            </w:rPr>
            <w:t>Melbourne</w:t>
          </w:r>
        </w:smartTag>
      </w:smartTag>
      <w:r w:rsidRPr="0000605C">
        <w:rPr>
          <w:rFonts w:cs="Arial"/>
        </w:rPr>
        <w:t xml:space="preserve"> where they remained steady at 52%. Construction costs still represent the largest component of</w:t>
      </w:r>
      <w:r w:rsidRPr="0000605C">
        <w:rPr>
          <w:rFonts w:cs="Arial"/>
          <w:color w:val="1F497D"/>
        </w:rPr>
        <w:t xml:space="preserve"> </w:t>
      </w:r>
      <w:r w:rsidRPr="0000605C">
        <w:rPr>
          <w:rFonts w:cs="Arial"/>
        </w:rPr>
        <w:t>overall costs by a considerable margin. The proportion of total costs attributable to construction varies across cities</w:t>
      </w:r>
      <w:r w:rsidRPr="0000605C">
        <w:rPr>
          <w:rFonts w:cs="Arial"/>
          <w:color w:val="1F497D"/>
        </w:rPr>
        <w:t xml:space="preserve"> </w:t>
      </w:r>
      <w:r w:rsidRPr="0000605C">
        <w:rPr>
          <w:rFonts w:cs="Arial"/>
        </w:rPr>
        <w:t xml:space="preserve">from 45% in </w:t>
      </w:r>
      <w:smartTag w:uri="urn:schemas-microsoft-com:office:smarttags" w:element="City">
        <w:r w:rsidRPr="0000605C">
          <w:rPr>
            <w:rFonts w:cs="Arial"/>
          </w:rPr>
          <w:t>Sydney</w:t>
        </w:r>
      </w:smartTag>
      <w:r w:rsidRPr="0000605C">
        <w:rPr>
          <w:rFonts w:cs="Arial"/>
        </w:rPr>
        <w:t xml:space="preserve">, 49% in </w:t>
      </w:r>
      <w:smartTag w:uri="urn:schemas-microsoft-com:office:smarttags" w:element="City">
        <w:r w:rsidRPr="0000605C">
          <w:rPr>
            <w:rFonts w:cs="Arial"/>
          </w:rPr>
          <w:t>Perth</w:t>
        </w:r>
      </w:smartTag>
      <w:r w:rsidRPr="0000605C">
        <w:rPr>
          <w:rFonts w:cs="Arial"/>
        </w:rPr>
        <w:t>, 50%</w:t>
      </w:r>
      <w:r w:rsidR="00E732DF" w:rsidRPr="0000605C">
        <w:rPr>
          <w:rFonts w:cs="Arial"/>
        </w:rPr>
        <w:t xml:space="preserve"> </w:t>
      </w:r>
      <w:r w:rsidRPr="0000605C">
        <w:rPr>
          <w:rFonts w:cs="Arial"/>
        </w:rPr>
        <w:t xml:space="preserve">in </w:t>
      </w:r>
      <w:smartTag w:uri="urn:schemas-microsoft-com:office:smarttags" w:element="City">
        <w:r w:rsidRPr="0000605C">
          <w:rPr>
            <w:rFonts w:cs="Arial"/>
          </w:rPr>
          <w:t>Brisbane</w:t>
        </w:r>
      </w:smartTag>
      <w:r w:rsidRPr="0000605C">
        <w:rPr>
          <w:rFonts w:cs="Arial"/>
        </w:rPr>
        <w:t xml:space="preserve">, and a high of 60% in </w:t>
      </w:r>
      <w:smartTag w:uri="urn:schemas-microsoft-com:office:smarttags" w:element="City">
        <w:smartTag w:uri="urn:schemas-microsoft-com:office:smarttags" w:element="place">
          <w:r w:rsidRPr="0000605C">
            <w:rPr>
              <w:rFonts w:cs="Arial"/>
            </w:rPr>
            <w:t>Adelaide</w:t>
          </w:r>
        </w:smartTag>
      </w:smartTag>
      <w:r w:rsidRPr="0000605C">
        <w:rPr>
          <w:rFonts w:cs="Arial"/>
        </w:rPr>
        <w:t>.</w:t>
      </w:r>
    </w:p>
    <w:p w:rsidR="008F2902" w:rsidRPr="0000605C" w:rsidRDefault="008F2902" w:rsidP="008F2902">
      <w:pPr>
        <w:spacing w:before="0" w:after="0"/>
        <w:rPr>
          <w:rFonts w:cs="Arial"/>
          <w:lang w:eastAsia="en-AU"/>
        </w:rPr>
      </w:pPr>
      <w:smartTag w:uri="urn:schemas-microsoft-com:office:smarttags" w:element="City">
        <w:r w:rsidRPr="0000605C">
          <w:rPr>
            <w:rFonts w:cs="Arial"/>
            <w:lang w:eastAsia="en-AU"/>
          </w:rPr>
          <w:t>Melbourne</w:t>
        </w:r>
      </w:smartTag>
      <w:r w:rsidRPr="0000605C">
        <w:rPr>
          <w:rFonts w:cs="Arial"/>
          <w:lang w:eastAsia="en-AU"/>
        </w:rPr>
        <w:t xml:space="preserve"> has replaced </w:t>
      </w:r>
      <w:smartTag w:uri="urn:schemas-microsoft-com:office:smarttags" w:element="City">
        <w:smartTag w:uri="urn:schemas-microsoft-com:office:smarttags" w:element="place">
          <w:r w:rsidRPr="0000605C">
            <w:rPr>
              <w:rFonts w:cs="Arial"/>
              <w:lang w:eastAsia="en-AU"/>
            </w:rPr>
            <w:t>Perth</w:t>
          </w:r>
        </w:smartTag>
      </w:smartTag>
      <w:r w:rsidRPr="0000605C">
        <w:rPr>
          <w:rFonts w:cs="Arial"/>
          <w:lang w:eastAsia="en-AU"/>
        </w:rPr>
        <w:t xml:space="preserve"> as the most ex</w:t>
      </w:r>
      <w:r w:rsidR="00E732DF" w:rsidRPr="0000605C">
        <w:rPr>
          <w:rFonts w:cs="Arial"/>
          <w:lang w:eastAsia="en-AU"/>
        </w:rPr>
        <w:t>pensive city in which to build i</w:t>
      </w:r>
      <w:r w:rsidRPr="0000605C">
        <w:rPr>
          <w:rFonts w:cs="Arial"/>
          <w:lang w:eastAsia="en-AU"/>
        </w:rPr>
        <w:t xml:space="preserve">nfill dwellings at $314,000 for a two bedroom unit in a medium to high storey development. </w:t>
      </w:r>
      <w:smartTag w:uri="urn:schemas-microsoft-com:office:smarttags" w:element="City">
        <w:r w:rsidRPr="0000605C">
          <w:rPr>
            <w:rFonts w:cs="Arial"/>
            <w:lang w:eastAsia="en-AU"/>
          </w:rPr>
          <w:t>Perth</w:t>
        </w:r>
      </w:smartTag>
      <w:r w:rsidRPr="0000605C">
        <w:rPr>
          <w:rFonts w:cs="Arial"/>
          <w:lang w:eastAsia="en-AU"/>
        </w:rPr>
        <w:t xml:space="preserve"> follows at $297,000, with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at $290,000. Brisbane ($283,000) and Sydney ($283,000) are the least expensive of the five cit</w:t>
      </w:r>
      <w:r w:rsidR="00E732DF" w:rsidRPr="0000605C">
        <w:rPr>
          <w:rFonts w:cs="Arial"/>
          <w:lang w:eastAsia="en-AU"/>
        </w:rPr>
        <w:t>ies in which to build i</w:t>
      </w:r>
      <w:r w:rsidRPr="0000605C">
        <w:rPr>
          <w:rFonts w:cs="Arial"/>
          <w:lang w:eastAsia="en-AU"/>
        </w:rPr>
        <w:t>nfill dwellings.</w:t>
      </w:r>
    </w:p>
    <w:p w:rsidR="008F2902" w:rsidRPr="0000605C" w:rsidRDefault="008F2902" w:rsidP="00D101BE">
      <w:pPr>
        <w:pStyle w:val="BodyText"/>
      </w:pPr>
    </w:p>
    <w:p w:rsidR="00D101BE" w:rsidRPr="0000605C" w:rsidRDefault="00752FF2" w:rsidP="00D101BE">
      <w:pPr>
        <w:pStyle w:val="BodyText"/>
      </w:pPr>
      <w:r w:rsidRPr="0000605C">
        <w:object w:dxaOrig="9175" w:dyaOrig="4828">
          <v:shape id="_x0000_i1034" type="#_x0000_t75" style="width:459pt;height:241.5pt" o:ole="">
            <v:imagedata r:id="rId53" o:title=""/>
          </v:shape>
          <o:OLEObject Type="Link" ProgID="Excel.Sheet.8" ShapeID="_x0000_i1034" DrawAspect="Content" r:id="rId54" UpdateMode="Always">
            <o:LinkType>EnhancedMetaFile</o:LinkType>
            <o:LockedField>false</o:LockedField>
          </o:OLEObject>
        </w:object>
      </w:r>
    </w:p>
    <w:p w:rsidR="00DA5BCC" w:rsidRPr="0000605C" w:rsidRDefault="00DA5BCC"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815E9B" w:rsidRPr="0000605C" w:rsidRDefault="00815E9B" w:rsidP="00D101BE">
      <w:pPr>
        <w:pStyle w:val="BodyText"/>
      </w:pPr>
    </w:p>
    <w:p w:rsidR="00D101BE" w:rsidRPr="0000605C" w:rsidRDefault="00D101BE" w:rsidP="00D101BE">
      <w:pPr>
        <w:pStyle w:val="Heading3"/>
        <w:keepNext w:val="0"/>
        <w:spacing w:line="240" w:lineRule="auto"/>
      </w:pPr>
      <w:bookmarkStart w:id="51" w:name="_Toc250964526"/>
      <w:bookmarkStart w:id="52" w:name="_Toc294088038"/>
      <w:r w:rsidRPr="0000605C">
        <w:lastRenderedPageBreak/>
        <w:t>Professional Fees</w:t>
      </w:r>
      <w:bookmarkEnd w:id="51"/>
      <w:bookmarkEnd w:id="52"/>
    </w:p>
    <w:p w:rsidR="00881668" w:rsidRPr="0000605C" w:rsidRDefault="00881668" w:rsidP="00881668">
      <w:pPr>
        <w:spacing w:before="0" w:after="0"/>
        <w:rPr>
          <w:rFonts w:cs="Arial"/>
          <w:lang w:eastAsia="en-AU"/>
        </w:rPr>
      </w:pPr>
      <w:r w:rsidRPr="0000605C">
        <w:rPr>
          <w:rFonts w:cs="Arial"/>
          <w:lang w:eastAsia="en-AU"/>
        </w:rPr>
        <w:t xml:space="preserve">Professional fees include consultant fees outside of construction costs such as architects, traffic engineers, and post sale legal fees. In 2010 professional fees increased across all cities but remained relatively steady as a proportion of total cost to purchaser (3-4%). The exception to this has been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where professional fees rose from $7,000 in 2009 to $31,000 in 2010. This was also reflected in an increase from 2% in 2009 to 6% in 2010 of total costs to the purchaser.</w:t>
      </w:r>
    </w:p>
    <w:p w:rsidR="00881668" w:rsidRPr="0000605C" w:rsidRDefault="00881668" w:rsidP="00881668">
      <w:pPr>
        <w:spacing w:before="0" w:after="0"/>
        <w:rPr>
          <w:rFonts w:ascii="Calibri" w:hAnsi="Calibri"/>
          <w:sz w:val="22"/>
          <w:szCs w:val="22"/>
          <w:lang w:eastAsia="en-AU"/>
        </w:rPr>
      </w:pPr>
    </w:p>
    <w:p w:rsidR="00D101BE" w:rsidRPr="0000605C" w:rsidRDefault="00752FF2" w:rsidP="00D101BE">
      <w:pPr>
        <w:pStyle w:val="BodyText"/>
      </w:pPr>
      <w:r w:rsidRPr="0000605C">
        <w:object w:dxaOrig="9175" w:dyaOrig="4828">
          <v:shape id="_x0000_i1035" type="#_x0000_t75" style="width:459pt;height:241.5pt" o:ole="">
            <v:imagedata r:id="rId55" o:title=""/>
          </v:shape>
          <o:OLEObject Type="Link" ProgID="Excel.Sheet.8" ShapeID="_x0000_i1035" DrawAspect="Content" r:id="rId56" UpdateMode="Always">
            <o:LinkType>EnhancedMetaFile</o:LinkType>
            <o:LockedField>false</o:LockedField>
          </o:OLEObject>
        </w:object>
      </w:r>
    </w:p>
    <w:p w:rsidR="00D101BE" w:rsidRPr="0000605C" w:rsidRDefault="00D101BE" w:rsidP="00D101BE">
      <w:pPr>
        <w:pStyle w:val="BodyText"/>
      </w:pPr>
    </w:p>
    <w:p w:rsidR="00392726" w:rsidRPr="0000605C" w:rsidRDefault="00392726" w:rsidP="00392726">
      <w:pPr>
        <w:spacing w:before="0" w:after="0"/>
        <w:rPr>
          <w:rFonts w:cs="Arial"/>
          <w:lang w:eastAsia="en-AU"/>
        </w:rPr>
      </w:pPr>
      <w:r w:rsidRPr="0000605C">
        <w:rPr>
          <w:rFonts w:cs="Arial"/>
          <w:lang w:eastAsia="en-AU"/>
        </w:rPr>
        <w:t xml:space="preserve">The increase in professional fees, particularly in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reflects a refinement to the methodology used for this report. The approach used in this study has drawn on the experience of Rider Levett Bucknall and reflects a more consistent approach in the determination of professional fees across the five cities. The previous study had estimated this component from a number of sources and in the case of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had not comprehensively captured these costs in this category.</w:t>
      </w:r>
    </w:p>
    <w:p w:rsidR="00392726" w:rsidRPr="0000605C" w:rsidRDefault="00392726" w:rsidP="00392726">
      <w:pPr>
        <w:spacing w:before="0" w:after="0"/>
        <w:rPr>
          <w:rFonts w:ascii="Calibri" w:hAnsi="Calibri"/>
          <w:sz w:val="22"/>
          <w:szCs w:val="22"/>
          <w:lang w:eastAsia="en-AU"/>
        </w:rPr>
      </w:pPr>
    </w:p>
    <w:p w:rsidR="009C19F8" w:rsidRPr="0000605C" w:rsidRDefault="009C19F8" w:rsidP="00D101BE">
      <w:pPr>
        <w:pStyle w:val="BodyText"/>
        <w:rPr>
          <w:highlight w:val="yellow"/>
        </w:rPr>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AF3D46" w:rsidRPr="0000605C" w:rsidRDefault="00AF3D46" w:rsidP="00D101BE">
      <w:pPr>
        <w:pStyle w:val="BodyText"/>
      </w:pPr>
    </w:p>
    <w:p w:rsidR="00AF3D46" w:rsidRPr="0000605C" w:rsidRDefault="00AF3D46" w:rsidP="00D101BE">
      <w:pPr>
        <w:pStyle w:val="BodyText"/>
      </w:pPr>
    </w:p>
    <w:p w:rsidR="00AF3D46" w:rsidRPr="0000605C" w:rsidRDefault="00AF3D46"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D101BE" w:rsidRPr="0000605C" w:rsidRDefault="00D101BE" w:rsidP="00D101BE">
      <w:pPr>
        <w:pStyle w:val="Heading3"/>
        <w:keepNext w:val="0"/>
        <w:spacing w:line="240" w:lineRule="auto"/>
      </w:pPr>
      <w:bookmarkStart w:id="53" w:name="_Toc250964527"/>
      <w:bookmarkStart w:id="54" w:name="_Toc294088039"/>
      <w:r w:rsidRPr="0000605C">
        <w:lastRenderedPageBreak/>
        <w:t>Government Taxes and Charges</w:t>
      </w:r>
      <w:bookmarkEnd w:id="53"/>
      <w:bookmarkEnd w:id="54"/>
    </w:p>
    <w:p w:rsidR="006F5576" w:rsidRPr="0000605C" w:rsidRDefault="006F5576" w:rsidP="006F5576">
      <w:pPr>
        <w:spacing w:before="0" w:after="0"/>
        <w:rPr>
          <w:rFonts w:cs="Arial"/>
          <w:lang w:eastAsia="en-AU"/>
        </w:rPr>
      </w:pPr>
      <w:r w:rsidRPr="0000605C">
        <w:rPr>
          <w:rFonts w:cs="Arial"/>
          <w:lang w:eastAsia="en-AU"/>
        </w:rPr>
        <w:t xml:space="preserve">In 2010 government taxes and charges have increased for all cities with the exception of </w:t>
      </w:r>
      <w:smartTag w:uri="urn:schemas-microsoft-com:office:smarttags" w:element="City">
        <w:smartTag w:uri="urn:schemas-microsoft-com:office:smarttags" w:element="place">
          <w:r w:rsidRPr="0000605C">
            <w:rPr>
              <w:rFonts w:cs="Arial"/>
              <w:lang w:eastAsia="en-AU"/>
            </w:rPr>
            <w:t>Brisbane</w:t>
          </w:r>
        </w:smartTag>
      </w:smartTag>
      <w:r w:rsidRPr="0000605C">
        <w:rPr>
          <w:rFonts w:cs="Arial"/>
          <w:lang w:eastAsia="en-AU"/>
        </w:rPr>
        <w:t xml:space="preserve">. On the surface this would indicate that there have been few changes in policy and legislation with respect to infill dwelling development costs across </w:t>
      </w:r>
      <w:smartTag w:uri="urn:schemas-microsoft-com:office:smarttags" w:element="country-region">
        <w:r w:rsidRPr="0000605C">
          <w:rPr>
            <w:rFonts w:cs="Arial"/>
            <w:lang w:eastAsia="en-AU"/>
          </w:rPr>
          <w:t>Australia</w:t>
        </w:r>
      </w:smartTag>
      <w:r w:rsidRPr="0000605C">
        <w:rPr>
          <w:rFonts w:cs="Arial"/>
          <w:lang w:eastAsia="en-AU"/>
        </w:rPr>
        <w:t xml:space="preserve">’s more populous states, with the exception of </w:t>
      </w:r>
      <w:smartTag w:uri="urn:schemas-microsoft-com:office:smarttags" w:element="State">
        <w:smartTag w:uri="urn:schemas-microsoft-com:office:smarttags" w:element="place">
          <w:r w:rsidRPr="0000605C">
            <w:rPr>
              <w:rFonts w:cs="Arial"/>
              <w:lang w:eastAsia="en-AU"/>
            </w:rPr>
            <w:t>Queensland</w:t>
          </w:r>
        </w:smartTag>
      </w:smartTag>
      <w:r w:rsidRPr="0000605C">
        <w:rPr>
          <w:rFonts w:cs="Arial"/>
          <w:lang w:eastAsia="en-AU"/>
        </w:rPr>
        <w:t>. This is reflected in the relatively unchanged proportion of total costs to purchasers for which government taxes and charges account for infill dwellings (14-16%). Most cities registered either a rise or fall of one percentage point</w:t>
      </w:r>
      <w:r w:rsidRPr="0000605C">
        <w:rPr>
          <w:rFonts w:cs="Arial"/>
          <w:color w:val="1F497D"/>
          <w:lang w:eastAsia="en-AU"/>
        </w:rPr>
        <w:t xml:space="preserve"> </w:t>
      </w:r>
      <w:r w:rsidRPr="0000605C">
        <w:rPr>
          <w:rFonts w:cs="Arial"/>
          <w:lang w:eastAsia="en-AU"/>
        </w:rPr>
        <w:t xml:space="preserve">in the proportion that government taxes and charges represent of total costs to purchaser. </w:t>
      </w:r>
      <w:smartTag w:uri="urn:schemas-microsoft-com:office:smarttags" w:element="City">
        <w:smartTag w:uri="urn:schemas-microsoft-com:office:smarttags" w:element="place">
          <w:r w:rsidRPr="0000605C">
            <w:rPr>
              <w:rFonts w:cs="Arial"/>
              <w:lang w:eastAsia="en-AU"/>
            </w:rPr>
            <w:t>Brisbane</w:t>
          </w:r>
        </w:smartTag>
      </w:smartTag>
      <w:r w:rsidRPr="0000605C">
        <w:rPr>
          <w:rFonts w:cs="Arial"/>
          <w:lang w:eastAsia="en-AU"/>
        </w:rPr>
        <w:t xml:space="preserve"> has seen a slightly greater change with a decli</w:t>
      </w:r>
      <w:r w:rsidR="00D64DA3" w:rsidRPr="0000605C">
        <w:rPr>
          <w:rFonts w:cs="Arial"/>
          <w:lang w:eastAsia="en-AU"/>
        </w:rPr>
        <w:t xml:space="preserve">ne from 17% or $86,000 in 2009 </w:t>
      </w:r>
      <w:r w:rsidRPr="0000605C">
        <w:rPr>
          <w:rFonts w:cs="Arial"/>
          <w:lang w:eastAsia="en-AU"/>
        </w:rPr>
        <w:t xml:space="preserve">to 15% or $83,000 of total purchaser costs in 2010. All other cities recorded increases of $6,000-$11,000. In 2010, </w:t>
      </w:r>
      <w:smartTag w:uri="urn:schemas-microsoft-com:office:smarttags" w:element="City">
        <w:r w:rsidRPr="0000605C">
          <w:rPr>
            <w:rFonts w:cs="Arial"/>
            <w:lang w:eastAsia="en-AU"/>
          </w:rPr>
          <w:t>Sydney</w:t>
        </w:r>
      </w:smartTag>
      <w:r w:rsidRPr="0000605C">
        <w:rPr>
          <w:rFonts w:cs="Arial"/>
          <w:lang w:eastAsia="en-AU"/>
        </w:rPr>
        <w:t xml:space="preserve"> continued to have the highest government costs at $102,000 followed by </w:t>
      </w:r>
      <w:smartTag w:uri="urn:schemas-microsoft-com:office:smarttags" w:element="City">
        <w:r w:rsidRPr="0000605C">
          <w:rPr>
            <w:rFonts w:cs="Arial"/>
            <w:lang w:eastAsia="en-AU"/>
          </w:rPr>
          <w:t>Melbourne</w:t>
        </w:r>
      </w:smartTag>
      <w:r w:rsidRPr="0000605C">
        <w:rPr>
          <w:rFonts w:cs="Arial"/>
          <w:lang w:eastAsia="en-AU"/>
        </w:rPr>
        <w:t xml:space="preserve"> ($93,000), </w:t>
      </w:r>
      <w:smartTag w:uri="urn:schemas-microsoft-com:office:smarttags" w:element="City">
        <w:r w:rsidRPr="0000605C">
          <w:rPr>
            <w:rFonts w:cs="Arial"/>
            <w:lang w:eastAsia="en-AU"/>
          </w:rPr>
          <w:t>Perth</w:t>
        </w:r>
      </w:smartTag>
      <w:r w:rsidRPr="0000605C">
        <w:rPr>
          <w:rFonts w:cs="Arial"/>
          <w:lang w:eastAsia="en-AU"/>
        </w:rPr>
        <w:t xml:space="preserve"> ($87,000), </w:t>
      </w:r>
      <w:smartTag w:uri="urn:schemas-microsoft-com:office:smarttags" w:element="City">
        <w:r w:rsidRPr="0000605C">
          <w:rPr>
            <w:rFonts w:cs="Arial"/>
            <w:lang w:eastAsia="en-AU"/>
          </w:rPr>
          <w:t>Brisbane</w:t>
        </w:r>
      </w:smartTag>
      <w:r w:rsidRPr="0000605C">
        <w:rPr>
          <w:rFonts w:cs="Arial"/>
          <w:lang w:eastAsia="en-AU"/>
        </w:rPr>
        <w:t xml:space="preserve">, with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($78,000) the lowest.</w:t>
      </w:r>
    </w:p>
    <w:p w:rsidR="006F5576" w:rsidRPr="0000605C" w:rsidRDefault="006F5576" w:rsidP="006F5576">
      <w:pPr>
        <w:spacing w:before="0" w:after="0"/>
        <w:rPr>
          <w:rFonts w:ascii="Calibri" w:hAnsi="Calibri"/>
          <w:sz w:val="22"/>
          <w:szCs w:val="22"/>
          <w:lang w:eastAsia="en-AU"/>
        </w:rPr>
      </w:pPr>
    </w:p>
    <w:p w:rsidR="00D101BE" w:rsidRPr="0000605C" w:rsidRDefault="00752FF2" w:rsidP="00D101BE">
      <w:pPr>
        <w:pStyle w:val="BodyText"/>
      </w:pPr>
      <w:r w:rsidRPr="0000605C">
        <w:object w:dxaOrig="9175" w:dyaOrig="4828">
          <v:shape id="_x0000_i1036" type="#_x0000_t75" style="width:459pt;height:241.5pt" o:ole="">
            <v:imagedata r:id="rId57" o:title=""/>
          </v:shape>
          <o:OLEObject Type="Link" ProgID="Excel.Sheet.8" ShapeID="_x0000_i1036" DrawAspect="Content" r:id="rId58" UpdateMode="Always">
            <o:LinkType>EnhancedMetaFile</o:LinkType>
            <o:LockedField>false</o:LockedField>
          </o:OLEObject>
        </w:object>
      </w:r>
    </w:p>
    <w:p w:rsidR="00D101BE" w:rsidRPr="0000605C" w:rsidRDefault="00D101BE" w:rsidP="00D101BE">
      <w:pPr>
        <w:pStyle w:val="BodyText"/>
      </w:pPr>
    </w:p>
    <w:p w:rsidR="0074268A" w:rsidRPr="0000605C" w:rsidRDefault="0074268A" w:rsidP="0074268A">
      <w:pPr>
        <w:spacing w:before="0" w:after="0"/>
        <w:rPr>
          <w:rFonts w:cs="Arial"/>
          <w:lang w:eastAsia="en-AU"/>
        </w:rPr>
      </w:pPr>
      <w:r w:rsidRPr="0000605C">
        <w:rPr>
          <w:rFonts w:cs="Arial"/>
          <w:lang w:eastAsia="en-AU"/>
        </w:rPr>
        <w:t xml:space="preserve">Government taxes and charges incorporate a range of government </w:t>
      </w:r>
      <w:proofErr w:type="gramStart"/>
      <w:r w:rsidRPr="0000605C">
        <w:rPr>
          <w:rFonts w:cs="Arial"/>
          <w:lang w:eastAsia="en-AU"/>
        </w:rPr>
        <w:t>costs,</w:t>
      </w:r>
      <w:proofErr w:type="gramEnd"/>
      <w:r w:rsidRPr="0000605C">
        <w:rPr>
          <w:rFonts w:cs="Arial"/>
          <w:lang w:eastAsia="en-AU"/>
        </w:rPr>
        <w:t xml:space="preserve"> however GST liability is the largest item. This remains an issue for the development and construction industry as it is not a cost born by existing dwellings. Effectively then a new $500,000 dwelling incurs a $50,000 impost (approximately) compared to an established d</w:t>
      </w:r>
      <w:r w:rsidR="00D64DA3" w:rsidRPr="0000605C">
        <w:rPr>
          <w:rFonts w:cs="Arial"/>
          <w:lang w:eastAsia="en-AU"/>
        </w:rPr>
        <w:t>welling of comparable standard.</w:t>
      </w:r>
      <w:r w:rsidRPr="0000605C">
        <w:rPr>
          <w:rFonts w:cs="Arial"/>
          <w:lang w:eastAsia="en-AU"/>
        </w:rPr>
        <w:t xml:space="preserve"> </w:t>
      </w:r>
    </w:p>
    <w:p w:rsidR="0074268A" w:rsidRPr="0000605C" w:rsidRDefault="0074268A" w:rsidP="0074268A">
      <w:pPr>
        <w:spacing w:before="0" w:after="0"/>
        <w:rPr>
          <w:rFonts w:ascii="Calibri" w:hAnsi="Calibri"/>
          <w:sz w:val="22"/>
          <w:szCs w:val="22"/>
          <w:lang w:eastAsia="en-AU"/>
        </w:rPr>
      </w:pPr>
    </w:p>
    <w:p w:rsidR="00146441" w:rsidRPr="0000605C" w:rsidRDefault="00146441" w:rsidP="00D101BE">
      <w:pPr>
        <w:pStyle w:val="BodyText"/>
      </w:pPr>
      <w:r w:rsidRPr="0000605C">
        <w:t xml:space="preserve">. </w:t>
      </w:r>
    </w:p>
    <w:p w:rsidR="00D101BE" w:rsidRPr="0000605C" w:rsidRDefault="00752FF2" w:rsidP="00D101BE">
      <w:pPr>
        <w:pStyle w:val="BodyText"/>
      </w:pPr>
      <w:r w:rsidRPr="0000605C">
        <w:object w:dxaOrig="9175" w:dyaOrig="5078">
          <v:shape id="_x0000_i1037" type="#_x0000_t75" style="width:459pt;height:254.25pt" o:ole="">
            <v:imagedata r:id="rId59" o:title=""/>
          </v:shape>
          <o:OLEObject Type="Link" ProgID="Excel.Sheet.8" ShapeID="_x0000_i1037" DrawAspect="Content" r:id="rId60" UpdateMode="Always">
            <o:LinkType>EnhancedMetaFile</o:LinkType>
            <o:LockedField>false</o:LockedField>
          </o:OLEObject>
        </w:object>
      </w:r>
    </w:p>
    <w:p w:rsidR="00146441" w:rsidRPr="0000605C" w:rsidRDefault="00146441" w:rsidP="00D101BE">
      <w:pPr>
        <w:pStyle w:val="BodyText"/>
      </w:pPr>
      <w:r w:rsidRPr="0000605C">
        <w:t>S</w:t>
      </w:r>
      <w:r w:rsidR="00685590" w:rsidRPr="0000605C">
        <w:t>tamp d</w:t>
      </w:r>
      <w:r w:rsidRPr="0000605C">
        <w:t>uty is the second most significan</w:t>
      </w:r>
      <w:r w:rsidR="00685590" w:rsidRPr="0000605C">
        <w:t>t g</w:t>
      </w:r>
      <w:r w:rsidR="00FD5BB4" w:rsidRPr="0000605C">
        <w:t xml:space="preserve">overnment cost and </w:t>
      </w:r>
      <w:smartTag w:uri="urn:schemas-microsoft-com:office:smarttags" w:element="City">
        <w:smartTag w:uri="urn:schemas-microsoft-com:office:smarttags" w:element="place">
          <w:r w:rsidR="00FD5BB4" w:rsidRPr="0000605C">
            <w:t>Brisbane</w:t>
          </w:r>
        </w:smartTag>
      </w:smartTag>
      <w:r w:rsidR="00FD5BB4" w:rsidRPr="0000605C">
        <w:t xml:space="preserve"> i</w:t>
      </w:r>
      <w:r w:rsidRPr="0000605C">
        <w:t>nfill dwellings have a significant advantage over</w:t>
      </w:r>
      <w:r w:rsidR="00237C52" w:rsidRPr="0000605C">
        <w:t xml:space="preserve"> their counterparts in the other major cities in this regard. This is very similar to the picture in the 2009 results and reflects </w:t>
      </w:r>
      <w:smartTag w:uri="urn:schemas-microsoft-com:office:smarttags" w:element="State">
        <w:smartTag w:uri="urn:schemas-microsoft-com:office:smarttags" w:element="place">
          <w:r w:rsidR="00237C52" w:rsidRPr="0000605C">
            <w:t>Queensland</w:t>
          </w:r>
        </w:smartTag>
      </w:smartTag>
      <w:r w:rsidR="00685590" w:rsidRPr="0000605C">
        <w:t>’s favourable stamp d</w:t>
      </w:r>
      <w:r w:rsidR="00237C52" w:rsidRPr="0000605C">
        <w:t>uty treatment of lower priced and mid priced dwellings. We noted last year th</w:t>
      </w:r>
      <w:r w:rsidR="00685590" w:rsidRPr="0000605C">
        <w:t>at there are two components of stamp duty that the state g</w:t>
      </w:r>
      <w:r w:rsidR="00237C52" w:rsidRPr="0000605C">
        <w:t xml:space="preserve">overnments reap, being on the sale of the underlying land and again on sale of the completed property. </w:t>
      </w:r>
      <w:r w:rsidR="00685590" w:rsidRPr="0000605C">
        <w:t>The combination of GST and stamp d</w:t>
      </w:r>
      <w:r w:rsidR="0023752C" w:rsidRPr="0000605C">
        <w:t>uty for new dwellings remains a significant tax burden for dwellings that flo</w:t>
      </w:r>
      <w:r w:rsidR="00685590" w:rsidRPr="0000605C">
        <w:t>ws directly through to the end p</w:t>
      </w:r>
      <w:r w:rsidR="0023752C" w:rsidRPr="0000605C">
        <w:t>urchaser.</w:t>
      </w:r>
      <w:r w:rsidR="00237C52" w:rsidRPr="0000605C">
        <w:t xml:space="preserve"> </w:t>
      </w:r>
    </w:p>
    <w:p w:rsidR="002C2909" w:rsidRPr="0000605C" w:rsidRDefault="002C2909" w:rsidP="002C2909">
      <w:pPr>
        <w:spacing w:before="0" w:after="0"/>
        <w:rPr>
          <w:lang w:eastAsia="en-AU"/>
        </w:rPr>
      </w:pPr>
      <w:r w:rsidRPr="0000605C">
        <w:rPr>
          <w:lang w:eastAsia="en-AU"/>
        </w:rPr>
        <w:t xml:space="preserve">Much emphasis is given to infrastructure charges in relation to dwelling development. The above chart highlights the comparably high costs that NSW and </w:t>
      </w:r>
      <w:smartTag w:uri="urn:schemas-microsoft-com:office:smarttags" w:element="State">
        <w:smartTag w:uri="urn:schemas-microsoft-com:office:smarttags" w:element="place">
          <w:r w:rsidRPr="0000605C">
            <w:rPr>
              <w:lang w:eastAsia="en-AU"/>
            </w:rPr>
            <w:t>Queensland</w:t>
          </w:r>
        </w:smartTag>
      </w:smartTag>
      <w:r w:rsidRPr="0000605C">
        <w:rPr>
          <w:lang w:eastAsia="en-AU"/>
        </w:rPr>
        <w:t xml:space="preserve"> pay for infrastructure. However, infrastructure costs represent between 2% to 3% of total costs to purchaser for infill dwellings in these cities. Notably </w:t>
      </w:r>
      <w:smartTag w:uri="urn:schemas-microsoft-com:office:smarttags" w:element="State">
        <w:smartTag w:uri="urn:schemas-microsoft-com:office:smarttags" w:element="place">
          <w:r w:rsidRPr="0000605C">
            <w:rPr>
              <w:lang w:eastAsia="en-AU"/>
            </w:rPr>
            <w:t>Queensland</w:t>
          </w:r>
        </w:smartTag>
      </w:smartTag>
      <w:r w:rsidRPr="0000605C">
        <w:rPr>
          <w:lang w:eastAsia="en-AU"/>
        </w:rPr>
        <w:t xml:space="preserve"> costs reflect the highest </w:t>
      </w:r>
      <w:r w:rsidR="00D64DA3" w:rsidRPr="0000605C">
        <w:rPr>
          <w:lang w:eastAsia="en-AU"/>
        </w:rPr>
        <w:t>share of overall costs. Recent g</w:t>
      </w:r>
      <w:r w:rsidRPr="0000605C">
        <w:rPr>
          <w:lang w:eastAsia="en-AU"/>
        </w:rPr>
        <w:t xml:space="preserve">overnment initiatives in </w:t>
      </w:r>
      <w:smartTag w:uri="urn:schemas-microsoft-com:office:smarttags" w:element="State">
        <w:smartTag w:uri="urn:schemas-microsoft-com:office:smarttags" w:element="place">
          <w:r w:rsidRPr="0000605C">
            <w:rPr>
              <w:lang w:eastAsia="en-AU"/>
            </w:rPr>
            <w:t>Queensland</w:t>
          </w:r>
        </w:smartTag>
      </w:smartTag>
      <w:r w:rsidRPr="0000605C">
        <w:rPr>
          <w:lang w:eastAsia="en-AU"/>
        </w:rPr>
        <w:t xml:space="preserve"> have aimed to provide greater</w:t>
      </w:r>
      <w:r w:rsidR="00D64DA3" w:rsidRPr="0000605C">
        <w:rPr>
          <w:lang w:eastAsia="en-AU"/>
        </w:rPr>
        <w:t xml:space="preserve"> certainty and consistency for infrastructure c</w:t>
      </w:r>
      <w:r w:rsidRPr="0000605C">
        <w:rPr>
          <w:lang w:eastAsia="en-AU"/>
        </w:rPr>
        <w:t xml:space="preserve">harges (Infrastructure Charges Taskforce, 2011) though industry feedback indicates these charges are at the high end of the affordable range. </w:t>
      </w:r>
    </w:p>
    <w:p w:rsidR="002C2909" w:rsidRPr="0000605C" w:rsidRDefault="002C2909" w:rsidP="002C2909">
      <w:pPr>
        <w:spacing w:before="0" w:after="0"/>
        <w:rPr>
          <w:lang w:eastAsia="en-AU"/>
        </w:rPr>
      </w:pPr>
    </w:p>
    <w:p w:rsidR="00237C52" w:rsidRPr="0000605C" w:rsidRDefault="00237C52" w:rsidP="002C2909">
      <w:pPr>
        <w:spacing w:before="0" w:after="0"/>
        <w:rPr>
          <w:rFonts w:cs="Arial"/>
          <w:lang w:eastAsia="en-AU"/>
        </w:rPr>
      </w:pPr>
      <w:r w:rsidRPr="0000605C">
        <w:t>Land tax is a relativ</w:t>
      </w:r>
      <w:r w:rsidR="00D64DA3" w:rsidRPr="0000605C">
        <w:t>ely insignificant component of g</w:t>
      </w:r>
      <w:r w:rsidRPr="0000605C">
        <w:t>overnment costs however it adds to the overall tax burden on dwellings more so in NSW than the other states.</w:t>
      </w: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7D2F71" w:rsidRPr="0000605C" w:rsidRDefault="007D2F71" w:rsidP="00D101BE">
      <w:pPr>
        <w:pStyle w:val="BodyText"/>
      </w:pPr>
    </w:p>
    <w:p w:rsidR="00D101BE" w:rsidRPr="0000605C" w:rsidRDefault="00D101BE" w:rsidP="00D101BE">
      <w:pPr>
        <w:pStyle w:val="Heading3"/>
        <w:keepNext w:val="0"/>
        <w:spacing w:line="240" w:lineRule="auto"/>
      </w:pPr>
      <w:bookmarkStart w:id="55" w:name="_Toc250964528"/>
      <w:bookmarkStart w:id="56" w:name="_Toc294088040"/>
      <w:r w:rsidRPr="0000605C">
        <w:lastRenderedPageBreak/>
        <w:t>Development Costs and Interest</w:t>
      </w:r>
      <w:bookmarkEnd w:id="55"/>
      <w:bookmarkEnd w:id="56"/>
    </w:p>
    <w:p w:rsidR="005D0024" w:rsidRPr="0000605C" w:rsidRDefault="00D64DA3" w:rsidP="005D0024">
      <w:pPr>
        <w:spacing w:before="0" w:after="0"/>
        <w:rPr>
          <w:rFonts w:cs="Arial"/>
          <w:lang w:eastAsia="en-AU"/>
        </w:rPr>
      </w:pPr>
      <w:r w:rsidRPr="0000605C">
        <w:rPr>
          <w:rFonts w:cs="Arial"/>
          <w:lang w:eastAsia="en-AU"/>
        </w:rPr>
        <w:t>Development costs, including i</w:t>
      </w:r>
      <w:r w:rsidR="005D0024" w:rsidRPr="0000605C">
        <w:rPr>
          <w:rFonts w:cs="Arial"/>
          <w:lang w:eastAsia="en-AU"/>
        </w:rPr>
        <w:t xml:space="preserve">nterest have declined or remained steady across all major cities in 2010 with the exception of </w:t>
      </w:r>
      <w:smartTag w:uri="urn:schemas-microsoft-com:office:smarttags" w:element="City">
        <w:smartTag w:uri="urn:schemas-microsoft-com:office:smarttags" w:element="place">
          <w:r w:rsidR="005D0024" w:rsidRPr="0000605C">
            <w:rPr>
              <w:rFonts w:cs="Arial"/>
              <w:lang w:eastAsia="en-AU"/>
            </w:rPr>
            <w:t>Perth</w:t>
          </w:r>
        </w:smartTag>
      </w:smartTag>
      <w:r w:rsidR="005D0024" w:rsidRPr="0000605C">
        <w:rPr>
          <w:rFonts w:cs="Arial"/>
          <w:lang w:eastAsia="en-AU"/>
        </w:rPr>
        <w:t xml:space="preserve">. Development and interest costs in </w:t>
      </w:r>
      <w:smartTag w:uri="urn:schemas-microsoft-com:office:smarttags" w:element="City">
        <w:r w:rsidR="005D0024" w:rsidRPr="0000605C">
          <w:rPr>
            <w:rFonts w:cs="Arial"/>
            <w:lang w:eastAsia="en-AU"/>
          </w:rPr>
          <w:t>Perth</w:t>
        </w:r>
      </w:smartTag>
      <w:r w:rsidR="005D0024" w:rsidRPr="0000605C">
        <w:rPr>
          <w:rFonts w:cs="Arial"/>
          <w:lang w:eastAsia="en-AU"/>
        </w:rPr>
        <w:t xml:space="preserve"> rose from $60,000 to $65,000 to equal </w:t>
      </w:r>
      <w:smartTag w:uri="urn:schemas-microsoft-com:office:smarttags" w:element="City">
        <w:smartTag w:uri="urn:schemas-microsoft-com:office:smarttags" w:element="place">
          <w:r w:rsidR="005D0024" w:rsidRPr="0000605C">
            <w:rPr>
              <w:rFonts w:cs="Arial"/>
              <w:lang w:eastAsia="en-AU"/>
            </w:rPr>
            <w:t>Sydney</w:t>
          </w:r>
        </w:smartTag>
      </w:smartTag>
      <w:r w:rsidR="005D0024" w:rsidRPr="0000605C">
        <w:rPr>
          <w:rFonts w:cs="Arial"/>
          <w:lang w:eastAsia="en-AU"/>
        </w:rPr>
        <w:t xml:space="preserve"> ($65,000) as the city with the highest development costs. </w:t>
      </w:r>
    </w:p>
    <w:p w:rsidR="005D0024" w:rsidRPr="0000605C" w:rsidRDefault="005D0024" w:rsidP="005D0024">
      <w:pPr>
        <w:spacing w:before="0" w:after="0"/>
        <w:rPr>
          <w:rFonts w:cs="Arial"/>
          <w:lang w:eastAsia="en-AU"/>
        </w:rPr>
      </w:pPr>
    </w:p>
    <w:p w:rsidR="005D0024" w:rsidRPr="0000605C" w:rsidRDefault="005D0024" w:rsidP="005D0024">
      <w:pPr>
        <w:rPr>
          <w:rFonts w:cs="Arial"/>
          <w:lang w:eastAsia="en-AU"/>
        </w:rPr>
      </w:pPr>
      <w:r w:rsidRPr="0000605C">
        <w:rPr>
          <w:rFonts w:cs="Arial"/>
          <w:lang w:eastAsia="en-AU"/>
        </w:rPr>
        <w:t>The decline in development and interest costs is a reflection of a change in methodology adopted in the compilation of 2010 data presented in t</w:t>
      </w:r>
      <w:r w:rsidR="00D64DA3" w:rsidRPr="0000605C">
        <w:rPr>
          <w:rFonts w:cs="Arial"/>
          <w:lang w:eastAsia="en-AU"/>
        </w:rPr>
        <w:t>his report. Through the use of Estate M</w:t>
      </w:r>
      <w:r w:rsidRPr="0000605C">
        <w:rPr>
          <w:rFonts w:cs="Arial"/>
          <w:lang w:eastAsia="en-AU"/>
        </w:rPr>
        <w:t>aster there has been improved accuracy in calculating interest. Through enabling payback periods to be calculated monthly the methodology has effectively reduced the amount of interest payable, more closely reflecting what happens in practice.</w:t>
      </w:r>
    </w:p>
    <w:p w:rsidR="005D0024" w:rsidRPr="0000605C" w:rsidRDefault="005D0024" w:rsidP="005D0024">
      <w:pPr>
        <w:spacing w:before="0" w:after="0"/>
        <w:rPr>
          <w:rFonts w:cs="Arial"/>
          <w:lang w:eastAsia="en-AU"/>
        </w:rPr>
      </w:pPr>
      <w:r w:rsidRPr="0000605C">
        <w:rPr>
          <w:rFonts w:cs="Arial"/>
          <w:lang w:eastAsia="en-AU"/>
        </w:rPr>
        <w:t xml:space="preserve">This has a particular effect on infill development due to the lumpy nature of development where construction funding is required up front as opposed to the on going need for construction funding when developing detached housing. This results in lumpier interest payments for infill development. However, when payback periods can be split into monthly repayments, a significant interest saving is incurred. </w:t>
      </w:r>
    </w:p>
    <w:p w:rsidR="005D0024" w:rsidRPr="0000605C" w:rsidRDefault="005D0024" w:rsidP="005D0024">
      <w:pPr>
        <w:spacing w:before="0" w:after="0"/>
        <w:rPr>
          <w:rFonts w:ascii="Calibri" w:hAnsi="Calibri"/>
          <w:sz w:val="22"/>
          <w:szCs w:val="22"/>
          <w:lang w:eastAsia="en-AU"/>
        </w:rPr>
      </w:pPr>
    </w:p>
    <w:p w:rsidR="00D101BE" w:rsidRPr="0000605C" w:rsidRDefault="00752FF2" w:rsidP="00D101BE">
      <w:pPr>
        <w:pStyle w:val="BodyText"/>
      </w:pPr>
      <w:r w:rsidRPr="0000605C">
        <w:object w:dxaOrig="9175" w:dyaOrig="4828">
          <v:shape id="_x0000_i1038" type="#_x0000_t75" style="width:459pt;height:241.5pt" o:ole="">
            <v:imagedata r:id="rId61" o:title=""/>
          </v:shape>
          <o:OLEObject Type="Link" ProgID="Excel.Sheet.8" ShapeID="_x0000_i1038" DrawAspect="Content" r:id="rId62" UpdateMode="Always">
            <o:LinkType>EnhancedMetaFile</o:LinkType>
            <o:LockedField>false</o:LockedField>
          </o:OLEObject>
        </w:object>
      </w:r>
    </w:p>
    <w:p w:rsidR="00E9124E" w:rsidRPr="0000605C" w:rsidRDefault="00E9124E" w:rsidP="00D101BE">
      <w:pPr>
        <w:pStyle w:val="BodyText"/>
      </w:pPr>
    </w:p>
    <w:p w:rsidR="00710216" w:rsidRPr="0000605C" w:rsidRDefault="00710216" w:rsidP="00D101BE">
      <w:pPr>
        <w:pStyle w:val="BodyText"/>
      </w:pPr>
    </w:p>
    <w:p w:rsidR="00710216" w:rsidRPr="0000605C" w:rsidRDefault="00710216" w:rsidP="00D101BE">
      <w:pPr>
        <w:pStyle w:val="BodyText"/>
      </w:pPr>
    </w:p>
    <w:p w:rsidR="00AF3D46" w:rsidRPr="0000605C" w:rsidRDefault="00AF3D46" w:rsidP="00D101BE">
      <w:pPr>
        <w:pStyle w:val="BodyText"/>
      </w:pPr>
    </w:p>
    <w:p w:rsidR="00710216" w:rsidRPr="0000605C" w:rsidRDefault="00710216" w:rsidP="00D101BE">
      <w:pPr>
        <w:pStyle w:val="BodyText"/>
      </w:pPr>
    </w:p>
    <w:p w:rsidR="00710216" w:rsidRPr="0000605C" w:rsidRDefault="00710216" w:rsidP="00D101BE">
      <w:pPr>
        <w:pStyle w:val="BodyText"/>
      </w:pPr>
    </w:p>
    <w:p w:rsidR="00710216" w:rsidRPr="0000605C" w:rsidRDefault="00710216" w:rsidP="00D101BE">
      <w:pPr>
        <w:pStyle w:val="BodyText"/>
      </w:pPr>
    </w:p>
    <w:p w:rsidR="00710216" w:rsidRPr="0000605C" w:rsidRDefault="00710216" w:rsidP="00D101BE">
      <w:pPr>
        <w:pStyle w:val="BodyText"/>
      </w:pPr>
    </w:p>
    <w:p w:rsidR="00710216" w:rsidRPr="0000605C" w:rsidRDefault="00710216" w:rsidP="00D101BE">
      <w:pPr>
        <w:pStyle w:val="BodyText"/>
      </w:pPr>
    </w:p>
    <w:p w:rsidR="00710216" w:rsidRPr="0000605C" w:rsidRDefault="00710216" w:rsidP="00D101BE">
      <w:pPr>
        <w:pStyle w:val="BodyText"/>
      </w:pPr>
    </w:p>
    <w:p w:rsidR="00710216" w:rsidRPr="0000605C" w:rsidRDefault="00710216" w:rsidP="00D101BE">
      <w:pPr>
        <w:pStyle w:val="BodyText"/>
      </w:pPr>
    </w:p>
    <w:p w:rsidR="00710216" w:rsidRPr="0000605C" w:rsidRDefault="00710216" w:rsidP="00D101BE">
      <w:pPr>
        <w:pStyle w:val="BodyText"/>
      </w:pPr>
    </w:p>
    <w:p w:rsidR="00710216" w:rsidRPr="0000605C" w:rsidRDefault="00710216" w:rsidP="00D101BE">
      <w:pPr>
        <w:pStyle w:val="BodyText"/>
      </w:pPr>
    </w:p>
    <w:p w:rsidR="00D101BE" w:rsidRPr="0000605C" w:rsidRDefault="00D101BE" w:rsidP="00D101BE">
      <w:pPr>
        <w:pStyle w:val="Heading3"/>
        <w:keepNext w:val="0"/>
        <w:spacing w:line="240" w:lineRule="auto"/>
      </w:pPr>
      <w:bookmarkStart w:id="57" w:name="_Toc291853672"/>
      <w:bookmarkStart w:id="58" w:name="_Toc291856773"/>
      <w:bookmarkStart w:id="59" w:name="_Toc291853673"/>
      <w:bookmarkStart w:id="60" w:name="_Toc291856774"/>
      <w:bookmarkStart w:id="61" w:name="_Toc291853674"/>
      <w:bookmarkStart w:id="62" w:name="_Toc291856775"/>
      <w:bookmarkStart w:id="63" w:name="_Toc250964529"/>
      <w:bookmarkStart w:id="64" w:name="_Toc294088041"/>
      <w:bookmarkEnd w:id="57"/>
      <w:bookmarkEnd w:id="58"/>
      <w:bookmarkEnd w:id="59"/>
      <w:bookmarkEnd w:id="60"/>
      <w:bookmarkEnd w:id="61"/>
      <w:bookmarkEnd w:id="62"/>
      <w:r w:rsidRPr="0000605C">
        <w:t>Development Profit</w:t>
      </w:r>
      <w:bookmarkEnd w:id="63"/>
      <w:bookmarkEnd w:id="64"/>
    </w:p>
    <w:p w:rsidR="00074E3E" w:rsidRPr="0000605C" w:rsidRDefault="00074E3E" w:rsidP="00074E3E">
      <w:r w:rsidRPr="0000605C">
        <w:t>Development profit is calculated as</w:t>
      </w:r>
      <w:r w:rsidR="00516516" w:rsidRPr="0000605C">
        <w:t xml:space="preserve"> the difference between th</w:t>
      </w:r>
      <w:r w:rsidR="0035142A" w:rsidRPr="0000605C">
        <w:t>e cost to the developer and the dwelling sale p</w:t>
      </w:r>
      <w:r w:rsidR="00516516" w:rsidRPr="0000605C">
        <w:t>rice. Where m</w:t>
      </w:r>
      <w:r w:rsidR="0035142A" w:rsidRPr="0000605C">
        <w:t>arkets are not performing well developer p</w:t>
      </w:r>
      <w:r w:rsidR="00516516" w:rsidRPr="0000605C">
        <w:t>rofit is expected to be low</w:t>
      </w:r>
      <w:r w:rsidR="00B40BDD" w:rsidRPr="0000605C">
        <w:t xml:space="preserve">. As this study uses average costs of dwelling components and generally does not take into allowance timing differences between construction costs and sale costs it is possible to generate a loss. This generally would not happen in actuality as a developer would not proceed if there was a likelihood of incurring a loss. </w:t>
      </w:r>
    </w:p>
    <w:p w:rsidR="005D5723" w:rsidRPr="0000605C" w:rsidRDefault="005D5723" w:rsidP="005D5723">
      <w:pPr>
        <w:spacing w:before="0" w:after="0"/>
        <w:rPr>
          <w:rFonts w:cs="Arial"/>
          <w:lang w:eastAsia="en-AU"/>
        </w:rPr>
      </w:pPr>
      <w:r w:rsidRPr="0000605C">
        <w:rPr>
          <w:rFonts w:cs="Arial"/>
          <w:lang w:eastAsia="en-AU"/>
        </w:rPr>
        <w:t xml:space="preserve">Developer profit increased in 2010 for </w:t>
      </w:r>
      <w:smartTag w:uri="urn:schemas-microsoft-com:office:smarttags" w:element="City">
        <w:r w:rsidRPr="0000605C">
          <w:rPr>
            <w:rFonts w:cs="Arial"/>
            <w:lang w:eastAsia="en-AU"/>
          </w:rPr>
          <w:t>Sydney</w:t>
        </w:r>
      </w:smartTag>
      <w:r w:rsidRPr="0000605C">
        <w:rPr>
          <w:rFonts w:cs="Arial"/>
          <w:lang w:eastAsia="en-AU"/>
        </w:rPr>
        <w:t xml:space="preserve">, </w:t>
      </w:r>
      <w:smartTag w:uri="urn:schemas-microsoft-com:office:smarttags" w:element="City">
        <w:r w:rsidRPr="0000605C">
          <w:rPr>
            <w:rFonts w:cs="Arial"/>
            <w:lang w:eastAsia="en-AU"/>
          </w:rPr>
          <w:t>Brisbane</w:t>
        </w:r>
      </w:smartTag>
      <w:r w:rsidRPr="0000605C">
        <w:rPr>
          <w:rFonts w:cs="Arial"/>
          <w:lang w:eastAsia="en-AU"/>
        </w:rPr>
        <w:t xml:space="preserve">, and </w:t>
      </w:r>
      <w:smartTag w:uri="urn:schemas-microsoft-com:office:smarttags" w:element="City">
        <w:smartTag w:uri="urn:schemas-microsoft-com:office:smarttags" w:element="place">
          <w:r w:rsidRPr="0000605C">
            <w:rPr>
              <w:rFonts w:cs="Arial"/>
              <w:lang w:eastAsia="en-AU"/>
            </w:rPr>
            <w:t>Perth</w:t>
          </w:r>
        </w:smartTag>
      </w:smartTag>
      <w:r w:rsidRPr="0000605C">
        <w:rPr>
          <w:rFonts w:cs="Arial"/>
          <w:lang w:eastAsia="en-AU"/>
        </w:rPr>
        <w:t xml:space="preserve">. This reflects a turnaround from a loss or minimal profit in 2009 to a profit of between 9-14% of total costs to the purchaser. This is likely to be a reflection of these markets being on the upward part of the infill dwelling cycle with sales price increases exceeding or in line with the growth of volume of dwelling production. While developer profit for infill dwelling development in </w:t>
      </w:r>
      <w:smartTag w:uri="urn:schemas-microsoft-com:office:smarttags" w:element="City">
        <w:smartTag w:uri="urn:schemas-microsoft-com:office:smarttags" w:element="place">
          <w:r w:rsidRPr="0000605C">
            <w:rPr>
              <w:rFonts w:cs="Arial"/>
              <w:lang w:eastAsia="en-AU"/>
            </w:rPr>
            <w:t>Melbourne</w:t>
          </w:r>
        </w:smartTag>
      </w:smartTag>
      <w:r w:rsidRPr="0000605C">
        <w:rPr>
          <w:rFonts w:cs="Arial"/>
          <w:lang w:eastAsia="en-AU"/>
        </w:rPr>
        <w:t xml:space="preserve"> has declined from 15% to 14% of overall cost to purchaser, this level of profit still falls within an acceptable range for the developer, be it at the low end. This is consistent with a falling market indicating that the </w:t>
      </w:r>
      <w:smartTag w:uri="urn:schemas-microsoft-com:office:smarttags" w:element="City">
        <w:smartTag w:uri="urn:schemas-microsoft-com:office:smarttags" w:element="place">
          <w:r w:rsidRPr="0000605C">
            <w:rPr>
              <w:rFonts w:cs="Arial"/>
              <w:lang w:eastAsia="en-AU"/>
            </w:rPr>
            <w:t>Melbourne</w:t>
          </w:r>
        </w:smartTag>
      </w:smartTag>
      <w:r w:rsidRPr="0000605C">
        <w:rPr>
          <w:rFonts w:cs="Arial"/>
          <w:lang w:eastAsia="en-AU"/>
        </w:rPr>
        <w:t xml:space="preserve"> infill market could be in the early stages of a downturn. Infill dwelling development in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remains problematic with developer profit falling further into negative territory at -3%. This indicates the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infill dwelling market is in decline but also that it has a cost imbalance compared to market prices. </w:t>
      </w:r>
    </w:p>
    <w:p w:rsidR="005D5723" w:rsidRPr="0000605C" w:rsidRDefault="005D5723" w:rsidP="005D5723">
      <w:pPr>
        <w:spacing w:before="0" w:after="0"/>
        <w:rPr>
          <w:rFonts w:ascii="Calibri" w:hAnsi="Calibri"/>
          <w:sz w:val="22"/>
          <w:szCs w:val="22"/>
          <w:lang w:eastAsia="en-AU"/>
        </w:rPr>
      </w:pPr>
    </w:p>
    <w:p w:rsidR="00D101BE" w:rsidRPr="0000605C" w:rsidRDefault="00752FF2" w:rsidP="00D101BE">
      <w:r w:rsidRPr="0000605C">
        <w:object w:dxaOrig="9175" w:dyaOrig="4828">
          <v:shape id="_x0000_i1039" type="#_x0000_t75" style="width:459pt;height:241.5pt" o:ole="">
            <v:imagedata r:id="rId63" o:title=""/>
          </v:shape>
          <o:OLEObject Type="Link" ProgID="Excel.Sheet.8" ShapeID="_x0000_i1039" DrawAspect="Content" r:id="rId64" UpdateMode="Always">
            <o:LinkType>EnhancedMetaFile</o:LinkType>
            <o:LockedField>false</o:LockedField>
          </o:OLEObject>
        </w:object>
      </w:r>
    </w:p>
    <w:p w:rsidR="00D101BE" w:rsidRPr="0000605C" w:rsidRDefault="00D101BE" w:rsidP="00D101BE"/>
    <w:p w:rsidR="005C55BB" w:rsidRPr="0000605C" w:rsidRDefault="005C55BB" w:rsidP="00D101BE"/>
    <w:p w:rsidR="005C55BB" w:rsidRPr="0000605C" w:rsidRDefault="005C55BB" w:rsidP="00D101BE"/>
    <w:p w:rsidR="005C55BB" w:rsidRPr="0000605C" w:rsidRDefault="005C55BB" w:rsidP="00D101BE"/>
    <w:p w:rsidR="005C55BB" w:rsidRPr="0000605C" w:rsidRDefault="005C55BB" w:rsidP="00D101BE"/>
    <w:p w:rsidR="005C55BB" w:rsidRPr="0000605C" w:rsidRDefault="005C55BB" w:rsidP="00D101BE"/>
    <w:p w:rsidR="005C55BB" w:rsidRPr="0000605C" w:rsidRDefault="005C55BB" w:rsidP="00D101BE"/>
    <w:p w:rsidR="005C55BB" w:rsidRPr="0000605C" w:rsidRDefault="005C55BB" w:rsidP="00D101BE"/>
    <w:p w:rsidR="00D101BE" w:rsidRPr="0000605C" w:rsidRDefault="00D101BE" w:rsidP="00D101BE">
      <w:pPr>
        <w:pStyle w:val="Heading2"/>
        <w:keepNext w:val="0"/>
        <w:spacing w:before="360" w:line="240" w:lineRule="auto"/>
      </w:pPr>
      <w:bookmarkStart w:id="65" w:name="_Toc250964530"/>
      <w:bookmarkStart w:id="66" w:name="_Toc250998410"/>
      <w:bookmarkStart w:id="67" w:name="_Toc294088042"/>
      <w:smartTag w:uri="urn:schemas-microsoft-com:office:smarttags" w:element="City">
        <w:smartTag w:uri="urn:schemas-microsoft-com:office:smarttags" w:element="place">
          <w:r w:rsidRPr="0000605C">
            <w:t>Greenfield</w:t>
          </w:r>
        </w:smartTag>
      </w:smartTag>
      <w:r w:rsidRPr="0000605C">
        <w:t xml:space="preserve"> Dwelling Costs</w:t>
      </w:r>
      <w:bookmarkEnd w:id="65"/>
      <w:bookmarkEnd w:id="66"/>
      <w:bookmarkEnd w:id="67"/>
    </w:p>
    <w:p w:rsidR="003123D9" w:rsidRPr="0000605C" w:rsidRDefault="003123D9" w:rsidP="003123D9">
      <w:pPr>
        <w:spacing w:before="0" w:after="0"/>
        <w:rPr>
          <w:rFonts w:cs="Arial"/>
          <w:lang w:eastAsia="en-AU"/>
        </w:rPr>
      </w:pPr>
      <w:r w:rsidRPr="0000605C">
        <w:rPr>
          <w:rFonts w:cs="Arial"/>
          <w:lang w:eastAsia="en-AU"/>
        </w:rPr>
        <w:t xml:space="preserve">The disparity between </w:t>
      </w:r>
      <w:proofErr w:type="gramStart"/>
      <w:smartTag w:uri="urn:schemas-microsoft-com:office:smarttags" w:element="City">
        <w:r w:rsidRPr="0000605C">
          <w:rPr>
            <w:rFonts w:cs="Arial"/>
            <w:lang w:eastAsia="en-AU"/>
          </w:rPr>
          <w:t>greenfield</w:t>
        </w:r>
      </w:smartTag>
      <w:proofErr w:type="gramEnd"/>
      <w:r w:rsidRPr="0000605C">
        <w:rPr>
          <w:rFonts w:cs="Arial"/>
          <w:lang w:eastAsia="en-AU"/>
        </w:rPr>
        <w:t xml:space="preserve"> dwelling costs across </w:t>
      </w:r>
      <w:smartTag w:uri="urn:schemas-microsoft-com:office:smarttags" w:element="place">
        <w:smartTag w:uri="urn:schemas-microsoft-com:office:smarttags" w:element="country-region">
          <w:r w:rsidRPr="0000605C">
            <w:rPr>
              <w:rFonts w:cs="Arial"/>
              <w:lang w:eastAsia="en-AU"/>
            </w:rPr>
            <w:t>Australia</w:t>
          </w:r>
        </w:smartTag>
      </w:smartTag>
      <w:r w:rsidRPr="0000605C">
        <w:rPr>
          <w:rFonts w:cs="Arial"/>
          <w:lang w:eastAsia="en-AU"/>
        </w:rPr>
        <w:t xml:space="preserve">’s five major cities continued in 2010 although there was a change in the relative price differences between cities. This was due to a nominal fall in </w:t>
      </w:r>
      <w:proofErr w:type="gramStart"/>
      <w:smartTag w:uri="urn:schemas-microsoft-com:office:smarttags" w:element="City">
        <w:r w:rsidRPr="0000605C">
          <w:rPr>
            <w:rFonts w:cs="Arial"/>
            <w:lang w:eastAsia="en-AU"/>
          </w:rPr>
          <w:t>greenfield</w:t>
        </w:r>
      </w:smartTag>
      <w:proofErr w:type="gramEnd"/>
      <w:r w:rsidRPr="0000605C">
        <w:rPr>
          <w:rFonts w:cs="Arial"/>
          <w:lang w:eastAsia="en-AU"/>
        </w:rPr>
        <w:t xml:space="preserve"> dwelling prices in Sydney (from $600,000 in 2009 to $570,000 in 2010) and Brisbane ($400,000 to $376,000) and moderate rises in </w:t>
      </w:r>
      <w:smartTag w:uri="urn:schemas-microsoft-com:office:smarttags" w:element="City">
        <w:r w:rsidRPr="0000605C">
          <w:rPr>
            <w:rFonts w:cs="Arial"/>
            <w:lang w:eastAsia="en-AU"/>
          </w:rPr>
          <w:t>Perth</w:t>
        </w:r>
      </w:smartTag>
      <w:r w:rsidRPr="0000605C">
        <w:rPr>
          <w:rFonts w:cs="Arial"/>
          <w:lang w:eastAsia="en-AU"/>
        </w:rPr>
        <w:t xml:space="preserve"> ($370,000 to $402,000) and </w:t>
      </w:r>
      <w:smartTag w:uri="urn:schemas-microsoft-com:office:smarttags" w:element="place">
        <w:smartTag w:uri="urn:schemas-microsoft-com:office:smarttags" w:element="City">
          <w:r w:rsidRPr="0000605C">
            <w:rPr>
              <w:rFonts w:cs="Arial"/>
              <w:lang w:eastAsia="en-AU"/>
            </w:rPr>
            <w:t>Adelaide</w:t>
          </w:r>
        </w:smartTag>
      </w:smartTag>
      <w:r w:rsidRPr="0000605C">
        <w:rPr>
          <w:rFonts w:cs="Arial"/>
          <w:lang w:eastAsia="en-AU"/>
        </w:rPr>
        <w:t xml:space="preserve"> ($395,000 to $415,000). </w:t>
      </w:r>
      <w:smartTag w:uri="urn:schemas-microsoft-com:office:smarttags" w:element="City">
        <w:r w:rsidRPr="0000605C">
          <w:rPr>
            <w:rFonts w:cs="Arial"/>
            <w:lang w:eastAsia="en-AU"/>
          </w:rPr>
          <w:t>Greenfield</w:t>
        </w:r>
      </w:smartTag>
      <w:r w:rsidRPr="0000605C">
        <w:rPr>
          <w:rFonts w:cs="Arial"/>
          <w:lang w:eastAsia="en-AU"/>
        </w:rPr>
        <w:t xml:space="preserve"> dwelling prices in </w:t>
      </w:r>
      <w:smartTag w:uri="urn:schemas-microsoft-com:office:smarttags" w:element="City">
        <w:r w:rsidRPr="0000605C">
          <w:rPr>
            <w:rFonts w:cs="Arial"/>
            <w:lang w:eastAsia="en-AU"/>
          </w:rPr>
          <w:t>Melbourne</w:t>
        </w:r>
      </w:smartTag>
      <w:r w:rsidRPr="0000605C">
        <w:rPr>
          <w:rFonts w:cs="Arial"/>
          <w:lang w:eastAsia="en-AU"/>
        </w:rPr>
        <w:t xml:space="preserve"> experienced the greatest increase ($400,000 to $450,000) which is a reflection of the stronger </w:t>
      </w:r>
      <w:proofErr w:type="gramStart"/>
      <w:smartTag w:uri="urn:schemas-microsoft-com:office:smarttags" w:element="place">
        <w:smartTag w:uri="urn:schemas-microsoft-com:office:smarttags" w:element="City">
          <w:r w:rsidRPr="0000605C">
            <w:rPr>
              <w:rFonts w:cs="Arial"/>
              <w:lang w:eastAsia="en-AU"/>
            </w:rPr>
            <w:t>greenfield</w:t>
          </w:r>
        </w:smartTag>
      </w:smartTag>
      <w:proofErr w:type="gramEnd"/>
      <w:r w:rsidRPr="0000605C">
        <w:rPr>
          <w:rFonts w:cs="Arial"/>
          <w:lang w:eastAsia="en-AU"/>
        </w:rPr>
        <w:t xml:space="preserve"> dwelling market in this city compared with other major Australian cities. </w:t>
      </w:r>
    </w:p>
    <w:p w:rsidR="003123D9" w:rsidRPr="0000605C" w:rsidRDefault="003123D9" w:rsidP="003123D9">
      <w:pPr>
        <w:spacing w:before="0" w:after="0"/>
        <w:rPr>
          <w:rFonts w:ascii="Calibri" w:hAnsi="Calibri"/>
          <w:sz w:val="22"/>
          <w:szCs w:val="22"/>
          <w:lang w:eastAsia="en-AU"/>
        </w:rPr>
      </w:pPr>
    </w:p>
    <w:p w:rsidR="00B355CD" w:rsidRPr="0000605C" w:rsidRDefault="001A6525" w:rsidP="00D101BE">
      <w:pPr>
        <w:pStyle w:val="BodyText"/>
      </w:pPr>
      <w:r w:rsidRPr="0000605C">
        <w:t xml:space="preserve">It is important to note that this study does not necessarily assess the average growth in </w:t>
      </w:r>
      <w:r w:rsidR="003123D9" w:rsidRPr="0000605C">
        <w:t xml:space="preserve">dwelling costs across </w:t>
      </w:r>
      <w:r w:rsidRPr="0000605C">
        <w:t xml:space="preserve">capital cities over time. Rather it is a relative comparison of dwelling costs across </w:t>
      </w:r>
      <w:smartTag w:uri="urn:schemas-microsoft-com:office:smarttags" w:element="country-region">
        <w:smartTag w:uri="urn:schemas-microsoft-com:office:smarttags" w:element="place">
          <w:r w:rsidRPr="0000605C">
            <w:t>Australia</w:t>
          </w:r>
        </w:smartTag>
      </w:smartTag>
      <w:r w:rsidRPr="0000605C">
        <w:t xml:space="preserve">’s five major cities where average costs and prices for a relatively </w:t>
      </w:r>
      <w:r w:rsidR="0031780F" w:rsidRPr="0000605C">
        <w:t>comparable</w:t>
      </w:r>
      <w:r w:rsidRPr="0000605C">
        <w:t xml:space="preserve"> dwelling in each city</w:t>
      </w:r>
      <w:r w:rsidR="0031780F" w:rsidRPr="0000605C">
        <w:t xml:space="preserve"> </w:t>
      </w:r>
      <w:r w:rsidR="006C7182" w:rsidRPr="0000605C">
        <w:t>have</w:t>
      </w:r>
      <w:r w:rsidRPr="0000605C">
        <w:t xml:space="preserve"> been used</w:t>
      </w:r>
      <w:r w:rsidR="006C7182" w:rsidRPr="0000605C">
        <w:t xml:space="preserve">. </w:t>
      </w:r>
      <w:r w:rsidR="003123D9" w:rsidRPr="0000605C">
        <w:t>We noted in the b</w:t>
      </w:r>
      <w:r w:rsidR="00B355CD" w:rsidRPr="0000605C">
        <w:t>ackground to</w:t>
      </w:r>
      <w:r w:rsidR="00FD5BB4" w:rsidRPr="0000605C">
        <w:t xml:space="preserve"> this report how the </w:t>
      </w:r>
      <w:smartTag w:uri="urn:schemas-microsoft-com:office:smarttags" w:element="City">
        <w:r w:rsidR="00FD5BB4" w:rsidRPr="0000605C">
          <w:t>Melbourne</w:t>
        </w:r>
      </w:smartTag>
      <w:r w:rsidR="00FD5BB4" w:rsidRPr="0000605C">
        <w:t xml:space="preserve"> </w:t>
      </w:r>
      <w:proofErr w:type="gramStart"/>
      <w:smartTag w:uri="urn:schemas-microsoft-com:office:smarttags" w:element="City">
        <w:r w:rsidR="00FD5BB4" w:rsidRPr="0000605C">
          <w:t>g</w:t>
        </w:r>
        <w:r w:rsidR="00B355CD" w:rsidRPr="0000605C">
          <w:t>reenfield</w:t>
        </w:r>
      </w:smartTag>
      <w:proofErr w:type="gramEnd"/>
      <w:r w:rsidR="00B355CD" w:rsidRPr="0000605C">
        <w:t xml:space="preserve"> market provides</w:t>
      </w:r>
      <w:r w:rsidR="00FD5BB4" w:rsidRPr="0000605C">
        <w:t xml:space="preserve"> a greater depth of affordable </w:t>
      </w:r>
      <w:smartTag w:uri="urn:schemas-microsoft-com:office:smarttags" w:element="place">
        <w:smartTag w:uri="urn:schemas-microsoft-com:office:smarttags" w:element="City">
          <w:r w:rsidR="00FD5BB4" w:rsidRPr="0000605C">
            <w:t>g</w:t>
          </w:r>
          <w:r w:rsidR="00B355CD" w:rsidRPr="0000605C">
            <w:t>reenfield</w:t>
          </w:r>
        </w:smartTag>
      </w:smartTag>
      <w:r w:rsidR="00B355CD" w:rsidRPr="0000605C">
        <w:t xml:space="preserve"> housing. This has been achieved through a number of mechanisms</w:t>
      </w:r>
      <w:r w:rsidR="00D64DA3" w:rsidRPr="0000605C">
        <w:t>,</w:t>
      </w:r>
      <w:r w:rsidR="00B355CD" w:rsidRPr="0000605C">
        <w:t xml:space="preserve"> an important factor being the reduction in average lot sizes. This has been more prevalent in the </w:t>
      </w:r>
      <w:smartTag w:uri="urn:schemas-microsoft-com:office:smarttags" w:element="City">
        <w:smartTag w:uri="urn:schemas-microsoft-com:office:smarttags" w:element="place">
          <w:r w:rsidR="00B355CD" w:rsidRPr="0000605C">
            <w:t>Melbourne</w:t>
          </w:r>
        </w:smartTag>
      </w:smartTag>
      <w:r w:rsidR="00B355CD" w:rsidRPr="0000605C">
        <w:t xml:space="preserve"> market than other capital city markets. The impact for this study is that when comparing houses on compa</w:t>
      </w:r>
      <w:r w:rsidR="00D64DA3" w:rsidRPr="0000605C">
        <w:t>rable sized blocks (400-500m</w:t>
      </w:r>
      <w:r w:rsidR="00D64DA3" w:rsidRPr="007B539C">
        <w:rPr>
          <w:vertAlign w:val="superscript"/>
        </w:rPr>
        <w:t>2</w:t>
      </w:r>
      <w:r w:rsidR="00B355CD" w:rsidRPr="0000605C">
        <w:t xml:space="preserve">) </w:t>
      </w:r>
      <w:smartTag w:uri="urn:schemas-microsoft-com:office:smarttags" w:element="place">
        <w:smartTag w:uri="urn:schemas-microsoft-com:office:smarttags" w:element="City">
          <w:r w:rsidR="00B355CD" w:rsidRPr="0000605C">
            <w:t>Melbourne</w:t>
          </w:r>
        </w:smartTag>
      </w:smartTag>
      <w:r w:rsidR="00B355CD" w:rsidRPr="0000605C">
        <w:t>’s affordability advantage is less apparent.</w:t>
      </w:r>
    </w:p>
    <w:p w:rsidR="001A6525" w:rsidRPr="0000605C" w:rsidRDefault="00B355CD" w:rsidP="00D101BE">
      <w:pPr>
        <w:pStyle w:val="BodyText"/>
      </w:pPr>
      <w:r w:rsidRPr="0000605C">
        <w:t xml:space="preserve"> </w:t>
      </w:r>
    </w:p>
    <w:p w:rsidR="00E9124E" w:rsidRPr="0000605C" w:rsidRDefault="00E9124E" w:rsidP="00E9124E">
      <w:pPr>
        <w:sectPr w:rsidR="00E9124E" w:rsidRPr="0000605C" w:rsidSect="00D101BE">
          <w:headerReference w:type="even" r:id="rId65"/>
          <w:headerReference w:type="default" r:id="rId66"/>
          <w:footerReference w:type="even" r:id="rId67"/>
          <w:footerReference w:type="default" r:id="rId68"/>
          <w:headerReference w:type="first" r:id="rId69"/>
          <w:pgSz w:w="11907" w:h="16840" w:code="9"/>
          <w:pgMar w:top="2081" w:right="1298" w:bottom="1418" w:left="1418" w:header="272" w:footer="340" w:gutter="0"/>
          <w:cols w:space="708"/>
          <w:docGrid w:linePitch="360"/>
        </w:sectPr>
      </w:pPr>
    </w:p>
    <w:p w:rsidR="00E9124E" w:rsidRPr="0000605C" w:rsidRDefault="00752FF2" w:rsidP="00E9124E">
      <w:r w:rsidRPr="0000605C">
        <w:object w:dxaOrig="14240" w:dyaOrig="9324">
          <v:shape id="_x0000_i1040" type="#_x0000_t75" style="width:711.75pt;height:466.5pt" o:ole="">
            <v:imagedata r:id="rId70" o:title=""/>
          </v:shape>
          <o:OLEObject Type="Link" ProgID="Excel.Sheet.8" ShapeID="_x0000_i1040" DrawAspect="Content" r:id="rId71" UpdateMode="Always">
            <o:LinkType>EnhancedMetaFile</o:LinkType>
            <o:LockedField>false</o:LockedField>
          </o:OLEObject>
        </w:object>
      </w:r>
    </w:p>
    <w:p w:rsidR="00E9124E" w:rsidRPr="0000605C" w:rsidRDefault="00E9124E" w:rsidP="00E9124E">
      <w:pPr>
        <w:sectPr w:rsidR="00E9124E" w:rsidRPr="0000605C" w:rsidSect="00E9124E">
          <w:headerReference w:type="even" r:id="rId72"/>
          <w:headerReference w:type="default" r:id="rId73"/>
          <w:footerReference w:type="even" r:id="rId74"/>
          <w:footerReference w:type="default" r:id="rId75"/>
          <w:headerReference w:type="first" r:id="rId76"/>
          <w:pgSz w:w="16840" w:h="11907" w:orient="landscape" w:code="9"/>
          <w:pgMar w:top="1417" w:right="1417" w:bottom="1134" w:left="1134" w:header="272" w:footer="147" w:gutter="0"/>
          <w:cols w:space="708"/>
          <w:docGrid w:linePitch="360"/>
        </w:sectPr>
      </w:pPr>
    </w:p>
    <w:p w:rsidR="0091474B" w:rsidRPr="0000605C" w:rsidRDefault="0091474B" w:rsidP="0091474B">
      <w:pPr>
        <w:spacing w:before="0" w:after="0"/>
        <w:rPr>
          <w:rFonts w:cs="Arial"/>
          <w:lang w:eastAsia="en-AU"/>
        </w:rPr>
      </w:pPr>
      <w:r w:rsidRPr="0000605C">
        <w:rPr>
          <w:rFonts w:cs="Arial"/>
          <w:lang w:eastAsia="en-AU"/>
        </w:rPr>
        <w:lastRenderedPageBreak/>
        <w:t xml:space="preserve">When examining new dwelling approvals for houses across the five major cities over the past year recoveries appear to have continued in the first part of 2010 before a slowing or decline in all markets. New dwelling approvals in </w:t>
      </w:r>
      <w:smartTag w:uri="urn:schemas-microsoft-com:office:smarttags" w:element="City">
        <w:smartTag w:uri="urn:schemas-microsoft-com:office:smarttags" w:element="place">
          <w:r w:rsidRPr="0000605C">
            <w:rPr>
              <w:rFonts w:cs="Arial"/>
              <w:lang w:eastAsia="en-AU"/>
            </w:rPr>
            <w:t>Sydney</w:t>
          </w:r>
        </w:smartTag>
      </w:smartTag>
      <w:r w:rsidRPr="0000605C">
        <w:rPr>
          <w:rFonts w:cs="Arial"/>
          <w:lang w:eastAsia="en-AU"/>
        </w:rPr>
        <w:t xml:space="preserve"> remained steady and well above the five year average for the city. Approvals in </w:t>
      </w:r>
      <w:smartTag w:uri="urn:schemas-microsoft-com:office:smarttags" w:element="City">
        <w:smartTag w:uri="urn:schemas-microsoft-com:office:smarttags" w:element="place">
          <w:r w:rsidRPr="0000605C">
            <w:rPr>
              <w:rFonts w:cs="Arial"/>
              <w:lang w:eastAsia="en-AU"/>
            </w:rPr>
            <w:t>Melbourne</w:t>
          </w:r>
        </w:smartTag>
      </w:smartTag>
      <w:r w:rsidRPr="0000605C">
        <w:rPr>
          <w:rFonts w:cs="Arial"/>
          <w:lang w:eastAsia="en-AU"/>
        </w:rPr>
        <w:t xml:space="preserve"> remained strong, although approvals weakened somewhat in the second half of 2010, but remained well above the five and ten year averages. Approvals in </w:t>
      </w:r>
      <w:smartTag w:uri="urn:schemas-microsoft-com:office:smarttags" w:element="City">
        <w:smartTag w:uri="urn:schemas-microsoft-com:office:smarttags" w:element="place">
          <w:r w:rsidRPr="0000605C">
            <w:rPr>
              <w:rFonts w:cs="Arial"/>
              <w:lang w:eastAsia="en-AU"/>
            </w:rPr>
            <w:t>Brisbane</w:t>
          </w:r>
        </w:smartTag>
      </w:smartTag>
      <w:r w:rsidRPr="0000605C">
        <w:rPr>
          <w:rFonts w:cs="Arial"/>
          <w:lang w:eastAsia="en-AU"/>
        </w:rPr>
        <w:t xml:space="preserve"> weakened notably in the second half of the year and remained significantly below the five and ten year averages. Approvals in </w:t>
      </w:r>
      <w:smartTag w:uri="urn:schemas-microsoft-com:office:smarttags" w:element="City">
        <w:smartTag w:uri="urn:schemas-microsoft-com:office:smarttags" w:element="place">
          <w:r w:rsidRPr="0000605C">
            <w:rPr>
              <w:rFonts w:cs="Arial"/>
              <w:lang w:eastAsia="en-AU"/>
            </w:rPr>
            <w:t>Perth</w:t>
          </w:r>
        </w:smartTag>
      </w:smartTag>
      <w:r w:rsidRPr="0000605C">
        <w:rPr>
          <w:rFonts w:cs="Arial"/>
          <w:lang w:eastAsia="en-AU"/>
        </w:rPr>
        <w:t xml:space="preserve"> declined in the second half of the year though remained in line with the five year average and above the ten year average. In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approvals remained steady over the second part of the year and remained above the five and ten year averages.</w:t>
      </w:r>
    </w:p>
    <w:p w:rsidR="00D101BE" w:rsidRPr="0000605C" w:rsidRDefault="00D101BE" w:rsidP="00D101BE">
      <w:pPr>
        <w:pStyle w:val="BodyText"/>
      </w:pPr>
    </w:p>
    <w:p w:rsidR="00866689" w:rsidRPr="0000605C" w:rsidRDefault="00752FF2" w:rsidP="00D101BE">
      <w:pPr>
        <w:pStyle w:val="BodyText"/>
      </w:pPr>
      <w:r w:rsidRPr="0000605C">
        <w:object w:dxaOrig="8976" w:dyaOrig="5491">
          <v:shape id="_x0000_i1041" type="#_x0000_t75" style="width:456pt;height:279pt" o:ole="">
            <v:imagedata r:id="rId77" o:title=""/>
          </v:shape>
          <o:OLEObject Type="Link" ProgID="Excel.Sheet.8" ShapeID="_x0000_i1041" DrawAspect="Content" r:id="rId78" UpdateMode="Always">
            <o:LinkType>Picture</o:LinkType>
            <o:LockedField>false</o:LockedField>
            <o:FieldCodes>\* MERGEFORMAT</o:FieldCodes>
          </o:OLEObject>
        </w:object>
      </w:r>
    </w:p>
    <w:p w:rsidR="00866689" w:rsidRPr="0000605C" w:rsidRDefault="00866689" w:rsidP="00D101BE">
      <w:pPr>
        <w:pStyle w:val="BodyText"/>
      </w:pPr>
    </w:p>
    <w:p w:rsidR="0091474B" w:rsidRPr="0000605C" w:rsidRDefault="0091474B" w:rsidP="0091474B">
      <w:pPr>
        <w:spacing w:before="0" w:after="0"/>
        <w:rPr>
          <w:rFonts w:cs="Arial"/>
          <w:lang w:eastAsia="en-AU"/>
        </w:rPr>
      </w:pPr>
      <w:r w:rsidRPr="0000605C">
        <w:rPr>
          <w:rFonts w:cs="Arial"/>
          <w:lang w:eastAsia="en-AU"/>
        </w:rPr>
        <w:t xml:space="preserve">In 2010, many of the components contributing to </w:t>
      </w:r>
      <w:proofErr w:type="gramStart"/>
      <w:smartTag w:uri="urn:schemas-microsoft-com:office:smarttags" w:element="place">
        <w:smartTag w:uri="urn:schemas-microsoft-com:office:smarttags" w:element="City">
          <w:r w:rsidRPr="0000605C">
            <w:rPr>
              <w:rFonts w:cs="Arial"/>
              <w:lang w:eastAsia="en-AU"/>
            </w:rPr>
            <w:t>greenfield</w:t>
          </w:r>
        </w:smartTag>
      </w:smartTag>
      <w:proofErr w:type="gramEnd"/>
      <w:r w:rsidRPr="0000605C">
        <w:rPr>
          <w:rFonts w:cs="Arial"/>
          <w:lang w:eastAsia="en-AU"/>
        </w:rPr>
        <w:t xml:space="preserve"> dwelling costs across the five cities have changed little as a proportion of total cost to purchasers. Exceptions to this include the developer’s profit for </w:t>
      </w:r>
      <w:smartTag w:uri="urn:schemas-microsoft-com:office:smarttags" w:element="City">
        <w:r w:rsidRPr="0000605C">
          <w:rPr>
            <w:rFonts w:cs="Arial"/>
            <w:lang w:eastAsia="en-AU"/>
          </w:rPr>
          <w:t>Sydney</w:t>
        </w:r>
      </w:smartTag>
      <w:r w:rsidRPr="0000605C">
        <w:rPr>
          <w:rFonts w:cs="Arial"/>
          <w:lang w:eastAsia="en-AU"/>
        </w:rPr>
        <w:t xml:space="preserve">, </w:t>
      </w:r>
      <w:smartTag w:uri="urn:schemas-microsoft-com:office:smarttags" w:element="City">
        <w:r w:rsidRPr="0000605C">
          <w:rPr>
            <w:rFonts w:cs="Arial"/>
            <w:lang w:eastAsia="en-AU"/>
          </w:rPr>
          <w:t>Perth</w:t>
        </w:r>
      </w:smartTag>
      <w:r w:rsidRPr="0000605C">
        <w:rPr>
          <w:rFonts w:cs="Arial"/>
          <w:lang w:eastAsia="en-AU"/>
        </w:rPr>
        <w:t xml:space="preserve">, and </w:t>
      </w:r>
      <w:smartTag w:uri="urn:schemas-microsoft-com:office:smarttags" w:element="City">
        <w:r w:rsidRPr="0000605C">
          <w:rPr>
            <w:rFonts w:cs="Arial"/>
            <w:lang w:eastAsia="en-AU"/>
          </w:rPr>
          <w:t>Adelaide</w:t>
        </w:r>
      </w:smartTag>
      <w:r w:rsidRPr="0000605C">
        <w:rPr>
          <w:rFonts w:cs="Arial"/>
          <w:lang w:eastAsia="en-AU"/>
        </w:rPr>
        <w:t xml:space="preserve">; construction costs for </w:t>
      </w:r>
      <w:smartTag w:uri="urn:schemas-microsoft-com:office:smarttags" w:element="City">
        <w:r w:rsidRPr="0000605C">
          <w:rPr>
            <w:rFonts w:cs="Arial"/>
            <w:lang w:eastAsia="en-AU"/>
          </w:rPr>
          <w:t>Perth</w:t>
        </w:r>
      </w:smartTag>
      <w:r w:rsidRPr="0000605C">
        <w:rPr>
          <w:rFonts w:cs="Arial"/>
          <w:lang w:eastAsia="en-AU"/>
        </w:rPr>
        <w:t xml:space="preserve">; and land costs for </w:t>
      </w:r>
      <w:smartTag w:uri="urn:schemas-microsoft-com:office:smarttags" w:element="City">
        <w:r w:rsidRPr="0000605C">
          <w:rPr>
            <w:rFonts w:cs="Arial"/>
            <w:lang w:eastAsia="en-AU"/>
          </w:rPr>
          <w:t>Brisbane</w:t>
        </w:r>
      </w:smartTag>
      <w:r w:rsidRPr="0000605C">
        <w:rPr>
          <w:rFonts w:cs="Arial"/>
          <w:lang w:eastAsia="en-AU"/>
        </w:rPr>
        <w:t xml:space="preserve"> and </w:t>
      </w:r>
      <w:smartTag w:uri="urn:schemas-microsoft-com:office:smarttags" w:element="City">
        <w:smartTag w:uri="urn:schemas-microsoft-com:office:smarttags" w:element="place">
          <w:r w:rsidRPr="0000605C">
            <w:rPr>
              <w:rFonts w:cs="Arial"/>
              <w:lang w:eastAsia="en-AU"/>
            </w:rPr>
            <w:t>Perth</w:t>
          </w:r>
        </w:smartTag>
      </w:smartTag>
      <w:r w:rsidRPr="0000605C">
        <w:rPr>
          <w:rFonts w:cs="Arial"/>
          <w:lang w:eastAsia="en-AU"/>
        </w:rPr>
        <w:t xml:space="preserve"> which all increased substantially. These are discussed in detail in the analysis for each cost component later in this section of the report. </w:t>
      </w:r>
    </w:p>
    <w:p w:rsidR="0091474B" w:rsidRPr="0000605C" w:rsidRDefault="0091474B" w:rsidP="0091474B">
      <w:pPr>
        <w:spacing w:before="0" w:after="0"/>
        <w:rPr>
          <w:rFonts w:ascii="Calibri" w:hAnsi="Calibri"/>
          <w:sz w:val="22"/>
          <w:szCs w:val="22"/>
          <w:lang w:eastAsia="en-AU"/>
        </w:rPr>
      </w:pPr>
    </w:p>
    <w:p w:rsidR="00D101BE" w:rsidRPr="0000605C" w:rsidRDefault="00752FF2" w:rsidP="00D101BE">
      <w:pPr>
        <w:pStyle w:val="BodyText"/>
      </w:pPr>
      <w:r w:rsidRPr="0000605C">
        <w:object w:dxaOrig="9175" w:dyaOrig="6499">
          <v:shape id="_x0000_i1042" type="#_x0000_t75" style="width:459pt;height:324.75pt" o:ole="">
            <v:imagedata r:id="rId79" o:title=""/>
          </v:shape>
          <o:OLEObject Type="Link" ProgID="Excel.Sheet.8" ShapeID="_x0000_i1042" DrawAspect="Content" r:id="rId80" UpdateMode="Always">
            <o:LinkType>EnhancedMetaFile</o:LinkType>
            <o:LockedField>false</o:LockedField>
          </o:OLEObject>
        </w:object>
      </w:r>
    </w:p>
    <w:p w:rsidR="00D101BE" w:rsidRPr="0000605C" w:rsidRDefault="00D101BE" w:rsidP="00D101BE"/>
    <w:p w:rsidR="008315DB" w:rsidRPr="0000605C" w:rsidRDefault="008315DB" w:rsidP="008315DB">
      <w:pPr>
        <w:spacing w:before="0" w:after="0"/>
        <w:rPr>
          <w:rFonts w:cs="Arial"/>
          <w:lang w:eastAsia="en-AU"/>
        </w:rPr>
      </w:pPr>
      <w:r w:rsidRPr="0000605C">
        <w:rPr>
          <w:rFonts w:cs="Arial"/>
          <w:lang w:eastAsia="en-AU"/>
        </w:rPr>
        <w:t xml:space="preserve">Although having experienced a decline over 2010, </w:t>
      </w:r>
      <w:smartTag w:uri="urn:schemas-microsoft-com:office:smarttags" w:element="City">
        <w:r w:rsidRPr="0000605C">
          <w:rPr>
            <w:rFonts w:cs="Arial"/>
            <w:lang w:eastAsia="en-AU"/>
          </w:rPr>
          <w:t>Sydney</w:t>
        </w:r>
      </w:smartTag>
      <w:r w:rsidRPr="0000605C">
        <w:rPr>
          <w:rFonts w:cs="Arial"/>
          <w:lang w:eastAsia="en-AU"/>
        </w:rPr>
        <w:t xml:space="preserve"> continued to have the highest costs to purchasers for </w:t>
      </w:r>
      <w:proofErr w:type="gramStart"/>
      <w:smartTag w:uri="urn:schemas-microsoft-com:office:smarttags" w:element="place">
        <w:smartTag w:uri="urn:schemas-microsoft-com:office:smarttags" w:element="City">
          <w:r w:rsidRPr="0000605C">
            <w:rPr>
              <w:rFonts w:cs="Arial"/>
              <w:lang w:eastAsia="en-AU"/>
            </w:rPr>
            <w:t>greenfield</w:t>
          </w:r>
        </w:smartTag>
      </w:smartTag>
      <w:proofErr w:type="gramEnd"/>
      <w:r w:rsidRPr="0000605C">
        <w:rPr>
          <w:rFonts w:cs="Arial"/>
          <w:lang w:eastAsia="en-AU"/>
        </w:rPr>
        <w:t xml:space="preserve"> dwellings ($595,000). This is owing to relatively high land costs, government taxes and charges, and development costs. </w:t>
      </w:r>
      <w:smartTag w:uri="urn:schemas-microsoft-com:office:smarttags" w:element="City">
        <w:smartTag w:uri="urn:schemas-microsoft-com:office:smarttags" w:element="place">
          <w:r w:rsidRPr="0000605C">
            <w:rPr>
              <w:rFonts w:cs="Arial"/>
              <w:lang w:eastAsia="en-AU"/>
            </w:rPr>
            <w:t>Sydney</w:t>
          </w:r>
        </w:smartTag>
      </w:smartTag>
      <w:r w:rsidRPr="0000605C">
        <w:rPr>
          <w:rFonts w:cs="Arial"/>
          <w:lang w:eastAsia="en-AU"/>
        </w:rPr>
        <w:t xml:space="preserve"> is comparable to the other cities in regards to construction costs. </w:t>
      </w:r>
      <w:smartTag w:uri="urn:schemas-microsoft-com:office:smarttags" w:element="City">
        <w:smartTag w:uri="urn:schemas-microsoft-com:office:smarttags" w:element="place">
          <w:r w:rsidRPr="0000605C">
            <w:rPr>
              <w:rFonts w:cs="Arial"/>
              <w:lang w:eastAsia="en-AU"/>
            </w:rPr>
            <w:t>Melbourne</w:t>
          </w:r>
        </w:smartTag>
      </w:smartTag>
      <w:r w:rsidRPr="0000605C">
        <w:rPr>
          <w:rFonts w:cs="Arial"/>
          <w:lang w:eastAsia="en-AU"/>
        </w:rPr>
        <w:t xml:space="preserve"> has the second highest total costs to purchasers ($472,000) owing to relatively higher construction costs, and development costs. Development profit in </w:t>
      </w:r>
      <w:smartTag w:uri="urn:schemas-microsoft-com:office:smarttags" w:element="City">
        <w:r w:rsidRPr="0000605C">
          <w:rPr>
            <w:rFonts w:cs="Arial"/>
            <w:lang w:eastAsia="en-AU"/>
          </w:rPr>
          <w:t>Melbourne</w:t>
        </w:r>
      </w:smartTag>
      <w:r w:rsidRPr="0000605C">
        <w:rPr>
          <w:rFonts w:cs="Arial"/>
          <w:lang w:eastAsia="en-AU"/>
        </w:rPr>
        <w:t xml:space="preserve"> is still relatively high as a result of the historically strong demand for </w:t>
      </w:r>
      <w:proofErr w:type="gramStart"/>
      <w:smartTag w:uri="urn:schemas-microsoft-com:office:smarttags" w:element="place">
        <w:smartTag w:uri="urn:schemas-microsoft-com:office:smarttags" w:element="City">
          <w:r w:rsidRPr="0000605C">
            <w:rPr>
              <w:rFonts w:cs="Arial"/>
              <w:lang w:eastAsia="en-AU"/>
            </w:rPr>
            <w:t>greenfield</w:t>
          </w:r>
        </w:smartTag>
      </w:smartTag>
      <w:proofErr w:type="gramEnd"/>
      <w:r w:rsidRPr="0000605C">
        <w:rPr>
          <w:rFonts w:cs="Arial"/>
          <w:lang w:eastAsia="en-AU"/>
        </w:rPr>
        <w:t xml:space="preserve"> dwellings and widespread affordability of this dwelling offer.</w:t>
      </w:r>
    </w:p>
    <w:p w:rsidR="008315DB" w:rsidRPr="0000605C" w:rsidRDefault="008315DB" w:rsidP="008315DB">
      <w:pPr>
        <w:spacing w:before="0" w:after="0"/>
        <w:rPr>
          <w:rFonts w:ascii="Calibri" w:hAnsi="Calibri"/>
          <w:sz w:val="22"/>
          <w:szCs w:val="22"/>
          <w:lang w:eastAsia="en-AU"/>
        </w:rPr>
      </w:pPr>
    </w:p>
    <w:p w:rsidR="00535609" w:rsidRPr="0000605C" w:rsidRDefault="00535609" w:rsidP="00D101BE">
      <w:smartTag w:uri="urn:schemas-microsoft-com:office:smarttags" w:element="City">
        <w:r w:rsidRPr="0000605C">
          <w:t>Adelaide</w:t>
        </w:r>
      </w:smartTag>
      <w:r w:rsidRPr="0000605C">
        <w:t xml:space="preserve"> has the third highest</w:t>
      </w:r>
      <w:r w:rsidR="008315DB" w:rsidRPr="0000605C">
        <w:t xml:space="preserve"> total costs to p</w:t>
      </w:r>
      <w:r w:rsidR="00FD5BB4" w:rsidRPr="0000605C">
        <w:t xml:space="preserve">urchasers for </w:t>
      </w:r>
      <w:proofErr w:type="gramStart"/>
      <w:smartTag w:uri="urn:schemas-microsoft-com:office:smarttags" w:element="City">
        <w:r w:rsidR="00FD5BB4" w:rsidRPr="0000605C">
          <w:t>g</w:t>
        </w:r>
        <w:r w:rsidRPr="0000605C">
          <w:t>reenfield</w:t>
        </w:r>
      </w:smartTag>
      <w:proofErr w:type="gramEnd"/>
      <w:r w:rsidRPr="0000605C">
        <w:t xml:space="preserve"> dwellings (for the study areas), marginally lower than </w:t>
      </w:r>
      <w:smartTag w:uri="urn:schemas-microsoft-com:office:smarttags" w:element="place">
        <w:smartTag w:uri="urn:schemas-microsoft-com:office:smarttags" w:element="City">
          <w:r w:rsidRPr="0000605C">
            <w:t>Melbourne</w:t>
          </w:r>
        </w:smartTag>
      </w:smartTag>
      <w:r w:rsidRPr="0000605C">
        <w:t xml:space="preserve">. </w:t>
      </w:r>
      <w:smartTag w:uri="urn:schemas-microsoft-com:office:smarttags" w:element="City">
        <w:smartTag w:uri="urn:schemas-microsoft-com:office:smarttags" w:element="place">
          <w:r w:rsidRPr="0000605C">
            <w:t>Adelaide</w:t>
          </w:r>
        </w:smartTag>
      </w:smartTag>
      <w:r w:rsidRPr="0000605C">
        <w:t xml:space="preserve"> has comparabl</w:t>
      </w:r>
      <w:r w:rsidR="008315DB" w:rsidRPr="0000605C">
        <w:t>y high c</w:t>
      </w:r>
      <w:r w:rsidRPr="0000605C">
        <w:t>onstruction costs (second hi</w:t>
      </w:r>
      <w:r w:rsidR="008315DB" w:rsidRPr="0000605C">
        <w:t>ghest across the five cities), land costs, and development c</w:t>
      </w:r>
      <w:r w:rsidRPr="0000605C">
        <w:t>osts. This ha</w:t>
      </w:r>
      <w:r w:rsidR="008315DB" w:rsidRPr="0000605C">
        <w:t>s put downward pressure on the development p</w:t>
      </w:r>
      <w:r w:rsidRPr="0000605C">
        <w:t xml:space="preserve">rofit generating unsustainable levels of return </w:t>
      </w:r>
      <w:r w:rsidR="008315DB" w:rsidRPr="0000605C">
        <w:t>of less than 5% for developers.</w:t>
      </w:r>
    </w:p>
    <w:p w:rsidR="00E9760C" w:rsidRPr="0000605C" w:rsidRDefault="00E9760C" w:rsidP="00D101BE">
      <w:smartTag w:uri="urn:schemas-microsoft-com:office:smarttags" w:element="City">
        <w:r w:rsidRPr="0000605C">
          <w:t>Perth</w:t>
        </w:r>
      </w:smartTag>
      <w:r w:rsidR="008315DB" w:rsidRPr="0000605C">
        <w:t xml:space="preserve"> has marginally lower total c</w:t>
      </w:r>
      <w:r w:rsidRPr="0000605C">
        <w:t xml:space="preserve">osts than </w:t>
      </w:r>
      <w:smartTag w:uri="urn:schemas-microsoft-com:office:smarttags" w:element="City">
        <w:smartTag w:uri="urn:schemas-microsoft-com:office:smarttags" w:element="place">
          <w:r w:rsidRPr="0000605C">
            <w:t>Adelaide</w:t>
          </w:r>
        </w:smartTag>
      </w:smartTag>
      <w:r w:rsidRPr="0000605C">
        <w:t xml:space="preserve"> </w:t>
      </w:r>
      <w:r w:rsidR="008315DB" w:rsidRPr="0000605C">
        <w:t>but has advantages in lower land costs, construction costs, and d</w:t>
      </w:r>
      <w:r w:rsidR="005D64E9" w:rsidRPr="0000605C">
        <w:t>evelopment costs. These factors have generated a stronge</w:t>
      </w:r>
      <w:r w:rsidR="008315DB" w:rsidRPr="0000605C">
        <w:t>r development p</w:t>
      </w:r>
      <w:r w:rsidR="00FD5BB4" w:rsidRPr="0000605C">
        <w:t>rofit</w:t>
      </w:r>
      <w:r w:rsidR="008315DB" w:rsidRPr="0000605C">
        <w:t xml:space="preserve"> (13%) for </w:t>
      </w:r>
      <w:proofErr w:type="gramStart"/>
      <w:smartTag w:uri="urn:schemas-microsoft-com:office:smarttags" w:element="City">
        <w:r w:rsidR="00FD5BB4" w:rsidRPr="0000605C">
          <w:t>g</w:t>
        </w:r>
        <w:r w:rsidR="005D64E9" w:rsidRPr="0000605C">
          <w:t>reenfield</w:t>
        </w:r>
      </w:smartTag>
      <w:proofErr w:type="gramEnd"/>
      <w:r w:rsidR="008315DB" w:rsidRPr="0000605C">
        <w:t xml:space="preserve"> dwellings in </w:t>
      </w:r>
      <w:smartTag w:uri="urn:schemas-microsoft-com:office:smarttags" w:element="place">
        <w:smartTag w:uri="urn:schemas-microsoft-com:office:smarttags" w:element="City">
          <w:r w:rsidR="008315DB" w:rsidRPr="0000605C">
            <w:t>Perth</w:t>
          </w:r>
        </w:smartTag>
      </w:smartTag>
      <w:r w:rsidR="008315DB" w:rsidRPr="0000605C">
        <w:t>.</w:t>
      </w:r>
    </w:p>
    <w:p w:rsidR="009751AA" w:rsidRPr="0000605C" w:rsidRDefault="009751AA" w:rsidP="00D101BE">
      <w:r w:rsidRPr="0000605C">
        <w:t xml:space="preserve">Brisbane has seen </w:t>
      </w:r>
      <w:r w:rsidR="00866689" w:rsidRPr="0000605C">
        <w:t>a notable</w:t>
      </w:r>
      <w:r w:rsidR="00FD5BB4" w:rsidRPr="0000605C">
        <w:t xml:space="preserve"> change in g</w:t>
      </w:r>
      <w:r w:rsidRPr="0000605C">
        <w:t xml:space="preserve">reenfield dwelling development costs including a </w:t>
      </w:r>
      <w:r w:rsidR="00866689" w:rsidRPr="0000605C">
        <w:t>significant</w:t>
      </w:r>
      <w:r w:rsidR="008315DB" w:rsidRPr="0000605C">
        <w:t xml:space="preserve"> fall in the l</w:t>
      </w:r>
      <w:r w:rsidRPr="0000605C">
        <w:t>and cost component</w:t>
      </w:r>
      <w:r w:rsidR="008315DB" w:rsidRPr="0000605C">
        <w:t xml:space="preserve"> and a reduction in government taxes and c</w:t>
      </w:r>
      <w:r w:rsidR="00866689" w:rsidRPr="0000605C">
        <w:t>harges principally as a result in the lower sale price</w:t>
      </w:r>
      <w:r w:rsidRPr="0000605C">
        <w:t xml:space="preserve">. </w:t>
      </w:r>
      <w:r w:rsidR="00866689" w:rsidRPr="0000605C">
        <w:t xml:space="preserve">The cost reductions have balanced the </w:t>
      </w:r>
      <w:r w:rsidR="008315DB" w:rsidRPr="0000605C">
        <w:t>fall in sale price leaving the developers p</w:t>
      </w:r>
      <w:r w:rsidR="00866689" w:rsidRPr="0000605C">
        <w:t>rofit stable</w:t>
      </w:r>
      <w:r w:rsidR="008315DB" w:rsidRPr="0000605C">
        <w:t xml:space="preserve"> at 9% of total cost to purchaser</w:t>
      </w:r>
      <w:r w:rsidRPr="0000605C">
        <w:t>.</w:t>
      </w:r>
    </w:p>
    <w:p w:rsidR="00D101BE" w:rsidRPr="0000605C" w:rsidRDefault="00752FF2" w:rsidP="00D101BE">
      <w:r w:rsidRPr="0000605C">
        <w:object w:dxaOrig="9175" w:dyaOrig="4943">
          <v:shape id="_x0000_i1043" type="#_x0000_t75" style="width:459pt;height:247.5pt" o:ole="">
            <v:imagedata r:id="rId81" o:title=""/>
          </v:shape>
          <o:OLEObject Type="Link" ProgID="Excel.Sheet.8" ShapeID="_x0000_i1043" DrawAspect="Content" r:id="rId82" UpdateMode="Always">
            <o:LinkType>EnhancedMetaFile</o:LinkType>
            <o:LockedField>false</o:LockedField>
          </o:OLEObject>
        </w:object>
      </w:r>
    </w:p>
    <w:p w:rsidR="00D101BE" w:rsidRPr="0000605C" w:rsidRDefault="00D101BE"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332DAA" w:rsidRPr="0000605C" w:rsidRDefault="00332DAA" w:rsidP="00D101BE"/>
    <w:p w:rsidR="00D101BE" w:rsidRPr="0000605C" w:rsidRDefault="00D101BE" w:rsidP="00D101BE">
      <w:pPr>
        <w:pStyle w:val="Heading3"/>
        <w:keepNext w:val="0"/>
        <w:spacing w:line="240" w:lineRule="auto"/>
      </w:pPr>
      <w:bookmarkStart w:id="68" w:name="_Toc250964531"/>
      <w:bookmarkStart w:id="69" w:name="_Toc294088043"/>
      <w:r w:rsidRPr="0000605C">
        <w:lastRenderedPageBreak/>
        <w:t>Land</w:t>
      </w:r>
      <w:bookmarkEnd w:id="68"/>
      <w:bookmarkEnd w:id="69"/>
    </w:p>
    <w:p w:rsidR="006C0999" w:rsidRPr="0000605C" w:rsidRDefault="006C0999" w:rsidP="009751AA">
      <w:r w:rsidRPr="0000605C">
        <w:t xml:space="preserve">The land cost component of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 costs has not seen strong upward movement for most cities in 2010. Land costs declined in </w:t>
      </w:r>
      <w:smartTag w:uri="urn:schemas-microsoft-com:office:smarttags" w:element="City">
        <w:r w:rsidRPr="0000605C">
          <w:t>Sydney</w:t>
        </w:r>
      </w:smartTag>
      <w:r w:rsidRPr="0000605C">
        <w:t xml:space="preserve"> (from $152,000 in 2009 to $135,000 in 2010), </w:t>
      </w:r>
      <w:smartTag w:uri="urn:schemas-microsoft-com:office:smarttags" w:element="City">
        <w:r w:rsidRPr="0000605C">
          <w:t>Brisbane</w:t>
        </w:r>
      </w:smartTag>
      <w:r w:rsidRPr="0000605C">
        <w:t xml:space="preserve"> ($54,000 to $25,000), and </w:t>
      </w:r>
      <w:smartTag w:uri="urn:schemas-microsoft-com:office:smarttags" w:element="City">
        <w:smartTag w:uri="urn:schemas-microsoft-com:office:smarttags" w:element="place">
          <w:r w:rsidRPr="0000605C">
            <w:t>Perth</w:t>
          </w:r>
        </w:smartTag>
      </w:smartTag>
      <w:r w:rsidRPr="0000605C">
        <w:t xml:space="preserve"> ($52,000</w:t>
      </w:r>
      <w:r w:rsidRPr="0000605C">
        <w:rPr>
          <w:color w:val="1F497D"/>
        </w:rPr>
        <w:t xml:space="preserve"> </w:t>
      </w:r>
      <w:r w:rsidRPr="0000605C">
        <w:t xml:space="preserve">to $38,000). This is owing to weaknesses in these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markets as sale volumes fall and developers have cut prices to stimulate demand. This response has also seen average block sizes decline as a response to increased demand for affordable dwellings. </w:t>
      </w:r>
    </w:p>
    <w:p w:rsidR="006C0999" w:rsidRPr="0000605C" w:rsidRDefault="006C0999" w:rsidP="006C0999">
      <w:pPr>
        <w:spacing w:before="0" w:after="0"/>
        <w:rPr>
          <w:rFonts w:cs="Arial"/>
          <w:lang w:eastAsia="en-AU"/>
        </w:rPr>
      </w:pPr>
      <w:r w:rsidRPr="0000605C">
        <w:rPr>
          <w:rFonts w:cs="Arial"/>
          <w:lang w:eastAsia="en-AU"/>
        </w:rPr>
        <w:t xml:space="preserve">The rise in the land cost component in </w:t>
      </w:r>
      <w:smartTag w:uri="urn:schemas-microsoft-com:office:smarttags" w:element="City">
        <w:r w:rsidRPr="0000605C">
          <w:rPr>
            <w:rFonts w:cs="Arial"/>
            <w:lang w:eastAsia="en-AU"/>
          </w:rPr>
          <w:t>Melbourne</w:t>
        </w:r>
      </w:smartTag>
      <w:r w:rsidRPr="0000605C">
        <w:rPr>
          <w:rFonts w:cs="Arial"/>
          <w:lang w:eastAsia="en-AU"/>
        </w:rPr>
        <w:t xml:space="preserve"> ($50,000 to $55,000) and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($50,000 to $55,000) reflects the relative strength in these dwelling markets especially in the first half of 2010. This is also reflected in the strong increase in new dwelling approvals for houses in these cities. </w:t>
      </w:r>
    </w:p>
    <w:p w:rsidR="006C0999" w:rsidRPr="0000605C" w:rsidRDefault="006C0999" w:rsidP="006C0999">
      <w:pPr>
        <w:spacing w:before="0" w:after="0"/>
        <w:rPr>
          <w:rFonts w:ascii="Calibri" w:hAnsi="Calibri"/>
          <w:sz w:val="22"/>
          <w:szCs w:val="22"/>
          <w:lang w:eastAsia="en-AU"/>
        </w:rPr>
      </w:pPr>
    </w:p>
    <w:p w:rsidR="00481AAA" w:rsidRPr="0000605C" w:rsidRDefault="00481AAA" w:rsidP="00481AAA"/>
    <w:p w:rsidR="00075469" w:rsidRPr="0000605C" w:rsidRDefault="00752FF2" w:rsidP="00D101BE">
      <w:pPr>
        <w:pStyle w:val="BodyText"/>
      </w:pPr>
      <w:r w:rsidRPr="0000605C">
        <w:object w:dxaOrig="9175" w:dyaOrig="4828">
          <v:shape id="_x0000_i1044" type="#_x0000_t75" style="width:459pt;height:241.5pt" o:ole="">
            <v:imagedata r:id="rId83" o:title=""/>
          </v:shape>
          <o:OLEObject Type="Link" ProgID="Excel.Sheet.8" ShapeID="_x0000_i1044" DrawAspect="Content" r:id="rId84" UpdateMode="Always">
            <o:LinkType>EnhancedMetaFile</o:LinkType>
            <o:LockedField>false</o:LockedField>
          </o:OLEObject>
        </w:object>
      </w:r>
    </w:p>
    <w:p w:rsidR="00075469" w:rsidRPr="0000605C" w:rsidRDefault="00075469"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782F25" w:rsidRPr="0000605C" w:rsidRDefault="00782F25" w:rsidP="00D101BE">
      <w:pPr>
        <w:pStyle w:val="BodyText"/>
      </w:pPr>
    </w:p>
    <w:p w:rsidR="004830B1" w:rsidRPr="0000605C" w:rsidRDefault="004830B1" w:rsidP="00D101BE">
      <w:pPr>
        <w:pStyle w:val="BodyText"/>
      </w:pPr>
    </w:p>
    <w:p w:rsidR="00D101BE" w:rsidRPr="0000605C" w:rsidRDefault="00D101BE" w:rsidP="00D101BE">
      <w:pPr>
        <w:pStyle w:val="Heading3"/>
        <w:keepNext w:val="0"/>
        <w:spacing w:line="240" w:lineRule="auto"/>
      </w:pPr>
      <w:bookmarkStart w:id="70" w:name="_Toc250964532"/>
      <w:bookmarkStart w:id="71" w:name="_Toc294088044"/>
      <w:r w:rsidRPr="0000605C">
        <w:lastRenderedPageBreak/>
        <w:t>Construction</w:t>
      </w:r>
      <w:bookmarkEnd w:id="70"/>
      <w:bookmarkEnd w:id="71"/>
    </w:p>
    <w:p w:rsidR="00B15358" w:rsidRPr="0000605C" w:rsidRDefault="00B15358" w:rsidP="00B15358">
      <w:r w:rsidRPr="0000605C">
        <w:t xml:space="preserve">In 2010, for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construction costs remain the largest component of total costs to purchasers though, as was the case in 2009, these are generally at lower proportions than for infill dwellings. House construction costs have increased as a proport</w:t>
      </w:r>
      <w:r w:rsidR="00892B3D" w:rsidRPr="0000605C">
        <w:t xml:space="preserve">ion of total cost to purchaser </w:t>
      </w:r>
      <w:r w:rsidRPr="0000605C">
        <w:t xml:space="preserve">in Brisbane and Sydney as overall costs have declined. However, in absolute terms construction costs for </w:t>
      </w:r>
      <w:proofErr w:type="gramStart"/>
      <w:smartTag w:uri="urn:schemas-microsoft-com:office:smarttags" w:element="City">
        <w:r w:rsidRPr="0000605C">
          <w:t>greenfield</w:t>
        </w:r>
      </w:smartTag>
      <w:proofErr w:type="gramEnd"/>
      <w:r w:rsidRPr="0000605C">
        <w:t xml:space="preserve"> dwellings in </w:t>
      </w:r>
      <w:smartTag w:uri="urn:schemas-microsoft-com:office:smarttags" w:element="place">
        <w:smartTag w:uri="urn:schemas-microsoft-com:office:smarttags" w:element="City">
          <w:r w:rsidRPr="0000605C">
            <w:t>Brisbane</w:t>
          </w:r>
        </w:smartTag>
      </w:smartTag>
      <w:r w:rsidRPr="0000605C">
        <w:t xml:space="preserve"> have remained stable at $202,000. Construction costs have also remained relatively stable in </w:t>
      </w:r>
      <w:smartTag w:uri="urn:schemas-microsoft-com:office:smarttags" w:element="City">
        <w:r w:rsidRPr="0000605C">
          <w:t>Adelaide</w:t>
        </w:r>
      </w:smartTag>
      <w:r w:rsidRPr="0000605C">
        <w:t xml:space="preserve"> (from $217,000 in </w:t>
      </w:r>
      <w:proofErr w:type="gramStart"/>
      <w:r w:rsidRPr="0000605C">
        <w:t>2009  to</w:t>
      </w:r>
      <w:proofErr w:type="gramEnd"/>
      <w:r w:rsidRPr="0000605C">
        <w:t xml:space="preserve"> $220,00 in 2010), and </w:t>
      </w:r>
      <w:smartTag w:uri="urn:schemas-microsoft-com:office:smarttags" w:element="place">
        <w:smartTag w:uri="urn:schemas-microsoft-com:office:smarttags" w:element="City">
          <w:r w:rsidRPr="0000605C">
            <w:t>Sydney</w:t>
          </w:r>
        </w:smartTag>
      </w:smartTag>
      <w:r w:rsidRPr="0000605C">
        <w:t xml:space="preserve"> ($211,000 to $214,000). </w:t>
      </w:r>
      <w:smartTag w:uri="urn:schemas-microsoft-com:office:smarttags" w:element="City">
        <w:r w:rsidRPr="0000605C">
          <w:t>Melbourne</w:t>
        </w:r>
      </w:smartTag>
      <w:r w:rsidRPr="0000605C">
        <w:t xml:space="preserve"> has become the most expensive city to build </w:t>
      </w:r>
      <w:proofErr w:type="gramStart"/>
      <w:smartTag w:uri="urn:schemas-microsoft-com:office:smarttags" w:element="City">
        <w:r w:rsidRPr="0000605C">
          <w:t>greenfield</w:t>
        </w:r>
      </w:smartTag>
      <w:proofErr w:type="gramEnd"/>
      <w:r w:rsidRPr="0000605C">
        <w:t xml:space="preserve"> dwell</w:t>
      </w:r>
      <w:r w:rsidR="00892B3D" w:rsidRPr="0000605C">
        <w:t xml:space="preserve">ings in (from $213,000 in 2009 </w:t>
      </w:r>
      <w:r w:rsidRPr="0000605C">
        <w:t xml:space="preserve">to $221,000 in 2010) just ahead of </w:t>
      </w:r>
      <w:smartTag w:uri="urn:schemas-microsoft-com:office:smarttags" w:element="City">
        <w:r w:rsidRPr="0000605C">
          <w:t>Adelaide</w:t>
        </w:r>
      </w:smartTag>
      <w:r w:rsidRPr="0000605C">
        <w:t xml:space="preserve">, while </w:t>
      </w:r>
      <w:smartTag w:uri="urn:schemas-microsoft-com:office:smarttags" w:element="City">
        <w:r w:rsidRPr="0000605C">
          <w:t>Perth</w:t>
        </w:r>
      </w:smartTag>
      <w:r w:rsidRPr="0000605C">
        <w:t xml:space="preserve"> ($219,000 to $196,000) has gone from the most expensive to the least expensive city for </w:t>
      </w:r>
      <w:smartTag w:uri="urn:schemas-microsoft-com:office:smarttags" w:element="place">
        <w:smartTag w:uri="urn:schemas-microsoft-com:office:smarttags" w:element="City">
          <w:r w:rsidRPr="0000605C">
            <w:t>greenfield</w:t>
          </w:r>
        </w:smartTag>
      </w:smartTag>
      <w:r w:rsidRPr="0000605C">
        <w:t xml:space="preserve"> dwelling construction.</w:t>
      </w:r>
    </w:p>
    <w:p w:rsidR="005C5C15" w:rsidRPr="0000605C" w:rsidRDefault="00DE0DED" w:rsidP="00B15358">
      <w:pPr>
        <w:pStyle w:val="BodyText"/>
        <w:rPr>
          <w:lang w:eastAsia="en-AU"/>
        </w:rPr>
      </w:pPr>
      <w:r w:rsidRPr="0000605C">
        <w:t>With respect to these movements in construction costs, Rider Levett Bucknall has provided the following insights. Tendered construction prices are very closely related to work volumes. Up until 2008 the level of work exceeded the capacity of the industry and so prices received at tender were very high. However, since 2008 the volume of work has declined substantially so that currently the construction industry capacity is well in excess of the available work. This results in very competitive tender pric</w:t>
      </w:r>
      <w:r w:rsidR="00892B3D" w:rsidRPr="0000605C">
        <w:t>es due to the following factors</w:t>
      </w:r>
      <w:r w:rsidR="005C5C15" w:rsidRPr="0000605C">
        <w:rPr>
          <w:lang w:eastAsia="en-AU"/>
        </w:rPr>
        <w:t>:</w:t>
      </w:r>
    </w:p>
    <w:p w:rsidR="00DE0DED" w:rsidRPr="0000605C" w:rsidRDefault="00DE0DED" w:rsidP="00B15358">
      <w:pPr>
        <w:pStyle w:val="BodyText"/>
        <w:rPr>
          <w:lang w:eastAsia="en-AU"/>
        </w:rPr>
      </w:pPr>
    </w:p>
    <w:p w:rsidR="005C5C15" w:rsidRPr="0000605C" w:rsidRDefault="005C5C15" w:rsidP="004A1F21">
      <w:pPr>
        <w:numPr>
          <w:ilvl w:val="0"/>
          <w:numId w:val="42"/>
        </w:numPr>
        <w:rPr>
          <w:lang w:eastAsia="en-AU"/>
        </w:rPr>
      </w:pPr>
      <w:r w:rsidRPr="0000605C">
        <w:rPr>
          <w:lang w:eastAsia="en-AU"/>
        </w:rPr>
        <w:t>Suppliers offer substantial discounts on materials</w:t>
      </w:r>
    </w:p>
    <w:p w:rsidR="005C5C15" w:rsidRPr="0000605C" w:rsidRDefault="005C5C15" w:rsidP="004A1F21">
      <w:pPr>
        <w:numPr>
          <w:ilvl w:val="0"/>
          <w:numId w:val="42"/>
        </w:numPr>
        <w:rPr>
          <w:lang w:eastAsia="en-AU"/>
        </w:rPr>
      </w:pPr>
      <w:r w:rsidRPr="0000605C">
        <w:rPr>
          <w:lang w:eastAsia="en-AU"/>
        </w:rPr>
        <w:t>Subcontractors cut margins to the minimum to secure work for their personnel</w:t>
      </w:r>
    </w:p>
    <w:p w:rsidR="005C5C15" w:rsidRPr="0000605C" w:rsidRDefault="005C5C15" w:rsidP="004A1F21">
      <w:pPr>
        <w:numPr>
          <w:ilvl w:val="0"/>
          <w:numId w:val="42"/>
        </w:numPr>
        <w:rPr>
          <w:lang w:eastAsia="en-AU"/>
        </w:rPr>
      </w:pPr>
      <w:r w:rsidRPr="0000605C">
        <w:rPr>
          <w:lang w:eastAsia="en-AU"/>
        </w:rPr>
        <w:t>Main contractors cut margins to secure work</w:t>
      </w:r>
    </w:p>
    <w:p w:rsidR="00DE0DED" w:rsidRPr="0000605C" w:rsidRDefault="00DE0DED" w:rsidP="005C5C15">
      <w:pPr>
        <w:rPr>
          <w:lang w:eastAsia="en-AU"/>
        </w:rPr>
      </w:pPr>
      <w:r w:rsidRPr="0000605C">
        <w:t xml:space="preserve">As a result there has been a 15% reduction in tendered prices from a high in September 2008 to the end of 2009 with relatively flat prices from then on. This has impacted each of the five major cities differently with construction cost increasing in the markets with greater demand and declining or remaining steady in weaker markets. The significant decline in </w:t>
      </w:r>
      <w:smartTag w:uri="urn:schemas-microsoft-com:office:smarttags" w:element="City">
        <w:r w:rsidRPr="0000605C">
          <w:t>Perth</w:t>
        </w:r>
      </w:smartTag>
      <w:r w:rsidRPr="0000605C">
        <w:t xml:space="preserve"> reflects a broader freeing of labour </w:t>
      </w:r>
      <w:r w:rsidR="00892B3D" w:rsidRPr="0000605C">
        <w:t xml:space="preserve">supply across the </w:t>
      </w:r>
      <w:smartTag w:uri="urn:schemas-microsoft-com:office:smarttags" w:element="City">
        <w:smartTag w:uri="urn:schemas-microsoft-com:office:smarttags" w:element="place">
          <w:r w:rsidR="00892B3D" w:rsidRPr="0000605C">
            <w:t>Perth</w:t>
          </w:r>
        </w:smartTag>
      </w:smartTag>
      <w:r w:rsidR="00892B3D" w:rsidRPr="0000605C">
        <w:t xml:space="preserve"> market.</w:t>
      </w:r>
    </w:p>
    <w:p w:rsidR="005C5C15" w:rsidRPr="0000605C" w:rsidRDefault="004A1F21" w:rsidP="005C5C15">
      <w:pPr>
        <w:rPr>
          <w:lang w:eastAsia="en-AU"/>
        </w:rPr>
      </w:pPr>
      <w:r w:rsidRPr="0000605C">
        <w:rPr>
          <w:lang w:eastAsia="en-AU"/>
        </w:rPr>
        <w:t>Tendered</w:t>
      </w:r>
      <w:r w:rsidR="005C5C15" w:rsidRPr="0000605C">
        <w:rPr>
          <w:lang w:eastAsia="en-AU"/>
        </w:rPr>
        <w:t xml:space="preserve"> rates </w:t>
      </w:r>
      <w:r w:rsidRPr="0000605C">
        <w:rPr>
          <w:lang w:eastAsia="en-AU"/>
        </w:rPr>
        <w:t xml:space="preserve">are expected </w:t>
      </w:r>
      <w:r w:rsidR="005C5C15" w:rsidRPr="0000605C">
        <w:rPr>
          <w:lang w:eastAsia="en-AU"/>
        </w:rPr>
        <w:t>to increase again from mid this year at an annual rate of 4%</w:t>
      </w:r>
      <w:r w:rsidR="00892B3D" w:rsidRPr="0000605C">
        <w:rPr>
          <w:lang w:eastAsia="en-AU"/>
        </w:rPr>
        <w:t>.</w:t>
      </w:r>
    </w:p>
    <w:p w:rsidR="00D101BE" w:rsidRPr="0000605C" w:rsidRDefault="00752FF2" w:rsidP="00D101BE">
      <w:pPr>
        <w:pStyle w:val="BodyText"/>
      </w:pPr>
      <w:r w:rsidRPr="0000605C">
        <w:object w:dxaOrig="9175" w:dyaOrig="4828">
          <v:shape id="_x0000_i1045" type="#_x0000_t75" style="width:459pt;height:241.5pt" o:ole="">
            <v:imagedata r:id="rId85" o:title=""/>
          </v:shape>
          <o:OLEObject Type="Link" ProgID="Excel.Sheet.8" ShapeID="_x0000_i1045" DrawAspect="Content" r:id="rId86" UpdateMode="Always">
            <o:LinkType>EnhancedMetaFile</o:LinkType>
            <o:LockedField>false</o:LockedField>
          </o:OLEObject>
        </w:object>
      </w:r>
    </w:p>
    <w:p w:rsidR="00D101BE" w:rsidRPr="0000605C" w:rsidRDefault="00D101BE" w:rsidP="00D101BE">
      <w:pPr>
        <w:pStyle w:val="BodyText"/>
      </w:pPr>
    </w:p>
    <w:p w:rsidR="00463357" w:rsidRPr="0000605C" w:rsidRDefault="00463357" w:rsidP="00D101BE">
      <w:pPr>
        <w:pStyle w:val="BodyText"/>
      </w:pPr>
    </w:p>
    <w:p w:rsidR="00D101BE" w:rsidRPr="0000605C" w:rsidRDefault="00D101BE" w:rsidP="00D101BE">
      <w:pPr>
        <w:pStyle w:val="Heading3"/>
        <w:keepNext w:val="0"/>
        <w:spacing w:line="240" w:lineRule="auto"/>
      </w:pPr>
      <w:bookmarkStart w:id="72" w:name="_Toc250964533"/>
      <w:bookmarkStart w:id="73" w:name="_Toc294088045"/>
      <w:r w:rsidRPr="0000605C">
        <w:t>Professional Fees</w:t>
      </w:r>
      <w:bookmarkEnd w:id="72"/>
      <w:bookmarkEnd w:id="73"/>
    </w:p>
    <w:p w:rsidR="00FB2F24" w:rsidRPr="0000605C" w:rsidRDefault="00FB2F24" w:rsidP="00481AAA">
      <w:r w:rsidRPr="0000605C">
        <w:t>Professional fees represent a relative minor component of total cost to purchaser. In 2010</w:t>
      </w:r>
      <w:r w:rsidRPr="0000605C">
        <w:rPr>
          <w:color w:val="1F497D"/>
        </w:rPr>
        <w:t>,</w:t>
      </w:r>
      <w:r w:rsidRPr="0000605C">
        <w:t xml:space="preserve"> the proportion of total cost attributable to professional fees was relatively consistent across the five cities (3%).  The dollar value of professional fees increased across all cities, however this was principally due to a change in methodology in the compilation of the 2010 data. In 2009 some geographic variations relating to the development of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land were included. Assumptions on land constraints and resulting professional input (e.g. hydrology, acoustics, </w:t>
      </w:r>
      <w:proofErr w:type="gramStart"/>
      <w:r w:rsidRPr="0000605C">
        <w:t>traffic</w:t>
      </w:r>
      <w:proofErr w:type="gramEnd"/>
      <w:r w:rsidRPr="0000605C">
        <w:t>) varied across some locations. In 2010, these assumptions have been standardised across the locations and now better reflect averages incurred by the developer.</w:t>
      </w:r>
    </w:p>
    <w:p w:rsidR="00481AAA" w:rsidRPr="0000605C" w:rsidRDefault="00752FF2" w:rsidP="00481AAA">
      <w:r w:rsidRPr="0000605C">
        <w:object w:dxaOrig="9175" w:dyaOrig="4828">
          <v:shape id="_x0000_i1046" type="#_x0000_t75" style="width:459pt;height:241.5pt" o:ole="">
            <v:imagedata r:id="rId87" o:title=""/>
          </v:shape>
          <o:OLEObject Type="Link" ProgID="Excel.Sheet.8" ShapeID="_x0000_i1046" DrawAspect="Content" r:id="rId88" UpdateMode="Always">
            <o:LinkType>EnhancedMetaFile</o:LinkType>
            <o:LockedField>false</o:LockedField>
          </o:OLEObject>
        </w:object>
      </w:r>
    </w:p>
    <w:p w:rsidR="00481AAA" w:rsidRPr="0000605C" w:rsidRDefault="00481AAA" w:rsidP="00481AAA"/>
    <w:p w:rsidR="00463357" w:rsidRPr="0000605C" w:rsidRDefault="00463357" w:rsidP="00481AAA"/>
    <w:p w:rsidR="00463357" w:rsidRPr="0000605C" w:rsidRDefault="00463357" w:rsidP="00481AAA"/>
    <w:p w:rsidR="00463357" w:rsidRPr="0000605C" w:rsidRDefault="00463357" w:rsidP="00481AAA"/>
    <w:p w:rsidR="00463357" w:rsidRPr="0000605C" w:rsidRDefault="00463357" w:rsidP="00481AAA"/>
    <w:p w:rsidR="00463357" w:rsidRPr="0000605C" w:rsidRDefault="00463357" w:rsidP="00481AAA"/>
    <w:p w:rsidR="00463357" w:rsidRPr="0000605C" w:rsidRDefault="00463357" w:rsidP="00481AAA"/>
    <w:p w:rsidR="00463357" w:rsidRPr="0000605C" w:rsidRDefault="00463357" w:rsidP="00481AAA"/>
    <w:p w:rsidR="00463357" w:rsidRPr="0000605C" w:rsidRDefault="00463357" w:rsidP="00481AAA"/>
    <w:p w:rsidR="00463357" w:rsidRPr="0000605C" w:rsidRDefault="00463357" w:rsidP="00481AAA"/>
    <w:p w:rsidR="00782F25" w:rsidRPr="0000605C" w:rsidRDefault="00782F25" w:rsidP="00481AAA"/>
    <w:p w:rsidR="00D101BE" w:rsidRPr="0000605C" w:rsidRDefault="00D101BE" w:rsidP="00D101BE">
      <w:pPr>
        <w:pStyle w:val="Heading3"/>
        <w:keepNext w:val="0"/>
        <w:spacing w:line="240" w:lineRule="auto"/>
      </w:pPr>
      <w:bookmarkStart w:id="74" w:name="_Toc250964534"/>
      <w:bookmarkStart w:id="75" w:name="_Toc294088046"/>
      <w:r w:rsidRPr="0000605C">
        <w:lastRenderedPageBreak/>
        <w:t>Government Taxes and Charges</w:t>
      </w:r>
      <w:bookmarkEnd w:id="74"/>
      <w:bookmarkEnd w:id="75"/>
    </w:p>
    <w:p w:rsidR="00FB2F24" w:rsidRPr="0000605C" w:rsidRDefault="00FB2F24" w:rsidP="00FB2F24">
      <w:pPr>
        <w:spacing w:before="0" w:after="0"/>
        <w:rPr>
          <w:rFonts w:cs="Arial"/>
          <w:lang w:eastAsia="en-AU"/>
        </w:rPr>
      </w:pPr>
      <w:r w:rsidRPr="0000605C">
        <w:rPr>
          <w:rFonts w:cs="Arial"/>
          <w:lang w:eastAsia="en-AU"/>
        </w:rPr>
        <w:t xml:space="preserve">In 2010, government taxes and charges have increased moderately across </w:t>
      </w:r>
      <w:smartTag w:uri="urn:schemas-microsoft-com:office:smarttags" w:element="City">
        <w:r w:rsidRPr="0000605C">
          <w:rPr>
            <w:rFonts w:cs="Arial"/>
            <w:lang w:eastAsia="en-AU"/>
          </w:rPr>
          <w:t>Melbourne</w:t>
        </w:r>
      </w:smartTag>
      <w:r w:rsidRPr="0000605C">
        <w:rPr>
          <w:rFonts w:cs="Arial"/>
          <w:lang w:eastAsia="en-AU"/>
        </w:rPr>
        <w:t xml:space="preserve">, </w:t>
      </w:r>
      <w:smartTag w:uri="urn:schemas-microsoft-com:office:smarttags" w:element="City">
        <w:r w:rsidRPr="0000605C">
          <w:rPr>
            <w:rFonts w:cs="Arial"/>
            <w:lang w:eastAsia="en-AU"/>
          </w:rPr>
          <w:t>Perth</w:t>
        </w:r>
      </w:smartTag>
      <w:r w:rsidRPr="0000605C">
        <w:rPr>
          <w:rFonts w:cs="Arial"/>
          <w:lang w:eastAsia="en-AU"/>
        </w:rPr>
        <w:t xml:space="preserve">, and </w:t>
      </w:r>
      <w:smartTag w:uri="urn:schemas-microsoft-com:office:smarttags" w:element="City">
        <w:smartTag w:uri="urn:schemas-microsoft-com:office:smarttags" w:element="place">
          <w:r w:rsidRPr="0000605C">
            <w:rPr>
              <w:rFonts w:cs="Arial"/>
              <w:lang w:eastAsia="en-AU"/>
            </w:rPr>
            <w:t>Adelaide</w:t>
          </w:r>
        </w:smartTag>
      </w:smartTag>
      <w:r w:rsidRPr="0000605C">
        <w:rPr>
          <w:rFonts w:cs="Arial"/>
          <w:lang w:eastAsia="en-AU"/>
        </w:rPr>
        <w:t xml:space="preserve">, generally in line with overall dwelling price movements. This </w:t>
      </w:r>
      <w:r w:rsidR="00F1090D" w:rsidRPr="0000605C">
        <w:rPr>
          <w:rFonts w:cs="Arial"/>
          <w:lang w:eastAsia="en-AU"/>
        </w:rPr>
        <w:t>would be expected as the major government components (GST, and stamp d</w:t>
      </w:r>
      <w:r w:rsidRPr="0000605C">
        <w:rPr>
          <w:rFonts w:cs="Arial"/>
          <w:lang w:eastAsia="en-AU"/>
        </w:rPr>
        <w:t xml:space="preserve">uty) relate principally to the sale price. In the cities which have experienced declines in </w:t>
      </w:r>
      <w:proofErr w:type="gramStart"/>
      <w:smartTag w:uri="urn:schemas-microsoft-com:office:smarttags" w:element="place">
        <w:smartTag w:uri="urn:schemas-microsoft-com:office:smarttags" w:element="City">
          <w:r w:rsidRPr="0000605C">
            <w:rPr>
              <w:rFonts w:cs="Arial"/>
              <w:lang w:eastAsia="en-AU"/>
            </w:rPr>
            <w:t>greenfield</w:t>
          </w:r>
        </w:smartTag>
      </w:smartTag>
      <w:proofErr w:type="gramEnd"/>
      <w:r w:rsidRPr="0000605C">
        <w:rPr>
          <w:rFonts w:cs="Arial"/>
          <w:lang w:eastAsia="en-AU"/>
        </w:rPr>
        <w:t xml:space="preserve"> dwelling prices government taxes and charges have remained stable (Sydney) or fallen (Brisbane). </w:t>
      </w:r>
    </w:p>
    <w:p w:rsidR="00FB2F24" w:rsidRPr="0000605C" w:rsidRDefault="00FB2F24" w:rsidP="00FB2F24">
      <w:pPr>
        <w:spacing w:before="0" w:after="0"/>
        <w:rPr>
          <w:rFonts w:ascii="Calibri" w:hAnsi="Calibri"/>
          <w:sz w:val="22"/>
          <w:szCs w:val="22"/>
          <w:lang w:eastAsia="en-AU"/>
        </w:rPr>
      </w:pPr>
    </w:p>
    <w:p w:rsidR="00D101BE" w:rsidRPr="0000605C" w:rsidRDefault="00752FF2" w:rsidP="00D101BE">
      <w:pPr>
        <w:pStyle w:val="BodyText"/>
      </w:pPr>
      <w:r w:rsidRPr="0000605C">
        <w:object w:dxaOrig="9175" w:dyaOrig="4828">
          <v:shape id="_x0000_i1047" type="#_x0000_t75" style="width:459pt;height:241.5pt" o:ole="">
            <v:imagedata r:id="rId89" o:title=""/>
          </v:shape>
          <o:OLEObject Type="Link" ProgID="Excel.Sheet.8" ShapeID="_x0000_i1047" DrawAspect="Content" r:id="rId90" UpdateMode="Always">
            <o:LinkType>EnhancedMetaFile</o:LinkType>
            <o:LockedField>false</o:LockedField>
          </o:OLEObject>
        </w:object>
      </w:r>
    </w:p>
    <w:p w:rsidR="00F1574E" w:rsidRPr="0000605C" w:rsidRDefault="00F1574E" w:rsidP="00F1574E">
      <w:r w:rsidRPr="0000605C">
        <w:t xml:space="preserve">An examination of the sub components of government taxes and charges provides insight into these movements. The decline in government taxes and charges for </w:t>
      </w:r>
      <w:proofErr w:type="gramStart"/>
      <w:smartTag w:uri="urn:schemas-microsoft-com:office:smarttags" w:element="City">
        <w:r w:rsidRPr="0000605C">
          <w:t>greenfield</w:t>
        </w:r>
      </w:smartTag>
      <w:proofErr w:type="gramEnd"/>
      <w:r w:rsidRPr="0000605C">
        <w:t xml:space="preserve"> dwellings in </w:t>
      </w:r>
      <w:smartTag w:uri="urn:schemas-microsoft-com:office:smarttags" w:element="place">
        <w:smartTag w:uri="urn:schemas-microsoft-com:office:smarttags" w:element="City">
          <w:r w:rsidRPr="0000605C">
            <w:t>Brisbane</w:t>
          </w:r>
        </w:smartTag>
      </w:smartTag>
      <w:r w:rsidRPr="0000605C">
        <w:t xml:space="preserve"> in 2010 is principally due to the lower levels of stamp duty resulting from the Queensland Government’s concessions in stamp duty to assist low income home buyers. Owing to this</w:t>
      </w:r>
      <w:r w:rsidRPr="0000605C">
        <w:rPr>
          <w:color w:val="1F497D"/>
        </w:rPr>
        <w:t xml:space="preserve"> </w:t>
      </w:r>
      <w:smartTag w:uri="urn:schemas-microsoft-com:office:smarttags" w:element="State">
        <w:r w:rsidRPr="0000605C">
          <w:t>Queensland</w:t>
        </w:r>
      </w:smartTag>
      <w:r w:rsidRPr="0000605C">
        <w:t xml:space="preserve"> has increased its advantage in stamp duty costs for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(generally entry level housing) over the other states. This is not as visible for the development industry as the majority of this cost is incurred after the sale, and is unlikely to be part of the comparison that interstate buyers make when considering relocating from another state. For Brisbane Greenfield dwellings, the GST liability has also declined with the decline in the dwelling price, while infrastructure charges have remained steady at around $27,000. </w:t>
      </w:r>
    </w:p>
    <w:p w:rsidR="00F1574E" w:rsidRPr="0000605C" w:rsidRDefault="00F1574E" w:rsidP="00F1574E">
      <w:pPr>
        <w:spacing w:before="0" w:after="0"/>
        <w:rPr>
          <w:rFonts w:cs="Arial"/>
          <w:lang w:eastAsia="en-AU"/>
        </w:rPr>
      </w:pPr>
      <w:r w:rsidRPr="0000605C">
        <w:rPr>
          <w:rFonts w:cs="Arial"/>
          <w:lang w:eastAsia="en-AU"/>
        </w:rPr>
        <w:t xml:space="preserve">In 2010, government taxes and charges in </w:t>
      </w:r>
      <w:smartTag w:uri="urn:schemas-microsoft-com:office:smarttags" w:element="City">
        <w:smartTag w:uri="urn:schemas-microsoft-com:office:smarttags" w:element="place">
          <w:r w:rsidRPr="0000605C">
            <w:rPr>
              <w:rFonts w:cs="Arial"/>
              <w:lang w:eastAsia="en-AU"/>
            </w:rPr>
            <w:t>Sydney</w:t>
          </w:r>
        </w:smartTag>
      </w:smartTag>
      <w:r w:rsidRPr="0000605C">
        <w:rPr>
          <w:rFonts w:cs="Arial"/>
          <w:lang w:eastAsia="en-AU"/>
        </w:rPr>
        <w:t xml:space="preserve"> remained at around the same level as in 2009, although they rose as a proportion of total cost to purchaser from 21% to 22%. In </w:t>
      </w:r>
      <w:smartTag w:uri="urn:schemas-microsoft-com:office:smarttags" w:element="City">
        <w:smartTag w:uri="urn:schemas-microsoft-com:office:smarttags" w:element="place">
          <w:r w:rsidRPr="0000605C">
            <w:rPr>
              <w:rFonts w:cs="Arial"/>
              <w:lang w:eastAsia="en-AU"/>
            </w:rPr>
            <w:t>Sydney</w:t>
          </w:r>
        </w:smartTag>
      </w:smartTag>
      <w:r w:rsidRPr="0000605C">
        <w:rPr>
          <w:rFonts w:cs="Arial"/>
          <w:lang w:eastAsia="en-AU"/>
        </w:rPr>
        <w:t xml:space="preserve">, declines in GST and stamp duty due to lower sale prices have been offset by an increase in infrastructure charges. This is mostly due to the inclusion of a $15,000 state infrastructure charge on top of the average $30,000 local government charges. </w:t>
      </w:r>
    </w:p>
    <w:p w:rsidR="00F1574E" w:rsidRPr="0000605C" w:rsidRDefault="00F1574E" w:rsidP="00F1574E">
      <w:pPr>
        <w:spacing w:before="0" w:after="0"/>
        <w:rPr>
          <w:rFonts w:ascii="Calibri" w:hAnsi="Calibri"/>
          <w:sz w:val="22"/>
          <w:szCs w:val="22"/>
          <w:lang w:eastAsia="en-AU"/>
        </w:rPr>
      </w:pPr>
    </w:p>
    <w:p w:rsidR="00D101BE" w:rsidRPr="0000605C" w:rsidRDefault="00D101BE" w:rsidP="00D101BE">
      <w:pPr>
        <w:pStyle w:val="BodyText"/>
      </w:pPr>
    </w:p>
    <w:p w:rsidR="00D101BE" w:rsidRPr="0000605C" w:rsidRDefault="00752FF2" w:rsidP="00D101BE">
      <w:pPr>
        <w:pStyle w:val="BodyText"/>
      </w:pPr>
      <w:r w:rsidRPr="0000605C">
        <w:object w:dxaOrig="9175" w:dyaOrig="5078">
          <v:shape id="_x0000_i1048" type="#_x0000_t75" style="width:459pt;height:254.25pt" o:ole="">
            <v:imagedata r:id="rId91" o:title=""/>
          </v:shape>
          <o:OLEObject Type="Link" ProgID="Excel.Sheet.8" ShapeID="_x0000_i1048" DrawAspect="Content" r:id="rId92" UpdateMode="Always">
            <o:LinkType>EnhancedMetaFile</o:LinkType>
            <o:LockedField>false</o:LockedField>
          </o:OLEObject>
        </w:object>
      </w:r>
    </w:p>
    <w:p w:rsidR="00481AAA" w:rsidRPr="0000605C" w:rsidRDefault="00481AAA"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D101BE" w:rsidRPr="0000605C" w:rsidRDefault="00D101BE" w:rsidP="00D101BE">
      <w:pPr>
        <w:pStyle w:val="Heading3"/>
        <w:keepNext w:val="0"/>
        <w:spacing w:line="240" w:lineRule="auto"/>
      </w:pPr>
      <w:bookmarkStart w:id="76" w:name="_Toc250964535"/>
      <w:bookmarkStart w:id="77" w:name="_Toc294088047"/>
      <w:r w:rsidRPr="0000605C">
        <w:lastRenderedPageBreak/>
        <w:t>Development Costs and Interest</w:t>
      </w:r>
      <w:bookmarkEnd w:id="76"/>
      <w:bookmarkEnd w:id="77"/>
    </w:p>
    <w:p w:rsidR="005055E6" w:rsidRPr="0000605C" w:rsidRDefault="005055E6" w:rsidP="005055E6">
      <w:r w:rsidRPr="0000605C">
        <w:t xml:space="preserve">In 2010, development costs and interest rose notably in Sydney (from $58,000 in 2009 to $81,000 in 2010), Melbourne (from $39,000 to $54,000), and </w:t>
      </w:r>
      <w:smartTag w:uri="urn:schemas-microsoft-com:office:smarttags" w:element="City">
        <w:smartTag w:uri="urn:schemas-microsoft-com:office:smarttags" w:element="place">
          <w:r w:rsidRPr="0000605C">
            <w:t>Adelaide</w:t>
          </w:r>
        </w:smartTag>
      </w:smartTag>
      <w:r w:rsidRPr="0000605C">
        <w:t xml:space="preserve"> ($38,000 to $51,000). This reflected rises in interest rates, marketing costs and increased levels of required due diligence on s</w:t>
      </w:r>
      <w:r w:rsidR="00892B3D" w:rsidRPr="0000605C">
        <w:t>ite acquisitions following the global financial c</w:t>
      </w:r>
      <w:r w:rsidRPr="0000605C">
        <w:t xml:space="preserve">risis. </w:t>
      </w:r>
    </w:p>
    <w:p w:rsidR="00274B1E" w:rsidRPr="0000605C" w:rsidRDefault="00B7048A" w:rsidP="005055E6">
      <w:r w:rsidRPr="0000605C">
        <w:t xml:space="preserve">With the reserve bank lifting interest rates </w:t>
      </w:r>
      <w:r w:rsidR="00274B1E" w:rsidRPr="0000605C">
        <w:t>by 100 basis points over the 2010 calendar year</w:t>
      </w:r>
      <w:r w:rsidR="00B95281" w:rsidRPr="0000605C">
        <w:t>,</w:t>
      </w:r>
      <w:r w:rsidR="00274B1E" w:rsidRPr="0000605C">
        <w:t xml:space="preserve"> developers incurred increases in borrowing costs, most notably interest payable. </w:t>
      </w:r>
    </w:p>
    <w:p w:rsidR="008C1808" w:rsidRPr="0000605C" w:rsidRDefault="008C1808" w:rsidP="0036448B">
      <w:r w:rsidRPr="0000605C">
        <w:t xml:space="preserve">With many </w:t>
      </w:r>
      <w:r w:rsidR="00B7048A" w:rsidRPr="0000605C">
        <w:t xml:space="preserve">housing </w:t>
      </w:r>
      <w:r w:rsidRPr="0000605C">
        <w:t xml:space="preserve">markets finding it difficult to gather momentum, marketing campaigns and </w:t>
      </w:r>
      <w:r w:rsidR="00464AF4" w:rsidRPr="0000605C">
        <w:t>selling strategies</w:t>
      </w:r>
      <w:r w:rsidR="00274B1E" w:rsidRPr="0000605C">
        <w:t xml:space="preserve"> (</w:t>
      </w:r>
      <w:r w:rsidR="00464AF4" w:rsidRPr="0000605C">
        <w:t>including targeting investor groups</w:t>
      </w:r>
      <w:r w:rsidR="00274B1E" w:rsidRPr="0000605C">
        <w:t>)</w:t>
      </w:r>
      <w:r w:rsidR="00464AF4" w:rsidRPr="0000605C">
        <w:t xml:space="preserve"> have meant developers </w:t>
      </w:r>
      <w:r w:rsidR="00834D33" w:rsidRPr="0000605C">
        <w:t>have been</w:t>
      </w:r>
      <w:r w:rsidR="00B7048A" w:rsidRPr="0000605C">
        <w:t xml:space="preserve"> required to spend more on marketing in order to maintain cash flow</w:t>
      </w:r>
      <w:r w:rsidR="00834D33" w:rsidRPr="0000605C">
        <w:t>s</w:t>
      </w:r>
      <w:r w:rsidR="00B7048A" w:rsidRPr="0000605C">
        <w:t xml:space="preserve">.  </w:t>
      </w:r>
    </w:p>
    <w:p w:rsidR="00D101BE" w:rsidRPr="0000605C" w:rsidRDefault="00752FF2" w:rsidP="00D101BE">
      <w:pPr>
        <w:pStyle w:val="BodyText"/>
      </w:pPr>
      <w:r w:rsidRPr="0000605C">
        <w:object w:dxaOrig="9208" w:dyaOrig="4828">
          <v:shape id="_x0000_i1049" type="#_x0000_t75" style="width:460.5pt;height:241.5pt" o:ole="">
            <v:imagedata r:id="rId93" o:title=""/>
          </v:shape>
          <o:OLEObject Type="Link" ProgID="Excel.Sheet.8" ShapeID="_x0000_i1049" DrawAspect="Content" r:id="rId94" UpdateMode="Always">
            <o:LinkType>EnhancedMetaFile</o:LinkType>
            <o:LockedField>false</o:LockedField>
          </o:OLEObject>
        </w:object>
      </w:r>
    </w:p>
    <w:p w:rsidR="005055E6" w:rsidRPr="0000605C" w:rsidRDefault="005055E6" w:rsidP="005055E6">
      <w:pPr>
        <w:spacing w:before="0" w:after="0"/>
        <w:rPr>
          <w:rFonts w:cs="Arial"/>
          <w:lang w:eastAsia="en-AU"/>
        </w:rPr>
      </w:pPr>
      <w:r w:rsidRPr="0000605C">
        <w:rPr>
          <w:rFonts w:cs="Arial"/>
          <w:lang w:eastAsia="en-AU"/>
        </w:rPr>
        <w:t>As a result of these factors there was</w:t>
      </w:r>
      <w:r w:rsidRPr="0000605C">
        <w:rPr>
          <w:rFonts w:cs="Arial"/>
          <w:color w:val="1F497D"/>
          <w:lang w:eastAsia="en-AU"/>
        </w:rPr>
        <w:t xml:space="preserve"> </w:t>
      </w:r>
      <w:r w:rsidRPr="0000605C">
        <w:rPr>
          <w:rFonts w:cs="Arial"/>
          <w:lang w:eastAsia="en-AU"/>
        </w:rPr>
        <w:t>an increase in the proportion of total cost to purchaser attributable to development costs and interest from 9% in 2009  to 10-14% in 2010</w:t>
      </w:r>
      <w:r w:rsidRPr="0000605C">
        <w:rPr>
          <w:rFonts w:cs="Arial"/>
          <w:color w:val="1F497D"/>
          <w:lang w:eastAsia="en-AU"/>
        </w:rPr>
        <w:t xml:space="preserve"> </w:t>
      </w:r>
      <w:r w:rsidRPr="0000605C">
        <w:rPr>
          <w:rFonts w:cs="Arial"/>
          <w:lang w:eastAsia="en-AU"/>
        </w:rPr>
        <w:t xml:space="preserve">across nearly all cities. Development costs in </w:t>
      </w:r>
      <w:smartTag w:uri="urn:schemas-microsoft-com:office:smarttags" w:element="City">
        <w:smartTag w:uri="urn:schemas-microsoft-com:office:smarttags" w:element="place">
          <w:r w:rsidRPr="0000605C">
            <w:rPr>
              <w:rFonts w:cs="Arial"/>
              <w:lang w:eastAsia="en-AU"/>
            </w:rPr>
            <w:t>Brisbane</w:t>
          </w:r>
        </w:smartTag>
      </w:smartTag>
      <w:r w:rsidRPr="0000605C">
        <w:rPr>
          <w:rFonts w:cs="Arial"/>
          <w:lang w:eastAsia="en-AU"/>
        </w:rPr>
        <w:t xml:space="preserve"> experienced similar proportional increase from 9% to 10%. However</w:t>
      </w:r>
      <w:proofErr w:type="gramStart"/>
      <w:r w:rsidRPr="0000605C">
        <w:rPr>
          <w:rFonts w:cs="Arial"/>
          <w:lang w:eastAsia="en-AU"/>
        </w:rPr>
        <w:t>,  the</w:t>
      </w:r>
      <w:proofErr w:type="gramEnd"/>
      <w:r w:rsidRPr="0000605C">
        <w:rPr>
          <w:rFonts w:cs="Arial"/>
          <w:lang w:eastAsia="en-AU"/>
        </w:rPr>
        <w:t xml:space="preserve"> overall cost figure in </w:t>
      </w:r>
      <w:smartTag w:uri="urn:schemas-microsoft-com:office:smarttags" w:element="place">
        <w:smartTag w:uri="urn:schemas-microsoft-com:office:smarttags" w:element="City">
          <w:r w:rsidRPr="0000605C">
            <w:rPr>
              <w:rFonts w:cs="Arial"/>
              <w:lang w:eastAsia="en-AU"/>
            </w:rPr>
            <w:t>Brisbane</w:t>
          </w:r>
        </w:smartTag>
      </w:smartTag>
      <w:r w:rsidRPr="0000605C">
        <w:rPr>
          <w:rFonts w:cs="Arial"/>
          <w:lang w:eastAsia="en-AU"/>
        </w:rPr>
        <w:t xml:space="preserve"> remained relatively steady indicating the decline in total costs is the cause for the proportional increase of this component. </w:t>
      </w:r>
      <w:smartTag w:uri="urn:schemas-microsoft-com:office:smarttags" w:element="City">
        <w:smartTag w:uri="urn:schemas-microsoft-com:office:smarttags" w:element="place">
          <w:r w:rsidRPr="0000605C">
            <w:rPr>
              <w:rFonts w:cs="Arial"/>
              <w:lang w:eastAsia="en-AU"/>
            </w:rPr>
            <w:t>Perth</w:t>
          </w:r>
        </w:smartTag>
      </w:smartTag>
      <w:r w:rsidRPr="0000605C">
        <w:rPr>
          <w:rFonts w:cs="Arial"/>
          <w:lang w:eastAsia="en-AU"/>
        </w:rPr>
        <w:t xml:space="preserve"> is the only location where despite a modest increase in this component, development costs and interest continue to account for 9% of total costs to purchasers. </w:t>
      </w:r>
    </w:p>
    <w:p w:rsidR="005055E6" w:rsidRPr="0000605C" w:rsidRDefault="005055E6" w:rsidP="005055E6">
      <w:pPr>
        <w:spacing w:before="0" w:after="0"/>
        <w:rPr>
          <w:rFonts w:ascii="Calibri" w:hAnsi="Calibri"/>
          <w:sz w:val="22"/>
          <w:szCs w:val="22"/>
          <w:lang w:eastAsia="en-AU"/>
        </w:rPr>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463357" w:rsidRPr="0000605C" w:rsidRDefault="00463357" w:rsidP="00D101BE">
      <w:pPr>
        <w:pStyle w:val="BodyText"/>
      </w:pPr>
    </w:p>
    <w:p w:rsidR="00D101BE" w:rsidRPr="0000605C" w:rsidRDefault="00D101BE" w:rsidP="00D101BE">
      <w:pPr>
        <w:pStyle w:val="Heading3"/>
        <w:keepNext w:val="0"/>
        <w:spacing w:line="240" w:lineRule="auto"/>
      </w:pPr>
      <w:bookmarkStart w:id="78" w:name="_Toc250964536"/>
      <w:bookmarkStart w:id="79" w:name="_Toc294088048"/>
      <w:r w:rsidRPr="0000605C">
        <w:lastRenderedPageBreak/>
        <w:t>Development Profit</w:t>
      </w:r>
      <w:bookmarkEnd w:id="78"/>
      <w:bookmarkEnd w:id="79"/>
    </w:p>
    <w:p w:rsidR="005055E6" w:rsidRPr="0000605C" w:rsidRDefault="005055E6" w:rsidP="005055E6">
      <w:r w:rsidRPr="0000605C">
        <w:t xml:space="preserve">In 2010, there was a tightening in the profit levels in the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 development market in nearly all cities. The exception was </w:t>
      </w:r>
      <w:smartTag w:uri="urn:schemas-microsoft-com:office:smarttags" w:element="City">
        <w:smartTag w:uri="urn:schemas-microsoft-com:office:smarttags" w:element="place">
          <w:r w:rsidRPr="0000605C">
            <w:t>Perth</w:t>
          </w:r>
        </w:smartTag>
      </w:smartTag>
      <w:r w:rsidRPr="0000605C">
        <w:t xml:space="preserve"> where developers profit rose to a creditable 13% of total costs to purchasers. This was due to a solid rise in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 prices and notable falls in land costs, and construction costs. While the market in </w:t>
      </w:r>
      <w:smartTag w:uri="urn:schemas-microsoft-com:office:smarttags" w:element="City">
        <w:smartTag w:uri="urn:schemas-microsoft-com:office:smarttags" w:element="place">
          <w:r w:rsidRPr="0000605C">
            <w:t>Melbourne</w:t>
          </w:r>
        </w:smartTag>
      </w:smartTag>
      <w:r w:rsidRPr="0000605C">
        <w:t xml:space="preserve"> remained relatively strong, costs increased faster than sale prices in 2010. This resulted in development profi</w:t>
      </w:r>
      <w:r w:rsidR="00DB6BB7" w:rsidRPr="0000605C">
        <w:t xml:space="preserve">t remaining steady at $44,000, </w:t>
      </w:r>
      <w:r w:rsidRPr="0000605C">
        <w:t xml:space="preserve">but a decline from 11% to 9% of total costs to purchasers. </w:t>
      </w:r>
    </w:p>
    <w:p w:rsidR="00D101BE" w:rsidRPr="0000605C" w:rsidRDefault="00752FF2" w:rsidP="005055E6">
      <w:r w:rsidRPr="0000605C">
        <w:object w:dxaOrig="9175" w:dyaOrig="4828">
          <v:shape id="_x0000_i1050" type="#_x0000_t75" style="width:459pt;height:241.5pt" o:ole="">
            <v:imagedata r:id="rId95" o:title=""/>
          </v:shape>
          <o:OLEObject Type="Link" ProgID="Excel.Sheet.8" ShapeID="_x0000_i1050" DrawAspect="Content" r:id="rId96" UpdateMode="Always">
            <o:LinkType>EnhancedMetaFile</o:LinkType>
            <o:LockedField>false</o:LockedField>
          </o:OLEObject>
        </w:object>
      </w:r>
    </w:p>
    <w:p w:rsidR="00121AFB" w:rsidRPr="0000605C" w:rsidRDefault="00121AFB" w:rsidP="00121AFB">
      <w:smartTag w:uri="urn:schemas-microsoft-com:office:smarttags" w:element="City">
        <w:r w:rsidRPr="0000605C">
          <w:t>Brisbane</w:t>
        </w:r>
      </w:smartTag>
      <w:r w:rsidRPr="0000605C">
        <w:t xml:space="preserve">’s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 market was difficult in 2010. New dwelling approval rates for detached dwellings rose in the early part of the year but then fell in the second half as the housing recovery stalled. Current new dwelling approval levels are still well below the five and ten year averages for new detached dwellings in </w:t>
      </w:r>
      <w:smartTag w:uri="urn:schemas-microsoft-com:office:smarttags" w:element="City">
        <w:smartTag w:uri="urn:schemas-microsoft-com:office:smarttags" w:element="place">
          <w:r w:rsidRPr="0000605C">
            <w:t>Brisbane</w:t>
          </w:r>
        </w:smartTag>
      </w:smartTag>
      <w:r w:rsidRPr="0000605C">
        <w:t xml:space="preserve">. This was reflected in substantial reductions in dwelling prices in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areas in 2010. Developers responded to this through reductions in lot sizes. In comparison to </w:t>
      </w:r>
      <w:smartTag w:uri="urn:schemas-microsoft-com:office:smarttags" w:element="City">
        <w:r w:rsidRPr="0000605C">
          <w:t>Melbourne</w:t>
        </w:r>
      </w:smartTag>
      <w:r w:rsidRPr="0000605C">
        <w:t xml:space="preserve"> though it would appear that there needs to be a greater spread of this across the </w:t>
      </w:r>
      <w:smartTag w:uri="urn:schemas-microsoft-com:office:smarttags" w:element="City">
        <w:r w:rsidRPr="0000605C">
          <w:t>Brisbane</w:t>
        </w:r>
      </w:smartTag>
      <w:r w:rsidRPr="0000605C">
        <w:t xml:space="preserve">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market. As a result developer profit in </w:t>
      </w:r>
      <w:smartTag w:uri="urn:schemas-microsoft-com:office:smarttags" w:element="City">
        <w:smartTag w:uri="urn:schemas-microsoft-com:office:smarttags" w:element="place">
          <w:r w:rsidRPr="0000605C">
            <w:t>Brisbane</w:t>
          </w:r>
        </w:smartTag>
      </w:smartTag>
      <w:r w:rsidRPr="0000605C">
        <w:t xml:space="preserve"> declined fro</w:t>
      </w:r>
      <w:r w:rsidR="00DB6BB7" w:rsidRPr="0000605C">
        <w:t>m $38,000 to $34,000 per house.</w:t>
      </w:r>
    </w:p>
    <w:p w:rsidR="00390BBF" w:rsidRPr="0000605C" w:rsidRDefault="00390BBF" w:rsidP="00121AFB">
      <w:smartTag w:uri="urn:schemas-microsoft-com:office:smarttags" w:element="City">
        <w:r w:rsidRPr="0000605C">
          <w:t>Sydney</w:t>
        </w:r>
      </w:smartTag>
      <w:r w:rsidRPr="0000605C">
        <w:t xml:space="preserve"> like </w:t>
      </w:r>
      <w:smartTag w:uri="urn:schemas-microsoft-com:office:smarttags" w:element="City">
        <w:r w:rsidRPr="0000605C">
          <w:t>Brisbane</w:t>
        </w:r>
      </w:smartTag>
      <w:r w:rsidR="00FD5BB4" w:rsidRPr="0000605C">
        <w:t xml:space="preserve"> has experienced a difficult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dwelling market during 2010.</w:t>
      </w:r>
      <w:r w:rsidR="00FD5BB4" w:rsidRPr="0000605C">
        <w:t xml:space="preserve"> While</w:t>
      </w:r>
      <w:r w:rsidR="00DD246A" w:rsidRPr="0000605C">
        <w:t xml:space="preserve"> prices have co</w:t>
      </w:r>
      <w:r w:rsidR="00F4079F" w:rsidRPr="0000605C">
        <w:t>me down along with declines in land, and government taxes and c</w:t>
      </w:r>
      <w:r w:rsidR="00DD246A" w:rsidRPr="0000605C">
        <w:t>harges, these have</w:t>
      </w:r>
      <w:r w:rsidR="00F4079F" w:rsidRPr="0000605C">
        <w:t xml:space="preserve"> been offset with increases in professional fees, construction costs, and developer costs and i</w:t>
      </w:r>
      <w:r w:rsidR="00DD246A" w:rsidRPr="0000605C">
        <w:t xml:space="preserve">nterest. This has resulted in a reduction in </w:t>
      </w:r>
      <w:r w:rsidR="00F4079F" w:rsidRPr="0000605C">
        <w:t>d</w:t>
      </w:r>
      <w:r w:rsidR="00DD246A" w:rsidRPr="0000605C">
        <w:t xml:space="preserve">evelopers </w:t>
      </w:r>
      <w:r w:rsidR="00F4079F" w:rsidRPr="0000605C">
        <w:t>p</w:t>
      </w:r>
      <w:r w:rsidR="00DD246A" w:rsidRPr="0000605C">
        <w:t>rofit from $6</w:t>
      </w:r>
      <w:r w:rsidR="004373C4" w:rsidRPr="0000605C">
        <w:t>5</w:t>
      </w:r>
      <w:r w:rsidR="00DD246A" w:rsidRPr="0000605C">
        <w:t xml:space="preserve">,000 (10% of </w:t>
      </w:r>
      <w:r w:rsidR="00F4079F" w:rsidRPr="0000605C">
        <w:t>t</w:t>
      </w:r>
      <w:r w:rsidR="00DD246A" w:rsidRPr="0000605C">
        <w:t xml:space="preserve">otal </w:t>
      </w:r>
      <w:r w:rsidR="00F4079F" w:rsidRPr="0000605C">
        <w:t>c</w:t>
      </w:r>
      <w:r w:rsidR="00DD246A" w:rsidRPr="0000605C">
        <w:t xml:space="preserve">osts to </w:t>
      </w:r>
      <w:r w:rsidR="00F4079F" w:rsidRPr="0000605C">
        <w:t>p</w:t>
      </w:r>
      <w:r w:rsidR="00DD246A" w:rsidRPr="0000605C">
        <w:t>urchasers) to $</w:t>
      </w:r>
      <w:r w:rsidR="004373C4" w:rsidRPr="0000605C">
        <w:t>18</w:t>
      </w:r>
      <w:r w:rsidR="00DD246A" w:rsidRPr="0000605C">
        <w:t>,000 (</w:t>
      </w:r>
      <w:r w:rsidR="004373C4" w:rsidRPr="0000605C">
        <w:t>3</w:t>
      </w:r>
      <w:r w:rsidR="00DD246A" w:rsidRPr="0000605C">
        <w:t>%</w:t>
      </w:r>
      <w:r w:rsidR="00DB6BB7" w:rsidRPr="0000605C">
        <w:t xml:space="preserve"> of total costs to purchasers</w:t>
      </w:r>
      <w:r w:rsidR="00DD246A" w:rsidRPr="0000605C">
        <w:t>).</w:t>
      </w:r>
    </w:p>
    <w:p w:rsidR="00390BBF" w:rsidRPr="0000605C" w:rsidRDefault="00390BBF" w:rsidP="00D101BE">
      <w:r w:rsidRPr="0000605C">
        <w:t xml:space="preserve">The </w:t>
      </w:r>
      <w:smartTag w:uri="urn:schemas-microsoft-com:office:smarttags" w:element="City">
        <w:smartTag w:uri="urn:schemas-microsoft-com:office:smarttags" w:element="place">
          <w:r w:rsidRPr="0000605C">
            <w:t>Adelaide</w:t>
          </w:r>
        </w:smartTag>
      </w:smartTag>
      <w:r w:rsidRPr="0000605C">
        <w:t xml:space="preserve"> market appears to have turned during 2010 with costs increasing at a higher rate than dwelling sal</w:t>
      </w:r>
      <w:r w:rsidR="00F4079F" w:rsidRPr="0000605C">
        <w:t>e prices. Notable increases in land, government taxes and charges, professional fees, and development costs and i</w:t>
      </w:r>
      <w:r w:rsidRPr="0000605C">
        <w:t xml:space="preserve">nterest </w:t>
      </w:r>
      <w:r w:rsidR="00F4079F" w:rsidRPr="0000605C">
        <w:t>have resulted in a decrease in developer p</w:t>
      </w:r>
      <w:r w:rsidRPr="0000605C">
        <w:t>ro</w:t>
      </w:r>
      <w:r w:rsidR="00F4079F" w:rsidRPr="0000605C">
        <w:t>fit from 10% to 5% of total costs to p</w:t>
      </w:r>
      <w:r w:rsidRPr="0000605C">
        <w:t>urchasers.</w:t>
      </w:r>
    </w:p>
    <w:p w:rsidR="008557E5" w:rsidRPr="0000605C" w:rsidRDefault="008557E5" w:rsidP="00D101BE"/>
    <w:p w:rsidR="008557E5" w:rsidRPr="0000605C" w:rsidRDefault="008557E5" w:rsidP="00D101BE"/>
    <w:p w:rsidR="008557E5" w:rsidRPr="0000605C" w:rsidRDefault="008557E5" w:rsidP="00D101BE"/>
    <w:p w:rsidR="00DB6BB7" w:rsidRPr="0000605C" w:rsidRDefault="00DB6BB7" w:rsidP="00D101BE"/>
    <w:p w:rsidR="00D101BE" w:rsidRPr="0000605C" w:rsidRDefault="00D101BE" w:rsidP="002B12CA">
      <w:pPr>
        <w:pStyle w:val="Heading2"/>
        <w:keepNext w:val="0"/>
        <w:spacing w:before="360" w:line="240" w:lineRule="auto"/>
      </w:pPr>
      <w:bookmarkStart w:id="80" w:name="_Toc250964537"/>
      <w:bookmarkStart w:id="81" w:name="_Toc250998411"/>
      <w:bookmarkStart w:id="82" w:name="_Toc294088049"/>
      <w:r w:rsidRPr="0000605C">
        <w:lastRenderedPageBreak/>
        <w:t xml:space="preserve">Infill vs </w:t>
      </w:r>
      <w:smartTag w:uri="urn:schemas-microsoft-com:office:smarttags" w:element="City">
        <w:smartTag w:uri="urn:schemas-microsoft-com:office:smarttags" w:element="place">
          <w:r w:rsidRPr="0000605C">
            <w:t>Greenfield</w:t>
          </w:r>
        </w:smartTag>
      </w:smartTag>
      <w:bookmarkEnd w:id="80"/>
      <w:bookmarkEnd w:id="81"/>
      <w:bookmarkEnd w:id="82"/>
    </w:p>
    <w:p w:rsidR="003F179F" w:rsidRPr="0000605C" w:rsidRDefault="003F179F" w:rsidP="003F179F">
      <w:r w:rsidRPr="0000605C">
        <w:t xml:space="preserve">A comparison of infill and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 costs in 2009 was presented</w:t>
      </w:r>
      <w:r w:rsidR="00DB6BB7" w:rsidRPr="0000605C">
        <w:t xml:space="preserve"> in the </w:t>
      </w:r>
      <w:r w:rsidR="00781AE9">
        <w:t>previous</w:t>
      </w:r>
      <w:r w:rsidR="00DB6BB7" w:rsidRPr="0000605C">
        <w:t xml:space="preserve"> National Dwelling C</w:t>
      </w:r>
      <w:r w:rsidRPr="0000605C">
        <w:t xml:space="preserve">osts Study report to ascertain the price and cost competitiveness between the two types of dwelling products across different locations at this time. The objective was to gain insight into how this may assist in improving housing affordability. In this analysis,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in 2010 in all major cities had cost advantages over infill dwellings, however the scale of the advantage varied substantially across the cities. </w:t>
      </w:r>
    </w:p>
    <w:p w:rsidR="003F179F" w:rsidRPr="0000605C" w:rsidRDefault="003F179F" w:rsidP="003F179F">
      <w:r w:rsidRPr="0000605C">
        <w:t xml:space="preserve">The difference between the total costs to purchasers for </w:t>
      </w:r>
      <w:proofErr w:type="gramStart"/>
      <w:smartTag w:uri="urn:schemas-microsoft-com:office:smarttags" w:element="City">
        <w:r w:rsidRPr="0000605C">
          <w:t>greenfield</w:t>
        </w:r>
      </w:smartTag>
      <w:proofErr w:type="gramEnd"/>
      <w:r w:rsidRPr="0000605C">
        <w:t xml:space="preserve"> and infill dwellings is greatest in </w:t>
      </w:r>
      <w:smartTag w:uri="urn:schemas-microsoft-com:office:smarttags" w:element="City">
        <w:r w:rsidRPr="0000605C">
          <w:t>Brisbane</w:t>
        </w:r>
      </w:smartTag>
      <w:r w:rsidRPr="0000605C">
        <w:t xml:space="preserve"> (32%) due to the decline in </w:t>
      </w:r>
      <w:smartTag w:uri="urn:schemas-microsoft-com:office:smarttags" w:element="place">
        <w:smartTag w:uri="urn:schemas-microsoft-com:office:smarttags" w:element="City">
          <w:r w:rsidRPr="0000605C">
            <w:t>greenfield</w:t>
          </w:r>
        </w:smartTag>
      </w:smartTag>
      <w:r w:rsidRPr="0000605C">
        <w:t xml:space="preserve"> dwelling prices and associated cost cutting. Land is also much cheaper for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than for infill dwellings. This is not the case in most of the other cities including Sydney and Melbourne where land is around twice as expensive for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compared to infill dwellings. Professional fees are substantially cheaper for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due to the less complex nature of these types of dwellings including limited architectural costs, and generally cheaper costs for traffic consultants, noise, and other specialists. </w:t>
      </w:r>
    </w:p>
    <w:p w:rsidR="000C79AF" w:rsidRPr="0000605C" w:rsidRDefault="000C79AF" w:rsidP="003F179F">
      <w:smartTag w:uri="urn:schemas-microsoft-com:office:smarttags" w:element="City">
        <w:r w:rsidRPr="0000605C">
          <w:t>Sydney</w:t>
        </w:r>
      </w:smartTag>
      <w:r w:rsidRPr="0000605C">
        <w:t xml:space="preserve"> (5%) and </w:t>
      </w:r>
      <w:smartTag w:uri="urn:schemas-microsoft-com:office:smarttags" w:element="City">
        <w:r w:rsidRPr="0000605C">
          <w:t>Adelaide</w:t>
        </w:r>
      </w:smartTag>
      <w:r w:rsidRPr="0000605C">
        <w:t xml:space="preserve"> (10%) have minimal</w:t>
      </w:r>
      <w:r w:rsidR="00FD5BB4" w:rsidRPr="0000605C">
        <w:t xml:space="preserve"> variations between infill and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dwelling costs. This appears to reflect different situations. </w:t>
      </w:r>
      <w:smartTag w:uri="urn:schemas-microsoft-com:office:smarttags" w:element="City">
        <w:r w:rsidRPr="0000605C">
          <w:t>Sydney</w:t>
        </w:r>
      </w:smartTag>
      <w:r w:rsidR="00FD5BB4" w:rsidRPr="0000605C">
        <w:t>’s established i</w:t>
      </w:r>
      <w:r w:rsidRPr="0000605C">
        <w:t>nfill dwelling market provides</w:t>
      </w:r>
      <w:r w:rsidR="00FD5BB4" w:rsidRPr="0000605C">
        <w:t xml:space="preserve"> proximity advantages over its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market and a genuine alternative housing option. </w:t>
      </w:r>
      <w:smartTag w:uri="urn:schemas-microsoft-com:office:smarttags" w:element="City">
        <w:smartTag w:uri="urn:schemas-microsoft-com:office:smarttags" w:element="place">
          <w:r w:rsidRPr="0000605C">
            <w:t>Adelaide</w:t>
          </w:r>
        </w:smartTag>
      </w:smartTag>
      <w:r w:rsidRPr="0000605C">
        <w:t>’s situation appears</w:t>
      </w:r>
      <w:r w:rsidR="00FD5BB4" w:rsidRPr="0000605C">
        <w:t xml:space="preserve"> to </w:t>
      </w:r>
      <w:r w:rsidR="00DB6BB7" w:rsidRPr="0000605C">
        <w:t xml:space="preserve">be </w:t>
      </w:r>
      <w:r w:rsidR="00FD5BB4" w:rsidRPr="0000605C">
        <w:t>more of a cost constrained i</w:t>
      </w:r>
      <w:r w:rsidRPr="0000605C">
        <w:t>nfill market that can’t achieve the price points it needs to be profitable.</w:t>
      </w:r>
    </w:p>
    <w:p w:rsidR="002A28FB" w:rsidRPr="0000605C" w:rsidRDefault="002A28FB" w:rsidP="00D101BE">
      <w:smartTag w:uri="urn:schemas-microsoft-com:office:smarttags" w:element="City">
        <w:r w:rsidRPr="0000605C">
          <w:t>Melbourne</w:t>
        </w:r>
      </w:smartTag>
      <w:r w:rsidRPr="0000605C">
        <w:t xml:space="preserve"> (22%) and </w:t>
      </w:r>
      <w:smartTag w:uri="urn:schemas-microsoft-com:office:smarttags" w:element="City">
        <w:r w:rsidRPr="0000605C">
          <w:t>Perth</w:t>
        </w:r>
      </w:smartTag>
      <w:r w:rsidR="00FD5BB4" w:rsidRPr="0000605C">
        <w:t xml:space="preserve"> (32%) have relatively strong i</w:t>
      </w:r>
      <w:r w:rsidRPr="0000605C">
        <w:t>nfill markets and this is reflected in the higher prices and costs</w:t>
      </w:r>
      <w:r w:rsidR="00FD5BB4" w:rsidRPr="0000605C">
        <w:t xml:space="preserve"> of their medium and high rise i</w:t>
      </w:r>
      <w:r w:rsidRPr="0000605C">
        <w:t>n</w:t>
      </w:r>
      <w:r w:rsidR="00FD5BB4" w:rsidRPr="0000605C">
        <w:t xml:space="preserve">fill product compared to their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products. </w:t>
      </w:r>
    </w:p>
    <w:p w:rsidR="002B12CA" w:rsidRPr="0000605C" w:rsidRDefault="002B12CA" w:rsidP="002B12CA"/>
    <w:p w:rsidR="002B12CA" w:rsidRPr="0000605C" w:rsidRDefault="002B12CA" w:rsidP="002B12CA">
      <w:pPr>
        <w:sectPr w:rsidR="002B12CA" w:rsidRPr="0000605C" w:rsidSect="00D101BE">
          <w:headerReference w:type="even" r:id="rId97"/>
          <w:headerReference w:type="default" r:id="rId98"/>
          <w:footerReference w:type="even" r:id="rId99"/>
          <w:footerReference w:type="default" r:id="rId100"/>
          <w:headerReference w:type="first" r:id="rId101"/>
          <w:pgSz w:w="11907" w:h="16840" w:code="9"/>
          <w:pgMar w:top="2081" w:right="1298" w:bottom="1418" w:left="1418" w:header="272" w:footer="340" w:gutter="0"/>
          <w:cols w:space="708"/>
          <w:docGrid w:linePitch="360"/>
        </w:sectPr>
      </w:pPr>
    </w:p>
    <w:p w:rsidR="002B12CA" w:rsidRPr="0000605C" w:rsidRDefault="00752FF2" w:rsidP="002B12CA">
      <w:r w:rsidRPr="0000605C">
        <w:object w:dxaOrig="14283" w:dyaOrig="6855">
          <v:shape id="_x0000_i1051" type="#_x0000_t75" style="width:714pt;height:342.75pt" o:ole="">
            <v:imagedata r:id="rId102" o:title=""/>
          </v:shape>
          <o:OLEObject Type="Link" ProgID="Excel.Sheet.8" ShapeID="_x0000_i1051" DrawAspect="Content" r:id="rId103" UpdateMode="Always">
            <o:LinkType>EnhancedMetaFile</o:LinkType>
            <o:LockedField>false</o:LockedField>
          </o:OLEObject>
        </w:object>
      </w:r>
    </w:p>
    <w:p w:rsidR="002B12CA" w:rsidRPr="0000605C" w:rsidRDefault="002B12CA" w:rsidP="002B12CA"/>
    <w:p w:rsidR="002B12CA" w:rsidRPr="0000605C" w:rsidRDefault="002B12CA" w:rsidP="002B12CA">
      <w:pPr>
        <w:sectPr w:rsidR="002B12CA" w:rsidRPr="0000605C" w:rsidSect="002B12CA">
          <w:headerReference w:type="even" r:id="rId104"/>
          <w:headerReference w:type="default" r:id="rId105"/>
          <w:footerReference w:type="even" r:id="rId106"/>
          <w:footerReference w:type="default" r:id="rId107"/>
          <w:headerReference w:type="first" r:id="rId108"/>
          <w:pgSz w:w="16840" w:h="11907" w:orient="landscape" w:code="9"/>
          <w:pgMar w:top="1417" w:right="1417" w:bottom="1134" w:left="1134" w:header="272" w:footer="147" w:gutter="0"/>
          <w:cols w:space="708"/>
          <w:docGrid w:linePitch="360"/>
        </w:sectPr>
      </w:pPr>
    </w:p>
    <w:p w:rsidR="002A28FB" w:rsidRPr="0000605C" w:rsidRDefault="002A28FB" w:rsidP="002A28FB">
      <w:r w:rsidRPr="0000605C">
        <w:lastRenderedPageBreak/>
        <w:t xml:space="preserve">There are also notable </w:t>
      </w:r>
      <w:r w:rsidR="00FD5BB4" w:rsidRPr="0000605C">
        <w:t xml:space="preserve">differences between infill and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dwelling for the individual cost components.</w:t>
      </w:r>
    </w:p>
    <w:p w:rsidR="007E2E44" w:rsidRPr="0000605C" w:rsidRDefault="007E2E44" w:rsidP="002A28FB">
      <w:r w:rsidRPr="0000605C">
        <w:t xml:space="preserve">In 2010, government taxes and charges were lower for </w:t>
      </w:r>
      <w:proofErr w:type="gramStart"/>
      <w:smartTag w:uri="urn:schemas-microsoft-com:office:smarttags" w:element="City">
        <w:r w:rsidRPr="0000605C">
          <w:t>greenfield</w:t>
        </w:r>
      </w:smartTag>
      <w:proofErr w:type="gramEnd"/>
      <w:r w:rsidRPr="0000605C">
        <w:t xml:space="preserve"> dwellings than infill dwellings in </w:t>
      </w:r>
      <w:smartTag w:uri="urn:schemas-microsoft-com:office:smarttags" w:element="City">
        <w:r w:rsidRPr="0000605C">
          <w:t>Melbourne</w:t>
        </w:r>
      </w:smartTag>
      <w:r w:rsidR="00DB6BB7" w:rsidRPr="0000605C">
        <w:t xml:space="preserve"> (12% lower) and </w:t>
      </w:r>
      <w:smartTag w:uri="urn:schemas-microsoft-com:office:smarttags" w:element="City">
        <w:r w:rsidR="00DB6BB7" w:rsidRPr="0000605C">
          <w:t>Perth</w:t>
        </w:r>
      </w:smartTag>
      <w:r w:rsidRPr="0000605C">
        <w:t xml:space="preserve"> (14% lower) but more expensive in </w:t>
      </w:r>
      <w:smartTag w:uri="urn:schemas-microsoft-com:office:smarttags" w:element="City">
        <w:r w:rsidRPr="0000605C">
          <w:t>Sydney</w:t>
        </w:r>
      </w:smartTag>
      <w:r w:rsidRPr="0000605C">
        <w:t xml:space="preserve"> (28%), whereas they were comparable in </w:t>
      </w:r>
      <w:smartTag w:uri="urn:schemas-microsoft-com:office:smarttags" w:element="City">
        <w:r w:rsidRPr="0000605C">
          <w:t>Brisbane</w:t>
        </w:r>
      </w:smartTag>
      <w:r w:rsidRPr="0000605C">
        <w:t xml:space="preserve"> and </w:t>
      </w:r>
      <w:smartTag w:uri="urn:schemas-microsoft-com:office:smarttags" w:element="place">
        <w:smartTag w:uri="urn:schemas-microsoft-com:office:smarttags" w:element="City">
          <w:r w:rsidRPr="0000605C">
            <w:t>Adelaide</w:t>
          </w:r>
        </w:smartTag>
      </w:smartTag>
      <w:r w:rsidRPr="0000605C">
        <w:t xml:space="preserve">. In </w:t>
      </w:r>
      <w:smartTag w:uri="urn:schemas-microsoft-com:office:smarttags" w:element="City">
        <w:r w:rsidRPr="0000605C">
          <w:t>Melbourne</w:t>
        </w:r>
      </w:smartTag>
      <w:r w:rsidRPr="0000605C">
        <w:t xml:space="preserve"> and </w:t>
      </w:r>
      <w:smartTag w:uri="urn:schemas-microsoft-com:office:smarttags" w:element="City">
        <w:r w:rsidRPr="0000605C">
          <w:t>Perth</w:t>
        </w:r>
      </w:smartTag>
      <w:r w:rsidRPr="0000605C">
        <w:t xml:space="preserve"> this is due to lower infrastructure charges being applied to infill dwellings than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This results in a lower differential between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and infill dwellings for government taxes and charges. </w:t>
      </w:r>
      <w:smartTag w:uri="urn:schemas-microsoft-com:office:smarttags" w:element="City">
        <w:r w:rsidRPr="0000605C">
          <w:t>Brisbane</w:t>
        </w:r>
      </w:smartTag>
      <w:r w:rsidRPr="0000605C">
        <w:t xml:space="preserve"> is also influenced by higher infrastructure charges for </w:t>
      </w:r>
      <w:proofErr w:type="gramStart"/>
      <w:smartTag w:uri="urn:schemas-microsoft-com:office:smarttags" w:element="City">
        <w:r w:rsidRPr="0000605C">
          <w:t>greenfield</w:t>
        </w:r>
      </w:smartTag>
      <w:proofErr w:type="gramEnd"/>
      <w:r w:rsidRPr="0000605C">
        <w:t xml:space="preserve"> dwellings than for infill dwellings which resu</w:t>
      </w:r>
      <w:r w:rsidR="00781AE9">
        <w:t>lts in little difference</w:t>
      </w:r>
      <w:r w:rsidRPr="0000605C">
        <w:t xml:space="preserve"> between government taxes and charges for </w:t>
      </w:r>
      <w:smartTag w:uri="urn:schemas-microsoft-com:office:smarttags" w:element="City">
        <w:r w:rsidRPr="0000605C">
          <w:t>Brisbane</w:t>
        </w:r>
      </w:smartTag>
      <w:r w:rsidRPr="0000605C">
        <w:t xml:space="preserve"> </w:t>
      </w:r>
      <w:smartTag w:uri="urn:schemas-microsoft-com:office:smarttags" w:element="place">
        <w:smartTag w:uri="urn:schemas-microsoft-com:office:smarttags" w:element="City">
          <w:r w:rsidRPr="0000605C">
            <w:t>greenfield</w:t>
          </w:r>
        </w:smartTag>
      </w:smartTag>
      <w:r w:rsidRPr="0000605C">
        <w:t xml:space="preserve"> and infill dwellings. </w:t>
      </w:r>
    </w:p>
    <w:p w:rsidR="007E2E44" w:rsidRPr="0000605C" w:rsidRDefault="007E2E44" w:rsidP="002A28FB">
      <w:r w:rsidRPr="0000605C">
        <w:t xml:space="preserve">In </w:t>
      </w:r>
      <w:smartTag w:uri="urn:schemas-microsoft-com:office:smarttags" w:element="City">
        <w:r w:rsidRPr="0000605C">
          <w:t>Adelaide</w:t>
        </w:r>
      </w:smartTag>
      <w:r w:rsidRPr="0000605C">
        <w:t xml:space="preserve">, the limited differential between infill and </w:t>
      </w:r>
      <w:proofErr w:type="gramStart"/>
      <w:smartTag w:uri="urn:schemas-microsoft-com:office:smarttags" w:element="City">
        <w:r w:rsidRPr="0000605C">
          <w:t>greenfield</w:t>
        </w:r>
      </w:smartTag>
      <w:proofErr w:type="gramEnd"/>
      <w:r w:rsidRPr="0000605C">
        <w:t xml:space="preserve"> dwelling costs for government taxes and charges (2%) is principally due to higher land tax costs for </w:t>
      </w:r>
      <w:smartTag w:uri="urn:schemas-microsoft-com:office:smarttags" w:element="place">
        <w:smartTag w:uri="urn:schemas-microsoft-com:office:smarttags" w:element="City">
          <w:r w:rsidRPr="0000605C">
            <w:t>greenfield</w:t>
          </w:r>
        </w:smartTag>
      </w:smartTag>
      <w:r w:rsidRPr="0000605C">
        <w:t xml:space="preserve"> dwellings. This is a result of higher land costs for </w:t>
      </w:r>
      <w:proofErr w:type="gramStart"/>
      <w:smartTag w:uri="urn:schemas-microsoft-com:office:smarttags" w:element="place">
        <w:smartTag w:uri="urn:schemas-microsoft-com:office:smarttags" w:element="City">
          <w:r w:rsidRPr="0000605C">
            <w:t>greenfield</w:t>
          </w:r>
        </w:smartTag>
      </w:smartTag>
      <w:proofErr w:type="gramEnd"/>
      <w:r w:rsidRPr="0000605C">
        <w:t xml:space="preserve"> dwellings over infill dwellings. </w:t>
      </w:r>
    </w:p>
    <w:p w:rsidR="002A28FB" w:rsidRPr="0000605C" w:rsidRDefault="002A28FB" w:rsidP="002A28FB">
      <w:smartTag w:uri="urn:schemas-microsoft-com:office:smarttags" w:element="City">
        <w:r w:rsidRPr="0000605C">
          <w:t>Sydney</w:t>
        </w:r>
      </w:smartTag>
      <w:r w:rsidR="002D58FF" w:rsidRPr="0000605C">
        <w:t xml:space="preserve"> is the only city where government t</w:t>
      </w:r>
      <w:r w:rsidRPr="0000605C">
        <w:t xml:space="preserve">axes and </w:t>
      </w:r>
      <w:r w:rsidR="002D58FF" w:rsidRPr="0000605C">
        <w:t>c</w:t>
      </w:r>
      <w:r w:rsidR="00FD5BB4" w:rsidRPr="0000605C">
        <w:t xml:space="preserve">harges are more expensive for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00FD5BB4" w:rsidRPr="0000605C">
        <w:t xml:space="preserve"> dwellings than i</w:t>
      </w:r>
      <w:r w:rsidRPr="0000605C">
        <w:t>nfill dwellings. This is a result of hig</w:t>
      </w:r>
      <w:r w:rsidR="002D58FF" w:rsidRPr="0000605C">
        <w:t>her i</w:t>
      </w:r>
      <w:r w:rsidR="00FD5BB4" w:rsidRPr="0000605C">
        <w:t>nfra</w:t>
      </w:r>
      <w:r w:rsidR="002D58FF" w:rsidRPr="0000605C">
        <w:t>structure c</w:t>
      </w:r>
      <w:r w:rsidR="00FD5BB4" w:rsidRPr="0000605C">
        <w:t xml:space="preserve">harges for </w:t>
      </w:r>
      <w:proofErr w:type="gramStart"/>
      <w:smartTag w:uri="urn:schemas-microsoft-com:office:smarttags" w:element="City">
        <w:r w:rsidR="00FD5BB4" w:rsidRPr="0000605C">
          <w:t>g</w:t>
        </w:r>
        <w:r w:rsidRPr="0000605C">
          <w:t>reenfield</w:t>
        </w:r>
      </w:smartTag>
      <w:proofErr w:type="gramEnd"/>
      <w:r w:rsidRPr="0000605C">
        <w:t xml:space="preserve"> dwellings and </w:t>
      </w:r>
      <w:r w:rsidR="002D58FF" w:rsidRPr="0000605C">
        <w:t>higher stamp d</w:t>
      </w:r>
      <w:r w:rsidRPr="0000605C">
        <w:t xml:space="preserve">uty due to the </w:t>
      </w:r>
      <w:r w:rsidR="002D58FF" w:rsidRPr="0000605C">
        <w:t>higher l</w:t>
      </w:r>
      <w:r w:rsidR="00FD5BB4" w:rsidRPr="0000605C">
        <w:t xml:space="preserve">and cost of the </w:t>
      </w:r>
      <w:smartTag w:uri="urn:schemas-microsoft-com:office:smarttags" w:element="place">
        <w:smartTag w:uri="urn:schemas-microsoft-com:office:smarttags" w:element="City">
          <w:r w:rsidR="00FD5BB4" w:rsidRPr="0000605C">
            <w:t>g</w:t>
          </w:r>
          <w:r w:rsidRPr="0000605C">
            <w:t>reenfield</w:t>
          </w:r>
        </w:smartTag>
      </w:smartTag>
      <w:r w:rsidR="00FD5BB4" w:rsidRPr="0000605C">
        <w:t xml:space="preserve"> dwellings over the i</w:t>
      </w:r>
      <w:r w:rsidRPr="0000605C">
        <w:t xml:space="preserve">nfill dwellings. </w:t>
      </w:r>
    </w:p>
    <w:p w:rsidR="009C0CE0" w:rsidRPr="0000605C" w:rsidRDefault="009C0CE0" w:rsidP="009C0CE0">
      <w:pPr>
        <w:spacing w:before="0" w:after="0"/>
        <w:rPr>
          <w:rFonts w:cs="Arial"/>
          <w:lang w:eastAsia="en-AU"/>
        </w:rPr>
      </w:pPr>
      <w:r w:rsidRPr="0000605C">
        <w:rPr>
          <w:rFonts w:cs="Arial"/>
          <w:lang w:eastAsia="en-AU"/>
        </w:rPr>
        <w:t xml:space="preserve">In 2010 it was considerably cheaper to construct </w:t>
      </w:r>
      <w:proofErr w:type="gramStart"/>
      <w:smartTag w:uri="urn:schemas-microsoft-com:office:smarttags" w:element="place">
        <w:smartTag w:uri="urn:schemas-microsoft-com:office:smarttags" w:element="City">
          <w:r w:rsidRPr="0000605C">
            <w:rPr>
              <w:rFonts w:cs="Arial"/>
              <w:lang w:eastAsia="en-AU"/>
            </w:rPr>
            <w:t>greenfield</w:t>
          </w:r>
        </w:smartTag>
      </w:smartTag>
      <w:proofErr w:type="gramEnd"/>
      <w:r w:rsidRPr="0000605C">
        <w:rPr>
          <w:rFonts w:cs="Arial"/>
          <w:lang w:eastAsia="en-AU"/>
        </w:rPr>
        <w:t xml:space="preserve"> dwellings than infill dwellings across all the major cities. It was around 24% to 34% cheaper to construction a three bedroom, single storey detached greenfield house compared to a two bedroom, unit in a mult</w:t>
      </w:r>
      <w:r w:rsidR="006654EF" w:rsidRPr="0000605C">
        <w:rPr>
          <w:rFonts w:cs="Arial"/>
          <w:lang w:eastAsia="en-AU"/>
        </w:rPr>
        <w:t>i-storey (5 levels or greater) i</w:t>
      </w:r>
      <w:r w:rsidRPr="0000605C">
        <w:rPr>
          <w:rFonts w:cs="Arial"/>
          <w:lang w:eastAsia="en-AU"/>
        </w:rPr>
        <w:t xml:space="preserve">nfill development. The higher construction cost for infill development is due to increased costs in safety, union requirements, basement car parking, lifts, excavation, and foundations. </w:t>
      </w:r>
    </w:p>
    <w:p w:rsidR="009C0CE0" w:rsidRPr="0000605C" w:rsidRDefault="009C0CE0" w:rsidP="009C0CE0">
      <w:pPr>
        <w:spacing w:before="0" w:after="0"/>
        <w:rPr>
          <w:rFonts w:ascii="Calibri" w:hAnsi="Calibri"/>
          <w:sz w:val="22"/>
          <w:szCs w:val="22"/>
          <w:lang w:eastAsia="en-AU"/>
        </w:rPr>
      </w:pPr>
    </w:p>
    <w:p w:rsidR="002A28FB" w:rsidRPr="0000605C" w:rsidRDefault="005577A3" w:rsidP="002A28FB">
      <w:r>
        <w:t xml:space="preserve">In 2010 it was </w:t>
      </w:r>
      <w:r w:rsidR="002A28FB" w:rsidRPr="0000605C">
        <w:t xml:space="preserve">broadly </w:t>
      </w:r>
      <w:r w:rsidR="00FD5BB4" w:rsidRPr="0000605C">
        <w:t>more profitable to undertake i</w:t>
      </w:r>
      <w:r w:rsidR="002A28FB" w:rsidRPr="0000605C">
        <w:t>n</w:t>
      </w:r>
      <w:r w:rsidR="00FD5BB4" w:rsidRPr="0000605C">
        <w:t xml:space="preserve">fill dwelling development than </w:t>
      </w:r>
      <w:proofErr w:type="gramStart"/>
      <w:smartTag w:uri="urn:schemas-microsoft-com:office:smarttags" w:element="place">
        <w:smartTag w:uri="urn:schemas-microsoft-com:office:smarttags" w:element="City">
          <w:r w:rsidR="00FD5BB4" w:rsidRPr="0000605C">
            <w:t>g</w:t>
          </w:r>
          <w:r w:rsidR="002A28FB" w:rsidRPr="0000605C">
            <w:t>reenfield</w:t>
          </w:r>
        </w:smartTag>
      </w:smartTag>
      <w:proofErr w:type="gramEnd"/>
      <w:r w:rsidR="001B1673" w:rsidRPr="0000605C">
        <w:t xml:space="preserve"> dwelling development</w:t>
      </w:r>
      <w:r w:rsidR="002A28FB" w:rsidRPr="0000605C">
        <w:t xml:space="preserve">. In </w:t>
      </w:r>
      <w:smartTag w:uri="urn:schemas-microsoft-com:office:smarttags" w:element="country-region">
        <w:r w:rsidR="002A28FB" w:rsidRPr="0000605C">
          <w:t>Australia</w:t>
        </w:r>
      </w:smartTag>
      <w:r w:rsidR="002A28FB" w:rsidRPr="0000605C">
        <w:t>’s three largest cities</w:t>
      </w:r>
      <w:r w:rsidR="00D11F3E" w:rsidRPr="0000605C">
        <w:t xml:space="preserve"> developer profit for infill development has yielded higher returns than</w:t>
      </w:r>
      <w:r>
        <w:t xml:space="preserve"> that for</w:t>
      </w:r>
      <w:r w:rsidR="00D11F3E" w:rsidRPr="0000605C">
        <w:t xml:space="preserve"> </w:t>
      </w:r>
      <w:proofErr w:type="gramStart"/>
      <w:smartTag w:uri="urn:schemas-microsoft-com:office:smarttags" w:element="City">
        <w:r w:rsidR="00D11F3E" w:rsidRPr="0000605C">
          <w:t>greenfield</w:t>
        </w:r>
      </w:smartTag>
      <w:proofErr w:type="gramEnd"/>
      <w:r w:rsidR="00D11F3E" w:rsidRPr="0000605C">
        <w:t xml:space="preserve"> development </w:t>
      </w:r>
      <w:r w:rsidR="007E2E44" w:rsidRPr="0000605C">
        <w:t>–</w:t>
      </w:r>
      <w:r w:rsidR="00D11F3E" w:rsidRPr="0000605C">
        <w:t xml:space="preserve"> </w:t>
      </w:r>
      <w:r w:rsidR="007E2E44" w:rsidRPr="0000605C">
        <w:t xml:space="preserve">Sydney </w:t>
      </w:r>
      <w:r>
        <w:t>(</w:t>
      </w:r>
      <w:r w:rsidR="007E2E44" w:rsidRPr="0000605C">
        <w:t xml:space="preserve">9.4% </w:t>
      </w:r>
      <w:r>
        <w:t xml:space="preserve">of total cost to purchaser </w:t>
      </w:r>
      <w:r w:rsidR="007E2E44" w:rsidRPr="0000605C">
        <w:t xml:space="preserve">compared to 3.0%), Melbourne (14% compared to 9%), and </w:t>
      </w:r>
      <w:smartTag w:uri="urn:schemas-microsoft-com:office:smarttags" w:element="place">
        <w:smartTag w:uri="urn:schemas-microsoft-com:office:smarttags" w:element="City">
          <w:r w:rsidR="007E2E44" w:rsidRPr="0000605C">
            <w:t>Brisbane</w:t>
          </w:r>
        </w:smartTag>
      </w:smartTag>
      <w:r w:rsidR="007E2E44" w:rsidRPr="0000605C">
        <w:t xml:space="preserve"> (14% compared to 9%). </w:t>
      </w:r>
      <w:r w:rsidR="002A28FB" w:rsidRPr="0000605C">
        <w:t xml:space="preserve">In Sydney and Melbourne </w:t>
      </w:r>
      <w:r>
        <w:t xml:space="preserve">higher developer profit for infill has </w:t>
      </w:r>
      <w:r w:rsidR="002A28FB" w:rsidRPr="0000605C">
        <w:t xml:space="preserve">been a result of </w:t>
      </w:r>
      <w:r>
        <w:t xml:space="preserve">the lower land costs for infill dwellings compared to </w:t>
      </w:r>
      <w:proofErr w:type="gramStart"/>
      <w:smartTag w:uri="urn:schemas-microsoft-com:office:smarttags" w:element="place">
        <w:smartTag w:uri="urn:schemas-microsoft-com:office:smarttags" w:element="City">
          <w:r>
            <w:t>greenfield</w:t>
          </w:r>
        </w:smartTag>
      </w:smartTag>
      <w:proofErr w:type="gramEnd"/>
      <w:r>
        <w:t xml:space="preserve">. A reduction in developer profit for </w:t>
      </w:r>
      <w:smartTag w:uri="urn:schemas-microsoft-com:office:smarttags" w:element="City">
        <w:r>
          <w:t>Greenfield</w:t>
        </w:r>
      </w:smartTag>
      <w:r>
        <w:t xml:space="preserve"> dwellings in </w:t>
      </w:r>
      <w:smartTag w:uri="urn:schemas-microsoft-com:office:smarttags" w:element="City">
        <w:r>
          <w:t>Sydney</w:t>
        </w:r>
      </w:smartTag>
      <w:r>
        <w:t xml:space="preserve"> can be attributed to the higher government </w:t>
      </w:r>
      <w:r w:rsidR="001B1673" w:rsidRPr="0000605C">
        <w:t>taxes and charges, and d</w:t>
      </w:r>
      <w:r w:rsidR="002A28FB" w:rsidRPr="0000605C">
        <w:t>e</w:t>
      </w:r>
      <w:r w:rsidR="001B1673" w:rsidRPr="0000605C">
        <w:t>veloper costs and i</w:t>
      </w:r>
      <w:r w:rsidR="00FD5BB4" w:rsidRPr="0000605C">
        <w:t xml:space="preserve">nterest for </w:t>
      </w:r>
      <w:proofErr w:type="gramStart"/>
      <w:smartTag w:uri="urn:schemas-microsoft-com:office:smarttags" w:element="place">
        <w:smartTag w:uri="urn:schemas-microsoft-com:office:smarttags" w:element="City">
          <w:r w:rsidR="00FD5BB4" w:rsidRPr="0000605C">
            <w:t>g</w:t>
          </w:r>
          <w:r w:rsidR="002A28FB" w:rsidRPr="0000605C">
            <w:t>reenfield</w:t>
          </w:r>
        </w:smartTag>
      </w:smartTag>
      <w:proofErr w:type="gramEnd"/>
      <w:r w:rsidR="002A28FB" w:rsidRPr="0000605C">
        <w:t xml:space="preserve"> dwellings. </w:t>
      </w:r>
      <w:r>
        <w:t xml:space="preserve">While in </w:t>
      </w:r>
      <w:smartTag w:uri="urn:schemas-microsoft-com:office:smarttags" w:element="City">
        <w:r w:rsidR="002A28FB" w:rsidRPr="0000605C">
          <w:t>Brisbane</w:t>
        </w:r>
      </w:smartTag>
      <w:r>
        <w:t xml:space="preserve">, </w:t>
      </w:r>
      <w:r w:rsidR="00FD5BB4" w:rsidRPr="0000605C">
        <w:t>lower dwelling sale price</w:t>
      </w:r>
      <w:r w:rsidR="00B91FCB" w:rsidRPr="0000605C">
        <w:t>s</w:t>
      </w:r>
      <w:r w:rsidR="00FD5BB4" w:rsidRPr="0000605C">
        <w:t xml:space="preserve"> for </w:t>
      </w:r>
      <w:proofErr w:type="gramStart"/>
      <w:smartTag w:uri="urn:schemas-microsoft-com:office:smarttags" w:element="City">
        <w:r w:rsidR="00FD5BB4" w:rsidRPr="0000605C">
          <w:t>g</w:t>
        </w:r>
        <w:r w:rsidR="002A28FB" w:rsidRPr="0000605C">
          <w:t>reenfield</w:t>
        </w:r>
      </w:smartTag>
      <w:proofErr w:type="gramEnd"/>
      <w:r w:rsidR="00FD5BB4" w:rsidRPr="0000605C">
        <w:t xml:space="preserve"> dwellings compared to i</w:t>
      </w:r>
      <w:r w:rsidR="002A28FB" w:rsidRPr="0000605C">
        <w:t xml:space="preserve">nfill </w:t>
      </w:r>
      <w:r w:rsidR="00B91FCB" w:rsidRPr="0000605C">
        <w:t>dwellings</w:t>
      </w:r>
      <w:r>
        <w:t xml:space="preserve"> has generated a lower developer profit for </w:t>
      </w:r>
      <w:smartTag w:uri="urn:schemas-microsoft-com:office:smarttags" w:element="place">
        <w:smartTag w:uri="urn:schemas-microsoft-com:office:smarttags" w:element="City">
          <w:r>
            <w:t>greenfield</w:t>
          </w:r>
        </w:smartTag>
      </w:smartTag>
      <w:r>
        <w:t>.</w:t>
      </w:r>
    </w:p>
    <w:p w:rsidR="002A28FB" w:rsidRPr="0000605C" w:rsidRDefault="002A28FB" w:rsidP="002A28FB">
      <w:smartTag w:uri="urn:schemas-microsoft-com:office:smarttags" w:element="City">
        <w:r w:rsidRPr="0000605C">
          <w:t>Perth</w:t>
        </w:r>
      </w:smartTag>
      <w:r w:rsidRPr="0000605C">
        <w:t xml:space="preserve"> and </w:t>
      </w:r>
      <w:smartTag w:uri="urn:schemas-microsoft-com:office:smarttags" w:element="City">
        <w:r w:rsidRPr="0000605C">
          <w:t>Adelaide</w:t>
        </w:r>
      </w:smartTag>
      <w:r w:rsidRPr="0000605C">
        <w:t xml:space="preserve"> have seen relatively bette</w:t>
      </w:r>
      <w:r w:rsidR="00FD5BB4" w:rsidRPr="0000605C">
        <w:t xml:space="preserve">r </w:t>
      </w:r>
      <w:r w:rsidR="00B91FCB" w:rsidRPr="0000605C">
        <w:t>developer p</w:t>
      </w:r>
      <w:r w:rsidR="00FD5BB4" w:rsidRPr="0000605C">
        <w:t xml:space="preserve">rofit results for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00FD5BB4" w:rsidRPr="0000605C">
        <w:t xml:space="preserve"> dwellings compared to i</w:t>
      </w:r>
      <w:r w:rsidRPr="0000605C">
        <w:t xml:space="preserve">nfill dwellings. For </w:t>
      </w:r>
      <w:smartTag w:uri="urn:schemas-microsoft-com:office:smarttags" w:element="City">
        <w:r w:rsidRPr="0000605C">
          <w:t>Perth</w:t>
        </w:r>
      </w:smartTag>
      <w:r w:rsidRPr="0000605C">
        <w:t xml:space="preserve"> this has been driven by reducti</w:t>
      </w:r>
      <w:r w:rsidR="00FD5BB4" w:rsidRPr="0000605C">
        <w:t xml:space="preserve">ons in costs for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00B91FCB" w:rsidRPr="0000605C">
        <w:t xml:space="preserve"> dwellings for land, and c</w:t>
      </w:r>
      <w:r w:rsidRPr="0000605C">
        <w:t>onstruction (</w:t>
      </w:r>
      <w:r w:rsidR="00FD5BB4" w:rsidRPr="0000605C">
        <w:t>greater than the reduction for i</w:t>
      </w:r>
      <w:r w:rsidR="00B91FCB" w:rsidRPr="0000605C">
        <w:t>nfill dwelling c</w:t>
      </w:r>
      <w:r w:rsidRPr="0000605C">
        <w:t xml:space="preserve">onstruction costs). </w:t>
      </w:r>
      <w:smartTag w:uri="urn:schemas-microsoft-com:office:smarttags" w:element="City">
        <w:r w:rsidRPr="0000605C">
          <w:t>Adelaide</w:t>
        </w:r>
      </w:smartTag>
      <w:r w:rsidRPr="0000605C">
        <w:t xml:space="preserve"> has seen a reduction in </w:t>
      </w:r>
      <w:r w:rsidR="00B91FCB" w:rsidRPr="0000605C">
        <w:t>d</w:t>
      </w:r>
      <w:r w:rsidRPr="0000605C">
        <w:t xml:space="preserve">eveloper </w:t>
      </w:r>
      <w:r w:rsidR="00B91FCB" w:rsidRPr="0000605C">
        <w:t>p</w:t>
      </w:r>
      <w:r w:rsidRPr="0000605C">
        <w:t>rofit in g</w:t>
      </w:r>
      <w:r w:rsidR="00FD5BB4" w:rsidRPr="0000605C">
        <w:t xml:space="preserve">ross terms for both infill and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dwelling development as costs have risen faster than dwelling sale prices. However</w:t>
      </w:r>
      <w:r w:rsidR="008557E5" w:rsidRPr="0000605C">
        <w:t>,</w:t>
      </w:r>
      <w:r w:rsidR="00FD5BB4" w:rsidRPr="0000605C">
        <w:t xml:space="preserve">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dwellings have moved from a position of comparably strong performa</w:t>
      </w:r>
      <w:r w:rsidR="00FD5BB4" w:rsidRPr="0000605C">
        <w:t>nce to modest performance while i</w:t>
      </w:r>
      <w:r w:rsidRPr="0000605C">
        <w:t xml:space="preserve">nfill dwellings have moved from a position of poor performance to an even poorer position. </w:t>
      </w:r>
    </w:p>
    <w:p w:rsidR="008557E5" w:rsidRPr="0000605C" w:rsidRDefault="008557E5" w:rsidP="002A28FB"/>
    <w:p w:rsidR="008557E5" w:rsidRPr="0000605C" w:rsidRDefault="008557E5" w:rsidP="002A28FB"/>
    <w:p w:rsidR="008557E5" w:rsidRPr="0000605C" w:rsidRDefault="008557E5" w:rsidP="002A28FB"/>
    <w:p w:rsidR="008557E5" w:rsidRPr="0000605C" w:rsidRDefault="008557E5" w:rsidP="002A28FB"/>
    <w:p w:rsidR="00D12251" w:rsidRPr="0000605C" w:rsidRDefault="00D12251" w:rsidP="002A28FB"/>
    <w:p w:rsidR="00A22CED" w:rsidRPr="0000605C" w:rsidRDefault="00A22CED" w:rsidP="00A22CED">
      <w:pPr>
        <w:pStyle w:val="Heading2"/>
        <w:tabs>
          <w:tab w:val="clear" w:pos="851"/>
          <w:tab w:val="num" w:pos="100"/>
        </w:tabs>
        <w:spacing w:before="360" w:line="240" w:lineRule="auto"/>
        <w:ind w:left="2151" w:hanging="2151"/>
      </w:pPr>
      <w:bookmarkStart w:id="83" w:name="_Toc294088050"/>
      <w:r w:rsidRPr="0000605C">
        <w:lastRenderedPageBreak/>
        <w:t>Review of Findings from Previous Study</w:t>
      </w:r>
      <w:bookmarkEnd w:id="83"/>
    </w:p>
    <w:p w:rsidR="00A22CED" w:rsidRPr="0000605C" w:rsidRDefault="00A22CED" w:rsidP="00A22CED">
      <w:r w:rsidRPr="0000605C">
        <w:t>It has been a year since the previous National Dwelling Cost study and as we bring together the analysis for this years study it is worth recalling the findings from the 2009 study.</w:t>
      </w:r>
    </w:p>
    <w:p w:rsidR="00A22CED" w:rsidRPr="0000605C" w:rsidRDefault="00A22CED" w:rsidP="00A22CED">
      <w:pPr>
        <w:pStyle w:val="Heading3"/>
        <w:rPr>
          <w:i w:val="0"/>
        </w:rPr>
      </w:pPr>
      <w:bookmarkStart w:id="84" w:name="_Toc294088051"/>
      <w:r w:rsidRPr="0000605C">
        <w:rPr>
          <w:i w:val="0"/>
        </w:rPr>
        <w:t>Infill Dwelling Costs</w:t>
      </w:r>
      <w:bookmarkEnd w:id="84"/>
      <w:r w:rsidRPr="0000605C">
        <w:rPr>
          <w:i w:val="0"/>
        </w:rPr>
        <w:t xml:space="preserve"> </w:t>
      </w:r>
    </w:p>
    <w:p w:rsidR="00A22CED" w:rsidRPr="0000605C" w:rsidRDefault="00A22CED" w:rsidP="00A22CED">
      <w:r w:rsidRPr="0000605C">
        <w:t>The key findings from the 2009 National Dwel</w:t>
      </w:r>
      <w:r w:rsidR="00DB6BB7" w:rsidRPr="0000605C">
        <w:t>ling Cost S</w:t>
      </w:r>
      <w:r w:rsidR="00FD5BB4" w:rsidRPr="0000605C">
        <w:t>tudy in relation to i</w:t>
      </w:r>
      <w:r w:rsidRPr="0000605C">
        <w:t>nfill dwellings were:</w:t>
      </w:r>
    </w:p>
    <w:p w:rsidR="00A22CED" w:rsidRPr="0000605C" w:rsidRDefault="00A22CED" w:rsidP="00A22CED">
      <w:pPr>
        <w:numPr>
          <w:ilvl w:val="0"/>
          <w:numId w:val="43"/>
        </w:numPr>
      </w:pPr>
      <w:r w:rsidRPr="0000605C">
        <w:t>Construction costs are the</w:t>
      </w:r>
      <w:r w:rsidR="00FD5BB4" w:rsidRPr="0000605C">
        <w:t xml:space="preserve"> most significant component of i</w:t>
      </w:r>
      <w:r w:rsidRPr="0000605C">
        <w:t>nfill dwelling costs, accounti</w:t>
      </w:r>
      <w:r w:rsidR="007E2E44" w:rsidRPr="0000605C">
        <w:t>ng for in excess of 50% of the total c</w:t>
      </w:r>
      <w:r w:rsidRPr="0000605C">
        <w:t>ost. This component has experienced substantial cost increases in recent years as a result of high demand for labour and materials and increasing regulation for sustainability and safety.</w:t>
      </w:r>
    </w:p>
    <w:p w:rsidR="00A22CED" w:rsidRPr="0000605C" w:rsidRDefault="00D12251" w:rsidP="00A22CED">
      <w:pPr>
        <w:pStyle w:val="BodyText"/>
        <w:numPr>
          <w:ilvl w:val="0"/>
          <w:numId w:val="43"/>
        </w:numPr>
      </w:pPr>
      <w:r w:rsidRPr="0000605C">
        <w:t>Government taxes and c</w:t>
      </w:r>
      <w:r w:rsidR="00A22CED" w:rsidRPr="0000605C">
        <w:t>harges also represent a</w:t>
      </w:r>
      <w:r w:rsidRPr="0000605C">
        <w:t xml:space="preserve"> significant proportion of the total c</w:t>
      </w:r>
      <w:r w:rsidR="00A22CED" w:rsidRPr="0000605C">
        <w:t>ost of infill dwellings. Substantial savings could be achieved through the elimination of the GST on new housin</w:t>
      </w:r>
      <w:r w:rsidRPr="0000605C">
        <w:t>g, reduction or elimination of s</w:t>
      </w:r>
      <w:r w:rsidR="00A22CED" w:rsidRPr="0000605C">
        <w:t>t</w:t>
      </w:r>
      <w:r w:rsidRPr="0000605C">
        <w:t>amp d</w:t>
      </w:r>
      <w:r w:rsidR="00A22CED" w:rsidRPr="0000605C">
        <w:t>uty, and reductions in infrastructure charges in Sydney and Brisbane.</w:t>
      </w:r>
    </w:p>
    <w:p w:rsidR="00A22CED" w:rsidRPr="0000605C" w:rsidRDefault="00FD5BB4" w:rsidP="00A22CED">
      <w:pPr>
        <w:numPr>
          <w:ilvl w:val="0"/>
          <w:numId w:val="43"/>
        </w:numPr>
      </w:pPr>
      <w:r w:rsidRPr="0000605C">
        <w:t>Improvements to improve i</w:t>
      </w:r>
      <w:r w:rsidR="00A22CED" w:rsidRPr="0000605C">
        <w:t>nfill dwelling costs were identified in increasing the supply of sites through streamlined planning legislation for this form of development; and reducing the development timeframe.</w:t>
      </w:r>
    </w:p>
    <w:p w:rsidR="00A22CED" w:rsidRPr="0000605C" w:rsidRDefault="00A22CED" w:rsidP="00A22CED">
      <w:pPr>
        <w:pStyle w:val="Heading3"/>
        <w:rPr>
          <w:i w:val="0"/>
        </w:rPr>
      </w:pPr>
      <w:bookmarkStart w:id="85" w:name="_Toc294088052"/>
      <w:smartTag w:uri="urn:schemas-microsoft-com:office:smarttags" w:element="City">
        <w:smartTag w:uri="urn:schemas-microsoft-com:office:smarttags" w:element="place">
          <w:r w:rsidRPr="0000605C">
            <w:rPr>
              <w:i w:val="0"/>
            </w:rPr>
            <w:t>Greenfield</w:t>
          </w:r>
        </w:smartTag>
      </w:smartTag>
      <w:r w:rsidRPr="0000605C">
        <w:rPr>
          <w:i w:val="0"/>
        </w:rPr>
        <w:t xml:space="preserve"> Dwelling Cost Summary</w:t>
      </w:r>
      <w:bookmarkEnd w:id="85"/>
    </w:p>
    <w:p w:rsidR="00A22CED" w:rsidRPr="0000605C" w:rsidRDefault="00FD5BB4" w:rsidP="00A22CED">
      <w:r w:rsidRPr="0000605C">
        <w:t xml:space="preserve">Key findings for </w:t>
      </w:r>
      <w:proofErr w:type="gramStart"/>
      <w:smartTag w:uri="urn:schemas-microsoft-com:office:smarttags" w:element="place">
        <w:smartTag w:uri="urn:schemas-microsoft-com:office:smarttags" w:element="City">
          <w:r w:rsidRPr="0000605C">
            <w:t>g</w:t>
          </w:r>
          <w:r w:rsidR="00A22CED" w:rsidRPr="0000605C">
            <w:t>reenfield</w:t>
          </w:r>
        </w:smartTag>
      </w:smartTag>
      <w:proofErr w:type="gramEnd"/>
      <w:r w:rsidR="00A22CED" w:rsidRPr="0000605C">
        <w:t xml:space="preserve"> dwelling costs from the 2009 study were:</w:t>
      </w:r>
    </w:p>
    <w:p w:rsidR="00A22CED" w:rsidRPr="0000605C" w:rsidRDefault="00A22CED" w:rsidP="00A22CED">
      <w:pPr>
        <w:numPr>
          <w:ilvl w:val="0"/>
          <w:numId w:val="44"/>
        </w:numPr>
      </w:pPr>
      <w:smartTag w:uri="urn:schemas-microsoft-com:office:smarttags" w:element="City">
        <w:smartTag w:uri="urn:schemas-microsoft-com:office:smarttags" w:element="place">
          <w:r w:rsidRPr="0000605C">
            <w:t>Sydney</w:t>
          </w:r>
        </w:smartTag>
      </w:smartTag>
      <w:r w:rsidRPr="0000605C">
        <w:t xml:space="preserve"> dwellings are much more costly than those of the other four cities, some $200,000 higher. This is principally due to the much higher land costs (three ti</w:t>
      </w:r>
      <w:r w:rsidR="00D12251" w:rsidRPr="0000605C">
        <w:t>mes higher) and the associated government taxes and c</w:t>
      </w:r>
      <w:r w:rsidRPr="0000605C">
        <w:t>harges costs (including higher infrastructure charges).</w:t>
      </w:r>
    </w:p>
    <w:p w:rsidR="00A22CED" w:rsidRPr="0000605C" w:rsidRDefault="00FD5BB4" w:rsidP="00A22CED">
      <w:pPr>
        <w:numPr>
          <w:ilvl w:val="0"/>
          <w:numId w:val="44"/>
        </w:numPr>
      </w:pPr>
      <w:r w:rsidRPr="0000605C">
        <w:t>As was the case with i</w:t>
      </w:r>
      <w:r w:rsidR="00DB6BB7" w:rsidRPr="0000605C">
        <w:t>nfill dwellings, construction c</w:t>
      </w:r>
      <w:r w:rsidR="00A22CED" w:rsidRPr="0000605C">
        <w:t>osts are the most significant individual cost category (34% to 52%), though proportion</w:t>
      </w:r>
      <w:r w:rsidRPr="0000605C">
        <w:t>ally less significant than for i</w:t>
      </w:r>
      <w:r w:rsidR="00A22CED" w:rsidRPr="0000605C">
        <w:t>nfill dw</w:t>
      </w:r>
      <w:r w:rsidR="00DB6BB7" w:rsidRPr="0000605C">
        <w:t>ellings. Land (10% to 24%) and g</w:t>
      </w:r>
      <w:r w:rsidR="00A22CED" w:rsidRPr="0000605C">
        <w:t>overnme</w:t>
      </w:r>
      <w:r w:rsidR="00DB6BB7" w:rsidRPr="0000605C">
        <w:t>nt taxes and c</w:t>
      </w:r>
      <w:r w:rsidR="00A22CED" w:rsidRPr="0000605C">
        <w:t>harges (13% to 21%)</w:t>
      </w:r>
      <w:r w:rsidRPr="0000605C">
        <w:t xml:space="preserve"> are more significant than for i</w:t>
      </w:r>
      <w:r w:rsidR="00A22CED" w:rsidRPr="0000605C">
        <w:t xml:space="preserve">nfill dwellings. </w:t>
      </w:r>
    </w:p>
    <w:p w:rsidR="00A22CED" w:rsidRPr="0000605C" w:rsidRDefault="00A22CED" w:rsidP="00A22CED">
      <w:pPr>
        <w:numPr>
          <w:ilvl w:val="0"/>
          <w:numId w:val="44"/>
        </w:numPr>
      </w:pPr>
      <w:r w:rsidRPr="0000605C">
        <w:t>Examinat</w:t>
      </w:r>
      <w:r w:rsidR="00DB6BB7" w:rsidRPr="0000605C">
        <w:t>ion of dwelling price data and new dwelling a</w:t>
      </w:r>
      <w:r w:rsidRPr="0000605C">
        <w:t>pproval (NDA) data indicates that dwelling supply issues are placing upward pressure on pric</w:t>
      </w:r>
      <w:r w:rsidR="00FD5BB4" w:rsidRPr="0000605C">
        <w:t>es in Sydney and Brisbane while</w:t>
      </w:r>
      <w:r w:rsidRPr="0000605C">
        <w:t xml:space="preserve"> stronger markets in </w:t>
      </w:r>
      <w:smartTag w:uri="urn:schemas-microsoft-com:office:smarttags" w:element="City">
        <w:r w:rsidRPr="0000605C">
          <w:t>Melbourne</w:t>
        </w:r>
      </w:smartTag>
      <w:r w:rsidRPr="0000605C">
        <w:t xml:space="preserve"> and </w:t>
      </w:r>
      <w:smartTag w:uri="urn:schemas-microsoft-com:office:smarttags" w:element="City">
        <w:smartTag w:uri="urn:schemas-microsoft-com:office:smarttags" w:element="place">
          <w:r w:rsidRPr="0000605C">
            <w:t>Adelaide</w:t>
          </w:r>
        </w:smartTag>
      </w:smartTag>
      <w:r w:rsidRPr="0000605C">
        <w:t xml:space="preserve"> have performed better in providing the necessary supply to the market.</w:t>
      </w:r>
    </w:p>
    <w:p w:rsidR="00A22CED" w:rsidRPr="0000605C" w:rsidRDefault="00DB6BB7" w:rsidP="00A22CED">
      <w:pPr>
        <w:numPr>
          <w:ilvl w:val="0"/>
          <w:numId w:val="44"/>
        </w:numPr>
      </w:pPr>
      <w:r w:rsidRPr="0000605C">
        <w:t>Government taxes and charges, specifically the GST, stamp duty, and i</w:t>
      </w:r>
      <w:r w:rsidR="00A22CED" w:rsidRPr="0000605C">
        <w:t>nfrastructure charges are areas for reform that can significantly improve housing affordability</w:t>
      </w:r>
    </w:p>
    <w:p w:rsidR="00A22CED" w:rsidRPr="0000605C" w:rsidRDefault="00A22CED" w:rsidP="00A22CED">
      <w:pPr>
        <w:pStyle w:val="Heading3"/>
        <w:rPr>
          <w:i w:val="0"/>
        </w:rPr>
      </w:pPr>
      <w:bookmarkStart w:id="86" w:name="_Toc294088053"/>
      <w:r w:rsidRPr="0000605C">
        <w:rPr>
          <w:i w:val="0"/>
        </w:rPr>
        <w:t xml:space="preserve">Infill vs </w:t>
      </w:r>
      <w:smartTag w:uri="urn:schemas-microsoft-com:office:smarttags" w:element="City">
        <w:smartTag w:uri="urn:schemas-microsoft-com:office:smarttags" w:element="place">
          <w:r w:rsidRPr="0000605C">
            <w:rPr>
              <w:i w:val="0"/>
            </w:rPr>
            <w:t>Greenfield</w:t>
          </w:r>
        </w:smartTag>
      </w:smartTag>
      <w:r w:rsidRPr="0000605C">
        <w:rPr>
          <w:i w:val="0"/>
        </w:rPr>
        <w:t xml:space="preserve"> and Change over Time</w:t>
      </w:r>
      <w:bookmarkEnd w:id="86"/>
    </w:p>
    <w:p w:rsidR="00A22CED" w:rsidRPr="0000605C" w:rsidRDefault="00A22CED" w:rsidP="00A22CED">
      <w:pPr>
        <w:numPr>
          <w:ilvl w:val="0"/>
          <w:numId w:val="45"/>
        </w:numPr>
      </w:pPr>
      <w:r w:rsidRPr="0000605C">
        <w:t>A key finding of this study is the significantly higher</w:t>
      </w:r>
      <w:r w:rsidR="00FD5BB4" w:rsidRPr="0000605C">
        <w:t xml:space="preserve"> cost of infill dwellings over </w:t>
      </w:r>
      <w:proofErr w:type="gramStart"/>
      <w:smartTag w:uri="urn:schemas-microsoft-com:office:smarttags" w:element="City">
        <w:r w:rsidR="00FD5BB4" w:rsidRPr="0000605C">
          <w:t>g</w:t>
        </w:r>
        <w:r w:rsidRPr="0000605C">
          <w:t>reenfield</w:t>
        </w:r>
      </w:smartTag>
      <w:proofErr w:type="gramEnd"/>
      <w:r w:rsidRPr="0000605C">
        <w:t xml:space="preserve"> dwellings (13% to 39% with the exception of </w:t>
      </w:r>
      <w:smartTag w:uri="urn:schemas-microsoft-com:office:smarttags" w:element="City">
        <w:r w:rsidRPr="0000605C">
          <w:t>Sydney</w:t>
        </w:r>
      </w:smartTag>
      <w:r w:rsidR="00FD5BB4" w:rsidRPr="0000605C">
        <w:t xml:space="preserve"> where </w:t>
      </w:r>
      <w:smartTag w:uri="urn:schemas-microsoft-com:office:smarttags" w:element="place">
        <w:smartTag w:uri="urn:schemas-microsoft-com:office:smarttags" w:element="City">
          <w:r w:rsidR="00FD5BB4" w:rsidRPr="0000605C">
            <w:t>g</w:t>
          </w:r>
          <w:r w:rsidRPr="0000605C">
            <w:t>reenfield</w:t>
          </w:r>
        </w:smartTag>
      </w:smartTag>
      <w:r w:rsidRPr="0000605C">
        <w:t xml:space="preserve"> costs are higher). This is principally a result of</w:t>
      </w:r>
      <w:r w:rsidR="00FD5BB4" w:rsidRPr="0000605C">
        <w:t xml:space="preserve"> higher construction costs for i</w:t>
      </w:r>
      <w:r w:rsidRPr="0000605C">
        <w:t>nfill dwellings (medium rise two bedroom apartments) and longer development timeframes. Given the strategic</w:t>
      </w:r>
      <w:r w:rsidR="00FD5BB4" w:rsidRPr="0000605C">
        <w:t xml:space="preserve"> planning push towards greater i</w:t>
      </w:r>
      <w:r w:rsidRPr="0000605C">
        <w:t>nfill development across all major Australian cities, this represents a fundamental inconsistency that must be addressed as part of any strategic housing affordability response.</w:t>
      </w:r>
    </w:p>
    <w:p w:rsidR="00DB6BB7" w:rsidRPr="0000605C" w:rsidRDefault="00DB6BB7" w:rsidP="00DB6BB7"/>
    <w:p w:rsidR="00DB6BB7" w:rsidRPr="0000605C" w:rsidRDefault="00DB6BB7" w:rsidP="00DB6BB7"/>
    <w:p w:rsidR="00DB6BB7" w:rsidRPr="0000605C" w:rsidRDefault="00DB6BB7" w:rsidP="00DB6BB7"/>
    <w:p w:rsidR="00A22CED" w:rsidRPr="0000605C" w:rsidRDefault="00A22CED" w:rsidP="00A03268">
      <w:pPr>
        <w:pStyle w:val="Heading3"/>
        <w:rPr>
          <w:i w:val="0"/>
        </w:rPr>
      </w:pPr>
      <w:bookmarkStart w:id="87" w:name="_Toc294088054"/>
      <w:r w:rsidRPr="0000605C">
        <w:rPr>
          <w:i w:val="0"/>
        </w:rPr>
        <w:lastRenderedPageBreak/>
        <w:t>The Focus for Policy Responses</w:t>
      </w:r>
      <w:bookmarkEnd w:id="87"/>
    </w:p>
    <w:p w:rsidR="00A22CED" w:rsidRPr="0000605C" w:rsidRDefault="00A03268" w:rsidP="00A22CED">
      <w:r w:rsidRPr="0000605C">
        <w:t>T</w:t>
      </w:r>
      <w:r w:rsidR="00A22CED" w:rsidRPr="0000605C">
        <w:t xml:space="preserve">here </w:t>
      </w:r>
      <w:r w:rsidRPr="0000605C">
        <w:t>were</w:t>
      </w:r>
      <w:r w:rsidR="00A22CED" w:rsidRPr="0000605C">
        <w:t xml:space="preserve"> four areas </w:t>
      </w:r>
      <w:r w:rsidRPr="0000605C">
        <w:t>for</w:t>
      </w:r>
      <w:r w:rsidR="00A22CED" w:rsidRPr="0000605C">
        <w:t xml:space="preserve"> the focus of future policy responses:</w:t>
      </w:r>
    </w:p>
    <w:p w:rsidR="00A22CED" w:rsidRPr="0000605C" w:rsidRDefault="00A22CED" w:rsidP="00A22CED">
      <w:r w:rsidRPr="0000605C">
        <w:rPr>
          <w:b/>
        </w:rPr>
        <w:t>Construction Costs</w:t>
      </w:r>
      <w:r w:rsidR="00FD5BB4" w:rsidRPr="0000605C">
        <w:t xml:space="preserve"> – While</w:t>
      </w:r>
      <w:r w:rsidRPr="0000605C">
        <w:t xml:space="preserve"> these have been impacted by high demand for resources and labour they have also been significantly impacted by increased government regulation in relation to environmental requirements (sustainability), and safety. Little work has been done in regard to this and a recommendation is made to undertake a detailed study into how dwelling construc</w:t>
      </w:r>
      <w:r w:rsidR="00FD5BB4" w:rsidRPr="0000605C">
        <w:t>tion costs can be reduced while</w:t>
      </w:r>
      <w:r w:rsidRPr="0000605C">
        <w:t xml:space="preserve"> limiting any reductions in desired environmental and safety outcomes.</w:t>
      </w:r>
    </w:p>
    <w:p w:rsidR="00A22CED" w:rsidRPr="0000605C" w:rsidRDefault="00A22CED" w:rsidP="00A22CED">
      <w:r w:rsidRPr="0000605C">
        <w:rPr>
          <w:b/>
        </w:rPr>
        <w:t>Tax Reform</w:t>
      </w:r>
      <w:r w:rsidRPr="0000605C">
        <w:t xml:space="preserve"> – The </w:t>
      </w:r>
      <w:r w:rsidR="009715E7" w:rsidRPr="0000605C">
        <w:t>Australian</w:t>
      </w:r>
      <w:r w:rsidRPr="0000605C">
        <w:t xml:space="preserve"> Government’s Henry Tax Review represents the most detailed and widespread review of </w:t>
      </w:r>
      <w:smartTag w:uri="urn:schemas-microsoft-com:office:smarttags" w:element="country-region">
        <w:smartTag w:uri="urn:schemas-microsoft-com:office:smarttags" w:element="place">
          <w:r w:rsidRPr="0000605C">
            <w:t>Australia</w:t>
          </w:r>
        </w:smartTag>
      </w:smartTag>
      <w:r w:rsidRPr="0000605C">
        <w:t>’s tax system in many years. Consideration needs to be given to incorporating the</w:t>
      </w:r>
      <w:r w:rsidR="00DB6BB7" w:rsidRPr="0000605C">
        <w:t xml:space="preserve"> elimination of either the GST liability or stamp d</w:t>
      </w:r>
      <w:r w:rsidRPr="0000605C">
        <w:t>uty on new dwellings. Infrastructure charges are increasingly becoming a driver of worsening housing affordabil</w:t>
      </w:r>
      <w:r w:rsidR="00FD5BB4" w:rsidRPr="0000605C">
        <w:t>ity. While</w:t>
      </w:r>
      <w:r w:rsidRPr="0000605C">
        <w:t xml:space="preserve"> the user pays approach underpinning this is designed to cover costs of necessary infrastructure this has not assisted the housing affordability position in these jurisdictions. A national review of infrastructure charging approaches is required with a policy response that reduces the impact that these costs are having on housing affordability.</w:t>
      </w:r>
    </w:p>
    <w:p w:rsidR="00A22CED" w:rsidRPr="0000605C" w:rsidRDefault="00A22CED" w:rsidP="00A22CED">
      <w:r w:rsidRPr="0000605C">
        <w:rPr>
          <w:b/>
        </w:rPr>
        <w:t>Land Supply</w:t>
      </w:r>
      <w:r w:rsidRPr="0000605C">
        <w:t xml:space="preserve"> – Land supply is an important driver of end housing prices and subsequently housing affordability. The locations that have their residential land supply markets in relative equilibrium (</w:t>
      </w:r>
      <w:smartTag w:uri="urn:schemas-microsoft-com:office:smarttags" w:element="City">
        <w:r w:rsidRPr="0000605C">
          <w:t>Melbourne</w:t>
        </w:r>
      </w:smartTag>
      <w:r w:rsidRPr="0000605C">
        <w:t xml:space="preserve"> and </w:t>
      </w:r>
      <w:smartTag w:uri="urn:schemas-microsoft-com:office:smarttags" w:element="City">
        <w:smartTag w:uri="urn:schemas-microsoft-com:office:smarttags" w:element="place">
          <w:r w:rsidRPr="0000605C">
            <w:t>Adelaide</w:t>
          </w:r>
        </w:smartTag>
      </w:smartTag>
      <w:r w:rsidRPr="0000605C">
        <w:t xml:space="preserve">) appear to have the best balance between affordability, commerciality, and dwelling supply. Markets with constrained supply such as </w:t>
      </w:r>
      <w:smartTag w:uri="urn:schemas-microsoft-com:office:smarttags" w:element="City">
        <w:smartTag w:uri="urn:schemas-microsoft-com:office:smarttags" w:element="place">
          <w:r w:rsidRPr="0000605C">
            <w:t>Sydney</w:t>
          </w:r>
        </w:smartTag>
      </w:smartTag>
      <w:r w:rsidRPr="0000605C">
        <w:t xml:space="preserve"> have a significant imbalance between affordability and long term supply. This is the responsibility of State and Local Governments, however a number of jurisdictions have been failing in this area for sometime. This is not as easy as just rezoning more land for residential development as this process is excessive in a number of jurisdictions making the end land supply unaffordable for the target markets. In addition, such land requires significant infrastructure of which a number of jurisdictions are unable to currently fund. </w:t>
      </w:r>
      <w:r w:rsidR="009715E7" w:rsidRPr="0000605C">
        <w:t>Australian</w:t>
      </w:r>
      <w:r w:rsidRPr="0000605C">
        <w:t xml:space="preserve"> Government intervention appears warranted in these areas in the form of accelerated planning and approval processes and infrastructure funding.</w:t>
      </w:r>
    </w:p>
    <w:p w:rsidR="00A22CED" w:rsidRPr="0000605C" w:rsidRDefault="00A22CED" w:rsidP="00A22CED">
      <w:r w:rsidRPr="0000605C">
        <w:rPr>
          <w:b/>
        </w:rPr>
        <w:t>Development Timeframes</w:t>
      </w:r>
      <w:r w:rsidRPr="0000605C">
        <w:t xml:space="preserve"> – Related to land supply is the issue of excessive development timeframes. Time is money in the residential development process and the ability to reduce development timeframes, principally planning approval timeframes can positively impact housing affordability. Increasing development timeframes are a result of increasing government regulation and pressure for resources, both labour and capital (including infrastructure). It is difficult to see how development approval timeframes can be accelerated without compromising recent regulatory goals, specifically in relation to environmental sustainability objectives. There are, however, likely to be opportunities to accelerate developments that voluntarily meet affordability and environmental sustainability objectives. Incentives, in the form of accelerated approval processes, where developments demonstrate the ability to achieve desired outcomes in these areas should be implemented across all jurisdictions.</w:t>
      </w:r>
    </w:p>
    <w:p w:rsidR="002A28FB" w:rsidRPr="0000605C" w:rsidRDefault="002A28FB" w:rsidP="002A28FB"/>
    <w:p w:rsidR="002A28FB" w:rsidRPr="0000605C" w:rsidRDefault="002A28FB" w:rsidP="002A28FB"/>
    <w:p w:rsidR="002B12CA" w:rsidRPr="0000605C" w:rsidRDefault="002B12CA" w:rsidP="002B12CA"/>
    <w:p w:rsidR="00D101BE" w:rsidRPr="0000605C" w:rsidRDefault="00D101BE" w:rsidP="00D101BE">
      <w:pPr>
        <w:pStyle w:val="Heading1"/>
        <w:spacing w:before="0" w:after="120" w:line="240" w:lineRule="auto"/>
        <w:ind w:left="850" w:hanging="850"/>
        <w:contextualSpacing w:val="0"/>
      </w:pPr>
      <w:bookmarkStart w:id="88" w:name="_Toc250964539"/>
      <w:bookmarkStart w:id="89" w:name="_Toc250998413"/>
      <w:bookmarkStart w:id="90" w:name="_Toc294088055"/>
      <w:r w:rsidRPr="0000605C">
        <w:lastRenderedPageBreak/>
        <w:t>Conclusion</w:t>
      </w:r>
      <w:bookmarkEnd w:id="88"/>
      <w:bookmarkEnd w:id="89"/>
      <w:bookmarkEnd w:id="90"/>
    </w:p>
    <w:p w:rsidR="00D101BE" w:rsidRPr="0000605C" w:rsidRDefault="00D101BE" w:rsidP="00D101BE">
      <w:r w:rsidRPr="0000605C">
        <w:t xml:space="preserve">This </w:t>
      </w:r>
      <w:r w:rsidR="00506FA4" w:rsidRPr="0000605C">
        <w:t>update of t</w:t>
      </w:r>
      <w:r w:rsidR="00DB6BB7" w:rsidRPr="0000605C">
        <w:t>he 2009 National Dwelling Cost S</w:t>
      </w:r>
      <w:r w:rsidR="00506FA4" w:rsidRPr="0000605C">
        <w:t>tudy</w:t>
      </w:r>
      <w:r w:rsidRPr="0000605C">
        <w:t xml:space="preserve"> across </w:t>
      </w:r>
      <w:smartTag w:uri="urn:schemas-microsoft-com:office:smarttags" w:element="country-region">
        <w:smartTag w:uri="urn:schemas-microsoft-com:office:smarttags" w:element="place">
          <w:r w:rsidRPr="0000605C">
            <w:t>Australia</w:t>
          </w:r>
        </w:smartTag>
      </w:smartTag>
      <w:r w:rsidRPr="0000605C">
        <w:t xml:space="preserve">’s five major cities </w:t>
      </w:r>
      <w:r w:rsidR="00506FA4" w:rsidRPr="0000605C">
        <w:t>provides an opportunity to review progress in relation to dwelling costs and identify areas for further focus or prioritised action. A summary of t</w:t>
      </w:r>
      <w:r w:rsidR="00FD5BB4" w:rsidRPr="0000605C">
        <w:t xml:space="preserve">he key findings for infill and </w:t>
      </w:r>
      <w:proofErr w:type="gramStart"/>
      <w:smartTag w:uri="urn:schemas-microsoft-com:office:smarttags" w:element="place">
        <w:smartTag w:uri="urn:schemas-microsoft-com:office:smarttags" w:element="City">
          <w:r w:rsidR="00FD5BB4" w:rsidRPr="0000605C">
            <w:t>g</w:t>
          </w:r>
          <w:r w:rsidR="00506FA4" w:rsidRPr="0000605C">
            <w:t>reenfield</w:t>
          </w:r>
        </w:smartTag>
      </w:smartTag>
      <w:proofErr w:type="gramEnd"/>
      <w:r w:rsidR="00506FA4" w:rsidRPr="0000605C">
        <w:t xml:space="preserve"> dwelling costs is presented below as a basis for policy recommendations that follow to identify initiatives to address housing affordability.</w:t>
      </w:r>
    </w:p>
    <w:p w:rsidR="00D101BE" w:rsidRPr="0000605C" w:rsidRDefault="00D101BE" w:rsidP="00D101BE">
      <w:pPr>
        <w:pStyle w:val="Heading2"/>
        <w:keepNext w:val="0"/>
        <w:spacing w:before="360" w:line="240" w:lineRule="auto"/>
      </w:pPr>
      <w:bookmarkStart w:id="91" w:name="_Toc250964540"/>
      <w:bookmarkStart w:id="92" w:name="_Toc250998414"/>
      <w:bookmarkStart w:id="93" w:name="_Toc294088056"/>
      <w:r w:rsidRPr="0000605C">
        <w:t>Infill Dwelling Cost Summary</w:t>
      </w:r>
      <w:bookmarkEnd w:id="91"/>
      <w:bookmarkEnd w:id="92"/>
      <w:bookmarkEnd w:id="93"/>
    </w:p>
    <w:p w:rsidR="00F348A8" w:rsidRPr="0000605C" w:rsidRDefault="00D101BE" w:rsidP="00D101BE">
      <w:r w:rsidRPr="0000605C">
        <w:t>I</w:t>
      </w:r>
      <w:r w:rsidR="00F348A8" w:rsidRPr="0000605C">
        <w:t xml:space="preserve">nfill dwelling development improved across most of the five major city markets with the exception of </w:t>
      </w:r>
      <w:smartTag w:uri="urn:schemas-microsoft-com:office:smarttags" w:element="City">
        <w:smartTag w:uri="urn:schemas-microsoft-com:office:smarttags" w:element="place">
          <w:r w:rsidR="00F348A8" w:rsidRPr="0000605C">
            <w:t>Adelaide</w:t>
          </w:r>
        </w:smartTag>
      </w:smartTag>
      <w:r w:rsidR="00F348A8" w:rsidRPr="0000605C">
        <w:t xml:space="preserve"> which saw a further decline in the viability of medium and high rise i</w:t>
      </w:r>
      <w:r w:rsidRPr="0000605C">
        <w:t>nfill dwelling development</w:t>
      </w:r>
      <w:r w:rsidR="00F348A8" w:rsidRPr="0000605C">
        <w:t xml:space="preserve">. The </w:t>
      </w:r>
      <w:smartTag w:uri="urn:schemas-microsoft-com:office:smarttags" w:element="City">
        <w:smartTag w:uri="urn:schemas-microsoft-com:office:smarttags" w:element="place">
          <w:r w:rsidR="00F348A8" w:rsidRPr="0000605C">
            <w:t>Melbourne</w:t>
          </w:r>
        </w:smartTag>
      </w:smartTag>
      <w:r w:rsidR="00F348A8" w:rsidRPr="0000605C">
        <w:t xml:space="preserve"> market declined marginally but is still performing relatively well. </w:t>
      </w:r>
    </w:p>
    <w:p w:rsidR="00F348A8" w:rsidRPr="0000605C" w:rsidRDefault="00785747" w:rsidP="00D101BE">
      <w:smartTag w:uri="urn:schemas-microsoft-com:office:smarttags" w:element="City">
        <w:r w:rsidRPr="0000605C">
          <w:t>Melbourne</w:t>
        </w:r>
      </w:smartTag>
      <w:r w:rsidRPr="0000605C">
        <w:t xml:space="preserve"> conti</w:t>
      </w:r>
      <w:r w:rsidR="00FD5BB4" w:rsidRPr="0000605C">
        <w:t>nues to be the best performing i</w:t>
      </w:r>
      <w:r w:rsidRPr="0000605C">
        <w:t xml:space="preserve">nfill dwelling market in </w:t>
      </w:r>
      <w:smartTag w:uri="urn:schemas-microsoft-com:office:smarttags" w:element="country-region">
        <w:smartTag w:uri="urn:schemas-microsoft-com:office:smarttags" w:element="place">
          <w:r w:rsidRPr="0000605C">
            <w:t>Australia</w:t>
          </w:r>
        </w:smartTag>
      </w:smartTag>
      <w:r w:rsidRPr="0000605C">
        <w:t xml:space="preserve"> both in terms of volume and profitability. This performance is underpinned by </w:t>
      </w:r>
      <w:r w:rsidR="00DB6BB7" w:rsidRPr="0000605C">
        <w:t>low land costs and competitive government taxes and charges, principally low i</w:t>
      </w:r>
      <w:r w:rsidRPr="0000605C">
        <w:t xml:space="preserve">nfrastructure charges for this type of development. This is being offset by rising construction costs and sale prices which are starting to squeeze profit margins. It will be interesting to see if </w:t>
      </w:r>
      <w:smartTag w:uri="urn:schemas-microsoft-com:office:smarttags" w:element="City">
        <w:smartTag w:uri="urn:schemas-microsoft-com:office:smarttags" w:element="place">
          <w:r w:rsidRPr="0000605C">
            <w:t>Melbourne</w:t>
          </w:r>
        </w:smartTag>
      </w:smartTag>
      <w:r w:rsidRPr="0000605C">
        <w:t xml:space="preserve"> can retain the market balance it has been able to achieve between supply, demand, and costing</w:t>
      </w:r>
      <w:r w:rsidR="00AD0D50" w:rsidRPr="0000605C">
        <w:t xml:space="preserve"> over the coming 12 months. </w:t>
      </w:r>
    </w:p>
    <w:p w:rsidR="00785747" w:rsidRPr="0000605C" w:rsidRDefault="00785747" w:rsidP="00D101BE">
      <w:smartTag w:uri="urn:schemas-microsoft-com:office:smarttags" w:element="City">
        <w:r w:rsidRPr="0000605C">
          <w:t>Sydney</w:t>
        </w:r>
      </w:smartTag>
      <w:r w:rsidRPr="0000605C">
        <w:t xml:space="preserve">, </w:t>
      </w:r>
      <w:smartTag w:uri="urn:schemas-microsoft-com:office:smarttags" w:element="City">
        <w:r w:rsidRPr="0000605C">
          <w:t>Brisbane</w:t>
        </w:r>
      </w:smartTag>
      <w:r w:rsidRPr="0000605C">
        <w:t xml:space="preserve"> and </w:t>
      </w:r>
      <w:smartTag w:uri="urn:schemas-microsoft-com:office:smarttags" w:element="City">
        <w:smartTag w:uri="urn:schemas-microsoft-com:office:smarttags" w:element="place">
          <w:r w:rsidRPr="0000605C">
            <w:t>Perth</w:t>
          </w:r>
        </w:smartTag>
      </w:smartTag>
      <w:r w:rsidRPr="0000605C">
        <w:t xml:space="preserve"> achieved notable turnar</w:t>
      </w:r>
      <w:r w:rsidR="00FD5BB4" w:rsidRPr="0000605C">
        <w:t>ounds in the costings of their i</w:t>
      </w:r>
      <w:r w:rsidRPr="0000605C">
        <w:t xml:space="preserve">nfill dwelling products. In </w:t>
      </w:r>
      <w:smartTag w:uri="urn:schemas-microsoft-com:office:smarttags" w:element="City">
        <w:smartTag w:uri="urn:schemas-microsoft-com:office:smarttags" w:element="place">
          <w:r w:rsidRPr="0000605C">
            <w:t>Sydney</w:t>
          </w:r>
        </w:smartTag>
      </w:smartTag>
      <w:r w:rsidRPr="0000605C">
        <w:t xml:space="preserve"> this has been driven by an increase in sale price and a stable construction cost. </w:t>
      </w:r>
      <w:smartTag w:uri="urn:schemas-microsoft-com:office:smarttags" w:element="City">
        <w:smartTag w:uri="urn:schemas-microsoft-com:office:smarttags" w:element="place">
          <w:r w:rsidRPr="0000605C">
            <w:t>Perth</w:t>
          </w:r>
        </w:smartTag>
      </w:smartTag>
      <w:r w:rsidRPr="0000605C">
        <w:t xml:space="preserve"> has benefited from the same situation though it has</w:t>
      </w:r>
      <w:r w:rsidR="00AD0D50" w:rsidRPr="0000605C">
        <w:t xml:space="preserve"> also</w:t>
      </w:r>
      <w:r w:rsidRPr="0000605C">
        <w:t xml:space="preserve"> benefited from a reduction in construction costs. </w:t>
      </w:r>
      <w:smartTag w:uri="urn:schemas-microsoft-com:office:smarttags" w:element="City">
        <w:smartTag w:uri="urn:schemas-microsoft-com:office:smarttags" w:element="place">
          <w:r w:rsidRPr="0000605C">
            <w:t>Brisbane</w:t>
          </w:r>
        </w:smartTag>
      </w:smartTag>
      <w:r w:rsidRPr="0000605C">
        <w:t xml:space="preserve"> has benefited from an increase in sale prices and a reduction in land prices. This reflects the potential oversupply of sites (land price) and supply constraints from the detached housing market (benefiting price).</w:t>
      </w:r>
    </w:p>
    <w:p w:rsidR="00785747" w:rsidRPr="0000605C" w:rsidRDefault="00E9143B" w:rsidP="00D101BE">
      <w:r w:rsidRPr="0000605C">
        <w:t>Construction remains</w:t>
      </w:r>
      <w:r w:rsidR="00FD5BB4" w:rsidRPr="0000605C">
        <w:t xml:space="preserve"> the largest cost component of i</w:t>
      </w:r>
      <w:r w:rsidRPr="0000605C">
        <w:t>nfill dwellings (45%-60%) and a key area to focus reform to impro</w:t>
      </w:r>
      <w:r w:rsidR="00FD5BB4" w:rsidRPr="0000605C">
        <w:t>ve housing affordability. While</w:t>
      </w:r>
      <w:r w:rsidRPr="0000605C">
        <w:t xml:space="preserve"> most of the other factors appear to respond to market pressures or</w:t>
      </w:r>
      <w:r w:rsidR="00AD0D50" w:rsidRPr="0000605C">
        <w:t xml:space="preserve"> move with sale price movements, </w:t>
      </w:r>
      <w:r w:rsidR="008557E5" w:rsidRPr="0000605C">
        <w:t>c</w:t>
      </w:r>
      <w:r w:rsidRPr="0000605C">
        <w:t>onstruction costs appear to be less infl</w:t>
      </w:r>
      <w:r w:rsidR="00FD5BB4" w:rsidRPr="0000605C">
        <w:t>uenced by market changes. While</w:t>
      </w:r>
      <w:r w:rsidRPr="0000605C">
        <w:t xml:space="preserve"> </w:t>
      </w:r>
      <w:r w:rsidR="008557E5" w:rsidRPr="0000605C">
        <w:t>c</w:t>
      </w:r>
      <w:r w:rsidRPr="0000605C">
        <w:t xml:space="preserve">onstruction costs in </w:t>
      </w:r>
      <w:smartTag w:uri="urn:schemas-microsoft-com:office:smarttags" w:element="City">
        <w:r w:rsidRPr="0000605C">
          <w:t>Brisbane</w:t>
        </w:r>
      </w:smartTag>
      <w:r w:rsidRPr="0000605C">
        <w:t xml:space="preserve"> and </w:t>
      </w:r>
      <w:smartTag w:uri="urn:schemas-microsoft-com:office:smarttags" w:element="City">
        <w:smartTag w:uri="urn:schemas-microsoft-com:office:smarttags" w:element="place">
          <w:r w:rsidRPr="0000605C">
            <w:t>Perth</w:t>
          </w:r>
        </w:smartTag>
      </w:smartTag>
      <w:r w:rsidRPr="0000605C">
        <w:t xml:space="preserve"> declined these were at low rates (3%). </w:t>
      </w:r>
      <w:r w:rsidR="00F25956" w:rsidRPr="0000605C">
        <w:t xml:space="preserve">Construction </w:t>
      </w:r>
      <w:r w:rsidR="00FD5BB4" w:rsidRPr="0000605C">
        <w:t>costs for medium and high rise i</w:t>
      </w:r>
      <w:r w:rsidR="00F25956" w:rsidRPr="0000605C">
        <w:t>nfill dwellings are in th</w:t>
      </w:r>
      <w:r w:rsidR="00FD5BB4" w:rsidRPr="0000605C">
        <w:t xml:space="preserve">e order of 50% higher than for </w:t>
      </w:r>
      <w:proofErr w:type="gramStart"/>
      <w:smartTag w:uri="urn:schemas-microsoft-com:office:smarttags" w:element="place">
        <w:smartTag w:uri="urn:schemas-microsoft-com:office:smarttags" w:element="City">
          <w:r w:rsidR="00FD5BB4" w:rsidRPr="0000605C">
            <w:t>g</w:t>
          </w:r>
          <w:r w:rsidR="00F25956" w:rsidRPr="0000605C">
            <w:t>reenfield</w:t>
          </w:r>
        </w:smartTag>
      </w:smartTag>
      <w:proofErr w:type="gramEnd"/>
      <w:r w:rsidR="00F25956" w:rsidRPr="0000605C">
        <w:t xml:space="preserve"> dwellings that are of a larger size. This is a barrier to the provision of affordable inner city dwellings. There are a number of factors that lead to greater construction c</w:t>
      </w:r>
      <w:r w:rsidR="00FD5BB4" w:rsidRPr="0000605C">
        <w:t xml:space="preserve">osts for infill dwellings over </w:t>
      </w:r>
      <w:proofErr w:type="gramStart"/>
      <w:smartTag w:uri="urn:schemas-microsoft-com:office:smarttags" w:element="place">
        <w:smartTag w:uri="urn:schemas-microsoft-com:office:smarttags" w:element="City">
          <w:r w:rsidR="00FD5BB4" w:rsidRPr="0000605C">
            <w:t>g</w:t>
          </w:r>
          <w:r w:rsidR="00F25956" w:rsidRPr="0000605C">
            <w:t>reenfield</w:t>
          </w:r>
        </w:smartTag>
      </w:smartTag>
      <w:proofErr w:type="gramEnd"/>
      <w:r w:rsidR="00F25956" w:rsidRPr="0000605C">
        <w:t xml:space="preserve"> dwellings. These include higher environmental and safety requirements; additional components such as lifts, sprinklers, basements, and fire stairs; and additional labour costs associated with unionisation. </w:t>
      </w:r>
    </w:p>
    <w:p w:rsidR="00D101BE" w:rsidRPr="0000605C" w:rsidRDefault="00E9143B" w:rsidP="00D101BE">
      <w:r w:rsidRPr="0000605C">
        <w:t>The next</w:t>
      </w:r>
      <w:r w:rsidR="00541580" w:rsidRPr="0000605C">
        <w:t xml:space="preserve"> most significant component is government taxes and c</w:t>
      </w:r>
      <w:r w:rsidRPr="0000605C">
        <w:t>harges (14-16%). A</w:t>
      </w:r>
      <w:r w:rsidR="00541580" w:rsidRPr="0000605C">
        <w:t>s highlighted previously, GST, stamp duty and infrastructure c</w:t>
      </w:r>
      <w:r w:rsidRPr="0000605C">
        <w:t>harges are the principal components here. Little progress appears to have been achieved across most jurisdictions in regard to addressing the big</w:t>
      </w:r>
      <w:r w:rsidR="00541580" w:rsidRPr="0000605C">
        <w:t xml:space="preserve"> issues of tax reform. GST and stamp d</w:t>
      </w:r>
      <w:r w:rsidRPr="0000605C">
        <w:t>uty remain a double cost blow to new dwellings in an industry which has affordability issues.</w:t>
      </w:r>
    </w:p>
    <w:p w:rsidR="00D101BE" w:rsidRPr="0000605C" w:rsidRDefault="00996229" w:rsidP="00D101BE">
      <w:pPr>
        <w:pStyle w:val="BodyText"/>
      </w:pPr>
      <w:r w:rsidRPr="0000605C">
        <w:t xml:space="preserve">Price pressure on land appears to have reduced somewhat with </w:t>
      </w:r>
      <w:smartTag w:uri="urn:schemas-microsoft-com:office:smarttags" w:element="City">
        <w:smartTag w:uri="urn:schemas-microsoft-com:office:smarttags" w:element="place">
          <w:r w:rsidRPr="0000605C">
            <w:t>Brisbane</w:t>
          </w:r>
        </w:smartTag>
      </w:smartTag>
      <w:r w:rsidRPr="0000605C">
        <w:t xml:space="preserve"> experiencing a fall and most of the other cities remaining relatively stable. </w:t>
      </w:r>
      <w:smartTag w:uri="urn:schemas-microsoft-com:office:smarttags" w:element="City">
        <w:smartTag w:uri="urn:schemas-microsoft-com:office:smarttags" w:element="place">
          <w:r w:rsidRPr="0000605C">
            <w:t>Perth</w:t>
          </w:r>
        </w:smartTag>
      </w:smartTag>
      <w:r w:rsidRPr="0000605C">
        <w:t xml:space="preserve"> is the exception here and this may be the result of a shortage of appropriate sites and the improving market.</w:t>
      </w:r>
    </w:p>
    <w:p w:rsidR="00D101BE" w:rsidRPr="0000605C" w:rsidRDefault="00D101BE" w:rsidP="00D101BE">
      <w:pPr>
        <w:pStyle w:val="Heading2"/>
        <w:keepNext w:val="0"/>
        <w:spacing w:before="360" w:line="240" w:lineRule="auto"/>
      </w:pPr>
      <w:bookmarkStart w:id="94" w:name="_Toc250964541"/>
      <w:bookmarkStart w:id="95" w:name="_Toc250998415"/>
      <w:bookmarkStart w:id="96" w:name="_Toc294088057"/>
      <w:smartTag w:uri="urn:schemas-microsoft-com:office:smarttags" w:element="City">
        <w:smartTag w:uri="urn:schemas-microsoft-com:office:smarttags" w:element="place">
          <w:r w:rsidRPr="0000605C">
            <w:t>Greenfield</w:t>
          </w:r>
        </w:smartTag>
      </w:smartTag>
      <w:r w:rsidRPr="0000605C">
        <w:t xml:space="preserve"> Dwelling Cost Summary</w:t>
      </w:r>
      <w:bookmarkEnd w:id="94"/>
      <w:bookmarkEnd w:id="95"/>
      <w:bookmarkEnd w:id="96"/>
    </w:p>
    <w:p w:rsidR="00996229" w:rsidRPr="0000605C" w:rsidRDefault="00996229" w:rsidP="00D101BE">
      <w:smartTag w:uri="urn:schemas-microsoft-com:office:smarttags" w:element="City">
        <w:smartTag w:uri="urn:schemas-microsoft-com:office:smarttags" w:element="place">
          <w:r w:rsidRPr="0000605C">
            <w:t>Greenfield</w:t>
          </w:r>
        </w:smartTag>
      </w:smartTag>
      <w:r w:rsidRPr="0000605C">
        <w:t xml:space="preserve"> dwelling markets across the five major cities have varied over 2010. </w:t>
      </w:r>
      <w:smartTag w:uri="urn:schemas-microsoft-com:office:smarttags" w:element="City">
        <w:smartTag w:uri="urn:schemas-microsoft-com:office:smarttags" w:element="place">
          <w:r w:rsidRPr="0000605C">
            <w:t>Sydney</w:t>
          </w:r>
        </w:smartTag>
      </w:smartTag>
      <w:r w:rsidRPr="0000605C">
        <w:t xml:space="preserve"> has experienced a decline as the market has responded to price point pressures. Costs have not fallen in line with prices and subsequently profit margins have fallen. Land costs have come back in line with dwelling prices. Overall affordability in this market has improved but will not be sustainable unless other costs fall in line with prices.</w:t>
      </w:r>
    </w:p>
    <w:p w:rsidR="00996229" w:rsidRPr="0000605C" w:rsidRDefault="00FD5BB4" w:rsidP="00D101BE">
      <w:r w:rsidRPr="0000605C">
        <w:lastRenderedPageBreak/>
        <w:t xml:space="preserve">The </w:t>
      </w:r>
      <w:smartTag w:uri="urn:schemas-microsoft-com:office:smarttags" w:element="City">
        <w:r w:rsidRPr="0000605C">
          <w:t>Melbourne</w:t>
        </w:r>
      </w:smartTag>
      <w:r w:rsidRPr="0000605C">
        <w:t xml:space="preserve"> </w:t>
      </w:r>
      <w:proofErr w:type="gramStart"/>
      <w:smartTag w:uri="urn:schemas-microsoft-com:office:smarttags" w:element="place">
        <w:smartTag w:uri="urn:schemas-microsoft-com:office:smarttags" w:element="City">
          <w:r w:rsidRPr="0000605C">
            <w:t>g</w:t>
          </w:r>
          <w:r w:rsidR="00996229" w:rsidRPr="0000605C">
            <w:t>reenfield</w:t>
          </w:r>
        </w:smartTag>
      </w:smartTag>
      <w:proofErr w:type="gramEnd"/>
      <w:r w:rsidR="00996229" w:rsidRPr="0000605C">
        <w:t xml:space="preserve"> market has remained relatively strong over the year showing an increase in pricing and associated increases in costs. Developer margins have been squeezed slightly as costs have </w:t>
      </w:r>
      <w:proofErr w:type="gramStart"/>
      <w:r w:rsidR="00996229" w:rsidRPr="0000605C">
        <w:t>risen</w:t>
      </w:r>
      <w:proofErr w:type="gramEnd"/>
      <w:r w:rsidR="00996229" w:rsidRPr="0000605C">
        <w:t xml:space="preserve"> more than prices and this may reflect a downturn in the market going forward. We noted </w:t>
      </w:r>
      <w:smartTag w:uri="urn:schemas-microsoft-com:office:smarttags" w:element="City">
        <w:r w:rsidR="00996229" w:rsidRPr="0000605C">
          <w:t>Melbourne</w:t>
        </w:r>
      </w:smartTag>
      <w:r w:rsidR="00996229" w:rsidRPr="0000605C">
        <w:t>’s affordability advantage through its depth of product priced under $450,000 which allows</w:t>
      </w:r>
      <w:r w:rsidRPr="0000605C">
        <w:t xml:space="preserve"> it to maintain high levels of </w:t>
      </w:r>
      <w:proofErr w:type="gramStart"/>
      <w:smartTag w:uri="urn:schemas-microsoft-com:office:smarttags" w:element="place">
        <w:smartTag w:uri="urn:schemas-microsoft-com:office:smarttags" w:element="City">
          <w:r w:rsidRPr="0000605C">
            <w:t>g</w:t>
          </w:r>
          <w:r w:rsidR="00996229" w:rsidRPr="0000605C">
            <w:t>reenfield</w:t>
          </w:r>
        </w:smartTag>
      </w:smartTag>
      <w:proofErr w:type="gramEnd"/>
      <w:r w:rsidR="00996229" w:rsidRPr="0000605C">
        <w:t xml:space="preserve"> dwelling development.</w:t>
      </w:r>
    </w:p>
    <w:p w:rsidR="00996229" w:rsidRPr="0000605C" w:rsidRDefault="00FD5BB4" w:rsidP="00D101BE">
      <w:r w:rsidRPr="0000605C">
        <w:t xml:space="preserve">The </w:t>
      </w:r>
      <w:smartTag w:uri="urn:schemas-microsoft-com:office:smarttags" w:element="City">
        <w:r w:rsidRPr="0000605C">
          <w:t>Brisbane</w:t>
        </w:r>
      </w:smartTag>
      <w:r w:rsidRPr="0000605C">
        <w:t xml:space="preserve"> </w:t>
      </w:r>
      <w:proofErr w:type="gramStart"/>
      <w:smartTag w:uri="urn:schemas-microsoft-com:office:smarttags" w:element="City">
        <w:r w:rsidRPr="0000605C">
          <w:t>g</w:t>
        </w:r>
        <w:r w:rsidR="00996229" w:rsidRPr="0000605C">
          <w:t>reenfield</w:t>
        </w:r>
      </w:smartTag>
      <w:proofErr w:type="gramEnd"/>
      <w:r w:rsidR="00996229" w:rsidRPr="0000605C">
        <w:t xml:space="preserve"> dwelling market has responded to consum</w:t>
      </w:r>
      <w:r w:rsidRPr="0000605C">
        <w:t xml:space="preserve">er price pressures and reduced </w:t>
      </w:r>
      <w:smartTag w:uri="urn:schemas-microsoft-com:office:smarttags" w:element="place">
        <w:smartTag w:uri="urn:schemas-microsoft-com:office:smarttags" w:element="City">
          <w:r w:rsidRPr="0000605C">
            <w:t>g</w:t>
          </w:r>
          <w:r w:rsidR="00996229" w:rsidRPr="0000605C">
            <w:t>reenfield</w:t>
          </w:r>
        </w:smartTag>
      </w:smartTag>
      <w:r w:rsidR="00996229" w:rsidRPr="0000605C">
        <w:t xml:space="preserve"> dwelling prices and costs. This has been principally achieved through lower land costs</w:t>
      </w:r>
      <w:r w:rsidR="00F25956" w:rsidRPr="0000605C">
        <w:t>, stable construction costs, and the reduced costs associated with lower</w:t>
      </w:r>
      <w:r w:rsidR="00541580" w:rsidRPr="0000605C">
        <w:t xml:space="preserve"> sale prices including GST and stamp d</w:t>
      </w:r>
      <w:r w:rsidR="00F25956" w:rsidRPr="0000605C">
        <w:t>uty.</w:t>
      </w:r>
    </w:p>
    <w:p w:rsidR="00F25956" w:rsidRPr="0000605C" w:rsidRDefault="00FD5BB4" w:rsidP="00D101BE">
      <w:r w:rsidRPr="0000605C">
        <w:t xml:space="preserve">The </w:t>
      </w:r>
      <w:proofErr w:type="gramStart"/>
      <w:smartTag w:uri="urn:schemas-microsoft-com:office:smarttags" w:element="City">
        <w:r w:rsidRPr="0000605C">
          <w:t>g</w:t>
        </w:r>
        <w:r w:rsidR="00F25956" w:rsidRPr="0000605C">
          <w:t>reenfield</w:t>
        </w:r>
      </w:smartTag>
      <w:proofErr w:type="gramEnd"/>
      <w:r w:rsidR="00F25956" w:rsidRPr="0000605C">
        <w:t xml:space="preserve"> dwelling market in </w:t>
      </w:r>
      <w:smartTag w:uri="urn:schemas-microsoft-com:office:smarttags" w:element="place">
        <w:smartTag w:uri="urn:schemas-microsoft-com:office:smarttags" w:element="City">
          <w:r w:rsidR="00F25956" w:rsidRPr="0000605C">
            <w:t>Perth</w:t>
          </w:r>
        </w:smartTag>
      </w:smartTag>
      <w:r w:rsidR="00F25956" w:rsidRPr="0000605C">
        <w:t xml:space="preserve"> has turned around in 2010 with increased sale prices, reduced land costs, and reduced construction costs. This has led to a recovery in profit to credible levels and strong dwelling development activity at long term averages.</w:t>
      </w:r>
    </w:p>
    <w:p w:rsidR="00D101BE" w:rsidRPr="0000605C" w:rsidRDefault="00F25956" w:rsidP="00D101BE">
      <w:r w:rsidRPr="0000605C">
        <w:t>Construction costs repr</w:t>
      </w:r>
      <w:r w:rsidR="00541580" w:rsidRPr="0000605C">
        <w:t>esent the largest component of total costs to p</w:t>
      </w:r>
      <w:r w:rsidRPr="0000605C">
        <w:t>urchasers (36% to 53%) t</w:t>
      </w:r>
      <w:r w:rsidR="00FD5BB4" w:rsidRPr="0000605C">
        <w:t>hough at levels lower than for i</w:t>
      </w:r>
      <w:r w:rsidRPr="0000605C">
        <w:t>nfill dwellings.</w:t>
      </w:r>
      <w:r w:rsidR="00EA2B27" w:rsidRPr="0000605C">
        <w:t xml:space="preserve"> Most markets have experienced rises with </w:t>
      </w:r>
      <w:smartTag w:uri="urn:schemas-microsoft-com:office:smarttags" w:element="City">
        <w:smartTag w:uri="urn:schemas-microsoft-com:office:smarttags" w:element="place">
          <w:r w:rsidR="00EA2B27" w:rsidRPr="0000605C">
            <w:t>Perth</w:t>
          </w:r>
        </w:smartTag>
      </w:smartTag>
      <w:r w:rsidR="00EA2B27" w:rsidRPr="0000605C">
        <w:t xml:space="preserve"> the only market reflecting less competitive conditions with a $24,000 fall.</w:t>
      </w:r>
    </w:p>
    <w:p w:rsidR="00EA2B27" w:rsidRPr="0000605C" w:rsidRDefault="00EA2B27" w:rsidP="00D101BE">
      <w:r w:rsidRPr="0000605C">
        <w:t>Go</w:t>
      </w:r>
      <w:r w:rsidR="00541580" w:rsidRPr="0000605C">
        <w:t>vernment taxes and c</w:t>
      </w:r>
      <w:r w:rsidRPr="0000605C">
        <w:t>harges remain a signifi</w:t>
      </w:r>
      <w:r w:rsidR="00FD5BB4" w:rsidRPr="0000605C">
        <w:t xml:space="preserve">cant component (17% to 22%) of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dwelling costs through</w:t>
      </w:r>
      <w:r w:rsidR="00541580" w:rsidRPr="0000605C">
        <w:t xml:space="preserve"> major contributions from GST, stamp duty, and i</w:t>
      </w:r>
      <w:r w:rsidRPr="0000605C">
        <w:t>nfrastructure charges in Sydney and</w:t>
      </w:r>
      <w:r w:rsidR="00FD5BB4" w:rsidRPr="0000605C">
        <w:t xml:space="preserve"> Brisbane. As is the case with i</w:t>
      </w:r>
      <w:r w:rsidRPr="0000605C">
        <w:t xml:space="preserve">nfill dwellings their remains pressure for reform in these areas. </w:t>
      </w:r>
    </w:p>
    <w:p w:rsidR="00D101BE" w:rsidRPr="0000605C" w:rsidRDefault="00D101BE" w:rsidP="00D101BE">
      <w:pPr>
        <w:pStyle w:val="Heading2"/>
        <w:keepNext w:val="0"/>
        <w:spacing w:before="360" w:line="240" w:lineRule="auto"/>
      </w:pPr>
      <w:bookmarkStart w:id="97" w:name="_Toc250964543"/>
      <w:bookmarkStart w:id="98" w:name="_Toc250998417"/>
      <w:bookmarkStart w:id="99" w:name="_Toc294088058"/>
      <w:r w:rsidRPr="0000605C">
        <w:t>The Focus for Policy Responses</w:t>
      </w:r>
      <w:bookmarkEnd w:id="97"/>
      <w:bookmarkEnd w:id="98"/>
      <w:bookmarkEnd w:id="99"/>
    </w:p>
    <w:p w:rsidR="00D101BE" w:rsidRPr="0000605C" w:rsidRDefault="00D101BE" w:rsidP="00D101BE">
      <w:r w:rsidRPr="0000605C">
        <w:t xml:space="preserve">The findings from this </w:t>
      </w:r>
      <w:r w:rsidR="00EA2B27" w:rsidRPr="0000605C">
        <w:t>update of the N</w:t>
      </w:r>
      <w:r w:rsidR="00541580" w:rsidRPr="0000605C">
        <w:t>ational Dwelling Cost S</w:t>
      </w:r>
      <w:r w:rsidR="00FD5BB4" w:rsidRPr="0000605C">
        <w:t xml:space="preserve">tudy of </w:t>
      </w:r>
      <w:proofErr w:type="gramStart"/>
      <w:smartTag w:uri="urn:schemas-microsoft-com:office:smarttags" w:element="City">
        <w:r w:rsidR="00FD5BB4" w:rsidRPr="0000605C">
          <w:t>greenfield</w:t>
        </w:r>
      </w:smartTag>
      <w:proofErr w:type="gramEnd"/>
      <w:r w:rsidR="00FD5BB4" w:rsidRPr="0000605C">
        <w:t xml:space="preserve"> and i</w:t>
      </w:r>
      <w:r w:rsidR="00EA2B27" w:rsidRPr="0000605C">
        <w:t xml:space="preserve">nfill dwellings across </w:t>
      </w:r>
      <w:smartTag w:uri="urn:schemas-microsoft-com:office:smarttags" w:element="country-region">
        <w:r w:rsidR="00EA2B27" w:rsidRPr="0000605C">
          <w:t>Australia</w:t>
        </w:r>
      </w:smartTag>
      <w:r w:rsidR="00EA2B27" w:rsidRPr="0000605C">
        <w:t>’s five major cities</w:t>
      </w:r>
      <w:r w:rsidR="008557E5" w:rsidRPr="0000605C">
        <w:t>,</w:t>
      </w:r>
      <w:r w:rsidR="00EA2B27" w:rsidRPr="0000605C">
        <w:t xml:space="preserve"> along with insights from the previous study, highlight four areas of focus for policy responses to improve housing affordability across </w:t>
      </w:r>
      <w:smartTag w:uri="urn:schemas-microsoft-com:office:smarttags" w:element="place">
        <w:smartTag w:uri="urn:schemas-microsoft-com:office:smarttags" w:element="country-region">
          <w:r w:rsidR="00EA2B27" w:rsidRPr="0000605C">
            <w:t>Australia</w:t>
          </w:r>
        </w:smartTag>
      </w:smartTag>
      <w:r w:rsidR="00EA2B27" w:rsidRPr="0000605C">
        <w:t>:</w:t>
      </w:r>
    </w:p>
    <w:p w:rsidR="00EA2B27" w:rsidRPr="0000605C" w:rsidRDefault="00D101BE" w:rsidP="00D101BE">
      <w:r w:rsidRPr="0000605C">
        <w:rPr>
          <w:b/>
        </w:rPr>
        <w:t>Construction Costs</w:t>
      </w:r>
      <w:r w:rsidRPr="0000605C">
        <w:t xml:space="preserve"> – </w:t>
      </w:r>
      <w:r w:rsidR="00EA2B27" w:rsidRPr="0000605C">
        <w:t>These remain the single larges</w:t>
      </w:r>
      <w:r w:rsidR="00FD5BB4" w:rsidRPr="0000605C">
        <w:t xml:space="preserve">t component of both infill and </w:t>
      </w:r>
      <w:proofErr w:type="gramStart"/>
      <w:smartTag w:uri="urn:schemas-microsoft-com:office:smarttags" w:element="place">
        <w:smartTag w:uri="urn:schemas-microsoft-com:office:smarttags" w:element="City">
          <w:r w:rsidR="00FD5BB4" w:rsidRPr="0000605C">
            <w:t>g</w:t>
          </w:r>
          <w:r w:rsidR="00EA2B27" w:rsidRPr="0000605C">
            <w:t>reenfield</w:t>
          </w:r>
        </w:smartTag>
      </w:smartTag>
      <w:proofErr w:type="gramEnd"/>
      <w:r w:rsidR="00EA2B27" w:rsidRPr="0000605C">
        <w:t xml:space="preserve"> dwelling costs</w:t>
      </w:r>
      <w:r w:rsidR="009C7085">
        <w:t xml:space="preserve"> and</w:t>
      </w:r>
      <w:r w:rsidR="00EA2B27" w:rsidRPr="0000605C">
        <w:t xml:space="preserve"> </w:t>
      </w:r>
      <w:r w:rsidR="009C7085">
        <w:t>s</w:t>
      </w:r>
      <w:r w:rsidR="00EA2B27" w:rsidRPr="0000605C">
        <w:t>ubsequently reductions in this component can have significant benefits for improved affordability. This y</w:t>
      </w:r>
      <w:r w:rsidR="009C7085">
        <w:t>ear’s study has shown that the c</w:t>
      </w:r>
      <w:r w:rsidR="00EA2B27" w:rsidRPr="0000605C">
        <w:t>onstruction sector can respond to changes in market demand and supply situations. The</w:t>
      </w:r>
      <w:r w:rsidR="00DA1F16">
        <w:t xml:space="preserve"> Queensland Government has attempted to address this issue through their Building Revival F</w:t>
      </w:r>
      <w:r w:rsidR="00EA2B27" w:rsidRPr="0000605C">
        <w:t>orum. This forum had a strong focus on demand however policy responses were also identified with relation to costs.</w:t>
      </w:r>
    </w:p>
    <w:p w:rsidR="00B74603" w:rsidRPr="0000605C" w:rsidRDefault="00B74603" w:rsidP="00D101BE">
      <w:r w:rsidRPr="0000605C">
        <w:t xml:space="preserve">An independent study into the </w:t>
      </w:r>
      <w:r w:rsidR="00FD5BB4" w:rsidRPr="0000605C">
        <w:t>value chain of both infill and g</w:t>
      </w:r>
      <w:r w:rsidRPr="0000605C">
        <w:t xml:space="preserve">reenfield dwelling </w:t>
      </w:r>
      <w:r w:rsidR="00AD0D50" w:rsidRPr="0000605C">
        <w:t xml:space="preserve">construction </w:t>
      </w:r>
      <w:r w:rsidRPr="0000605C">
        <w:t xml:space="preserve">would provide an opportunity to breakdown the elements of this cost component (as this study has done) which would shed light on </w:t>
      </w:r>
      <w:r w:rsidR="00541580" w:rsidRPr="0000605C">
        <w:t>what the major cost factors in c</w:t>
      </w:r>
      <w:r w:rsidRPr="0000605C">
        <w:t>onstruction are and whether measures can be taken to reduce these costs.</w:t>
      </w:r>
    </w:p>
    <w:p w:rsidR="00B74603" w:rsidRPr="0000605C" w:rsidRDefault="00B74603" w:rsidP="00D101BE">
      <w:r w:rsidRPr="0000605C">
        <w:t xml:space="preserve">A further initiative to address this cost component is through alternative dwelling materials and construction techniques. Pilot testing of fast track dwelling development for both forms of dwellings in this study have been occurring in different parts of </w:t>
      </w:r>
      <w:smartTag w:uri="urn:schemas-microsoft-com:office:smarttags" w:element="country-region">
        <w:smartTag w:uri="urn:schemas-microsoft-com:office:smarttags" w:element="place">
          <w:r w:rsidRPr="0000605C">
            <w:t>Australia</w:t>
          </w:r>
        </w:smartTag>
      </w:smartTag>
      <w:r w:rsidRPr="0000605C">
        <w:t xml:space="preserve"> over the past few years. Government incentives could be provided for the mass production of these forms of innovative, more affordable dwellings.</w:t>
      </w:r>
    </w:p>
    <w:p w:rsidR="00B74603" w:rsidRPr="0000605C" w:rsidRDefault="00D101BE" w:rsidP="00D101BE">
      <w:r w:rsidRPr="0000605C">
        <w:rPr>
          <w:b/>
        </w:rPr>
        <w:t>Tax Reform</w:t>
      </w:r>
      <w:r w:rsidRPr="0000605C">
        <w:t xml:space="preserve"> – </w:t>
      </w:r>
      <w:r w:rsidR="007E2E17" w:rsidRPr="0000605C">
        <w:t>The Australian Government presented the findings of the Henry Tax Review in 2010</w:t>
      </w:r>
      <w:r w:rsidR="00FE0E1E">
        <w:t xml:space="preserve">. To date the follow up to this review has been limited. New dwelling taxation reform addressing GST and stamp duty may improve housing affordability. </w:t>
      </w:r>
      <w:r w:rsidR="007E2E17" w:rsidRPr="0000605C">
        <w:t xml:space="preserve">Consideration needs to be given to how to restructure these components to improve this situation. We are conscious that as </w:t>
      </w:r>
      <w:smartTag w:uri="urn:schemas-microsoft-com:office:smarttags" w:element="country-region">
        <w:smartTag w:uri="urn:schemas-microsoft-com:office:smarttags" w:element="place">
          <w:r w:rsidR="007E2E17" w:rsidRPr="0000605C">
            <w:t>Australia</w:t>
          </w:r>
        </w:smartTag>
      </w:smartTag>
      <w:r w:rsidR="007E2E17" w:rsidRPr="0000605C">
        <w:t xml:space="preserve"> emerges from the global financial crisis in a tight fiscal environment, policies to reduce taxation are unlikely to be appealing.</w:t>
      </w:r>
    </w:p>
    <w:p w:rsidR="00B74603" w:rsidRPr="0000605C" w:rsidRDefault="00B74603" w:rsidP="00D101BE">
      <w:r w:rsidRPr="0000605C">
        <w:t>Ini</w:t>
      </w:r>
      <w:r w:rsidR="00541580" w:rsidRPr="0000605C">
        <w:t>tiatives to address increasing i</w:t>
      </w:r>
      <w:r w:rsidRPr="0000605C">
        <w:t xml:space="preserve">nfrastructure charges are in the process of being introduced into </w:t>
      </w:r>
      <w:smartTag w:uri="urn:schemas-microsoft-com:office:smarttags" w:element="State">
        <w:smartTag w:uri="urn:schemas-microsoft-com:office:smarttags" w:element="place">
          <w:r w:rsidRPr="0000605C">
            <w:t>Queensland</w:t>
          </w:r>
        </w:smartTag>
      </w:smartTag>
      <w:r w:rsidRPr="0000605C">
        <w:t xml:space="preserve"> following the recommendations from the State Government’s Infrastructure Charges Task Force. </w:t>
      </w:r>
      <w:r w:rsidR="0040572F" w:rsidRPr="0000605C">
        <w:t xml:space="preserve">There is debate over the affordability of the recommended charges however they have provided </w:t>
      </w:r>
      <w:r w:rsidR="0040572F" w:rsidRPr="0000605C">
        <w:lastRenderedPageBreak/>
        <w:t xml:space="preserve">short term certainty for the development industry. </w:t>
      </w:r>
      <w:smartTag w:uri="urn:schemas-microsoft-com:office:smarttags" w:element="State">
        <w:r w:rsidR="0040572F" w:rsidRPr="0000605C">
          <w:t>Queensland</w:t>
        </w:r>
      </w:smartTag>
      <w:r w:rsidR="0040572F" w:rsidRPr="0000605C">
        <w:t xml:space="preserve"> now appears to be ahead of the other states in this regard however this has not been a significant issue in </w:t>
      </w:r>
      <w:smartTag w:uri="urn:schemas-microsoft-com:office:smarttags" w:element="State">
        <w:r w:rsidR="0040572F" w:rsidRPr="0000605C">
          <w:t>Western Australia</w:t>
        </w:r>
      </w:smartTag>
      <w:r w:rsidR="0040572F" w:rsidRPr="0000605C">
        <w:t xml:space="preserve"> or </w:t>
      </w:r>
      <w:smartTag w:uri="urn:schemas-microsoft-com:office:smarttags" w:element="State">
        <w:smartTag w:uri="urn:schemas-microsoft-com:office:smarttags" w:element="place">
          <w:r w:rsidR="0040572F" w:rsidRPr="0000605C">
            <w:t>South Australia</w:t>
          </w:r>
        </w:smartTag>
      </w:smartTag>
      <w:r w:rsidR="0040572F" w:rsidRPr="0000605C">
        <w:t xml:space="preserve">. It is emerging as an issue in </w:t>
      </w:r>
      <w:smartTag w:uri="urn:schemas-microsoft-com:office:smarttags" w:element="State">
        <w:smartTag w:uri="urn:schemas-microsoft-com:office:smarttags" w:element="place">
          <w:r w:rsidR="0040572F" w:rsidRPr="0000605C">
            <w:t>Victoria</w:t>
          </w:r>
        </w:smartTag>
      </w:smartTag>
      <w:r w:rsidR="0040572F" w:rsidRPr="0000605C">
        <w:t xml:space="preserve"> with respect to areas newly included in the Urban Growth Boundary</w:t>
      </w:r>
      <w:r w:rsidR="00AD0D50" w:rsidRPr="0000605C">
        <w:t xml:space="preserve"> (Growth Areas Infrastructure Charges)</w:t>
      </w:r>
      <w:r w:rsidR="0040572F" w:rsidRPr="0000605C">
        <w:t xml:space="preserve">. These are likely to be comparable to </w:t>
      </w:r>
      <w:smartTag w:uri="urn:schemas-microsoft-com:office:smarttags" w:element="City">
        <w:smartTag w:uri="urn:schemas-microsoft-com:office:smarttags" w:element="place">
          <w:r w:rsidR="0040572F" w:rsidRPr="0000605C">
            <w:t>Brisbane</w:t>
          </w:r>
        </w:smartTag>
      </w:smartTag>
      <w:r w:rsidR="0040572F" w:rsidRPr="0000605C">
        <w:t xml:space="preserve"> rates in the near future for the higher rated areas.</w:t>
      </w:r>
    </w:p>
    <w:p w:rsidR="0040572F" w:rsidRPr="0000605C" w:rsidRDefault="0040572F" w:rsidP="00D101BE">
      <w:smartTag w:uri="urn:schemas-microsoft-com:office:smarttags" w:element="City">
        <w:smartTag w:uri="urn:schemas-microsoft-com:office:smarttags" w:element="place">
          <w:r w:rsidRPr="0000605C">
            <w:t>Sydney</w:t>
          </w:r>
        </w:smartTag>
      </w:smartTag>
      <w:r w:rsidRPr="0000605C">
        <w:t xml:space="preserve"> is moving back into a high infrastructure charges regime after a couple of years of respite. This is a</w:t>
      </w:r>
      <w:r w:rsidR="004E24AF" w:rsidRPr="0000605C">
        <w:t xml:space="preserve"> symptom of a government with significant debt and limited revenue. Unfortunately this </w:t>
      </w:r>
      <w:r w:rsidR="00FD5BB4" w:rsidRPr="0000605C">
        <w:t xml:space="preserve">is likely to constrain </w:t>
      </w:r>
      <w:proofErr w:type="gramStart"/>
      <w:smartTag w:uri="urn:schemas-microsoft-com:office:smarttags" w:element="place">
        <w:smartTag w:uri="urn:schemas-microsoft-com:office:smarttags" w:element="City">
          <w:r w:rsidR="00FD5BB4" w:rsidRPr="0000605C">
            <w:t>g</w:t>
          </w:r>
          <w:r w:rsidRPr="0000605C">
            <w:t>reenfield</w:t>
          </w:r>
        </w:smartTag>
      </w:smartTag>
      <w:proofErr w:type="gramEnd"/>
      <w:r w:rsidRPr="0000605C">
        <w:t xml:space="preserve"> development</w:t>
      </w:r>
      <w:r w:rsidR="004E24AF" w:rsidRPr="0000605C">
        <w:t xml:space="preserve"> going forward</w:t>
      </w:r>
      <w:r w:rsidRPr="0000605C">
        <w:t xml:space="preserve">. </w:t>
      </w:r>
      <w:smartTag w:uri="urn:schemas-microsoft-com:office:smarttags" w:element="City">
        <w:smartTag w:uri="urn:schemas-microsoft-com:office:smarttags" w:element="place">
          <w:r w:rsidRPr="0000605C">
            <w:t>Sydney</w:t>
          </w:r>
        </w:smartTag>
      </w:smartTag>
      <w:r w:rsidRPr="0000605C">
        <w:t xml:space="preserve"> needs to find a better solution to this approach as it has been down this path before with substantial negative impacts for the development and housing industry.</w:t>
      </w:r>
    </w:p>
    <w:p w:rsidR="0040572F" w:rsidRPr="0000605C" w:rsidRDefault="00D101BE" w:rsidP="00D101BE">
      <w:r w:rsidRPr="0000605C">
        <w:rPr>
          <w:b/>
        </w:rPr>
        <w:t>Land Supply</w:t>
      </w:r>
      <w:r w:rsidRPr="0000605C">
        <w:t xml:space="preserve"> – Land supply is an </w:t>
      </w:r>
      <w:r w:rsidR="0040572F" w:rsidRPr="0000605C">
        <w:t xml:space="preserve">area where State Governments have taken the most action. In </w:t>
      </w:r>
      <w:smartTag w:uri="urn:schemas-microsoft-com:office:smarttags" w:element="State">
        <w:r w:rsidR="0040572F" w:rsidRPr="0000605C">
          <w:t>Queensland</w:t>
        </w:r>
      </w:smartTag>
      <w:r w:rsidR="00FD5BB4" w:rsidRPr="0000605C">
        <w:t xml:space="preserve"> four major </w:t>
      </w:r>
      <w:proofErr w:type="gramStart"/>
      <w:smartTag w:uri="urn:schemas-microsoft-com:office:smarttags" w:element="place">
        <w:smartTag w:uri="urn:schemas-microsoft-com:office:smarttags" w:element="City">
          <w:r w:rsidR="00FD5BB4" w:rsidRPr="0000605C">
            <w:t>g</w:t>
          </w:r>
          <w:r w:rsidR="0040572F" w:rsidRPr="0000605C">
            <w:t>reenfield</w:t>
          </w:r>
        </w:smartTag>
      </w:smartTag>
      <w:proofErr w:type="gramEnd"/>
      <w:r w:rsidR="0040572F" w:rsidRPr="0000605C">
        <w:t xml:space="preserve"> development areas have been placed under the planning control of the Urban Land Development Authority for fast tracking of development. </w:t>
      </w:r>
      <w:smartTag w:uri="urn:schemas-microsoft-com:office:smarttags" w:element="City">
        <w:smartTag w:uri="urn:schemas-microsoft-com:office:smarttags" w:element="place">
          <w:r w:rsidR="0040572F" w:rsidRPr="0000605C">
            <w:t>Sydney</w:t>
          </w:r>
        </w:smartTag>
      </w:smartTag>
      <w:r w:rsidR="00211BA5" w:rsidRPr="0000605C">
        <w:t>’s northern and southern growth c</w:t>
      </w:r>
      <w:r w:rsidR="0040572F" w:rsidRPr="0000605C">
        <w:t xml:space="preserve">orridors are beginning to gain momentum though pricing is still an issue. </w:t>
      </w:r>
      <w:smartTag w:uri="urn:schemas-microsoft-com:office:smarttags" w:element="City">
        <w:smartTag w:uri="urn:schemas-microsoft-com:office:smarttags" w:element="place">
          <w:r w:rsidR="0040572F" w:rsidRPr="0000605C">
            <w:t>Perth</w:t>
          </w:r>
        </w:smartTag>
      </w:smartTag>
      <w:r w:rsidR="0040572F" w:rsidRPr="0000605C">
        <w:t xml:space="preserve"> has placed greater emphasis on understanding its land supply allowing it to focus policy in the right areas. Reductions and the slowing in growth in land values </w:t>
      </w:r>
      <w:proofErr w:type="gramStart"/>
      <w:r w:rsidR="0040572F" w:rsidRPr="0000605C">
        <w:t>appears</w:t>
      </w:r>
      <w:proofErr w:type="gramEnd"/>
      <w:r w:rsidR="0040572F" w:rsidRPr="0000605C">
        <w:t xml:space="preserve"> to reflect the impact that these policies and initiatives are having. There are lessons</w:t>
      </w:r>
      <w:r w:rsidR="004E24AF" w:rsidRPr="0000605C">
        <w:t xml:space="preserve"> to be learned</w:t>
      </w:r>
      <w:r w:rsidR="0040572F" w:rsidRPr="0000605C">
        <w:t xml:space="preserve"> across the different states in terms of policies and initiatives that have improved land supply. Specifically these include:</w:t>
      </w:r>
    </w:p>
    <w:p w:rsidR="0040572F" w:rsidRPr="0000605C" w:rsidRDefault="0040572F" w:rsidP="0040572F">
      <w:pPr>
        <w:numPr>
          <w:ilvl w:val="0"/>
          <w:numId w:val="45"/>
        </w:numPr>
      </w:pPr>
      <w:r w:rsidRPr="0000605C">
        <w:t>Accurate monitoring of land supply – Victoria (Urban Development Program)</w:t>
      </w:r>
    </w:p>
    <w:p w:rsidR="0040572F" w:rsidRPr="0000605C" w:rsidRDefault="00211BA5" w:rsidP="0040572F">
      <w:pPr>
        <w:numPr>
          <w:ilvl w:val="0"/>
          <w:numId w:val="45"/>
        </w:numPr>
      </w:pPr>
      <w:r w:rsidRPr="0000605C">
        <w:t>Single government a</w:t>
      </w:r>
      <w:r w:rsidR="0040572F" w:rsidRPr="0000605C">
        <w:t>pproval authority for planning – Queensland (ULDA)</w:t>
      </w:r>
    </w:p>
    <w:p w:rsidR="00E33631" w:rsidRPr="0000605C" w:rsidRDefault="00211BA5" w:rsidP="0040572F">
      <w:pPr>
        <w:numPr>
          <w:ilvl w:val="0"/>
          <w:numId w:val="45"/>
        </w:numPr>
      </w:pPr>
      <w:r w:rsidRPr="0000605C">
        <w:t>Clear planning g</w:t>
      </w:r>
      <w:r w:rsidR="00E33631" w:rsidRPr="0000605C">
        <w:t xml:space="preserve">uidelines – </w:t>
      </w:r>
      <w:smartTag w:uri="urn:schemas-microsoft-com:office:smarttags" w:element="State">
        <w:smartTag w:uri="urn:schemas-microsoft-com:office:smarttags" w:element="place">
          <w:r w:rsidR="00E33631" w:rsidRPr="0000605C">
            <w:t>Western Australia</w:t>
          </w:r>
        </w:smartTag>
      </w:smartTag>
      <w:r w:rsidR="00E33631" w:rsidRPr="0000605C">
        <w:t xml:space="preserve"> (greater code assessment)</w:t>
      </w:r>
    </w:p>
    <w:p w:rsidR="00E33631" w:rsidRPr="0000605C" w:rsidRDefault="00E33631" w:rsidP="00D101BE">
      <w:r w:rsidRPr="0000605C">
        <w:rPr>
          <w:b/>
        </w:rPr>
        <w:t>Product Innovations</w:t>
      </w:r>
      <w:r w:rsidR="00D101BE" w:rsidRPr="0000605C">
        <w:t xml:space="preserve"> – </w:t>
      </w:r>
      <w:r w:rsidRPr="0000605C">
        <w:t xml:space="preserve">It is clear that the best performing dwelling market has been </w:t>
      </w:r>
      <w:smartTag w:uri="urn:schemas-microsoft-com:office:smarttags" w:element="City">
        <w:smartTag w:uri="urn:schemas-microsoft-com:office:smarttags" w:element="place">
          <w:r w:rsidRPr="0000605C">
            <w:t>Melbourne</w:t>
          </w:r>
        </w:smartTag>
      </w:smartTag>
      <w:r w:rsidRPr="0000605C">
        <w:t xml:space="preserve"> and a key reason for this has been its ability to provide high quantities of dwellings that meet the affordability requirements of its markets. An important driver of this has been the reduction in lot sizes. This has led to lower prices and higher dwelling yields which benefit both pricing and developer margins. Going forward this may also be associated with reductions in dwelling sizes which will provide further costs savings thereby improving housing affordability. This is a key learning for all other markets especially where minimum lot sizes prevent the</w:t>
      </w:r>
      <w:r w:rsidR="00211BA5" w:rsidRPr="0000605C">
        <w:t xml:space="preserve"> delivery of lots less than 600m</w:t>
      </w:r>
      <w:r w:rsidR="00211BA5" w:rsidRPr="007B539C">
        <w:rPr>
          <w:vertAlign w:val="superscript"/>
        </w:rPr>
        <w:t>2</w:t>
      </w:r>
      <w:r w:rsidR="00211BA5" w:rsidRPr="0000605C">
        <w:t xml:space="preserve"> </w:t>
      </w:r>
      <w:r w:rsidRPr="0000605C">
        <w:t xml:space="preserve">or </w:t>
      </w:r>
      <w:r w:rsidR="00211BA5" w:rsidRPr="0000605C">
        <w:t>more commonly less than 400m</w:t>
      </w:r>
      <w:r w:rsidR="00211BA5" w:rsidRPr="007B539C">
        <w:rPr>
          <w:vertAlign w:val="superscript"/>
        </w:rPr>
        <w:t>2</w:t>
      </w:r>
      <w:r w:rsidRPr="0000605C">
        <w:t>. Government guidelines can assist with this however it is important that the Government is not too prescriptive in relation to this as the market needs flexibility to meet market requirements and work with development constraints.</w:t>
      </w:r>
    </w:p>
    <w:p w:rsidR="00D101BE" w:rsidRPr="0000605C" w:rsidRDefault="00C25314" w:rsidP="00D101BE">
      <w:r w:rsidRPr="0000605C">
        <w:t>A small section of the construction industry is responding to high construction costs through concepts such as modular housing. We recommend greater government incentives including tax dispensation for these types of products.</w:t>
      </w:r>
    </w:p>
    <w:p w:rsidR="00D101BE" w:rsidRPr="0000605C" w:rsidRDefault="00D101BE" w:rsidP="00D101BE"/>
    <w:p w:rsidR="00D101BE" w:rsidRPr="0000605C" w:rsidRDefault="00D101BE" w:rsidP="00D101BE"/>
    <w:p w:rsidR="00D101BE" w:rsidRPr="0000605C" w:rsidRDefault="00D101BE" w:rsidP="00D101BE">
      <w:pPr>
        <w:sectPr w:rsidR="00D101BE" w:rsidRPr="0000605C" w:rsidSect="00D101BE">
          <w:headerReference w:type="even" r:id="rId109"/>
          <w:headerReference w:type="default" r:id="rId110"/>
          <w:footerReference w:type="even" r:id="rId111"/>
          <w:footerReference w:type="default" r:id="rId112"/>
          <w:headerReference w:type="first" r:id="rId113"/>
          <w:pgSz w:w="11907" w:h="16840" w:code="9"/>
          <w:pgMar w:top="2081" w:right="1298" w:bottom="1418" w:left="1418" w:header="272" w:footer="340" w:gutter="0"/>
          <w:cols w:space="708"/>
          <w:docGrid w:linePitch="360"/>
        </w:sectPr>
      </w:pPr>
    </w:p>
    <w:p w:rsidR="00D101BE" w:rsidRPr="0000605C" w:rsidRDefault="000E1A28" w:rsidP="000E1A28">
      <w:pPr>
        <w:pStyle w:val="Appendix1"/>
        <w:numPr>
          <w:ilvl w:val="0"/>
          <w:numId w:val="11"/>
        </w:numPr>
        <w:tabs>
          <w:tab w:val="clear" w:pos="3619"/>
          <w:tab w:val="num" w:pos="3100"/>
        </w:tabs>
        <w:ind w:left="3119"/>
      </w:pPr>
      <w:bookmarkStart w:id="100" w:name="_Toc287600410"/>
      <w:bookmarkStart w:id="101" w:name="_Toc294088059"/>
      <w:r w:rsidRPr="0000605C">
        <w:lastRenderedPageBreak/>
        <w:t xml:space="preserve">Estate Master Output for </w:t>
      </w:r>
      <w:r w:rsidR="00D101BE" w:rsidRPr="0000605C">
        <w:t>Infill Developments</w:t>
      </w:r>
      <w:bookmarkEnd w:id="100"/>
      <w:bookmarkEnd w:id="101"/>
    </w:p>
    <w:p w:rsidR="00D101BE" w:rsidRPr="0000605C" w:rsidRDefault="00D101BE" w:rsidP="00D101BE"/>
    <w:p w:rsidR="00D101BE" w:rsidRPr="0000605C" w:rsidRDefault="00D101BE" w:rsidP="00D101BE"/>
    <w:p w:rsidR="00D101BE" w:rsidRPr="0000605C" w:rsidRDefault="00752FF2" w:rsidP="00D101BE">
      <w:r w:rsidRPr="0000605C">
        <w:object w:dxaOrig="9444" w:dyaOrig="16572">
          <v:shape id="_x0000_i1052" type="#_x0000_t75" style="width:407.25pt;height:714pt" o:ole="">
            <v:imagedata r:id="rId114" o:title=""/>
          </v:shape>
          <o:OLEObject Type="Link" ProgID="Excel.Sheet.8" ShapeID="_x0000_i1052" DrawAspect="Content" r:id="rId115" UpdateMode="Always">
            <o:LinkType>EnhancedMetaFile</o:LinkType>
            <o:LockedField>false</o:LockedField>
            <o:FieldCodes>\* MERGEFORMAT</o:FieldCodes>
          </o:OLEObject>
        </w:object>
      </w:r>
    </w:p>
    <w:p w:rsidR="00D101BE" w:rsidRPr="0000605C" w:rsidRDefault="00752FF2" w:rsidP="00D101BE">
      <w:r w:rsidRPr="0000605C">
        <w:object w:dxaOrig="9444" w:dyaOrig="17321">
          <v:shape id="_x0000_i1053" type="#_x0000_t75" style="width:389.25pt;height:714.75pt" o:ole="">
            <v:imagedata r:id="rId116" o:title=""/>
          </v:shape>
          <o:OLEObject Type="Link" ProgID="Excel.Sheet.8" ShapeID="_x0000_i1053" DrawAspect="Content" r:id="rId117" UpdateMode="Always">
            <o:LinkType>EnhancedMetaFile</o:LinkType>
            <o:LockedField>false</o:LockedField>
            <o:FieldCodes>\* MERGEFORMAT</o:FieldCodes>
          </o:OLEObject>
        </w:object>
      </w:r>
    </w:p>
    <w:p w:rsidR="00B620C0" w:rsidRPr="0000605C" w:rsidRDefault="00752FF2" w:rsidP="00D101BE">
      <w:r w:rsidRPr="0000605C">
        <w:object w:dxaOrig="8954" w:dyaOrig="17370">
          <v:shape id="_x0000_i1054" type="#_x0000_t75" style="width:368.25pt;height:714.75pt" o:ole="">
            <v:imagedata r:id="rId118" o:title=""/>
          </v:shape>
          <o:OLEObject Type="Link" ProgID="Excel.Sheet.8" ShapeID="_x0000_i1054" DrawAspect="Content" r:id="rId119" UpdateMode="Always">
            <o:LinkType>EnhancedMetaFile</o:LinkType>
            <o:LockedField>false</o:LockedField>
            <o:FieldCodes>\* MERGEFORMAT</o:FieldCodes>
          </o:OLEObject>
        </w:object>
      </w:r>
    </w:p>
    <w:p w:rsidR="00B620C0" w:rsidRPr="0000605C" w:rsidRDefault="00752FF2" w:rsidP="00D101BE">
      <w:r w:rsidRPr="0000605C">
        <w:object w:dxaOrig="9444" w:dyaOrig="17571">
          <v:shape id="_x0000_i1055" type="#_x0000_t75" style="width:383.25pt;height:714pt" o:ole="">
            <v:imagedata r:id="rId120" o:title=""/>
          </v:shape>
          <o:OLEObject Type="Link" ProgID="Excel.Sheet.8" ShapeID="_x0000_i1055" DrawAspect="Content" r:id="rId121" UpdateMode="Always">
            <o:LinkType>EnhancedMetaFile</o:LinkType>
            <o:LockedField>false</o:LockedField>
            <o:FieldCodes>\* MERGEFORMAT</o:FieldCodes>
          </o:OLEObject>
        </w:object>
      </w:r>
    </w:p>
    <w:p w:rsidR="00B620C0" w:rsidRPr="0000605C" w:rsidRDefault="00752FF2" w:rsidP="00D101BE">
      <w:r w:rsidRPr="0000605C">
        <w:object w:dxaOrig="9444" w:dyaOrig="17072">
          <v:shape id="_x0000_i1056" type="#_x0000_t75" style="width:396pt;height:715.5pt" o:ole="">
            <v:imagedata r:id="rId122" o:title=""/>
          </v:shape>
          <o:OLEObject Type="Link" ProgID="Excel.Sheet.8" ShapeID="_x0000_i1056" DrawAspect="Content" r:id="rId123" UpdateMode="Always">
            <o:LinkType>EnhancedMetaFile</o:LinkType>
            <o:LockedField>false</o:LockedField>
            <o:FieldCodes>\* MERGEFORMAT</o:FieldCodes>
          </o:OLEObject>
        </w:object>
      </w:r>
    </w:p>
    <w:p w:rsidR="00D101BE" w:rsidRPr="0000605C" w:rsidRDefault="000E1A28" w:rsidP="000E1A28">
      <w:pPr>
        <w:pStyle w:val="Appendix1"/>
        <w:numPr>
          <w:ilvl w:val="0"/>
          <w:numId w:val="11"/>
        </w:numPr>
        <w:tabs>
          <w:tab w:val="clear" w:pos="3619"/>
          <w:tab w:val="num" w:pos="3100"/>
        </w:tabs>
        <w:ind w:left="3119"/>
      </w:pPr>
      <w:bookmarkStart w:id="102" w:name="_Toc287600411"/>
      <w:bookmarkStart w:id="103" w:name="_Toc294088060"/>
      <w:r w:rsidRPr="0000605C">
        <w:lastRenderedPageBreak/>
        <w:t xml:space="preserve">Estate Master Output for </w:t>
      </w:r>
      <w:smartTag w:uri="urn:schemas-microsoft-com:office:smarttags" w:element="City">
        <w:smartTag w:uri="urn:schemas-microsoft-com:office:smarttags" w:element="place">
          <w:r w:rsidR="00D101BE" w:rsidRPr="0000605C">
            <w:t>Greenfield</w:t>
          </w:r>
        </w:smartTag>
      </w:smartTag>
      <w:r w:rsidR="00D101BE" w:rsidRPr="0000605C">
        <w:t xml:space="preserve"> Developments</w:t>
      </w:r>
      <w:bookmarkEnd w:id="102"/>
      <w:bookmarkEnd w:id="103"/>
    </w:p>
    <w:p w:rsidR="00D101BE" w:rsidRPr="0000605C" w:rsidRDefault="00D101BE" w:rsidP="00D101BE"/>
    <w:p w:rsidR="00D101BE" w:rsidRPr="0000605C" w:rsidRDefault="00752FF2" w:rsidP="00D101BE">
      <w:r w:rsidRPr="0000605C">
        <w:object w:dxaOrig="9444" w:dyaOrig="18302">
          <v:shape id="_x0000_i1057" type="#_x0000_t75" style="width:369pt;height:714.75pt" o:ole="">
            <v:imagedata r:id="rId124" o:title=""/>
          </v:shape>
          <o:OLEObject Type="Link" ProgID="Excel.Sheet.8" ShapeID="_x0000_i1057" DrawAspect="Content" r:id="rId125" UpdateMode="Always">
            <o:LinkType>EnhancedMetaFile</o:LinkType>
            <o:LockedField>false</o:LockedField>
            <o:FieldCodes>\* MERGEFORMAT</o:FieldCodes>
          </o:OLEObject>
        </w:object>
      </w:r>
    </w:p>
    <w:p w:rsidR="00D101BE" w:rsidRPr="0000605C" w:rsidRDefault="00752FF2" w:rsidP="00D101BE">
      <w:r w:rsidRPr="0000605C">
        <w:object w:dxaOrig="9444" w:dyaOrig="18685">
          <v:shape id="_x0000_i1058" type="#_x0000_t75" style="width:360.75pt;height:714.75pt" o:ole="">
            <v:imagedata r:id="rId126" o:title=""/>
          </v:shape>
          <o:OLEObject Type="Link" ProgID="Excel.Sheet.8" ShapeID="_x0000_i1058" DrawAspect="Content" r:id="rId127" UpdateMode="Always">
            <o:LinkType>EnhancedMetaFile</o:LinkType>
            <o:LockedField>false</o:LockedField>
            <o:FieldCodes>\* MERGEFORMAT</o:FieldCodes>
          </o:OLEObject>
        </w:object>
      </w:r>
    </w:p>
    <w:p w:rsidR="00D101BE" w:rsidRPr="0000605C" w:rsidRDefault="00752FF2" w:rsidP="00D101BE">
      <w:r w:rsidRPr="0000605C">
        <w:object w:dxaOrig="9444" w:dyaOrig="18935">
          <v:shape id="_x0000_i1059" type="#_x0000_t75" style="width:355.5pt;height:714.75pt" o:ole="">
            <v:imagedata r:id="rId128" o:title=""/>
          </v:shape>
          <o:OLEObject Type="Link" ProgID="Excel.Sheet.8" ShapeID="_x0000_i1059" DrawAspect="Content" r:id="rId129" UpdateMode="Always">
            <o:LinkType>EnhancedMetaFile</o:LinkType>
            <o:LockedField>false</o:LockedField>
            <o:FieldCodes>\* MERGEFORMAT</o:FieldCodes>
          </o:OLEObject>
        </w:object>
      </w:r>
    </w:p>
    <w:p w:rsidR="00D101BE" w:rsidRPr="0000605C" w:rsidRDefault="00752FF2" w:rsidP="00D101BE">
      <w:r w:rsidRPr="0000605C">
        <w:object w:dxaOrig="9444" w:dyaOrig="19315">
          <v:shape id="_x0000_i1060" type="#_x0000_t75" style="width:349.5pt;height:714.75pt" o:ole="">
            <v:imagedata r:id="rId130" o:title=""/>
          </v:shape>
          <o:OLEObject Type="Link" ProgID="Excel.Sheet.8" ShapeID="_x0000_i1060" DrawAspect="Content" r:id="rId131" UpdateMode="Always">
            <o:LinkType>EnhancedMetaFile</o:LinkType>
            <o:LockedField>false</o:LockedField>
            <o:FieldCodes>\* MERGEFORMAT</o:FieldCodes>
          </o:OLEObject>
        </w:object>
      </w:r>
    </w:p>
    <w:p w:rsidR="00D101BE" w:rsidRPr="0000605C" w:rsidRDefault="00752FF2" w:rsidP="00D101BE">
      <w:r w:rsidRPr="0000605C">
        <w:object w:dxaOrig="9444" w:dyaOrig="18436">
          <v:shape id="_x0000_i1061" type="#_x0000_t75" style="width:366pt;height:714.75pt" o:ole="">
            <v:imagedata r:id="rId132" o:title=""/>
          </v:shape>
          <o:OLEObject Type="Link" ProgID="Excel.Sheet.8" ShapeID="_x0000_i1061" DrawAspect="Content" r:id="rId133" UpdateMode="Always">
            <o:LinkType>EnhancedMetaFile</o:LinkType>
            <o:LockedField>false</o:LockedField>
            <o:FieldCodes>\* MERGEFORMAT</o:FieldCodes>
          </o:OLEObject>
        </w:object>
      </w:r>
    </w:p>
    <w:p w:rsidR="00D101BE" w:rsidRPr="0000605C" w:rsidRDefault="00D101BE" w:rsidP="009C1094">
      <w:pPr>
        <w:pStyle w:val="Appendix1"/>
        <w:numPr>
          <w:ilvl w:val="0"/>
          <w:numId w:val="11"/>
        </w:numPr>
        <w:tabs>
          <w:tab w:val="clear" w:pos="3619"/>
          <w:tab w:val="num" w:pos="2900"/>
        </w:tabs>
        <w:ind w:left="3119"/>
      </w:pPr>
      <w:bookmarkStart w:id="104" w:name="_Toc287600412"/>
      <w:bookmarkStart w:id="105" w:name="_Toc294088061"/>
      <w:r w:rsidRPr="0000605C">
        <w:lastRenderedPageBreak/>
        <w:t>Construction</w:t>
      </w:r>
      <w:r w:rsidR="009C1094" w:rsidRPr="0000605C">
        <w:t xml:space="preserve"> and Professional</w:t>
      </w:r>
      <w:r w:rsidRPr="0000605C">
        <w:t xml:space="preserve"> Costs</w:t>
      </w:r>
      <w:bookmarkEnd w:id="104"/>
      <w:bookmarkEnd w:id="105"/>
    </w:p>
    <w:p w:rsidR="00D101BE" w:rsidRPr="0000605C" w:rsidRDefault="00D101BE" w:rsidP="00D101BE"/>
    <w:p w:rsidR="00D101BE" w:rsidRPr="0000605C" w:rsidRDefault="00E94A79" w:rsidP="00D101BE">
      <w:r w:rsidRPr="0000605C">
        <w:br w:type="page"/>
      </w:r>
    </w:p>
    <w:p w:rsidR="00D101BE" w:rsidRPr="0000605C" w:rsidRDefault="00D101BE" w:rsidP="00D101BE"/>
    <w:p w:rsidR="00D101BE" w:rsidRPr="0000605C" w:rsidRDefault="00752FF2" w:rsidP="00D101BE">
      <w:pPr>
        <w:jc w:val="center"/>
      </w:pPr>
      <w:r w:rsidRPr="0000605C">
        <w:object w:dxaOrig="9353" w:dyaOrig="5582">
          <v:shape id="_x0000_i1062" type="#_x0000_t75" style="width:428.25pt;height:255.75pt" o:ole="">
            <v:imagedata r:id="rId134" o:title=""/>
          </v:shape>
          <o:OLEObject Type="Link" ProgID="Excel.Sheet.8" ShapeID="_x0000_i1062" DrawAspect="Content" r:id="rId135" UpdateMode="Always">
            <o:LinkType>EnhancedMetaFile</o:LinkType>
            <o:LockedField>false</o:LockedField>
          </o:OLEObject>
        </w:object>
      </w:r>
    </w:p>
    <w:p w:rsidR="00D101BE" w:rsidRPr="0000605C" w:rsidRDefault="00D101BE" w:rsidP="00D101BE">
      <w:pPr>
        <w:pStyle w:val="Appendix1"/>
        <w:numPr>
          <w:ilvl w:val="0"/>
          <w:numId w:val="11"/>
        </w:numPr>
        <w:tabs>
          <w:tab w:val="clear" w:pos="3619"/>
          <w:tab w:val="num" w:pos="4219"/>
        </w:tabs>
        <w:ind w:left="3119"/>
      </w:pPr>
      <w:bookmarkStart w:id="106" w:name="_Toc287600413"/>
      <w:bookmarkStart w:id="107" w:name="_Toc294088062"/>
      <w:r w:rsidRPr="0000605C">
        <w:lastRenderedPageBreak/>
        <w:t>References</w:t>
      </w:r>
      <w:bookmarkEnd w:id="106"/>
      <w:bookmarkEnd w:id="107"/>
    </w:p>
    <w:p w:rsidR="00D101BE" w:rsidRPr="0000605C" w:rsidRDefault="00D101BE" w:rsidP="00D101BE">
      <w:r w:rsidRPr="0000605C">
        <w:br w:type="page"/>
      </w:r>
    </w:p>
    <w:p w:rsidR="00D101BE" w:rsidRPr="0000605C" w:rsidRDefault="00D101BE" w:rsidP="00BF0335">
      <w:pPr>
        <w:ind w:left="500" w:hanging="500"/>
        <w:rPr>
          <w:i/>
        </w:rPr>
      </w:pPr>
      <w:r w:rsidRPr="0000605C">
        <w:t xml:space="preserve">Australian Government, National Housing Supply Council, 2008, </w:t>
      </w:r>
      <w:r w:rsidRPr="0000605C">
        <w:rPr>
          <w:i/>
        </w:rPr>
        <w:t xml:space="preserve">State of </w:t>
      </w:r>
      <w:smartTag w:uri="urn:schemas-microsoft-com:office:smarttags" w:element="State">
        <w:smartTag w:uri="urn:schemas-microsoft-com:office:smarttags" w:element="place">
          <w:r w:rsidRPr="0000605C">
            <w:rPr>
              <w:i/>
            </w:rPr>
            <w:t>Supply</w:t>
          </w:r>
        </w:smartTag>
      </w:smartTag>
      <w:r w:rsidR="00BF0335" w:rsidRPr="0000605C">
        <w:rPr>
          <w:i/>
        </w:rPr>
        <w:t xml:space="preserve"> Report</w:t>
      </w:r>
      <w:r w:rsidRPr="0000605C">
        <w:rPr>
          <w:i/>
        </w:rPr>
        <w:t xml:space="preserve"> </w:t>
      </w:r>
    </w:p>
    <w:p w:rsidR="00BF0335" w:rsidRPr="0000605C" w:rsidRDefault="00BF0335" w:rsidP="00BF0335">
      <w:pPr>
        <w:ind w:left="500" w:hanging="500"/>
        <w:rPr>
          <w:i/>
        </w:rPr>
      </w:pPr>
      <w:r w:rsidRPr="0000605C">
        <w:t xml:space="preserve">Australian Government, Productivity Commission, 2004, </w:t>
      </w:r>
      <w:r w:rsidRPr="0000605C">
        <w:rPr>
          <w:i/>
        </w:rPr>
        <w:t xml:space="preserve">First Home Ownership Productivity Commission Inquiry Report </w:t>
      </w:r>
    </w:p>
    <w:p w:rsidR="00BF0335" w:rsidRPr="0000605C" w:rsidRDefault="00BF0335" w:rsidP="00BF0335">
      <w:pPr>
        <w:ind w:left="500" w:hanging="500"/>
      </w:pPr>
      <w:r w:rsidRPr="0000605C">
        <w:t xml:space="preserve">Australian Housing and Urban Research Institute 2008, </w:t>
      </w:r>
      <w:r w:rsidRPr="0000605C">
        <w:rPr>
          <w:i/>
        </w:rPr>
        <w:t>Planning, government charges and the costs of land and housing</w:t>
      </w:r>
      <w:r w:rsidRPr="0000605C">
        <w:t xml:space="preserve">, </w:t>
      </w:r>
      <w:smartTag w:uri="urn:schemas-microsoft-com:office:smarttags" w:element="City">
        <w:smartTag w:uri="urn:schemas-microsoft-com:office:smarttags" w:element="place">
          <w:r w:rsidRPr="0000605C">
            <w:t>Sydney</w:t>
          </w:r>
        </w:smartTag>
      </w:smartTag>
      <w:r w:rsidRPr="0000605C">
        <w:t>, AHURI</w:t>
      </w:r>
    </w:p>
    <w:p w:rsidR="00BF0335" w:rsidRPr="0000605C" w:rsidRDefault="00BF0335" w:rsidP="00BF0335">
      <w:pPr>
        <w:ind w:left="500" w:hanging="500"/>
      </w:pPr>
      <w:r w:rsidRPr="0000605C">
        <w:t xml:space="preserve">Australian Housing and Urban Research Institute, 2009, </w:t>
      </w:r>
      <w:r w:rsidRPr="0000605C">
        <w:rPr>
          <w:i/>
        </w:rPr>
        <w:t xml:space="preserve">Counting the costs; planning requirements, infrastructure contributions and residential development in </w:t>
      </w:r>
      <w:smartTag w:uri="urn:schemas-microsoft-com:office:smarttags" w:element="country-region">
        <w:r w:rsidRPr="0000605C">
          <w:rPr>
            <w:i/>
          </w:rPr>
          <w:t>Australia</w:t>
        </w:r>
      </w:smartTag>
      <w:proofErr w:type="gramStart"/>
      <w:r w:rsidRPr="0000605C">
        <w:rPr>
          <w:i/>
        </w:rPr>
        <w:t xml:space="preserve">, </w:t>
      </w:r>
      <w:r w:rsidRPr="0000605C">
        <w:t xml:space="preserve"> </w:t>
      </w:r>
      <w:smartTag w:uri="urn:schemas-microsoft-com:office:smarttags" w:element="place">
        <w:smartTag w:uri="urn:schemas-microsoft-com:office:smarttags" w:element="City">
          <w:r w:rsidRPr="0000605C">
            <w:t>Sydney</w:t>
          </w:r>
        </w:smartTag>
      </w:smartTag>
      <w:proofErr w:type="gramEnd"/>
      <w:r w:rsidRPr="0000605C">
        <w:t>, AHURI</w:t>
      </w:r>
    </w:p>
    <w:p w:rsidR="00BF0335" w:rsidRPr="0000605C" w:rsidRDefault="00BF0335" w:rsidP="00BF0335">
      <w:pPr>
        <w:ind w:left="500" w:hanging="500"/>
      </w:pPr>
      <w:r w:rsidRPr="0000605C">
        <w:t>Comsec, State of the States, April 2011</w:t>
      </w:r>
    </w:p>
    <w:p w:rsidR="00BF0335" w:rsidRPr="0000605C" w:rsidRDefault="00BF0335" w:rsidP="00BF0335">
      <w:pPr>
        <w:ind w:left="500" w:hanging="500"/>
      </w:pPr>
      <w:r w:rsidRPr="0000605C">
        <w:t>Queensland Government, Infrastructure Charges Taskforce Final Report-Recommended reform of local government development infrastructure charging arrangements, March 2011</w:t>
      </w:r>
    </w:p>
    <w:p w:rsidR="00BF0335" w:rsidRPr="0000605C" w:rsidRDefault="00BF0335" w:rsidP="00BF0335">
      <w:pPr>
        <w:ind w:left="500" w:hanging="500"/>
      </w:pPr>
      <w:r w:rsidRPr="0000605C">
        <w:t>RP Data – Rismark Hedonic Home Value Index, January 2011</w:t>
      </w:r>
    </w:p>
    <w:p w:rsidR="00BF0335" w:rsidRPr="0000605C" w:rsidRDefault="00BF0335" w:rsidP="00BF0335">
      <w:pPr>
        <w:ind w:left="500" w:hanging="500"/>
      </w:pPr>
      <w:r w:rsidRPr="0000605C">
        <w:t xml:space="preserve">The Housing Industry Association – Commonwealth Bank Housing Affordability </w:t>
      </w:r>
      <w:r w:rsidRPr="0000605C">
        <w:rPr>
          <w:rFonts w:cs="Arial"/>
        </w:rPr>
        <w:t>Index, 2011</w:t>
      </w:r>
    </w:p>
    <w:p w:rsidR="00BF0335" w:rsidRPr="0000605C" w:rsidRDefault="00BF0335" w:rsidP="00BF0335">
      <w:pPr>
        <w:ind w:left="500" w:hanging="500"/>
      </w:pPr>
      <w:r w:rsidRPr="0000605C">
        <w:rPr>
          <w:rFonts w:cs="Arial"/>
        </w:rPr>
        <w:t xml:space="preserve">The Real Estate Institute of </w:t>
      </w:r>
      <w:smartTag w:uri="urn:schemas-microsoft-com:office:smarttags" w:element="country-region">
        <w:smartTag w:uri="urn:schemas-microsoft-com:office:smarttags" w:element="place">
          <w:r w:rsidRPr="0000605C">
            <w:rPr>
              <w:rFonts w:cs="Arial"/>
            </w:rPr>
            <w:t>Australia</w:t>
          </w:r>
        </w:smartTag>
      </w:smartTag>
      <w:r w:rsidRPr="0000605C">
        <w:rPr>
          <w:rFonts w:cs="Arial"/>
        </w:rPr>
        <w:t xml:space="preserve"> (REIA), Deposit Power Housing Affordability Report, 2011</w:t>
      </w:r>
    </w:p>
    <w:p w:rsidR="00D101BE" w:rsidRPr="0000605C" w:rsidRDefault="00D101BE" w:rsidP="00BF0335">
      <w:pPr>
        <w:ind w:left="500" w:hanging="500"/>
      </w:pPr>
      <w:r w:rsidRPr="0000605C">
        <w:t xml:space="preserve">The Residential Development Council, 2006, </w:t>
      </w:r>
      <w:r w:rsidRPr="0000605C">
        <w:rPr>
          <w:i/>
        </w:rPr>
        <w:t>Residential Development Cost Benchmarking Study</w:t>
      </w:r>
      <w:r w:rsidRPr="0000605C">
        <w:t xml:space="preserve"> </w:t>
      </w:r>
    </w:p>
    <w:p w:rsidR="00263D5F" w:rsidRPr="0000605C" w:rsidRDefault="00263D5F" w:rsidP="00D101BE"/>
    <w:p w:rsidR="005E0AA9" w:rsidRPr="0000605C" w:rsidRDefault="005E0AA9" w:rsidP="005E0AA9">
      <w:pPr>
        <w:sectPr w:rsidR="005E0AA9" w:rsidRPr="0000605C" w:rsidSect="00E94A79">
          <w:headerReference w:type="even" r:id="rId136"/>
          <w:headerReference w:type="default" r:id="rId137"/>
          <w:footerReference w:type="even" r:id="rId138"/>
          <w:footerReference w:type="default" r:id="rId139"/>
          <w:headerReference w:type="first" r:id="rId140"/>
          <w:pgSz w:w="11907" w:h="16840" w:code="9"/>
          <w:pgMar w:top="1134" w:right="1134" w:bottom="1418" w:left="1418" w:header="272" w:footer="340" w:gutter="0"/>
          <w:cols w:space="708"/>
          <w:docGrid w:linePitch="360"/>
        </w:sectPr>
      </w:pPr>
      <w:bookmarkStart w:id="108" w:name="office_locations"/>
      <w:bookmarkEnd w:id="6"/>
    </w:p>
    <w:tbl>
      <w:tblPr>
        <w:tblpPr w:leftFromText="180" w:rightFromText="180" w:vertAnchor="text" w:horzAnchor="page" w:tblpX="919" w:tblpY="7857"/>
        <w:tblW w:w="0" w:type="auto"/>
        <w:tblCellMar>
          <w:left w:w="0" w:type="dxa"/>
          <w:right w:w="0" w:type="dxa"/>
        </w:tblCellMar>
        <w:tblLook w:val="01E0"/>
      </w:tblPr>
      <w:tblGrid>
        <w:gridCol w:w="2900"/>
        <w:gridCol w:w="3000"/>
        <w:gridCol w:w="3291"/>
      </w:tblGrid>
      <w:tr w:rsidR="00743180" w:rsidRPr="0000605C" w:rsidTr="00815626">
        <w:trPr>
          <w:trHeight w:val="1134"/>
        </w:trPr>
        <w:tc>
          <w:tcPr>
            <w:tcW w:w="2900" w:type="dxa"/>
          </w:tcPr>
          <w:p w:rsidR="00743180" w:rsidRPr="0000605C" w:rsidRDefault="00743180" w:rsidP="00E41A54">
            <w:pPr>
              <w:autoSpaceDE w:val="0"/>
              <w:autoSpaceDN w:val="0"/>
              <w:adjustRightInd w:val="0"/>
              <w:rPr>
                <w:rFonts w:cs="Arial"/>
                <w:color w:val="7E8082"/>
                <w:sz w:val="16"/>
                <w:szCs w:val="16"/>
              </w:rPr>
            </w:pPr>
            <w:r w:rsidRPr="0000605C">
              <w:rPr>
                <w:rFonts w:cs="Arial"/>
                <w:b/>
                <w:color w:val="7E8082"/>
                <w:sz w:val="16"/>
                <w:szCs w:val="16"/>
              </w:rPr>
              <w:lastRenderedPageBreak/>
              <w:t>Sydney</w:t>
            </w:r>
            <w:r w:rsidRPr="0000605C">
              <w:rPr>
                <w:rFonts w:cs="Arial"/>
                <w:color w:val="7E8082"/>
                <w:sz w:val="16"/>
                <w:szCs w:val="16"/>
              </w:rPr>
              <w:br/>
              <w:t xml:space="preserve">Level 21, </w:t>
            </w:r>
            <w:smartTag w:uri="urn:schemas-microsoft-com:office:smarttags" w:element="address">
              <w:smartTag w:uri="urn:schemas-microsoft-com:office:smarttags" w:element="Street">
                <w:r w:rsidRPr="0000605C">
                  <w:rPr>
                    <w:rFonts w:cs="Arial"/>
                    <w:color w:val="7E8082"/>
                    <w:sz w:val="16"/>
                    <w:szCs w:val="16"/>
                  </w:rPr>
                  <w:t>321 Kent Street</w:t>
                </w:r>
              </w:smartTag>
              <w:r w:rsidRPr="0000605C">
                <w:rPr>
                  <w:rFonts w:cs="Arial"/>
                  <w:color w:val="7E8082"/>
                  <w:sz w:val="16"/>
                  <w:szCs w:val="16"/>
                </w:rPr>
                <w:br/>
              </w:r>
              <w:smartTag w:uri="urn:schemas-microsoft-com:office:smarttags" w:element="City">
                <w:r w:rsidRPr="0000605C">
                  <w:rPr>
                    <w:rFonts w:cs="Arial"/>
                    <w:color w:val="7E8082"/>
                    <w:sz w:val="16"/>
                    <w:szCs w:val="16"/>
                  </w:rPr>
                  <w:t>Sydney</w:t>
                </w:r>
              </w:smartTag>
            </w:smartTag>
            <w:r w:rsidRPr="0000605C">
              <w:rPr>
                <w:rFonts w:cs="Arial"/>
                <w:color w:val="7E8082"/>
                <w:sz w:val="16"/>
                <w:szCs w:val="16"/>
              </w:rPr>
              <w:t>, NSW 2000</w:t>
            </w:r>
            <w:r w:rsidRPr="0000605C">
              <w:rPr>
                <w:rFonts w:cs="Arial"/>
                <w:color w:val="7E8082"/>
                <w:sz w:val="16"/>
                <w:szCs w:val="16"/>
              </w:rPr>
              <w:br/>
            </w:r>
            <w:r w:rsidR="00AD119C" w:rsidRPr="0000605C">
              <w:rPr>
                <w:rFonts w:cs="Arial"/>
                <w:b/>
                <w:color w:val="7E8082"/>
                <w:sz w:val="16"/>
                <w:szCs w:val="16"/>
              </w:rPr>
              <w:t>t</w:t>
            </w:r>
            <w:r w:rsidRPr="0000605C">
              <w:rPr>
                <w:rFonts w:cs="Arial"/>
                <w:color w:val="7E8082"/>
                <w:sz w:val="16"/>
                <w:szCs w:val="16"/>
              </w:rPr>
              <w:t xml:space="preserve"> +</w:t>
            </w:r>
            <w:r w:rsidR="00815626" w:rsidRPr="0000605C">
              <w:rPr>
                <w:rFonts w:cs="Arial"/>
                <w:color w:val="7E8082"/>
                <w:sz w:val="16"/>
                <w:szCs w:val="16"/>
              </w:rPr>
              <w:t>0</w:t>
            </w:r>
            <w:r w:rsidRPr="0000605C">
              <w:rPr>
                <w:rFonts w:cs="Arial"/>
                <w:color w:val="7E8082"/>
                <w:sz w:val="16"/>
                <w:szCs w:val="16"/>
              </w:rPr>
              <w:t>2 8233 9900</w:t>
            </w:r>
            <w:r w:rsidRPr="0000605C">
              <w:rPr>
                <w:rFonts w:cs="Arial"/>
                <w:color w:val="7E8082"/>
                <w:sz w:val="16"/>
                <w:szCs w:val="16"/>
              </w:rPr>
              <w:br/>
            </w:r>
            <w:r w:rsidR="00AD119C" w:rsidRPr="0000605C">
              <w:rPr>
                <w:rFonts w:cs="Arial"/>
                <w:b/>
                <w:color w:val="7E8082"/>
                <w:sz w:val="16"/>
                <w:szCs w:val="16"/>
              </w:rPr>
              <w:t>f</w:t>
            </w:r>
            <w:r w:rsidRPr="0000605C">
              <w:rPr>
                <w:rFonts w:cs="Arial"/>
                <w:color w:val="7E8082"/>
                <w:sz w:val="16"/>
                <w:szCs w:val="16"/>
              </w:rPr>
              <w:t xml:space="preserve"> +</w:t>
            </w:r>
            <w:r w:rsidR="00815626" w:rsidRPr="0000605C">
              <w:rPr>
                <w:rFonts w:cs="Arial"/>
                <w:color w:val="7E8082"/>
                <w:sz w:val="16"/>
                <w:szCs w:val="16"/>
              </w:rPr>
              <w:t>0</w:t>
            </w:r>
            <w:r w:rsidRPr="0000605C">
              <w:rPr>
                <w:rFonts w:cs="Arial"/>
                <w:color w:val="7E8082"/>
                <w:sz w:val="16"/>
                <w:szCs w:val="16"/>
              </w:rPr>
              <w:t>2 8233 9966</w:t>
            </w:r>
          </w:p>
        </w:tc>
        <w:tc>
          <w:tcPr>
            <w:tcW w:w="3000" w:type="dxa"/>
          </w:tcPr>
          <w:p w:rsidR="00743180" w:rsidRPr="0000605C" w:rsidRDefault="00743180" w:rsidP="00E41A54">
            <w:pPr>
              <w:autoSpaceDE w:val="0"/>
              <w:autoSpaceDN w:val="0"/>
              <w:adjustRightInd w:val="0"/>
              <w:rPr>
                <w:rFonts w:cs="Arial"/>
                <w:color w:val="7E8082"/>
                <w:sz w:val="16"/>
                <w:szCs w:val="16"/>
              </w:rPr>
            </w:pPr>
            <w:r w:rsidRPr="0000605C">
              <w:rPr>
                <w:rFonts w:cs="Arial"/>
                <w:b/>
                <w:color w:val="7E8082"/>
                <w:sz w:val="16"/>
                <w:szCs w:val="16"/>
              </w:rPr>
              <w:t>Brisbane</w:t>
            </w:r>
            <w:r w:rsidRPr="0000605C">
              <w:rPr>
                <w:rFonts w:cs="Arial"/>
                <w:color w:val="7E8082"/>
                <w:sz w:val="16"/>
                <w:szCs w:val="16"/>
              </w:rPr>
              <w:br/>
              <w:t xml:space="preserve">Level 12, </w:t>
            </w:r>
            <w:smartTag w:uri="urn:schemas-microsoft-com:office:smarttags" w:element="address">
              <w:smartTag w:uri="urn:schemas-microsoft-com:office:smarttags" w:element="Street">
                <w:r w:rsidRPr="0000605C">
                  <w:rPr>
                    <w:rFonts w:cs="Arial"/>
                    <w:color w:val="7E8082"/>
                    <w:sz w:val="16"/>
                    <w:szCs w:val="16"/>
                  </w:rPr>
                  <w:t>120 Edward Street</w:t>
                </w:r>
              </w:smartTag>
              <w:r w:rsidRPr="0000605C">
                <w:rPr>
                  <w:rFonts w:cs="Arial"/>
                  <w:color w:val="7E8082"/>
                  <w:sz w:val="16"/>
                  <w:szCs w:val="16"/>
                </w:rPr>
                <w:br/>
              </w:r>
              <w:smartTag w:uri="urn:schemas-microsoft-com:office:smarttags" w:element="City">
                <w:r w:rsidRPr="0000605C">
                  <w:rPr>
                    <w:rFonts w:cs="Arial"/>
                    <w:color w:val="7E8082"/>
                    <w:sz w:val="16"/>
                    <w:szCs w:val="16"/>
                  </w:rPr>
                  <w:t>Brisbane</w:t>
                </w:r>
              </w:smartTag>
            </w:smartTag>
            <w:r w:rsidRPr="0000605C">
              <w:rPr>
                <w:rFonts w:cs="Arial"/>
                <w:color w:val="7E8082"/>
                <w:sz w:val="16"/>
                <w:szCs w:val="16"/>
              </w:rPr>
              <w:t>, QLD 4000</w:t>
            </w:r>
            <w:r w:rsidRPr="0000605C">
              <w:rPr>
                <w:rFonts w:cs="Arial"/>
                <w:color w:val="7E8082"/>
                <w:sz w:val="16"/>
                <w:szCs w:val="16"/>
              </w:rPr>
              <w:br/>
            </w:r>
            <w:r w:rsidR="00AD119C" w:rsidRPr="0000605C">
              <w:rPr>
                <w:rFonts w:cs="Arial"/>
                <w:b/>
                <w:color w:val="7E8082"/>
                <w:sz w:val="16"/>
                <w:szCs w:val="16"/>
              </w:rPr>
              <w:t>t</w:t>
            </w:r>
            <w:r w:rsidR="00AD119C" w:rsidRPr="0000605C">
              <w:rPr>
                <w:rFonts w:cs="Arial"/>
                <w:color w:val="7E8082"/>
                <w:sz w:val="16"/>
                <w:szCs w:val="16"/>
              </w:rPr>
              <w:t xml:space="preserve"> </w:t>
            </w:r>
            <w:r w:rsidRPr="0000605C">
              <w:rPr>
                <w:rFonts w:cs="Arial"/>
                <w:color w:val="7E8082"/>
                <w:sz w:val="16"/>
                <w:szCs w:val="16"/>
              </w:rPr>
              <w:t>+</w:t>
            </w:r>
            <w:r w:rsidR="00815626" w:rsidRPr="0000605C">
              <w:rPr>
                <w:rFonts w:cs="Arial"/>
                <w:color w:val="7E8082"/>
                <w:sz w:val="16"/>
                <w:szCs w:val="16"/>
              </w:rPr>
              <w:t>0</w:t>
            </w:r>
            <w:r w:rsidRPr="0000605C">
              <w:rPr>
                <w:rFonts w:cs="Arial"/>
                <w:color w:val="7E8082"/>
                <w:sz w:val="16"/>
                <w:szCs w:val="16"/>
              </w:rPr>
              <w:t>7 3007 3800</w:t>
            </w:r>
            <w:r w:rsidRPr="0000605C">
              <w:rPr>
                <w:rFonts w:cs="Arial"/>
                <w:color w:val="7E8082"/>
                <w:sz w:val="16"/>
                <w:szCs w:val="16"/>
              </w:rPr>
              <w:br/>
            </w:r>
            <w:r w:rsidR="00AD119C" w:rsidRPr="0000605C">
              <w:rPr>
                <w:rFonts w:cs="Arial"/>
                <w:b/>
                <w:color w:val="7E8082"/>
                <w:sz w:val="16"/>
                <w:szCs w:val="16"/>
              </w:rPr>
              <w:t>f</w:t>
            </w:r>
            <w:r w:rsidR="00AD119C" w:rsidRPr="0000605C">
              <w:rPr>
                <w:rFonts w:cs="Arial"/>
                <w:color w:val="7E8082"/>
                <w:sz w:val="16"/>
                <w:szCs w:val="16"/>
              </w:rPr>
              <w:t xml:space="preserve"> </w:t>
            </w:r>
            <w:r w:rsidRPr="0000605C">
              <w:rPr>
                <w:rFonts w:cs="Arial"/>
                <w:color w:val="7E8082"/>
                <w:sz w:val="16"/>
                <w:szCs w:val="16"/>
              </w:rPr>
              <w:t>+</w:t>
            </w:r>
            <w:r w:rsidR="00815626" w:rsidRPr="0000605C">
              <w:rPr>
                <w:rFonts w:cs="Arial"/>
                <w:color w:val="7E8082"/>
                <w:sz w:val="16"/>
                <w:szCs w:val="16"/>
              </w:rPr>
              <w:t>0</w:t>
            </w:r>
            <w:r w:rsidRPr="0000605C">
              <w:rPr>
                <w:rFonts w:cs="Arial"/>
                <w:color w:val="7E8082"/>
                <w:sz w:val="16"/>
                <w:szCs w:val="16"/>
              </w:rPr>
              <w:t>7 3007 3811</w:t>
            </w:r>
          </w:p>
        </w:tc>
        <w:tc>
          <w:tcPr>
            <w:tcW w:w="3291" w:type="dxa"/>
          </w:tcPr>
          <w:p w:rsidR="00743180" w:rsidRPr="0000605C" w:rsidRDefault="00743180" w:rsidP="00E41A54">
            <w:pPr>
              <w:autoSpaceDE w:val="0"/>
              <w:autoSpaceDN w:val="0"/>
              <w:adjustRightInd w:val="0"/>
              <w:rPr>
                <w:rFonts w:cs="Arial"/>
                <w:color w:val="7E8082"/>
                <w:sz w:val="16"/>
                <w:szCs w:val="16"/>
              </w:rPr>
            </w:pPr>
          </w:p>
        </w:tc>
      </w:tr>
      <w:tr w:rsidR="00743180" w:rsidRPr="0000605C" w:rsidTr="00815626">
        <w:trPr>
          <w:trHeight w:val="1134"/>
        </w:trPr>
        <w:tc>
          <w:tcPr>
            <w:tcW w:w="2900" w:type="dxa"/>
            <w:vAlign w:val="bottom"/>
          </w:tcPr>
          <w:p w:rsidR="00743180" w:rsidRPr="0000605C" w:rsidRDefault="00743180" w:rsidP="00E41A54">
            <w:pPr>
              <w:autoSpaceDE w:val="0"/>
              <w:autoSpaceDN w:val="0"/>
              <w:adjustRightInd w:val="0"/>
              <w:rPr>
                <w:rFonts w:cs="Arial"/>
                <w:color w:val="7E8082"/>
                <w:sz w:val="16"/>
                <w:szCs w:val="16"/>
              </w:rPr>
            </w:pPr>
            <w:r w:rsidRPr="0000605C">
              <w:rPr>
                <w:rFonts w:cs="Arial"/>
                <w:b/>
                <w:color w:val="7E8082"/>
                <w:sz w:val="16"/>
                <w:szCs w:val="16"/>
              </w:rPr>
              <w:t>Melbourne</w:t>
            </w:r>
            <w:r w:rsidRPr="0000605C">
              <w:rPr>
                <w:rFonts w:cs="Arial"/>
                <w:color w:val="7E8082"/>
                <w:sz w:val="16"/>
                <w:szCs w:val="16"/>
              </w:rPr>
              <w:br/>
              <w:t xml:space="preserve">Level 12, </w:t>
            </w:r>
            <w:smartTag w:uri="urn:schemas-microsoft-com:office:smarttags" w:element="address">
              <w:smartTag w:uri="urn:schemas-microsoft-com:office:smarttags" w:element="Street">
                <w:r w:rsidRPr="0000605C">
                  <w:rPr>
                    <w:rFonts w:cs="Arial"/>
                    <w:color w:val="7E8082"/>
                    <w:sz w:val="16"/>
                    <w:szCs w:val="16"/>
                  </w:rPr>
                  <w:t>120 Collins Street</w:t>
                </w:r>
              </w:smartTag>
              <w:r w:rsidRPr="0000605C">
                <w:rPr>
                  <w:rFonts w:cs="Arial"/>
                  <w:color w:val="7E8082"/>
                  <w:sz w:val="16"/>
                  <w:szCs w:val="16"/>
                </w:rPr>
                <w:br/>
              </w:r>
              <w:smartTag w:uri="urn:schemas-microsoft-com:office:smarttags" w:element="City">
                <w:r w:rsidRPr="0000605C">
                  <w:rPr>
                    <w:rFonts w:cs="Arial"/>
                    <w:color w:val="7E8082"/>
                    <w:sz w:val="16"/>
                    <w:szCs w:val="16"/>
                  </w:rPr>
                  <w:t>Melbourne</w:t>
                </w:r>
              </w:smartTag>
            </w:smartTag>
            <w:r w:rsidRPr="0000605C">
              <w:rPr>
                <w:rFonts w:cs="Arial"/>
                <w:color w:val="7E8082"/>
                <w:sz w:val="16"/>
                <w:szCs w:val="16"/>
              </w:rPr>
              <w:t>, VIC 3000</w:t>
            </w:r>
            <w:r w:rsidRPr="0000605C">
              <w:rPr>
                <w:rFonts w:cs="Arial"/>
                <w:color w:val="7E8082"/>
                <w:sz w:val="16"/>
                <w:szCs w:val="16"/>
              </w:rPr>
              <w:br/>
            </w:r>
            <w:r w:rsidR="00AD119C" w:rsidRPr="0000605C">
              <w:rPr>
                <w:rFonts w:cs="Arial"/>
                <w:b/>
                <w:color w:val="7E8082"/>
                <w:sz w:val="16"/>
                <w:szCs w:val="16"/>
              </w:rPr>
              <w:t>t</w:t>
            </w:r>
            <w:r w:rsidR="00AD119C" w:rsidRPr="0000605C">
              <w:rPr>
                <w:rFonts w:cs="Arial"/>
                <w:color w:val="7E8082"/>
                <w:sz w:val="16"/>
                <w:szCs w:val="16"/>
              </w:rPr>
              <w:t xml:space="preserve"> </w:t>
            </w:r>
            <w:r w:rsidRPr="0000605C">
              <w:rPr>
                <w:rFonts w:cs="Arial"/>
                <w:color w:val="7E8082"/>
                <w:sz w:val="16"/>
                <w:szCs w:val="16"/>
              </w:rPr>
              <w:t>+</w:t>
            </w:r>
            <w:r w:rsidR="00815626" w:rsidRPr="0000605C">
              <w:rPr>
                <w:rFonts w:cs="Arial"/>
                <w:color w:val="7E8082"/>
                <w:sz w:val="16"/>
                <w:szCs w:val="16"/>
              </w:rPr>
              <w:t>0</w:t>
            </w:r>
            <w:r w:rsidRPr="0000605C">
              <w:rPr>
                <w:rFonts w:cs="Arial"/>
                <w:color w:val="7E8082"/>
                <w:sz w:val="16"/>
                <w:szCs w:val="16"/>
              </w:rPr>
              <w:t>3 8663 4888</w:t>
            </w:r>
            <w:r w:rsidRPr="0000605C">
              <w:rPr>
                <w:rFonts w:cs="Arial"/>
                <w:color w:val="7E8082"/>
                <w:sz w:val="16"/>
                <w:szCs w:val="16"/>
              </w:rPr>
              <w:br/>
            </w:r>
            <w:r w:rsidR="00AD119C" w:rsidRPr="0000605C">
              <w:rPr>
                <w:rFonts w:cs="Arial"/>
                <w:b/>
                <w:color w:val="7E8082"/>
                <w:sz w:val="16"/>
                <w:szCs w:val="16"/>
              </w:rPr>
              <w:t>f</w:t>
            </w:r>
            <w:r w:rsidR="00AD119C" w:rsidRPr="0000605C">
              <w:rPr>
                <w:rFonts w:cs="Arial"/>
                <w:color w:val="7E8082"/>
                <w:sz w:val="16"/>
                <w:szCs w:val="16"/>
              </w:rPr>
              <w:t xml:space="preserve"> </w:t>
            </w:r>
            <w:r w:rsidRPr="0000605C">
              <w:rPr>
                <w:rFonts w:cs="Arial"/>
                <w:color w:val="7E8082"/>
                <w:sz w:val="16"/>
                <w:szCs w:val="16"/>
              </w:rPr>
              <w:t>+</w:t>
            </w:r>
            <w:r w:rsidR="00815626" w:rsidRPr="0000605C">
              <w:rPr>
                <w:rFonts w:cs="Arial"/>
                <w:color w:val="7E8082"/>
                <w:sz w:val="16"/>
                <w:szCs w:val="16"/>
              </w:rPr>
              <w:t>0</w:t>
            </w:r>
            <w:r w:rsidRPr="0000605C">
              <w:rPr>
                <w:rFonts w:cs="Arial"/>
                <w:color w:val="7E8082"/>
                <w:sz w:val="16"/>
                <w:szCs w:val="16"/>
              </w:rPr>
              <w:t>3 8663 4999</w:t>
            </w:r>
          </w:p>
        </w:tc>
        <w:tc>
          <w:tcPr>
            <w:tcW w:w="3000" w:type="dxa"/>
            <w:vAlign w:val="bottom"/>
          </w:tcPr>
          <w:p w:rsidR="00743180" w:rsidRPr="0000605C" w:rsidRDefault="00743180" w:rsidP="00E41A54">
            <w:pPr>
              <w:autoSpaceDE w:val="0"/>
              <w:autoSpaceDN w:val="0"/>
              <w:adjustRightInd w:val="0"/>
              <w:rPr>
                <w:rFonts w:cs="Arial"/>
                <w:color w:val="7E8082"/>
                <w:sz w:val="16"/>
                <w:szCs w:val="16"/>
              </w:rPr>
            </w:pPr>
            <w:smartTag w:uri="urn:schemas-microsoft-com:office:smarttags" w:element="City">
              <w:r w:rsidRPr="0000605C">
                <w:rPr>
                  <w:rFonts w:cs="Arial"/>
                  <w:b/>
                  <w:color w:val="7E8082"/>
                  <w:sz w:val="16"/>
                  <w:szCs w:val="16"/>
                </w:rPr>
                <w:t>Perth</w:t>
              </w:r>
            </w:smartTag>
            <w:r w:rsidRPr="0000605C">
              <w:rPr>
                <w:rFonts w:cs="Arial"/>
                <w:color w:val="7E8082"/>
                <w:sz w:val="16"/>
                <w:szCs w:val="16"/>
              </w:rPr>
              <w:br/>
            </w:r>
            <w:r w:rsidR="004E3235" w:rsidRPr="0000605C">
              <w:rPr>
                <w:rFonts w:cs="Arial"/>
                <w:color w:val="7E8082"/>
                <w:sz w:val="16"/>
                <w:szCs w:val="16"/>
              </w:rPr>
              <w:t>Level 1, 55 St Georges Terrace</w:t>
            </w:r>
            <w:r w:rsidR="004E3235" w:rsidRPr="0000605C">
              <w:rPr>
                <w:rFonts w:cs="Arial"/>
                <w:color w:val="7E8082"/>
                <w:sz w:val="16"/>
                <w:szCs w:val="16"/>
              </w:rPr>
              <w:br/>
            </w:r>
            <w:smartTag w:uri="urn:schemas-microsoft-com:office:smarttags" w:element="place">
              <w:smartTag w:uri="urn:schemas-microsoft-com:office:smarttags" w:element="City">
                <w:r w:rsidR="004E3235" w:rsidRPr="0000605C">
                  <w:rPr>
                    <w:rFonts w:cs="Arial"/>
                    <w:color w:val="7E8082"/>
                    <w:sz w:val="16"/>
                    <w:szCs w:val="16"/>
                  </w:rPr>
                  <w:t>Perth</w:t>
                </w:r>
              </w:smartTag>
              <w:r w:rsidR="004E3235" w:rsidRPr="0000605C">
                <w:rPr>
                  <w:rFonts w:cs="Arial"/>
                  <w:color w:val="7E8082"/>
                  <w:sz w:val="16"/>
                  <w:szCs w:val="16"/>
                </w:rPr>
                <w:t xml:space="preserve">, </w:t>
              </w:r>
              <w:smartTag w:uri="urn:schemas-microsoft-com:office:smarttags" w:element="State">
                <w:r w:rsidR="004E3235" w:rsidRPr="0000605C">
                  <w:rPr>
                    <w:rFonts w:cs="Arial"/>
                    <w:color w:val="7E8082"/>
                    <w:sz w:val="16"/>
                    <w:szCs w:val="16"/>
                  </w:rPr>
                  <w:t>WA</w:t>
                </w:r>
              </w:smartTag>
            </w:smartTag>
            <w:r w:rsidR="004E3235" w:rsidRPr="0000605C">
              <w:rPr>
                <w:rFonts w:cs="Arial"/>
                <w:color w:val="7E8082"/>
                <w:sz w:val="16"/>
                <w:szCs w:val="16"/>
              </w:rPr>
              <w:t xml:space="preserve"> 6000</w:t>
            </w:r>
            <w:r w:rsidR="004E3235" w:rsidRPr="0000605C">
              <w:rPr>
                <w:rFonts w:cs="Arial"/>
                <w:color w:val="7E8082"/>
                <w:sz w:val="16"/>
                <w:szCs w:val="16"/>
              </w:rPr>
              <w:br/>
            </w:r>
            <w:r w:rsidR="00AD119C" w:rsidRPr="0000605C">
              <w:rPr>
                <w:rFonts w:cs="Arial"/>
                <w:b/>
                <w:color w:val="7E8082"/>
                <w:sz w:val="16"/>
                <w:szCs w:val="16"/>
              </w:rPr>
              <w:t>t</w:t>
            </w:r>
            <w:r w:rsidR="00AD119C" w:rsidRPr="0000605C">
              <w:rPr>
                <w:rFonts w:cs="Arial"/>
                <w:color w:val="7E8082"/>
                <w:sz w:val="16"/>
                <w:szCs w:val="16"/>
              </w:rPr>
              <w:t xml:space="preserve"> </w:t>
            </w:r>
            <w:r w:rsidR="004E3235" w:rsidRPr="0000605C">
              <w:rPr>
                <w:rFonts w:cs="Arial"/>
                <w:color w:val="7E8082"/>
                <w:sz w:val="16"/>
                <w:szCs w:val="16"/>
              </w:rPr>
              <w:t>+</w:t>
            </w:r>
            <w:r w:rsidR="00815626" w:rsidRPr="0000605C">
              <w:rPr>
                <w:rFonts w:cs="Arial"/>
                <w:color w:val="7E8082"/>
                <w:sz w:val="16"/>
                <w:szCs w:val="16"/>
              </w:rPr>
              <w:t>0</w:t>
            </w:r>
            <w:r w:rsidR="004E3235" w:rsidRPr="0000605C">
              <w:rPr>
                <w:rFonts w:cs="Arial"/>
                <w:color w:val="7E8082"/>
                <w:sz w:val="16"/>
                <w:szCs w:val="16"/>
              </w:rPr>
              <w:t>8 9346 0500</w:t>
            </w:r>
            <w:r w:rsidR="004E3235" w:rsidRPr="0000605C">
              <w:rPr>
                <w:rFonts w:cs="Arial"/>
                <w:color w:val="7E8082"/>
                <w:sz w:val="16"/>
                <w:szCs w:val="16"/>
              </w:rPr>
              <w:br/>
            </w:r>
            <w:r w:rsidR="00AD119C" w:rsidRPr="0000605C">
              <w:rPr>
                <w:rFonts w:cs="Arial"/>
                <w:b/>
                <w:color w:val="7E8082"/>
                <w:sz w:val="16"/>
                <w:szCs w:val="16"/>
              </w:rPr>
              <w:t>f</w:t>
            </w:r>
            <w:r w:rsidR="004E3235" w:rsidRPr="0000605C">
              <w:rPr>
                <w:rFonts w:cs="Arial"/>
                <w:color w:val="7E8082"/>
                <w:sz w:val="16"/>
                <w:szCs w:val="16"/>
              </w:rPr>
              <w:t xml:space="preserve"> +</w:t>
            </w:r>
            <w:r w:rsidR="00815626" w:rsidRPr="0000605C">
              <w:rPr>
                <w:rFonts w:cs="Arial"/>
                <w:color w:val="7E8082"/>
                <w:sz w:val="16"/>
                <w:szCs w:val="16"/>
              </w:rPr>
              <w:t>0</w:t>
            </w:r>
            <w:r w:rsidR="004E3235" w:rsidRPr="0000605C">
              <w:rPr>
                <w:rFonts w:cs="Arial"/>
                <w:color w:val="7E8082"/>
                <w:sz w:val="16"/>
                <w:szCs w:val="16"/>
              </w:rPr>
              <w:t>8 9321 7790</w:t>
            </w:r>
          </w:p>
        </w:tc>
        <w:tc>
          <w:tcPr>
            <w:tcW w:w="3291" w:type="dxa"/>
            <w:vAlign w:val="bottom"/>
          </w:tcPr>
          <w:p w:rsidR="00743180" w:rsidRPr="0000605C" w:rsidRDefault="00743180" w:rsidP="00E41A54">
            <w:pPr>
              <w:autoSpaceDE w:val="0"/>
              <w:autoSpaceDN w:val="0"/>
              <w:adjustRightInd w:val="0"/>
              <w:rPr>
                <w:rFonts w:cs="Arial"/>
                <w:color w:val="7E8082"/>
                <w:sz w:val="16"/>
                <w:szCs w:val="16"/>
              </w:rPr>
            </w:pPr>
            <w:smartTag w:uri="urn:schemas-microsoft-com:office:smarttags" w:element="country-region">
              <w:r w:rsidRPr="0000605C">
                <w:rPr>
                  <w:rFonts w:cs="Arial"/>
                  <w:color w:val="7E8082"/>
                  <w:sz w:val="16"/>
                  <w:szCs w:val="16"/>
                </w:rPr>
                <w:t>Australia</w:t>
              </w:r>
            </w:smartTag>
            <w:r w:rsidRPr="0000605C">
              <w:rPr>
                <w:rFonts w:cs="Arial"/>
                <w:color w:val="7E8082"/>
                <w:sz w:val="16"/>
                <w:szCs w:val="16"/>
              </w:rPr>
              <w:t xml:space="preserve"> • Asia • </w:t>
            </w:r>
            <w:smartTag w:uri="urn:schemas-microsoft-com:office:smarttags" w:element="place">
              <w:r w:rsidRPr="0000605C">
                <w:rPr>
                  <w:rFonts w:cs="Arial"/>
                  <w:color w:val="7E8082"/>
                  <w:sz w:val="16"/>
                  <w:szCs w:val="16"/>
                </w:rPr>
                <w:t>Middle East</w:t>
              </w:r>
            </w:smartTag>
            <w:r w:rsidRPr="0000605C">
              <w:rPr>
                <w:rFonts w:cs="Arial"/>
                <w:color w:val="7E8082"/>
                <w:sz w:val="16"/>
                <w:szCs w:val="16"/>
              </w:rPr>
              <w:br/>
            </w:r>
            <w:hyperlink r:id="rId141" w:history="1">
              <w:r w:rsidRPr="0000605C">
                <w:rPr>
                  <w:rFonts w:cs="Arial"/>
                  <w:b/>
                  <w:color w:val="7E8082"/>
                  <w:sz w:val="16"/>
                  <w:szCs w:val="16"/>
                </w:rPr>
                <w:t>w</w:t>
              </w:r>
              <w:r w:rsidR="00AD119C" w:rsidRPr="0000605C">
                <w:rPr>
                  <w:rFonts w:cs="Arial"/>
                  <w:color w:val="7E8082"/>
                  <w:sz w:val="16"/>
                  <w:szCs w:val="16"/>
                </w:rPr>
                <w:t xml:space="preserve"> </w:t>
              </w:r>
              <w:r w:rsidRPr="0000605C">
                <w:rPr>
                  <w:rFonts w:cs="Arial"/>
                  <w:color w:val="7E8082"/>
                  <w:sz w:val="16"/>
                  <w:szCs w:val="16"/>
                </w:rPr>
                <w:t>urbis.com.au</w:t>
              </w:r>
            </w:hyperlink>
            <w:r w:rsidR="00AD119C" w:rsidRPr="0000605C">
              <w:rPr>
                <w:rFonts w:cs="Arial"/>
                <w:color w:val="7E8082"/>
                <w:sz w:val="16"/>
                <w:szCs w:val="16"/>
              </w:rPr>
              <w:t xml:space="preserve"> </w:t>
            </w:r>
            <w:r w:rsidR="00AD119C" w:rsidRPr="0000605C">
              <w:rPr>
                <w:rFonts w:cs="Arial"/>
                <w:b/>
                <w:color w:val="7E8082"/>
                <w:sz w:val="16"/>
                <w:szCs w:val="16"/>
              </w:rPr>
              <w:t>e</w:t>
            </w:r>
            <w:r w:rsidR="00AD119C" w:rsidRPr="0000605C">
              <w:rPr>
                <w:rFonts w:cs="Arial"/>
                <w:color w:val="7E8082"/>
                <w:sz w:val="16"/>
                <w:szCs w:val="16"/>
              </w:rPr>
              <w:t xml:space="preserve"> </w:t>
            </w:r>
            <w:r w:rsidRPr="0000605C">
              <w:rPr>
                <w:rFonts w:cs="Arial"/>
                <w:color w:val="7E8082"/>
                <w:sz w:val="16"/>
                <w:szCs w:val="16"/>
              </w:rPr>
              <w:t>info@urbis.com.au</w:t>
            </w:r>
          </w:p>
        </w:tc>
      </w:tr>
      <w:bookmarkEnd w:id="108"/>
    </w:tbl>
    <w:p w:rsidR="00743180" w:rsidRPr="0000605C" w:rsidRDefault="00743180" w:rsidP="00743180"/>
    <w:p w:rsidR="00743180" w:rsidRPr="0000605C" w:rsidRDefault="00743180" w:rsidP="00743180"/>
    <w:p w:rsidR="00C61E16" w:rsidRPr="0000605C" w:rsidRDefault="00C61E16" w:rsidP="00743180"/>
    <w:sectPr w:rsidR="00C61E16" w:rsidRPr="0000605C" w:rsidSect="00FE44D5">
      <w:headerReference w:type="even" r:id="rId142"/>
      <w:headerReference w:type="default" r:id="rId143"/>
      <w:footerReference w:type="even" r:id="rId144"/>
      <w:footerReference w:type="default" r:id="rId145"/>
      <w:headerReference w:type="first" r:id="rId146"/>
      <w:pgSz w:w="11907" w:h="16840" w:code="9"/>
      <w:pgMar w:top="1134" w:right="1134" w:bottom="1418" w:left="1417" w:header="272" w:footer="34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macro wne:macroName="INSERT_INTRODUCTION.CH_MOD.NOSPACING"/>
    </wne:keymap>
    <wne:keymap wne:kcmPrimary="0231">
      <wne:acd wne:acdName="acd3"/>
    </wne:keymap>
    <wne:keymap wne:kcmPrimary="0232">
      <wne:acd wne:acdName="acd4"/>
    </wne:keymap>
    <wne:keymap wne:kcmPrimary="0233">
      <wne:acd wne:acdName="acd5"/>
    </wne:keymap>
    <wne:keymap wne:kcmPrimary="0234">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E">
      <wne:acd wne:acdName="acd12"/>
    </wne:keymap>
    <wne:keymap wne:kcmPrimary="0430">
      <wne:acd wne:acdName="acd11"/>
    </wne:keymap>
    <wne:keymap wne:kcmPrimary="0431">
      <wne:acd wne:acdName="acd0"/>
    </wne:keymap>
    <wne:keymap wne:kcmPrimary="0432">
      <wne:acd wne:acdName="acd1"/>
    </wne:keymap>
    <wne:keymap wne:kcmPrimary="0433">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EA" wne:acdName="acd0" wne:fciIndexBasedOn="0065"/>
    <wne:acd wne:argValue="AQAAAAIA" wne:acdName="acd1" wne:fciIndexBasedOn="0065"/>
    <wne:acd wne:argValue="AQAAAAMA" wne:acdName="acd2" wne:fciIndexBasedOn="0065"/>
    <wne:acd wne:argValue="AgBIAGUAYQBkACAAMQAgACgAbgBvACAAIwApAA==" wne:acdName="acd3" wne:fciIndexBasedOn="0065"/>
    <wne:acd wne:argValue="AgBIAGUAYQBkACAAMgAgACgAbgBvACAAIwApAA==" wne:acdName="acd4" wne:fciIndexBasedOn="0065"/>
    <wne:acd wne:argValue="AgBIAGUAYQBkACAAMwAgACgAbgBvACAAIwApAA==" wne:acdName="acd5" wne:fciIndexBasedOn="0065"/>
    <wne:acd wne:argValue="AgBIAGUAYQBkACAANAAgACgAbgBvACAAIwApAA==" wne:acdName="acd6" wne:fciIndexBasedOn="0065"/>
    <wne:acd wne:argValue="AQAAADAA" wne:acdName="acd7" wne:fciIndexBasedOn="0065"/>
    <wne:acd wne:argValue="AQAAADYA" wne:acdName="acd8" wne:fciIndexBasedOn="0065"/>
    <wne:acd wne:argValue="AQAAADcA" wne:acdName="acd9" wne:fciIndexBasedOn="0065"/>
    <wne:acd wne:argValue="AQAAADgA" wne:acdName="acd10" wne:fciIndexBasedOn="0065"/>
    <wne:acd wne:argValue="AgBOAG8AcgBtAGEAbAAgAE4AdQBtAGIAZQByAGUAZAA=" wne:acdName="acd11" wne:fciIndexBasedOn="0065"/>
    <wne:acd wne:argValue="AQAAAAA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D8C" w:rsidRDefault="00B04D8C" w:rsidP="00E87B9C">
      <w:pPr>
        <w:pStyle w:val="UrbisClientCompanyC"/>
      </w:pPr>
      <w:r>
        <w:separator/>
      </w:r>
    </w:p>
  </w:endnote>
  <w:endnote w:type="continuationSeparator" w:id="0">
    <w:p w:rsidR="00B04D8C" w:rsidRDefault="00B04D8C" w:rsidP="00E87B9C">
      <w:pPr>
        <w:pStyle w:val="UrbisClientCompanyC"/>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Light">
    <w:altName w:val="Agency FB"/>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NeutraliserSans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Layout w:type="fixed"/>
      <w:tblCellMar>
        <w:left w:w="0" w:type="dxa"/>
        <w:right w:w="0" w:type="dxa"/>
      </w:tblCellMar>
      <w:tblLook w:val="00BF"/>
    </w:tblPr>
    <w:tblGrid>
      <w:gridCol w:w="4965"/>
      <w:gridCol w:w="144"/>
      <w:gridCol w:w="4636"/>
    </w:tblGrid>
    <w:tr w:rsidR="00752FF2" w:rsidTr="00F75667">
      <w:trPr>
        <w:trHeight w:val="288"/>
      </w:trPr>
      <w:tc>
        <w:tcPr>
          <w:tcW w:w="4965" w:type="dxa"/>
          <w:vAlign w:val="bottom"/>
        </w:tcPr>
        <w:p w:rsidR="00752FF2" w:rsidRDefault="00752FF2" w:rsidP="00F75667">
          <w:pPr>
            <w:pStyle w:val="FooterFileName"/>
            <w:rPr>
              <w:color w:val="80FF00"/>
            </w:rPr>
          </w:pPr>
          <w:r>
            <w:t>URBIS</w:t>
          </w:r>
          <w:r>
            <w:rPr>
              <w:color w:val="80FF00"/>
            </w:rPr>
            <w:br/>
          </w:r>
          <w:fldSimple w:instr=" FILENAME   \* MERGEFORMAT ">
            <w:r>
              <w:rPr>
                <w:noProof/>
              </w:rPr>
              <w:t>Final NHSC_Residential Cost Analysis v2</w:t>
            </w:r>
          </w:fldSimple>
        </w:p>
      </w:tc>
      <w:tc>
        <w:tcPr>
          <w:tcW w:w="144" w:type="dxa"/>
          <w:vAlign w:val="bottom"/>
        </w:tcPr>
        <w:p w:rsidR="00752FF2" w:rsidRDefault="00752FF2" w:rsidP="00F75667">
          <w:pPr>
            <w:pStyle w:val="Footer"/>
            <w:ind w:right="17"/>
            <w:jc w:val="right"/>
          </w:pPr>
        </w:p>
      </w:tc>
      <w:tc>
        <w:tcPr>
          <w:tcW w:w="4636" w:type="dxa"/>
          <w:vAlign w:val="bottom"/>
        </w:tcPr>
        <w:p w:rsidR="00752FF2" w:rsidRDefault="00752FF2" w:rsidP="00F75667">
          <w:pPr>
            <w:pStyle w:val="Footer"/>
            <w:ind w:right="17"/>
            <w:jc w:val="right"/>
          </w:pPr>
        </w:p>
      </w:tc>
    </w:tr>
  </w:tbl>
  <w:p w:rsidR="00752FF2" w:rsidRDefault="00752FF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BF"/>
    </w:tblPr>
    <w:tblGrid>
      <w:gridCol w:w="7281"/>
      <w:gridCol w:w="209"/>
      <w:gridCol w:w="6799"/>
    </w:tblGrid>
    <w:tr w:rsidR="00752FF2">
      <w:trPr>
        <w:trHeight w:val="288"/>
      </w:trPr>
      <w:tc>
        <w:tcPr>
          <w:tcW w:w="2548" w:type="pct"/>
          <w:vAlign w:val="bottom"/>
        </w:tcPr>
        <w:p w:rsidR="00752FF2" w:rsidRPr="00B2739A" w:rsidRDefault="00752FF2">
          <w:pPr>
            <w:pStyle w:val="FooterFileName"/>
            <w:rPr>
              <w:color w:val="7F7F7F"/>
            </w:rPr>
          </w:pPr>
          <w:r w:rsidRPr="00BB303D">
            <w:rPr>
              <w:rStyle w:val="PageNumber"/>
            </w:rPr>
            <w:fldChar w:fldCharType="begin"/>
          </w:r>
          <w:r w:rsidRPr="00BB303D">
            <w:rPr>
              <w:rStyle w:val="PageNumber"/>
            </w:rPr>
            <w:instrText xml:space="preserve"> PAGE </w:instrText>
          </w:r>
          <w:r w:rsidRPr="00BB303D">
            <w:rPr>
              <w:rStyle w:val="PageNumber"/>
            </w:rPr>
            <w:fldChar w:fldCharType="separate"/>
          </w:r>
          <w:r>
            <w:rPr>
              <w:rStyle w:val="PageNumber"/>
              <w:noProof/>
            </w:rPr>
            <w:t>55</w:t>
          </w:r>
          <w:r w:rsidRPr="00BB303D">
            <w:rPr>
              <w:rStyle w:val="PageNumber"/>
            </w:rPr>
            <w:fldChar w:fldCharType="end"/>
          </w:r>
          <w:r>
            <w:rPr>
              <w:rStyle w:val="PageNumber"/>
            </w:rPr>
            <w:t xml:space="preserve"> </w:t>
          </w:r>
          <w:fldSimple w:instr=" STYLEREF &quot;Heading 1&quot; \* MERGEFORMAT ">
            <w:r>
              <w:rPr>
                <w:rStyle w:val="SectionNameLeftChar"/>
                <w:noProof/>
              </w:rPr>
              <w:t>Results and Analysis</w:t>
            </w:r>
          </w:fldSimple>
          <w:r w:rsidRPr="00B2739A">
            <w:rPr>
              <w:color w:val="7F7F7F"/>
            </w:rPr>
            <w:t xml:space="preserve"> </w:t>
          </w:r>
        </w:p>
      </w:tc>
      <w:tc>
        <w:tcPr>
          <w:tcW w:w="73" w:type="pct"/>
          <w:vAlign w:val="bottom"/>
        </w:tcPr>
        <w:p w:rsidR="00752FF2" w:rsidRDefault="00752FF2">
          <w:pPr>
            <w:pStyle w:val="Footer"/>
            <w:ind w:right="17"/>
            <w:jc w:val="right"/>
          </w:pPr>
        </w:p>
      </w:tc>
      <w:tc>
        <w:tcPr>
          <w:tcW w:w="2379" w:type="pct"/>
          <w:vAlign w:val="bottom"/>
        </w:tcPr>
        <w:p w:rsidR="00752FF2" w:rsidRDefault="00752FF2">
          <w:pPr>
            <w:pStyle w:val="FooterFileName"/>
            <w:jc w:val="right"/>
          </w:pPr>
          <w:r w:rsidRPr="00CC21AB">
            <w:t>URBIS</w:t>
          </w:r>
          <w:r w:rsidRPr="00B2739A">
            <w:rPr>
              <w:color w:val="7F7F7F"/>
            </w:rPr>
            <w:br/>
          </w:r>
          <w:fldSimple w:instr=" FILENAME   \* MERGEFORMAT ">
            <w:r>
              <w:rPr>
                <w:noProof/>
              </w:rPr>
              <w:t>Final NHSC_Residential Cost Analysis v2</w:t>
            </w:r>
          </w:fldSimple>
        </w:p>
      </w:tc>
    </w:tr>
  </w:tbl>
  <w:p w:rsidR="00752FF2" w:rsidRPr="00D101BE" w:rsidRDefault="00752FF2" w:rsidP="00D101BE">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BF"/>
    </w:tblPr>
    <w:tblGrid>
      <w:gridCol w:w="7281"/>
      <w:gridCol w:w="209"/>
      <w:gridCol w:w="6799"/>
    </w:tblGrid>
    <w:tr w:rsidR="00752FF2">
      <w:trPr>
        <w:trHeight w:val="288"/>
      </w:trPr>
      <w:tc>
        <w:tcPr>
          <w:tcW w:w="2548" w:type="pct"/>
          <w:vAlign w:val="bottom"/>
        </w:tcPr>
        <w:p w:rsidR="00752FF2" w:rsidRPr="00B2739A" w:rsidRDefault="00752FF2">
          <w:pPr>
            <w:pStyle w:val="FooterFileName"/>
            <w:rPr>
              <w:color w:val="7F7F7F"/>
            </w:rPr>
          </w:pPr>
          <w:r w:rsidRPr="00CC21AB">
            <w:t>URBIS</w:t>
          </w:r>
          <w:r w:rsidRPr="00B2739A">
            <w:rPr>
              <w:color w:val="7F7F7F"/>
            </w:rPr>
            <w:br/>
          </w:r>
          <w:fldSimple w:instr=" FILENAME   \* MERGEFORMAT ">
            <w:r>
              <w:rPr>
                <w:noProof/>
              </w:rPr>
              <w:t>Final NHSC_Residential Cost Analysis v2</w:t>
            </w:r>
          </w:fldSimple>
        </w:p>
      </w:tc>
      <w:tc>
        <w:tcPr>
          <w:tcW w:w="73" w:type="pct"/>
          <w:vAlign w:val="bottom"/>
        </w:tcPr>
        <w:p w:rsidR="00752FF2" w:rsidRDefault="00752FF2">
          <w:pPr>
            <w:pStyle w:val="Footer"/>
            <w:ind w:right="17"/>
            <w:jc w:val="right"/>
          </w:pPr>
        </w:p>
      </w:tc>
      <w:tc>
        <w:tcPr>
          <w:tcW w:w="2379" w:type="pct"/>
          <w:vAlign w:val="bottom"/>
        </w:tcPr>
        <w:p w:rsidR="00752FF2" w:rsidRDefault="00752FF2">
          <w:pPr>
            <w:pStyle w:val="Footer"/>
            <w:ind w:right="17"/>
            <w:jc w:val="right"/>
          </w:pPr>
          <w:fldSimple w:instr=" STYLEREF &quot;Heading 1&quot; \* MERGEFORMAT ">
            <w:r w:rsidR="00370FBC">
              <w:rPr>
                <w:rStyle w:val="SectionNameLeftChar"/>
                <w:noProof/>
              </w:rPr>
              <w:t>Results and Analysis</w:t>
            </w:r>
          </w:fldSimple>
          <w:r>
            <w:rPr>
              <w:rStyle w:val="SectionNameRightCharChar"/>
            </w:rPr>
            <w:t xml:space="preserve"> </w:t>
          </w:r>
          <w:r w:rsidRPr="00BB303D">
            <w:rPr>
              <w:rStyle w:val="PageNumber"/>
            </w:rPr>
            <w:fldChar w:fldCharType="begin"/>
          </w:r>
          <w:r w:rsidRPr="00BB303D">
            <w:rPr>
              <w:rStyle w:val="PageNumber"/>
            </w:rPr>
            <w:instrText xml:space="preserve"> PAGE </w:instrText>
          </w:r>
          <w:r w:rsidRPr="00BB303D">
            <w:rPr>
              <w:rStyle w:val="PageNumber"/>
            </w:rPr>
            <w:fldChar w:fldCharType="separate"/>
          </w:r>
          <w:r w:rsidR="00370FBC">
            <w:rPr>
              <w:rStyle w:val="PageNumber"/>
              <w:noProof/>
            </w:rPr>
            <w:t>11</w:t>
          </w:r>
          <w:r w:rsidRPr="00BB303D">
            <w:rPr>
              <w:rStyle w:val="PageNumber"/>
            </w:rPr>
            <w:fldChar w:fldCharType="end"/>
          </w:r>
        </w:p>
      </w:tc>
    </w:tr>
  </w:tbl>
  <w:p w:rsidR="00752FF2" w:rsidRPr="00D101BE" w:rsidRDefault="00752FF2" w:rsidP="00D101B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rsidP="00764CC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0FBC">
      <w:rPr>
        <w:rStyle w:val="PageNumber"/>
        <w:noProof/>
      </w:rPr>
      <w:t>20</w:t>
    </w:r>
    <w:r>
      <w:rPr>
        <w:rStyle w:val="PageNumber"/>
      </w:rPr>
      <w:fldChar w:fldCharType="end"/>
    </w:r>
  </w:p>
  <w:p w:rsidR="00752FF2" w:rsidRDefault="00752FF2" w:rsidP="005618A6">
    <w:pPr>
      <w:pStyle w:val="Footer"/>
      <w:ind w:firstLine="360"/>
    </w:pPr>
    <w:fldSimple w:instr=" STYLEREF &quot;Heading 1&quot; \* MERGEFORMAT ">
      <w:r w:rsidR="00370FBC">
        <w:rPr>
          <w:rStyle w:val="SectionNameLeftChar"/>
          <w:noProof/>
        </w:rPr>
        <w:t>Results and Analysis</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Layout w:type="fixed"/>
      <w:tblCellMar>
        <w:left w:w="0" w:type="dxa"/>
        <w:right w:w="0" w:type="dxa"/>
      </w:tblCellMar>
      <w:tblLook w:val="00BF"/>
    </w:tblPr>
    <w:tblGrid>
      <w:gridCol w:w="7700"/>
      <w:gridCol w:w="2043"/>
    </w:tblGrid>
    <w:tr w:rsidR="00752FF2" w:rsidRPr="00E41A54">
      <w:trPr>
        <w:trHeight w:hRule="exact" w:val="120"/>
      </w:trPr>
      <w:tc>
        <w:tcPr>
          <w:tcW w:w="9743" w:type="dxa"/>
          <w:gridSpan w:val="2"/>
          <w:tcBorders>
            <w:top w:val="single" w:sz="2" w:space="0" w:color="000000"/>
          </w:tcBorders>
        </w:tcPr>
        <w:p w:rsidR="00752FF2" w:rsidRDefault="00752FF2" w:rsidP="008E18BD">
          <w:pPr>
            <w:pStyle w:val="Spacer"/>
          </w:pPr>
        </w:p>
      </w:tc>
    </w:tr>
    <w:tr w:rsidR="00752FF2" w:rsidTr="00A51074">
      <w:tc>
        <w:tcPr>
          <w:tcW w:w="7700" w:type="dxa"/>
          <w:vAlign w:val="center"/>
        </w:tcPr>
        <w:p w:rsidR="00752FF2" w:rsidRDefault="00752FF2" w:rsidP="008E18BD">
          <w:pPr>
            <w:pStyle w:val="FooterFileName"/>
          </w:pPr>
          <w:fldSimple w:instr=" FILENAME  \* Caps  \* MERGEFORMAT ">
            <w:r>
              <w:rPr>
                <w:noProof/>
              </w:rPr>
              <w:t>Final NHSC_Residential Cost Analysis v2</w:t>
            </w:r>
          </w:fldSimple>
          <w:r w:rsidRPr="00E41A54">
            <w:rPr>
              <w:noProof/>
              <w:sz w:val="20"/>
              <w:szCs w:val="20"/>
              <w:lang w:val="en-US"/>
            </w:rPr>
            <w:pict>
              <v:shape id="_x0000_s2884" style="position:absolute;margin-left:522.2pt;margin-top:19.55pt;width:35.45pt;height:35.5pt;z-index:251659776;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tc>
      <w:tc>
        <w:tcPr>
          <w:tcW w:w="2043" w:type="dxa"/>
          <w:vAlign w:val="center"/>
        </w:tcPr>
        <w:p w:rsidR="00752FF2" w:rsidRDefault="00752FF2" w:rsidP="00E41A54">
          <w:pPr>
            <w:pStyle w:val="Footer"/>
            <w:ind w:right="17"/>
            <w:jc w:val="right"/>
          </w:pPr>
          <w:fldSimple w:instr=" STYLEREF &quot;Heading 1&quot; \* MERGEFORMAT ">
            <w:r w:rsidR="00370FBC">
              <w:rPr>
                <w:rStyle w:val="SectionNameLeftChar"/>
                <w:noProof/>
              </w:rPr>
              <w:t>Results and Analysis</w:t>
            </w:r>
          </w:fldSimple>
          <w:r>
            <w:rPr>
              <w:rStyle w:val="PageNumber"/>
            </w:rPr>
            <w:fldChar w:fldCharType="begin"/>
          </w:r>
          <w:r>
            <w:rPr>
              <w:rStyle w:val="PageNumber"/>
            </w:rPr>
            <w:instrText xml:space="preserve"> PAGE </w:instrText>
          </w:r>
          <w:r>
            <w:rPr>
              <w:rStyle w:val="PageNumber"/>
            </w:rPr>
            <w:fldChar w:fldCharType="separate"/>
          </w:r>
          <w:r w:rsidR="00370FBC">
            <w:rPr>
              <w:rStyle w:val="PageNumber"/>
              <w:noProof/>
            </w:rPr>
            <w:t>21</w:t>
          </w:r>
          <w:r>
            <w:rPr>
              <w:rStyle w:val="PageNumber"/>
            </w:rPr>
            <w:fldChar w:fldCharType="end"/>
          </w:r>
        </w:p>
      </w:tc>
    </w:tr>
    <w:tr w:rsidR="00752FF2" w:rsidTr="00A51074">
      <w:trPr>
        <w:trHeight w:hRule="exact" w:val="220"/>
      </w:trPr>
      <w:tc>
        <w:tcPr>
          <w:tcW w:w="7700" w:type="dxa"/>
          <w:vAlign w:val="bottom"/>
        </w:tcPr>
        <w:p w:rsidR="00752FF2" w:rsidRPr="000460B8" w:rsidRDefault="00752FF2" w:rsidP="008E18BD">
          <w:pPr>
            <w:pStyle w:val="FooterFileName"/>
          </w:pPr>
        </w:p>
      </w:tc>
      <w:tc>
        <w:tcPr>
          <w:tcW w:w="2043" w:type="dxa"/>
        </w:tcPr>
        <w:p w:rsidR="00752FF2" w:rsidRDefault="00752FF2" w:rsidP="00E41A54">
          <w:pPr>
            <w:pStyle w:val="Footer"/>
            <w:ind w:right="113"/>
            <w:jc w:val="right"/>
          </w:pPr>
        </w:p>
      </w:tc>
    </w:tr>
  </w:tbl>
  <w:p w:rsidR="00752FF2" w:rsidRDefault="00752FF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BF"/>
    </w:tblPr>
    <w:tblGrid>
      <w:gridCol w:w="7281"/>
      <w:gridCol w:w="209"/>
      <w:gridCol w:w="6799"/>
    </w:tblGrid>
    <w:tr w:rsidR="00752FF2">
      <w:trPr>
        <w:trHeight w:val="288"/>
      </w:trPr>
      <w:tc>
        <w:tcPr>
          <w:tcW w:w="2548" w:type="pct"/>
          <w:vAlign w:val="bottom"/>
        </w:tcPr>
        <w:p w:rsidR="00752FF2" w:rsidRPr="00B2739A" w:rsidRDefault="00752FF2">
          <w:pPr>
            <w:pStyle w:val="FooterFileName"/>
            <w:rPr>
              <w:color w:val="7F7F7F"/>
            </w:rPr>
          </w:pPr>
          <w:r w:rsidRPr="00BB303D">
            <w:rPr>
              <w:rStyle w:val="PageNumber"/>
            </w:rPr>
            <w:fldChar w:fldCharType="begin"/>
          </w:r>
          <w:r w:rsidRPr="00BB303D">
            <w:rPr>
              <w:rStyle w:val="PageNumber"/>
            </w:rPr>
            <w:instrText xml:space="preserve"> PAGE </w:instrText>
          </w:r>
          <w:r w:rsidRPr="00BB303D">
            <w:rPr>
              <w:rStyle w:val="PageNumber"/>
            </w:rPr>
            <w:fldChar w:fldCharType="separate"/>
          </w:r>
          <w:r w:rsidR="00370FBC">
            <w:rPr>
              <w:rStyle w:val="PageNumber"/>
              <w:noProof/>
            </w:rPr>
            <w:t>22</w:t>
          </w:r>
          <w:r w:rsidRPr="00BB303D">
            <w:rPr>
              <w:rStyle w:val="PageNumber"/>
            </w:rPr>
            <w:fldChar w:fldCharType="end"/>
          </w:r>
          <w:r>
            <w:rPr>
              <w:rStyle w:val="PageNumber"/>
            </w:rPr>
            <w:t xml:space="preserve"> </w:t>
          </w:r>
          <w:fldSimple w:instr=" STYLEREF &quot;Heading 1&quot; \* MERGEFORMAT ">
            <w:r w:rsidR="00370FBC">
              <w:rPr>
                <w:rStyle w:val="SectionNameLeftChar"/>
                <w:noProof/>
              </w:rPr>
              <w:t>Results and Analysis</w:t>
            </w:r>
          </w:fldSimple>
          <w:r w:rsidRPr="00B2739A">
            <w:rPr>
              <w:color w:val="7F7F7F"/>
            </w:rPr>
            <w:t xml:space="preserve"> </w:t>
          </w:r>
        </w:p>
      </w:tc>
      <w:tc>
        <w:tcPr>
          <w:tcW w:w="73" w:type="pct"/>
          <w:vAlign w:val="bottom"/>
        </w:tcPr>
        <w:p w:rsidR="00752FF2" w:rsidRDefault="00752FF2">
          <w:pPr>
            <w:pStyle w:val="Footer"/>
            <w:ind w:right="17"/>
            <w:jc w:val="right"/>
          </w:pPr>
        </w:p>
      </w:tc>
      <w:tc>
        <w:tcPr>
          <w:tcW w:w="2379" w:type="pct"/>
          <w:vAlign w:val="bottom"/>
        </w:tcPr>
        <w:p w:rsidR="00752FF2" w:rsidRDefault="00752FF2">
          <w:pPr>
            <w:pStyle w:val="FooterFileName"/>
            <w:jc w:val="right"/>
          </w:pPr>
          <w:r w:rsidRPr="00CC21AB">
            <w:t>URBIS</w:t>
          </w:r>
          <w:r w:rsidRPr="00B2739A">
            <w:rPr>
              <w:color w:val="7F7F7F"/>
            </w:rPr>
            <w:br/>
          </w:r>
          <w:fldSimple w:instr=" FILENAME  \* Caps  \* MERGEFORMAT ">
            <w:r>
              <w:rPr>
                <w:noProof/>
              </w:rPr>
              <w:t>Final NHSC_Residential Cost Analysis v2</w:t>
            </w:r>
          </w:fldSimple>
        </w:p>
      </w:tc>
    </w:tr>
  </w:tbl>
  <w:p w:rsidR="00752FF2" w:rsidRPr="00E9124E" w:rsidRDefault="00752FF2" w:rsidP="00E9124E">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BF"/>
    </w:tblPr>
    <w:tblGrid>
      <w:gridCol w:w="7281"/>
      <w:gridCol w:w="209"/>
      <w:gridCol w:w="6799"/>
    </w:tblGrid>
    <w:tr w:rsidR="00752FF2">
      <w:trPr>
        <w:trHeight w:val="288"/>
      </w:trPr>
      <w:tc>
        <w:tcPr>
          <w:tcW w:w="2548" w:type="pct"/>
          <w:vAlign w:val="bottom"/>
        </w:tcPr>
        <w:p w:rsidR="00752FF2" w:rsidRPr="00B2739A" w:rsidRDefault="00752FF2">
          <w:pPr>
            <w:pStyle w:val="FooterFileName"/>
            <w:rPr>
              <w:color w:val="7F7F7F"/>
            </w:rPr>
          </w:pPr>
          <w:r w:rsidRPr="00CC21AB">
            <w:t>URBIS</w:t>
          </w:r>
          <w:r w:rsidRPr="00B2739A">
            <w:rPr>
              <w:color w:val="7F7F7F"/>
            </w:rPr>
            <w:br/>
          </w:r>
          <w:fldSimple w:instr=" FILENAME   \* MERGEFORMAT ">
            <w:r>
              <w:rPr>
                <w:noProof/>
              </w:rPr>
              <w:t>Final NHSC_Residential Cost Analysis v2</w:t>
            </w:r>
          </w:fldSimple>
        </w:p>
      </w:tc>
      <w:tc>
        <w:tcPr>
          <w:tcW w:w="73" w:type="pct"/>
          <w:vAlign w:val="bottom"/>
        </w:tcPr>
        <w:p w:rsidR="00752FF2" w:rsidRDefault="00752FF2">
          <w:pPr>
            <w:pStyle w:val="Footer"/>
            <w:ind w:right="17"/>
            <w:jc w:val="right"/>
          </w:pPr>
        </w:p>
      </w:tc>
      <w:tc>
        <w:tcPr>
          <w:tcW w:w="2379" w:type="pct"/>
          <w:vAlign w:val="bottom"/>
        </w:tcPr>
        <w:p w:rsidR="00752FF2" w:rsidRDefault="00752FF2">
          <w:pPr>
            <w:pStyle w:val="Footer"/>
            <w:ind w:right="17"/>
            <w:jc w:val="right"/>
          </w:pPr>
          <w:fldSimple w:instr=" STYLEREF &quot;Heading 1&quot; \* MERGEFORMAT ">
            <w:r>
              <w:rPr>
                <w:rStyle w:val="SectionNameLeftChar"/>
                <w:noProof/>
              </w:rPr>
              <w:t>Results and Analysis</w:t>
            </w:r>
          </w:fldSimple>
          <w:r>
            <w:rPr>
              <w:rStyle w:val="SectionNameRightCharChar"/>
            </w:rPr>
            <w:t xml:space="preserve"> </w:t>
          </w:r>
          <w:r w:rsidRPr="00BB303D">
            <w:rPr>
              <w:rStyle w:val="PageNumber"/>
            </w:rPr>
            <w:fldChar w:fldCharType="begin"/>
          </w:r>
          <w:r w:rsidRPr="00BB303D">
            <w:rPr>
              <w:rStyle w:val="PageNumber"/>
            </w:rPr>
            <w:instrText xml:space="preserve"> PAGE </w:instrText>
          </w:r>
          <w:r w:rsidRPr="00BB303D">
            <w:rPr>
              <w:rStyle w:val="PageNumber"/>
            </w:rPr>
            <w:fldChar w:fldCharType="separate"/>
          </w:r>
          <w:r>
            <w:rPr>
              <w:rStyle w:val="PageNumber"/>
              <w:noProof/>
            </w:rPr>
            <w:t>55</w:t>
          </w:r>
          <w:r w:rsidRPr="00BB303D">
            <w:rPr>
              <w:rStyle w:val="PageNumber"/>
            </w:rPr>
            <w:fldChar w:fldCharType="end"/>
          </w:r>
        </w:p>
      </w:tc>
    </w:tr>
  </w:tbl>
  <w:p w:rsidR="00752FF2" w:rsidRPr="00E9124E" w:rsidRDefault="00752FF2" w:rsidP="00E9124E">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rsidP="00764CC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0FBC">
      <w:rPr>
        <w:rStyle w:val="PageNumber"/>
        <w:noProof/>
      </w:rPr>
      <w:t>32</w:t>
    </w:r>
    <w:r>
      <w:rPr>
        <w:rStyle w:val="PageNumber"/>
      </w:rPr>
      <w:fldChar w:fldCharType="end"/>
    </w:r>
  </w:p>
  <w:p w:rsidR="00752FF2" w:rsidRDefault="00752FF2" w:rsidP="005618A6">
    <w:pPr>
      <w:pStyle w:val="Footer"/>
      <w:ind w:firstLine="360"/>
    </w:pPr>
    <w:r>
      <w:t xml:space="preserve"> </w:t>
    </w:r>
    <w:fldSimple w:instr=" STYLEREF &quot;Heading 1&quot; \* MERGEFORMAT ">
      <w:r w:rsidR="00370FBC">
        <w:rPr>
          <w:rStyle w:val="SectionNameLeftChar"/>
          <w:noProof/>
        </w:rPr>
        <w:t>Results and Analysis</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Layout w:type="fixed"/>
      <w:tblCellMar>
        <w:left w:w="0" w:type="dxa"/>
        <w:right w:w="0" w:type="dxa"/>
      </w:tblCellMar>
      <w:tblLook w:val="00BF"/>
    </w:tblPr>
    <w:tblGrid>
      <w:gridCol w:w="7500"/>
      <w:gridCol w:w="2243"/>
    </w:tblGrid>
    <w:tr w:rsidR="00752FF2" w:rsidRPr="00E41A54">
      <w:trPr>
        <w:trHeight w:hRule="exact" w:val="120"/>
      </w:trPr>
      <w:tc>
        <w:tcPr>
          <w:tcW w:w="9743" w:type="dxa"/>
          <w:gridSpan w:val="2"/>
          <w:tcBorders>
            <w:top w:val="single" w:sz="2" w:space="0" w:color="000000"/>
          </w:tcBorders>
        </w:tcPr>
        <w:p w:rsidR="00752FF2" w:rsidRDefault="00752FF2" w:rsidP="008E18BD">
          <w:pPr>
            <w:pStyle w:val="Spacer"/>
          </w:pPr>
        </w:p>
      </w:tc>
    </w:tr>
    <w:tr w:rsidR="00752FF2" w:rsidTr="00A51074">
      <w:tc>
        <w:tcPr>
          <w:tcW w:w="7500" w:type="dxa"/>
          <w:vAlign w:val="center"/>
        </w:tcPr>
        <w:p w:rsidR="00752FF2" w:rsidRDefault="00752FF2" w:rsidP="008E18BD">
          <w:pPr>
            <w:pStyle w:val="FooterFileName"/>
          </w:pPr>
          <w:fldSimple w:instr=" FILENAME  \* Caps  \* MERGEFORMAT ">
            <w:r>
              <w:rPr>
                <w:noProof/>
              </w:rPr>
              <w:t>Final NHSC_Residential Cost Analysis v2</w:t>
            </w:r>
          </w:fldSimple>
          <w:r w:rsidRPr="00E41A54">
            <w:rPr>
              <w:noProof/>
              <w:sz w:val="20"/>
              <w:szCs w:val="20"/>
              <w:lang w:val="en-US"/>
            </w:rPr>
            <w:pict>
              <v:shape id="_x0000_s2888" style="position:absolute;margin-left:522.2pt;margin-top:19.55pt;width:35.45pt;height:35.5pt;z-index:251661824;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tc>
      <w:tc>
        <w:tcPr>
          <w:tcW w:w="2243" w:type="dxa"/>
          <w:vAlign w:val="center"/>
        </w:tcPr>
        <w:p w:rsidR="00752FF2" w:rsidRDefault="00752FF2" w:rsidP="00E41A54">
          <w:pPr>
            <w:pStyle w:val="Footer"/>
            <w:ind w:right="17"/>
            <w:jc w:val="right"/>
          </w:pPr>
          <w:fldSimple w:instr=" STYLEREF &quot;Heading 1&quot; \* MERGEFORMAT ">
            <w:r w:rsidR="00370FBC">
              <w:rPr>
                <w:rStyle w:val="SectionNameLeftChar"/>
                <w:noProof/>
              </w:rPr>
              <w:t>Results and Analysis</w:t>
            </w:r>
          </w:fldSimple>
          <w:r>
            <w:rPr>
              <w:rStyle w:val="SectionNameLeftChar"/>
            </w:rPr>
            <w:t xml:space="preserv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70FBC">
            <w:rPr>
              <w:rStyle w:val="PageNumber"/>
              <w:noProof/>
            </w:rPr>
            <w:t>33</w:t>
          </w:r>
          <w:r>
            <w:rPr>
              <w:rStyle w:val="PageNumber"/>
            </w:rPr>
            <w:fldChar w:fldCharType="end"/>
          </w:r>
        </w:p>
      </w:tc>
    </w:tr>
    <w:tr w:rsidR="00752FF2" w:rsidTr="00A51074">
      <w:trPr>
        <w:trHeight w:hRule="exact" w:val="220"/>
      </w:trPr>
      <w:tc>
        <w:tcPr>
          <w:tcW w:w="7500" w:type="dxa"/>
          <w:vAlign w:val="bottom"/>
        </w:tcPr>
        <w:p w:rsidR="00752FF2" w:rsidRPr="000460B8" w:rsidRDefault="00752FF2" w:rsidP="008E18BD">
          <w:pPr>
            <w:pStyle w:val="FooterFileName"/>
          </w:pPr>
        </w:p>
      </w:tc>
      <w:tc>
        <w:tcPr>
          <w:tcW w:w="2243" w:type="dxa"/>
        </w:tcPr>
        <w:p w:rsidR="00752FF2" w:rsidRDefault="00752FF2" w:rsidP="00E41A54">
          <w:pPr>
            <w:pStyle w:val="Footer"/>
            <w:ind w:right="113"/>
            <w:jc w:val="right"/>
          </w:pPr>
        </w:p>
      </w:tc>
    </w:tr>
  </w:tbl>
  <w:p w:rsidR="00752FF2" w:rsidRDefault="00752FF2">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BF"/>
    </w:tblPr>
    <w:tblGrid>
      <w:gridCol w:w="7281"/>
      <w:gridCol w:w="209"/>
      <w:gridCol w:w="6799"/>
    </w:tblGrid>
    <w:tr w:rsidR="00752FF2">
      <w:trPr>
        <w:trHeight w:val="288"/>
      </w:trPr>
      <w:tc>
        <w:tcPr>
          <w:tcW w:w="2548" w:type="pct"/>
          <w:vAlign w:val="bottom"/>
        </w:tcPr>
        <w:p w:rsidR="00752FF2" w:rsidRPr="00B2739A" w:rsidRDefault="00752FF2">
          <w:pPr>
            <w:pStyle w:val="FooterFileName"/>
            <w:rPr>
              <w:color w:val="7F7F7F"/>
            </w:rPr>
          </w:pPr>
          <w:r w:rsidRPr="00BB303D">
            <w:rPr>
              <w:rStyle w:val="PageNumber"/>
            </w:rPr>
            <w:fldChar w:fldCharType="begin"/>
          </w:r>
          <w:r w:rsidRPr="00BB303D">
            <w:rPr>
              <w:rStyle w:val="PageNumber"/>
            </w:rPr>
            <w:instrText xml:space="preserve"> PAGE </w:instrText>
          </w:r>
          <w:r w:rsidRPr="00BB303D">
            <w:rPr>
              <w:rStyle w:val="PageNumber"/>
            </w:rPr>
            <w:fldChar w:fldCharType="separate"/>
          </w:r>
          <w:r w:rsidR="00370FBC">
            <w:rPr>
              <w:rStyle w:val="PageNumber"/>
              <w:noProof/>
            </w:rPr>
            <w:t>34</w:t>
          </w:r>
          <w:r w:rsidRPr="00BB303D">
            <w:rPr>
              <w:rStyle w:val="PageNumber"/>
            </w:rPr>
            <w:fldChar w:fldCharType="end"/>
          </w:r>
          <w:r>
            <w:rPr>
              <w:rStyle w:val="PageNumber"/>
            </w:rPr>
            <w:t xml:space="preserve"> </w:t>
          </w:r>
          <w:fldSimple w:instr=" STYLEREF &quot;Heading 1&quot; \* MERGEFORMAT ">
            <w:r w:rsidR="00370FBC">
              <w:rPr>
                <w:rStyle w:val="SectionNameLeftChar"/>
                <w:noProof/>
              </w:rPr>
              <w:t>Results and Analysis</w:t>
            </w:r>
          </w:fldSimple>
          <w:r w:rsidRPr="00B2739A">
            <w:rPr>
              <w:color w:val="7F7F7F"/>
            </w:rPr>
            <w:t xml:space="preserve"> </w:t>
          </w:r>
        </w:p>
      </w:tc>
      <w:tc>
        <w:tcPr>
          <w:tcW w:w="73" w:type="pct"/>
          <w:vAlign w:val="bottom"/>
        </w:tcPr>
        <w:p w:rsidR="00752FF2" w:rsidRDefault="00752FF2">
          <w:pPr>
            <w:pStyle w:val="Footer"/>
            <w:ind w:right="17"/>
            <w:jc w:val="right"/>
          </w:pPr>
        </w:p>
      </w:tc>
      <w:tc>
        <w:tcPr>
          <w:tcW w:w="2379" w:type="pct"/>
          <w:vAlign w:val="bottom"/>
        </w:tcPr>
        <w:p w:rsidR="00752FF2" w:rsidRDefault="00752FF2">
          <w:pPr>
            <w:pStyle w:val="FooterFileName"/>
            <w:jc w:val="right"/>
          </w:pPr>
          <w:r w:rsidRPr="00CC21AB">
            <w:t>URBIS</w:t>
          </w:r>
          <w:r w:rsidRPr="00B2739A">
            <w:rPr>
              <w:color w:val="7F7F7F"/>
            </w:rPr>
            <w:br/>
          </w:r>
          <w:fldSimple w:instr=" FILENAME  \* Caps  \* MERGEFORMAT ">
            <w:r>
              <w:rPr>
                <w:noProof/>
              </w:rPr>
              <w:t>Final NHSC_Residential Cost Analysis v2</w:t>
            </w:r>
          </w:fldSimple>
        </w:p>
      </w:tc>
    </w:tr>
  </w:tbl>
  <w:p w:rsidR="00752FF2" w:rsidRPr="002B12CA" w:rsidRDefault="00752FF2" w:rsidP="002B12CA">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BF"/>
    </w:tblPr>
    <w:tblGrid>
      <w:gridCol w:w="7281"/>
      <w:gridCol w:w="209"/>
      <w:gridCol w:w="6799"/>
    </w:tblGrid>
    <w:tr w:rsidR="00752FF2">
      <w:trPr>
        <w:trHeight w:val="288"/>
      </w:trPr>
      <w:tc>
        <w:tcPr>
          <w:tcW w:w="2548" w:type="pct"/>
          <w:vAlign w:val="bottom"/>
        </w:tcPr>
        <w:p w:rsidR="00752FF2" w:rsidRPr="00B2739A" w:rsidRDefault="00752FF2">
          <w:pPr>
            <w:pStyle w:val="FooterFileName"/>
            <w:rPr>
              <w:color w:val="7F7F7F"/>
            </w:rPr>
          </w:pPr>
          <w:r w:rsidRPr="00CC21AB">
            <w:t>URBIS</w:t>
          </w:r>
          <w:r w:rsidRPr="00B2739A">
            <w:rPr>
              <w:color w:val="7F7F7F"/>
            </w:rPr>
            <w:br/>
          </w:r>
          <w:fldSimple w:instr=" FILENAME   \* MERGEFORMAT ">
            <w:r>
              <w:rPr>
                <w:noProof/>
              </w:rPr>
              <w:t>Final NHSC_Residential Cost Analysis v2</w:t>
            </w:r>
          </w:fldSimple>
        </w:p>
      </w:tc>
      <w:tc>
        <w:tcPr>
          <w:tcW w:w="73" w:type="pct"/>
          <w:vAlign w:val="bottom"/>
        </w:tcPr>
        <w:p w:rsidR="00752FF2" w:rsidRDefault="00752FF2">
          <w:pPr>
            <w:pStyle w:val="Footer"/>
            <w:ind w:right="17"/>
            <w:jc w:val="right"/>
          </w:pPr>
        </w:p>
      </w:tc>
      <w:tc>
        <w:tcPr>
          <w:tcW w:w="2379" w:type="pct"/>
          <w:vAlign w:val="bottom"/>
        </w:tcPr>
        <w:p w:rsidR="00752FF2" w:rsidRDefault="00752FF2">
          <w:pPr>
            <w:pStyle w:val="Footer"/>
            <w:ind w:right="17"/>
            <w:jc w:val="right"/>
          </w:pPr>
          <w:fldSimple w:instr=" STYLEREF &quot;Heading 1&quot; \* MERGEFORMAT ">
            <w:r>
              <w:rPr>
                <w:rStyle w:val="SectionNameLeftChar"/>
                <w:noProof/>
              </w:rPr>
              <w:t>Results and Analysis</w:t>
            </w:r>
          </w:fldSimple>
          <w:r>
            <w:rPr>
              <w:rStyle w:val="SectionNameRightCharChar"/>
            </w:rPr>
            <w:t xml:space="preserve"> </w:t>
          </w:r>
          <w:r w:rsidRPr="00BB303D">
            <w:rPr>
              <w:rStyle w:val="PageNumber"/>
            </w:rPr>
            <w:fldChar w:fldCharType="begin"/>
          </w:r>
          <w:r w:rsidRPr="00BB303D">
            <w:rPr>
              <w:rStyle w:val="PageNumber"/>
            </w:rPr>
            <w:instrText xml:space="preserve"> PAGE </w:instrText>
          </w:r>
          <w:r w:rsidRPr="00BB303D">
            <w:rPr>
              <w:rStyle w:val="PageNumber"/>
            </w:rPr>
            <w:fldChar w:fldCharType="separate"/>
          </w:r>
          <w:r>
            <w:rPr>
              <w:rStyle w:val="PageNumber"/>
              <w:noProof/>
            </w:rPr>
            <w:t>55</w:t>
          </w:r>
          <w:r w:rsidRPr="00BB303D">
            <w:rPr>
              <w:rStyle w:val="PageNumber"/>
            </w:rPr>
            <w:fldChar w:fldCharType="end"/>
          </w:r>
        </w:p>
      </w:tc>
    </w:tr>
  </w:tbl>
  <w:p w:rsidR="00752FF2" w:rsidRPr="002B12CA" w:rsidRDefault="00752FF2" w:rsidP="002B1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rsidP="00764CC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0FBC">
      <w:rPr>
        <w:rStyle w:val="PageNumber"/>
        <w:noProof/>
      </w:rPr>
      <w:t>40</w:t>
    </w:r>
    <w:r>
      <w:rPr>
        <w:rStyle w:val="PageNumber"/>
      </w:rPr>
      <w:fldChar w:fldCharType="end"/>
    </w:r>
  </w:p>
  <w:p w:rsidR="00752FF2" w:rsidRDefault="00752FF2" w:rsidP="005618A6">
    <w:pPr>
      <w:pStyle w:val="Footer"/>
      <w:ind w:firstLine="360"/>
    </w:pPr>
    <w:r>
      <w:t xml:space="preserve"> </w:t>
    </w:r>
    <w:fldSimple w:instr=" STYLEREF &quot;Heading 1&quot; \* MERGEFORMAT ">
      <w:r w:rsidR="00370FBC">
        <w:rPr>
          <w:rStyle w:val="SectionNameLeftChar"/>
          <w:noProof/>
        </w:rPr>
        <w:t>Conclusion</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Layout w:type="fixed"/>
      <w:tblCellMar>
        <w:left w:w="0" w:type="dxa"/>
        <w:right w:w="0" w:type="dxa"/>
      </w:tblCellMar>
      <w:tblLook w:val="00BF"/>
    </w:tblPr>
    <w:tblGrid>
      <w:gridCol w:w="7400"/>
      <w:gridCol w:w="2343"/>
    </w:tblGrid>
    <w:tr w:rsidR="00752FF2" w:rsidRPr="00E41A54">
      <w:trPr>
        <w:trHeight w:hRule="exact" w:val="120"/>
      </w:trPr>
      <w:tc>
        <w:tcPr>
          <w:tcW w:w="9743" w:type="dxa"/>
          <w:gridSpan w:val="2"/>
          <w:tcBorders>
            <w:top w:val="single" w:sz="2" w:space="0" w:color="000000"/>
          </w:tcBorders>
        </w:tcPr>
        <w:p w:rsidR="00752FF2" w:rsidRDefault="00752FF2" w:rsidP="008E18BD">
          <w:pPr>
            <w:pStyle w:val="Spacer"/>
          </w:pPr>
        </w:p>
      </w:tc>
    </w:tr>
    <w:tr w:rsidR="00752FF2" w:rsidTr="00A51074">
      <w:tc>
        <w:tcPr>
          <w:tcW w:w="7400" w:type="dxa"/>
          <w:vAlign w:val="center"/>
        </w:tcPr>
        <w:p w:rsidR="00752FF2" w:rsidRDefault="00752FF2" w:rsidP="008E18BD">
          <w:pPr>
            <w:pStyle w:val="FooterFileName"/>
          </w:pPr>
          <w:fldSimple w:instr=" FILENAME  \* Caps  \* MERGEFORMAT ">
            <w:r>
              <w:rPr>
                <w:noProof/>
              </w:rPr>
              <w:t>Final NHSC_Residential Cost Analysis v2</w:t>
            </w:r>
          </w:fldSimple>
          <w:r w:rsidRPr="00E41A54">
            <w:rPr>
              <w:noProof/>
              <w:sz w:val="20"/>
              <w:szCs w:val="20"/>
              <w:lang w:val="en-US"/>
            </w:rPr>
            <w:pict>
              <v:shape id="_x0000_s2892" style="position:absolute;margin-left:522.2pt;margin-top:19.55pt;width:35.45pt;height:35.5pt;z-index:251663872;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tc>
      <w:tc>
        <w:tcPr>
          <w:tcW w:w="2343" w:type="dxa"/>
          <w:vAlign w:val="center"/>
        </w:tcPr>
        <w:p w:rsidR="00752FF2" w:rsidRDefault="00752FF2" w:rsidP="00E41A54">
          <w:pPr>
            <w:pStyle w:val="Footer"/>
            <w:ind w:right="17"/>
            <w:jc w:val="right"/>
          </w:pPr>
          <w:fldSimple w:instr=" STYLEREF &quot;Heading 1&quot; \* MERGEFORMAT ">
            <w:r w:rsidR="00370FBC">
              <w:rPr>
                <w:rStyle w:val="SectionNameLeftChar"/>
                <w:noProof/>
              </w:rPr>
              <w:t>Conclusion</w:t>
            </w:r>
          </w:fldSimple>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70FBC">
            <w:rPr>
              <w:rStyle w:val="PageNumber"/>
              <w:noProof/>
            </w:rPr>
            <w:t>39</w:t>
          </w:r>
          <w:r>
            <w:rPr>
              <w:rStyle w:val="PageNumber"/>
            </w:rPr>
            <w:fldChar w:fldCharType="end"/>
          </w:r>
        </w:p>
      </w:tc>
    </w:tr>
    <w:tr w:rsidR="00752FF2" w:rsidTr="00A51074">
      <w:trPr>
        <w:trHeight w:hRule="exact" w:val="220"/>
      </w:trPr>
      <w:tc>
        <w:tcPr>
          <w:tcW w:w="7400" w:type="dxa"/>
          <w:vAlign w:val="bottom"/>
        </w:tcPr>
        <w:p w:rsidR="00752FF2" w:rsidRPr="000460B8" w:rsidRDefault="00752FF2" w:rsidP="008E18BD">
          <w:pPr>
            <w:pStyle w:val="FooterFileName"/>
          </w:pPr>
        </w:p>
      </w:tc>
      <w:tc>
        <w:tcPr>
          <w:tcW w:w="2343" w:type="dxa"/>
        </w:tcPr>
        <w:p w:rsidR="00752FF2" w:rsidRDefault="00752FF2" w:rsidP="00E41A54">
          <w:pPr>
            <w:pStyle w:val="Footer"/>
            <w:ind w:right="113"/>
            <w:jc w:val="right"/>
          </w:pPr>
        </w:p>
      </w:tc>
    </w:tr>
  </w:tbl>
  <w:p w:rsidR="00752FF2" w:rsidRDefault="00752FF2">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Ind w:w="5" w:type="dxa"/>
      <w:tblLayout w:type="fixed"/>
      <w:tblCellMar>
        <w:left w:w="0" w:type="dxa"/>
        <w:right w:w="0" w:type="dxa"/>
      </w:tblCellMar>
      <w:tblLook w:val="00BF"/>
    </w:tblPr>
    <w:tblGrid>
      <w:gridCol w:w="4965"/>
      <w:gridCol w:w="142"/>
      <w:gridCol w:w="4636"/>
    </w:tblGrid>
    <w:tr w:rsidR="00752FF2" w:rsidTr="00FE44D5">
      <w:trPr>
        <w:trHeight w:val="288"/>
      </w:trPr>
      <w:tc>
        <w:tcPr>
          <w:tcW w:w="4965" w:type="dxa"/>
          <w:vAlign w:val="bottom"/>
        </w:tcPr>
        <w:p w:rsidR="00752FF2" w:rsidRPr="00B2739A" w:rsidRDefault="00752FF2" w:rsidP="00FE44D5">
          <w:pPr>
            <w:pStyle w:val="FooterFileName"/>
            <w:rPr>
              <w:color w:val="7F7F7F"/>
            </w:rPr>
          </w:pPr>
          <w:r w:rsidRPr="00BB303D">
            <w:rPr>
              <w:rStyle w:val="PageNumber"/>
            </w:rPr>
            <w:fldChar w:fldCharType="begin"/>
          </w:r>
          <w:r w:rsidRPr="00BB303D">
            <w:rPr>
              <w:rStyle w:val="PageNumber"/>
            </w:rPr>
            <w:instrText xml:space="preserve"> PAGE </w:instrText>
          </w:r>
          <w:r w:rsidRPr="00BB303D">
            <w:rPr>
              <w:rStyle w:val="PageNumber"/>
            </w:rPr>
            <w:fldChar w:fldCharType="separate"/>
          </w:r>
          <w:r w:rsidR="00370FBC">
            <w:rPr>
              <w:rStyle w:val="PageNumber"/>
              <w:noProof/>
            </w:rPr>
            <w:t>56</w:t>
          </w:r>
          <w:r w:rsidRPr="00BB303D">
            <w:rPr>
              <w:rStyle w:val="PageNumber"/>
            </w:rPr>
            <w:fldChar w:fldCharType="end"/>
          </w:r>
          <w:r>
            <w:rPr>
              <w:rStyle w:val="PageNumber"/>
            </w:rPr>
            <w:t xml:space="preserve"> </w:t>
          </w:r>
          <w:r>
            <w:rPr>
              <w:rStyle w:val="SectionNameLeftChar"/>
            </w:rPr>
            <w:t>appendices</w:t>
          </w:r>
        </w:p>
      </w:tc>
      <w:tc>
        <w:tcPr>
          <w:tcW w:w="142" w:type="dxa"/>
          <w:vAlign w:val="bottom"/>
        </w:tcPr>
        <w:p w:rsidR="00752FF2" w:rsidRDefault="00752FF2" w:rsidP="00F75667">
          <w:pPr>
            <w:pStyle w:val="Footer"/>
            <w:ind w:right="17"/>
            <w:jc w:val="right"/>
          </w:pPr>
        </w:p>
      </w:tc>
      <w:tc>
        <w:tcPr>
          <w:tcW w:w="4636" w:type="dxa"/>
          <w:vAlign w:val="bottom"/>
        </w:tcPr>
        <w:p w:rsidR="00752FF2" w:rsidRDefault="00752FF2" w:rsidP="00FE44D5">
          <w:pPr>
            <w:pStyle w:val="FooterFileName"/>
            <w:jc w:val="right"/>
          </w:pPr>
          <w:r w:rsidRPr="00CC21AB">
            <w:t>URBIS</w:t>
          </w:r>
          <w:r w:rsidRPr="00B2739A">
            <w:rPr>
              <w:color w:val="7F7F7F"/>
            </w:rPr>
            <w:br/>
          </w:r>
          <w:fldSimple w:instr=" FILENAME  \* Caps  \* MERGEFORMAT ">
            <w:r>
              <w:rPr>
                <w:noProof/>
              </w:rPr>
              <w:t>Final NHSC_Residential Cost Analysis v2</w:t>
            </w:r>
          </w:fldSimple>
        </w:p>
      </w:tc>
    </w:tr>
  </w:tbl>
  <w:p w:rsidR="00752FF2" w:rsidRPr="006260FE" w:rsidRDefault="00752FF2" w:rsidP="00492A2B">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Ind w:w="5" w:type="dxa"/>
      <w:tblLayout w:type="fixed"/>
      <w:tblCellMar>
        <w:left w:w="0" w:type="dxa"/>
        <w:right w:w="0" w:type="dxa"/>
      </w:tblCellMar>
      <w:tblLook w:val="00BF"/>
    </w:tblPr>
    <w:tblGrid>
      <w:gridCol w:w="4965"/>
      <w:gridCol w:w="142"/>
      <w:gridCol w:w="4636"/>
    </w:tblGrid>
    <w:tr w:rsidR="00752FF2" w:rsidTr="0017735E">
      <w:trPr>
        <w:trHeight w:val="288"/>
      </w:trPr>
      <w:tc>
        <w:tcPr>
          <w:tcW w:w="4965" w:type="dxa"/>
          <w:vAlign w:val="bottom"/>
        </w:tcPr>
        <w:p w:rsidR="00752FF2" w:rsidRPr="00B2739A" w:rsidRDefault="00752FF2" w:rsidP="0017735E">
          <w:pPr>
            <w:pStyle w:val="FooterFileName"/>
            <w:rPr>
              <w:color w:val="7F7F7F"/>
            </w:rPr>
          </w:pPr>
          <w:r w:rsidRPr="00CC21AB">
            <w:t>URBIS</w:t>
          </w:r>
          <w:r w:rsidRPr="00B2739A">
            <w:rPr>
              <w:color w:val="7F7F7F"/>
            </w:rPr>
            <w:br/>
          </w:r>
          <w:fldSimple w:instr=" FILENAME  \* Caps  \* MERGEFORMAT ">
            <w:r>
              <w:rPr>
                <w:noProof/>
              </w:rPr>
              <w:t>Final NHSC_Residential Cost Analysis v2</w:t>
            </w:r>
          </w:fldSimple>
        </w:p>
      </w:tc>
      <w:tc>
        <w:tcPr>
          <w:tcW w:w="142" w:type="dxa"/>
          <w:vAlign w:val="bottom"/>
        </w:tcPr>
        <w:p w:rsidR="00752FF2" w:rsidRDefault="00752FF2" w:rsidP="0017735E">
          <w:pPr>
            <w:pStyle w:val="Footer"/>
            <w:ind w:right="17"/>
            <w:jc w:val="right"/>
          </w:pPr>
        </w:p>
      </w:tc>
      <w:tc>
        <w:tcPr>
          <w:tcW w:w="4636" w:type="dxa"/>
          <w:vAlign w:val="bottom"/>
        </w:tcPr>
        <w:p w:rsidR="00752FF2" w:rsidRDefault="00752FF2" w:rsidP="0017735E">
          <w:pPr>
            <w:pStyle w:val="Footer"/>
            <w:ind w:right="17"/>
            <w:jc w:val="right"/>
          </w:pPr>
          <w:r>
            <w:rPr>
              <w:rStyle w:val="SectionNameLeftChar"/>
            </w:rPr>
            <w:t>appendices</w:t>
          </w:r>
          <w:r w:rsidRPr="00B2739A">
            <w:rPr>
              <w:color w:val="7F7F7F"/>
            </w:rPr>
            <w:t xml:space="preserve"> </w:t>
          </w:r>
          <w:r>
            <w:rPr>
              <w:rStyle w:val="SectionNameRightCharChar"/>
            </w:rPr>
            <w:t xml:space="preserve"> </w:t>
          </w:r>
          <w:r w:rsidRPr="00BB303D">
            <w:rPr>
              <w:rStyle w:val="PageNumber"/>
            </w:rPr>
            <w:fldChar w:fldCharType="begin"/>
          </w:r>
          <w:r w:rsidRPr="00BB303D">
            <w:rPr>
              <w:rStyle w:val="PageNumber"/>
            </w:rPr>
            <w:instrText xml:space="preserve"> PAGE </w:instrText>
          </w:r>
          <w:r w:rsidRPr="00BB303D">
            <w:rPr>
              <w:rStyle w:val="PageNumber"/>
            </w:rPr>
            <w:fldChar w:fldCharType="separate"/>
          </w:r>
          <w:r w:rsidR="00370FBC">
            <w:rPr>
              <w:rStyle w:val="PageNumber"/>
              <w:noProof/>
            </w:rPr>
            <w:t>55</w:t>
          </w:r>
          <w:r w:rsidRPr="00BB303D">
            <w:rPr>
              <w:rStyle w:val="PageNumber"/>
            </w:rPr>
            <w:fldChar w:fldCharType="end"/>
          </w:r>
        </w:p>
      </w:tc>
    </w:tr>
  </w:tbl>
  <w:p w:rsidR="00752FF2" w:rsidRDefault="00752FF2" w:rsidP="001F7FC7">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5E0AA9" w:rsidRDefault="00752FF2" w:rsidP="005E0AA9">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4B7A59" w:rsidRDefault="00752FF2" w:rsidP="004B7A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rsidP="000F79C4">
    <w:pPr>
      <w:pStyle w:val="UrbisCopyright"/>
    </w:pPr>
    <w:r>
      <w:t>© Urbis Pty Ltd</w:t>
    </w:r>
  </w:p>
  <w:p w:rsidR="00752FF2" w:rsidRDefault="00752FF2" w:rsidP="000F79C4">
    <w:pPr>
      <w:pStyle w:val="UrbisCopyright"/>
    </w:pPr>
    <w:r>
      <w:t>ABN 50 105 256 228</w:t>
    </w:r>
  </w:p>
  <w:p w:rsidR="00752FF2" w:rsidRDefault="00752FF2" w:rsidP="000F79C4">
    <w:pPr>
      <w:pStyle w:val="UrbisCopyright"/>
    </w:pPr>
  </w:p>
  <w:p w:rsidR="00752FF2" w:rsidRDefault="00752FF2" w:rsidP="000F79C4">
    <w:pPr>
      <w:pStyle w:val="UrbisCopyright"/>
    </w:pPr>
    <w:r>
      <w:t>All Rights Reserved. No material may be reproduced without prior permission.</w:t>
    </w:r>
  </w:p>
  <w:p w:rsidR="00752FF2" w:rsidRDefault="00752FF2" w:rsidP="000F79C4">
    <w:pPr>
      <w:pStyle w:val="UrbisCopyright"/>
    </w:pPr>
    <w:r>
      <w:t xml:space="preserve">While we have tried to ensure the accuracy of the information in this publication, </w:t>
    </w:r>
  </w:p>
  <w:p w:rsidR="00752FF2" w:rsidRDefault="00752FF2" w:rsidP="000F79C4">
    <w:pPr>
      <w:pStyle w:val="UrbisCopyright"/>
    </w:pPr>
    <w:proofErr w:type="gramStart"/>
    <w:r>
      <w:t>the</w:t>
    </w:r>
    <w:proofErr w:type="gramEnd"/>
    <w:r>
      <w:t xml:space="preserve"> Publisher accepts no responsibility or liability for any errors, omissions or</w:t>
    </w:r>
  </w:p>
  <w:p w:rsidR="00752FF2" w:rsidRDefault="00752FF2" w:rsidP="000F79C4">
    <w:pPr>
      <w:pStyle w:val="UrbisCopyright"/>
    </w:pPr>
    <w:proofErr w:type="gramStart"/>
    <w:r>
      <w:t>resultant</w:t>
    </w:r>
    <w:proofErr w:type="gramEnd"/>
    <w:r>
      <w:t xml:space="preserve"> consequences including any loss or damage arising from reliance in </w:t>
    </w:r>
  </w:p>
  <w:p w:rsidR="00752FF2" w:rsidRDefault="00752FF2" w:rsidP="000F79C4">
    <w:pPr>
      <w:pStyle w:val="UrbisCopyright"/>
    </w:pPr>
    <w:proofErr w:type="gramStart"/>
    <w:r>
      <w:t>information</w:t>
    </w:r>
    <w:proofErr w:type="gramEnd"/>
    <w:r>
      <w:t xml:space="preserve"> in this publication.</w:t>
    </w:r>
  </w:p>
  <w:p w:rsidR="00752FF2" w:rsidRPr="000F79C4" w:rsidRDefault="00752FF2" w:rsidP="000F79C4">
    <w:pPr>
      <w:pStyle w:val="UrbisCopyright"/>
      <w:rPr>
        <w:b/>
      </w:rPr>
    </w:pPr>
  </w:p>
  <w:p w:rsidR="00752FF2" w:rsidRPr="000F79C4" w:rsidRDefault="00752FF2" w:rsidP="000F79C4">
    <w:pPr>
      <w:pStyle w:val="UrbisCopyright"/>
      <w:rPr>
        <w:b/>
      </w:rPr>
    </w:pPr>
    <w:r w:rsidRPr="000F79C4">
      <w:rPr>
        <w:b/>
      </w:rPr>
      <w:t>URBIS</w:t>
    </w:r>
  </w:p>
  <w:p w:rsidR="00752FF2" w:rsidRPr="000F79C4" w:rsidRDefault="00752FF2" w:rsidP="000F79C4">
    <w:pPr>
      <w:pStyle w:val="UrbisCopyright"/>
      <w:rPr>
        <w:b/>
      </w:rPr>
    </w:pPr>
    <w:proofErr w:type="gramStart"/>
    <w:smartTag w:uri="urn:schemas-microsoft-com:office:smarttags" w:element="country-region">
      <w:r w:rsidRPr="000F79C4">
        <w:rPr>
          <w:b/>
        </w:rPr>
        <w:t>Australia</w:t>
      </w:r>
    </w:smartTag>
    <w:r w:rsidRPr="000F79C4">
      <w:rPr>
        <w:b/>
      </w:rPr>
      <w:t xml:space="preserve">  Asia</w:t>
    </w:r>
    <w:proofErr w:type="gramEnd"/>
    <w:r w:rsidRPr="000F79C4">
      <w:rPr>
        <w:b/>
      </w:rPr>
      <w:t xml:space="preserve">  </w:t>
    </w:r>
    <w:smartTag w:uri="urn:schemas-microsoft-com:office:smarttags" w:element="place">
      <w:r w:rsidRPr="000F79C4">
        <w:rPr>
          <w:b/>
        </w:rPr>
        <w:t>Middle East</w:t>
      </w:r>
    </w:smartTag>
  </w:p>
  <w:p w:rsidR="00752FF2" w:rsidRDefault="00752FF2" w:rsidP="000F79C4">
    <w:pPr>
      <w:pStyle w:val="UrbisCopyright"/>
      <w:rPr>
        <w:noProof/>
      </w:rPr>
    </w:pPr>
    <w:r>
      <w:t>urbis.com.au</w:t>
    </w:r>
  </w:p>
  <w:p w:rsidR="00752FF2" w:rsidRPr="00751CFB" w:rsidRDefault="00752FF2" w:rsidP="00751CF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Layout w:type="fixed"/>
      <w:tblCellMar>
        <w:left w:w="0" w:type="dxa"/>
        <w:right w:w="0" w:type="dxa"/>
      </w:tblCellMar>
      <w:tblLook w:val="00BF"/>
    </w:tblPr>
    <w:tblGrid>
      <w:gridCol w:w="4965"/>
      <w:gridCol w:w="144"/>
      <w:gridCol w:w="4636"/>
    </w:tblGrid>
    <w:tr w:rsidR="00752FF2" w:rsidTr="00F75667">
      <w:trPr>
        <w:trHeight w:val="288"/>
      </w:trPr>
      <w:tc>
        <w:tcPr>
          <w:tcW w:w="4965" w:type="dxa"/>
          <w:vAlign w:val="bottom"/>
        </w:tcPr>
        <w:p w:rsidR="00752FF2" w:rsidRDefault="00752FF2" w:rsidP="00CF1388">
          <w:pPr>
            <w:pStyle w:val="FooterFileName"/>
          </w:pPr>
        </w:p>
      </w:tc>
      <w:tc>
        <w:tcPr>
          <w:tcW w:w="144" w:type="dxa"/>
          <w:vAlign w:val="bottom"/>
        </w:tcPr>
        <w:p w:rsidR="00752FF2" w:rsidRDefault="00752FF2" w:rsidP="00CF1388">
          <w:pPr>
            <w:pStyle w:val="FooterFileName"/>
          </w:pPr>
        </w:p>
      </w:tc>
      <w:tc>
        <w:tcPr>
          <w:tcW w:w="4636" w:type="dxa"/>
          <w:vAlign w:val="bottom"/>
        </w:tcPr>
        <w:p w:rsidR="00752FF2" w:rsidRDefault="00752FF2" w:rsidP="00CF1388">
          <w:pPr>
            <w:pStyle w:val="FooterFileName"/>
            <w:jc w:val="right"/>
          </w:pPr>
          <w:r>
            <w:t>URBIS</w:t>
          </w:r>
          <w:r>
            <w:br/>
          </w:r>
          <w:fldSimple w:instr=" FILENAME   \* MERGEFORMAT ">
            <w:r>
              <w:rPr>
                <w:noProof/>
              </w:rPr>
              <w:t>Final NHSC_Residential Cost Analysis v2</w:t>
            </w:r>
          </w:fldSimple>
        </w:p>
      </w:tc>
    </w:tr>
  </w:tbl>
  <w:p w:rsidR="00752FF2" w:rsidRDefault="00752FF2" w:rsidP="00CF1388">
    <w:pPr>
      <w:pStyle w:val="FooterFileNam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Layout w:type="fixed"/>
      <w:tblCellMar>
        <w:left w:w="0" w:type="dxa"/>
        <w:right w:w="0" w:type="dxa"/>
      </w:tblCellMar>
      <w:tblLook w:val="00BF"/>
    </w:tblPr>
    <w:tblGrid>
      <w:gridCol w:w="4965"/>
      <w:gridCol w:w="144"/>
      <w:gridCol w:w="4636"/>
    </w:tblGrid>
    <w:tr w:rsidR="00752FF2" w:rsidTr="00BF1AB0">
      <w:trPr>
        <w:trHeight w:val="288"/>
      </w:trPr>
      <w:tc>
        <w:tcPr>
          <w:tcW w:w="4965" w:type="dxa"/>
          <w:vAlign w:val="bottom"/>
        </w:tcPr>
        <w:p w:rsidR="00752FF2" w:rsidRDefault="00752FF2">
          <w:pPr>
            <w:pStyle w:val="FooterFileName"/>
            <w:rPr>
              <w:color w:val="80FF00"/>
            </w:rPr>
          </w:pPr>
          <w:r>
            <w:t>URBIS</w:t>
          </w:r>
          <w:r>
            <w:rPr>
              <w:color w:val="80FF00"/>
            </w:rPr>
            <w:br/>
          </w:r>
          <w:fldSimple w:instr=" FILENAME  \* Caps  \* MERGEFORMAT ">
            <w:r>
              <w:rPr>
                <w:noProof/>
              </w:rPr>
              <w:t>Final NHSC_Residential Cost Analysis v2</w:t>
            </w:r>
          </w:fldSimple>
        </w:p>
      </w:tc>
      <w:tc>
        <w:tcPr>
          <w:tcW w:w="144" w:type="dxa"/>
          <w:vAlign w:val="bottom"/>
        </w:tcPr>
        <w:p w:rsidR="00752FF2" w:rsidRDefault="00752FF2">
          <w:pPr>
            <w:pStyle w:val="Footer"/>
            <w:ind w:right="17"/>
            <w:jc w:val="right"/>
          </w:pPr>
        </w:p>
      </w:tc>
      <w:tc>
        <w:tcPr>
          <w:tcW w:w="4636" w:type="dxa"/>
          <w:vAlign w:val="bottom"/>
        </w:tcPr>
        <w:p w:rsidR="00752FF2" w:rsidRDefault="00752FF2">
          <w:pPr>
            <w:pStyle w:val="Footer"/>
            <w:ind w:right="17"/>
            <w:jc w:val="right"/>
          </w:pPr>
        </w:p>
      </w:tc>
    </w:tr>
  </w:tbl>
  <w:p w:rsidR="00752FF2" w:rsidRDefault="00752FF2" w:rsidP="00BF1AB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Ind w:w="5" w:type="dxa"/>
      <w:tblLayout w:type="fixed"/>
      <w:tblCellMar>
        <w:left w:w="0" w:type="dxa"/>
        <w:right w:w="0" w:type="dxa"/>
      </w:tblCellMar>
      <w:tblLook w:val="00BF"/>
    </w:tblPr>
    <w:tblGrid>
      <w:gridCol w:w="4965"/>
      <w:gridCol w:w="142"/>
      <w:gridCol w:w="4636"/>
    </w:tblGrid>
    <w:tr w:rsidR="00752FF2">
      <w:trPr>
        <w:trHeight w:val="288"/>
      </w:trPr>
      <w:tc>
        <w:tcPr>
          <w:tcW w:w="4965" w:type="dxa"/>
          <w:vAlign w:val="bottom"/>
        </w:tcPr>
        <w:p w:rsidR="00752FF2" w:rsidRPr="00B2739A" w:rsidRDefault="00752FF2">
          <w:pPr>
            <w:pStyle w:val="FooterFileName"/>
            <w:rPr>
              <w:color w:val="7F7F7F"/>
            </w:rPr>
          </w:pPr>
          <w:r w:rsidRPr="00BB303D">
            <w:rPr>
              <w:rStyle w:val="PageNumber"/>
            </w:rPr>
            <w:fldChar w:fldCharType="begin"/>
          </w:r>
          <w:r w:rsidRPr="00BB303D">
            <w:rPr>
              <w:rStyle w:val="PageNumber"/>
            </w:rPr>
            <w:instrText xml:space="preserve"> PAGE </w:instrText>
          </w:r>
          <w:r w:rsidRPr="00BB303D">
            <w:rPr>
              <w:rStyle w:val="PageNumber"/>
            </w:rPr>
            <w:fldChar w:fldCharType="separate"/>
          </w:r>
          <w:r w:rsidR="00370FBC">
            <w:rPr>
              <w:rStyle w:val="PageNumber"/>
              <w:noProof/>
            </w:rPr>
            <w:t>6</w:t>
          </w:r>
          <w:r w:rsidRPr="00BB303D">
            <w:rPr>
              <w:rStyle w:val="PageNumber"/>
            </w:rPr>
            <w:fldChar w:fldCharType="end"/>
          </w:r>
          <w:r>
            <w:rPr>
              <w:rStyle w:val="PageNumber"/>
            </w:rPr>
            <w:t xml:space="preserve"> </w:t>
          </w:r>
          <w:fldSimple w:instr=" STYLEREF  &quot;Executive Summary&quot;  \* MERGEFORMAT ">
            <w:r w:rsidR="00370FBC">
              <w:rPr>
                <w:rStyle w:val="SectionNameLeftChar"/>
                <w:noProof/>
              </w:rPr>
              <w:t>Executive Summary</w:t>
            </w:r>
          </w:fldSimple>
        </w:p>
      </w:tc>
      <w:tc>
        <w:tcPr>
          <w:tcW w:w="142" w:type="dxa"/>
          <w:vAlign w:val="bottom"/>
        </w:tcPr>
        <w:p w:rsidR="00752FF2" w:rsidRDefault="00752FF2">
          <w:pPr>
            <w:pStyle w:val="Footer"/>
            <w:ind w:right="17"/>
            <w:jc w:val="right"/>
          </w:pPr>
        </w:p>
      </w:tc>
      <w:tc>
        <w:tcPr>
          <w:tcW w:w="4636" w:type="dxa"/>
          <w:vAlign w:val="bottom"/>
        </w:tcPr>
        <w:p w:rsidR="00752FF2" w:rsidRDefault="00752FF2">
          <w:pPr>
            <w:pStyle w:val="FooterFileName"/>
            <w:jc w:val="right"/>
          </w:pPr>
          <w:r w:rsidRPr="00CC21AB">
            <w:t>URBIS</w:t>
          </w:r>
          <w:r w:rsidRPr="00B2739A">
            <w:rPr>
              <w:color w:val="7F7F7F"/>
            </w:rPr>
            <w:br/>
          </w:r>
          <w:fldSimple w:instr=" FILENAME   \* MERGEFORMAT ">
            <w:r>
              <w:rPr>
                <w:noProof/>
              </w:rPr>
              <w:t>Final NHSC_Residential Cost Analysis v2</w:t>
            </w:r>
          </w:fldSimple>
        </w:p>
      </w:tc>
    </w:tr>
  </w:tbl>
  <w:p w:rsidR="00752FF2" w:rsidRPr="00C73A34" w:rsidRDefault="00752FF2" w:rsidP="00C73A3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Ind w:w="5" w:type="dxa"/>
      <w:tblLayout w:type="fixed"/>
      <w:tblCellMar>
        <w:left w:w="0" w:type="dxa"/>
        <w:right w:w="0" w:type="dxa"/>
      </w:tblCellMar>
      <w:tblLook w:val="00BF"/>
    </w:tblPr>
    <w:tblGrid>
      <w:gridCol w:w="4965"/>
      <w:gridCol w:w="142"/>
      <w:gridCol w:w="4636"/>
    </w:tblGrid>
    <w:tr w:rsidR="00752FF2">
      <w:trPr>
        <w:trHeight w:val="288"/>
      </w:trPr>
      <w:tc>
        <w:tcPr>
          <w:tcW w:w="4965" w:type="dxa"/>
          <w:vAlign w:val="bottom"/>
        </w:tcPr>
        <w:p w:rsidR="00752FF2" w:rsidRPr="00B2739A" w:rsidRDefault="00752FF2">
          <w:pPr>
            <w:pStyle w:val="FooterFileName"/>
            <w:rPr>
              <w:color w:val="7F7F7F"/>
            </w:rPr>
          </w:pPr>
          <w:r w:rsidRPr="00CC21AB">
            <w:t>URBIS</w:t>
          </w:r>
          <w:r w:rsidRPr="00B2739A">
            <w:rPr>
              <w:color w:val="7F7F7F"/>
            </w:rPr>
            <w:br/>
          </w:r>
          <w:fldSimple w:instr=" FILENAME   \* MERGEFORMAT ">
            <w:r>
              <w:rPr>
                <w:noProof/>
              </w:rPr>
              <w:t>Final NHSC_Residential Cost Analysis v2</w:t>
            </w:r>
          </w:fldSimple>
        </w:p>
      </w:tc>
      <w:tc>
        <w:tcPr>
          <w:tcW w:w="142" w:type="dxa"/>
          <w:vAlign w:val="bottom"/>
        </w:tcPr>
        <w:p w:rsidR="00752FF2" w:rsidRDefault="00752FF2">
          <w:pPr>
            <w:pStyle w:val="Footer"/>
            <w:ind w:right="17"/>
            <w:jc w:val="right"/>
          </w:pPr>
        </w:p>
      </w:tc>
      <w:tc>
        <w:tcPr>
          <w:tcW w:w="4636" w:type="dxa"/>
          <w:vAlign w:val="bottom"/>
        </w:tcPr>
        <w:p w:rsidR="00752FF2" w:rsidRDefault="00752FF2">
          <w:pPr>
            <w:pStyle w:val="Footer"/>
            <w:ind w:right="17"/>
            <w:jc w:val="right"/>
          </w:pPr>
          <w:fldSimple w:instr=" STYLEREF  &quot;Executive Summary&quot;  \* MERGEFORMAT ">
            <w:r w:rsidR="00370FBC">
              <w:rPr>
                <w:rStyle w:val="SectionNameLeftChar"/>
                <w:noProof/>
              </w:rPr>
              <w:t>Executive Summary</w:t>
            </w:r>
          </w:fldSimple>
          <w:r>
            <w:rPr>
              <w:rStyle w:val="SectionNameRightCharChar"/>
            </w:rPr>
            <w:t xml:space="preserve"> </w:t>
          </w:r>
          <w:r w:rsidRPr="00BB303D">
            <w:rPr>
              <w:rStyle w:val="PageNumber"/>
            </w:rPr>
            <w:fldChar w:fldCharType="begin"/>
          </w:r>
          <w:r w:rsidRPr="00BB303D">
            <w:rPr>
              <w:rStyle w:val="PageNumber"/>
            </w:rPr>
            <w:instrText xml:space="preserve"> PAGE </w:instrText>
          </w:r>
          <w:r w:rsidRPr="00BB303D">
            <w:rPr>
              <w:rStyle w:val="PageNumber"/>
            </w:rPr>
            <w:fldChar w:fldCharType="separate"/>
          </w:r>
          <w:r w:rsidR="00370FBC">
            <w:rPr>
              <w:rStyle w:val="PageNumber"/>
              <w:noProof/>
            </w:rPr>
            <w:t>5</w:t>
          </w:r>
          <w:r w:rsidRPr="00BB303D">
            <w:rPr>
              <w:rStyle w:val="PageNumber"/>
            </w:rPr>
            <w:fldChar w:fldCharType="end"/>
          </w:r>
        </w:p>
      </w:tc>
    </w:tr>
  </w:tbl>
  <w:p w:rsidR="00752FF2" w:rsidRPr="00C73A34" w:rsidRDefault="00752FF2" w:rsidP="00C73A3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rsidP="00764CC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0FBC">
      <w:rPr>
        <w:rStyle w:val="PageNumber"/>
        <w:noProof/>
      </w:rPr>
      <w:t>10</w:t>
    </w:r>
    <w:r>
      <w:rPr>
        <w:rStyle w:val="PageNumber"/>
      </w:rPr>
      <w:fldChar w:fldCharType="end"/>
    </w:r>
  </w:p>
  <w:p w:rsidR="00752FF2" w:rsidRDefault="00752FF2" w:rsidP="005618A6">
    <w:pPr>
      <w:pStyle w:val="Footer"/>
      <w:ind w:firstLine="360"/>
    </w:pPr>
    <w:fldSimple w:instr=" STYLEREF &quot;Heading 1&quot; \* MERGEFORMAT ">
      <w:r w:rsidR="00370FBC">
        <w:rPr>
          <w:rStyle w:val="SectionNameLeftChar"/>
          <w:noProof/>
        </w:rPr>
        <w:t>Results and Analysis</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Layout w:type="fixed"/>
      <w:tblCellMar>
        <w:left w:w="0" w:type="dxa"/>
        <w:right w:w="0" w:type="dxa"/>
      </w:tblCellMar>
      <w:tblLook w:val="00BF"/>
    </w:tblPr>
    <w:tblGrid>
      <w:gridCol w:w="8080"/>
      <w:gridCol w:w="1663"/>
    </w:tblGrid>
    <w:tr w:rsidR="00752FF2" w:rsidRPr="00E41A54">
      <w:trPr>
        <w:trHeight w:hRule="exact" w:val="120"/>
      </w:trPr>
      <w:tc>
        <w:tcPr>
          <w:tcW w:w="9743" w:type="dxa"/>
          <w:gridSpan w:val="2"/>
          <w:tcBorders>
            <w:top w:val="single" w:sz="2" w:space="0" w:color="000000"/>
          </w:tcBorders>
        </w:tcPr>
        <w:p w:rsidR="00752FF2" w:rsidRDefault="00752FF2" w:rsidP="008E18BD">
          <w:pPr>
            <w:pStyle w:val="Spacer"/>
          </w:pPr>
        </w:p>
      </w:tc>
    </w:tr>
    <w:tr w:rsidR="00752FF2">
      <w:tc>
        <w:tcPr>
          <w:tcW w:w="8080" w:type="dxa"/>
          <w:vAlign w:val="center"/>
        </w:tcPr>
        <w:p w:rsidR="00752FF2" w:rsidRDefault="00752FF2" w:rsidP="008E18BD">
          <w:pPr>
            <w:pStyle w:val="FooterFileName"/>
          </w:pPr>
          <w:fldSimple w:instr=" FILENAME  \* Caps  \* MERGEFORMAT ">
            <w:r>
              <w:rPr>
                <w:noProof/>
              </w:rPr>
              <w:t>Final NHSC_Residential Cost Analysis v2</w:t>
            </w:r>
          </w:fldSimple>
          <w:r w:rsidRPr="00E41A54">
            <w:rPr>
              <w:noProof/>
              <w:sz w:val="20"/>
              <w:szCs w:val="20"/>
              <w:lang w:val="en-US"/>
            </w:rPr>
            <w:pict>
              <v:shape id="_x0000_s2882" style="position:absolute;margin-left:522.2pt;margin-top:19.55pt;width:35.45pt;height:35.5pt;z-index:251657728;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tc>
      <w:tc>
        <w:tcPr>
          <w:tcW w:w="1663" w:type="dxa"/>
          <w:vAlign w:val="center"/>
        </w:tcPr>
        <w:p w:rsidR="00752FF2" w:rsidRDefault="00752FF2" w:rsidP="00E41A54">
          <w:pPr>
            <w:pStyle w:val="Footer"/>
            <w:ind w:right="17"/>
            <w:jc w:val="right"/>
          </w:pPr>
          <w:fldSimple w:instr=" STYLEREF &quot;Heading 1&quot; \* MERGEFORMAT ">
            <w:r w:rsidR="00370FBC">
              <w:rPr>
                <w:rStyle w:val="SectionNameLeftChar"/>
                <w:noProof/>
              </w:rPr>
              <w:t>Results and Analysis</w:t>
            </w:r>
          </w:fldSimple>
          <w:r>
            <w:rPr>
              <w:rStyle w:val="PageNumber"/>
            </w:rPr>
            <w:fldChar w:fldCharType="begin"/>
          </w:r>
          <w:r>
            <w:rPr>
              <w:rStyle w:val="PageNumber"/>
            </w:rPr>
            <w:instrText xml:space="preserve"> PAGE </w:instrText>
          </w:r>
          <w:r>
            <w:rPr>
              <w:rStyle w:val="PageNumber"/>
            </w:rPr>
            <w:fldChar w:fldCharType="separate"/>
          </w:r>
          <w:r w:rsidR="00370FBC">
            <w:rPr>
              <w:rStyle w:val="PageNumber"/>
              <w:noProof/>
            </w:rPr>
            <w:t>9</w:t>
          </w:r>
          <w:r>
            <w:rPr>
              <w:rStyle w:val="PageNumber"/>
            </w:rPr>
            <w:fldChar w:fldCharType="end"/>
          </w:r>
        </w:p>
      </w:tc>
    </w:tr>
    <w:tr w:rsidR="00752FF2">
      <w:trPr>
        <w:trHeight w:hRule="exact" w:val="220"/>
      </w:trPr>
      <w:tc>
        <w:tcPr>
          <w:tcW w:w="8080" w:type="dxa"/>
          <w:vAlign w:val="bottom"/>
        </w:tcPr>
        <w:p w:rsidR="00752FF2" w:rsidRPr="000460B8" w:rsidRDefault="00752FF2" w:rsidP="008E18BD">
          <w:pPr>
            <w:pStyle w:val="FooterFileName"/>
          </w:pPr>
        </w:p>
      </w:tc>
      <w:tc>
        <w:tcPr>
          <w:tcW w:w="1663" w:type="dxa"/>
        </w:tcPr>
        <w:p w:rsidR="00752FF2" w:rsidRDefault="00752FF2" w:rsidP="00E41A54">
          <w:pPr>
            <w:pStyle w:val="Footer"/>
            <w:ind w:right="113"/>
            <w:jc w:val="right"/>
          </w:pPr>
        </w:p>
      </w:tc>
    </w:tr>
  </w:tbl>
  <w:p w:rsidR="00752FF2" w:rsidRDefault="00752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D8C" w:rsidRDefault="00B04D8C" w:rsidP="00E87B9C">
      <w:pPr>
        <w:pStyle w:val="UrbisClientCompanyC"/>
      </w:pPr>
      <w:r>
        <w:fldChar w:fldCharType="begin"/>
      </w:r>
      <w:r>
        <w:instrText xml:space="preserve"> DATE \@ "dd-MMM-yy" </w:instrText>
      </w:r>
      <w:r>
        <w:fldChar w:fldCharType="separate"/>
      </w:r>
      <w:r w:rsidR="00485751">
        <w:rPr>
          <w:noProof/>
        </w:rPr>
        <w:t>14-Dec-11</w:t>
      </w:r>
      <w:r>
        <w:fldChar w:fldCharType="end"/>
      </w:r>
      <w:r>
        <w:separator/>
      </w:r>
    </w:p>
  </w:footnote>
  <w:footnote w:type="continuationSeparator" w:id="0">
    <w:p w:rsidR="00B04D8C" w:rsidRDefault="00B04D8C" w:rsidP="00E87B9C">
      <w:pPr>
        <w:pStyle w:val="UrbisClientCompanyC"/>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rsidP="00A34696">
    <w:pPr>
      <w:pStyle w:val="Header"/>
    </w:pPr>
  </w:p>
  <w:p w:rsidR="00752FF2" w:rsidRDefault="00752FF2" w:rsidP="00A34696">
    <w:pPr>
      <w:pStyle w:val="Header"/>
    </w:pPr>
    <w:r>
      <w:rPr>
        <w:noProof/>
        <w:lang w:eastAsia="en-AU"/>
      </w:rPr>
      <w:pict>
        <v:rect id="UT_Sub" o:spid="_x0000_s2870" style="position:absolute;margin-left:0;margin-top:522.4pt;width:552.75pt;height:28.35pt;z-index:-251660800;mso-position-horizontal:center;mso-position-horizontal-relative:page;mso-position-vertical-relative:page" fillcolor="#003a57" stroked="f">
          <v:fill color2="aqua" rotate="t"/>
          <w10:wrap anchorx="page" anchory="page"/>
          <w10:anchorlock/>
        </v:rect>
      </w:pict>
    </w:r>
    <w:r>
      <w:rPr>
        <w:noProof/>
        <w:lang w:eastAsia="en-AU"/>
      </w:rPr>
      <w:pict>
        <v:rect id="UT_Pic" o:spid="_x0000_s2869" alt="UTC_Pic" style="position:absolute;margin-left:0;margin-top:15.6pt;width:552.75pt;height:506.85pt;z-index:-251661824;mso-wrap-distance-left:9.05pt;mso-wrap-distance-right:9.05pt;mso-position-horizontal:center;mso-position-horizontal-relative:page;mso-position-vertical-relative:page" stroked="f">
          <v:fill r:id="rId1" o:title="Low Density Housing" color2="#4b3900" recolor="t" rotate="t" type="frame"/>
          <v:textbox style="mso-next-textbox:#UT_Pic" inset="2.5mm,1.3mm,2.5mm,1.3mm">
            <w:txbxContent>
              <w:p w:rsidR="00752FF2" w:rsidRDefault="00752FF2" w:rsidP="00A34696"/>
            </w:txbxContent>
          </v:textbox>
          <w10:wrap anchorx="page" anchory="page"/>
          <w10:anchorlock/>
        </v:rect>
      </w:pict>
    </w:r>
    <w:r>
      <w:rPr>
        <w:noProof/>
        <w:lang w:val="en-US"/>
      </w:rPr>
      <w:pict>
        <v:rect id="UT_Bac" o:spid="_x0000_s2867" alt="UTC_bac" style="position:absolute;margin-left:0;margin-top:549.4pt;width:552.75pt;height:283.45pt;z-index:-251663872;mso-position-horizontal:center;mso-position-horizontal-relative:page;mso-position-vertical-relative:page" stroked="f" strokecolor="#f78f14">
          <v:fill color2="aqua" rotate="t"/>
          <w10:wrap anchorx="page" anchory="page"/>
          <w10:anchorlock/>
        </v:rect>
      </w:pict>
    </w:r>
    <w:r>
      <w:rPr>
        <w:noProof/>
        <w:lang w:val="en-US"/>
      </w:rPr>
      <w:pict>
        <v:shape id="UT_Logo" o:spid="_x0000_s2868" alt="UTC_logo" style="position:absolute;margin-left:501.7pt;margin-top:762.6pt;width:59.4pt;height:59.45pt;z-index:251653632;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009fe3" stroked="f" strokecolor="#f78f14">
          <v:path arrowok="t"/>
          <o:lock v:ext="edit" aspectratio="t" verticies="t"/>
          <w10:wrap anchorx="page" anchory="page"/>
          <w10:anchorlock/>
        </v:shape>
      </w:pict>
    </w:r>
  </w:p>
  <w:p w:rsidR="00752FF2" w:rsidRPr="00A34696" w:rsidRDefault="00752FF2" w:rsidP="00A3469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tbl>
    <w:tblPr>
      <w:tblW w:w="9741" w:type="dxa"/>
      <w:tblLayout w:type="fixed"/>
      <w:tblCellMar>
        <w:left w:w="0" w:type="dxa"/>
        <w:right w:w="0" w:type="dxa"/>
      </w:tblCellMar>
      <w:tblLook w:val="00BF"/>
    </w:tblPr>
    <w:tblGrid>
      <w:gridCol w:w="8080"/>
      <w:gridCol w:w="1661"/>
    </w:tblGrid>
    <w:tr w:rsidR="00752FF2">
      <w:trPr>
        <w:gridAfter w:val="1"/>
        <w:wAfter w:w="1661" w:type="dxa"/>
        <w:trHeight w:hRule="exact" w:val="660"/>
      </w:trPr>
      <w:tc>
        <w:tcPr>
          <w:tcW w:w="8080" w:type="dxa"/>
          <w:vAlign w:val="bottom"/>
        </w:tcPr>
        <w:p w:rsidR="00752FF2" w:rsidRPr="0045692D" w:rsidRDefault="00752FF2" w:rsidP="0045692D">
          <w:pPr>
            <w:pStyle w:val="UrbisHeaderTitle"/>
          </w:pPr>
          <w:fldSimple w:instr=" STYLEREF &quot;Heading 1&quot; \* MERGEFORMAT ">
            <w:r w:rsidR="00370FBC">
              <w:rPr>
                <w:noProof/>
              </w:rPr>
              <w:t>Results and Analysis</w:t>
            </w:r>
          </w:fldSimple>
        </w:p>
      </w:tc>
    </w:tr>
    <w:tr w:rsidR="00752FF2">
      <w:trPr>
        <w:trHeight w:hRule="exact" w:val="240"/>
      </w:trPr>
      <w:tc>
        <w:tcPr>
          <w:tcW w:w="9741" w:type="dxa"/>
          <w:gridSpan w:val="2"/>
          <w:tcBorders>
            <w:bottom w:val="single" w:sz="2" w:space="0" w:color="000000"/>
          </w:tcBorders>
        </w:tcPr>
        <w:p w:rsidR="00752FF2" w:rsidRDefault="00752FF2" w:rsidP="00210F58">
          <w:pPr>
            <w:pStyle w:val="Spacer"/>
          </w:pPr>
        </w:p>
      </w:tc>
    </w:tr>
  </w:tbl>
  <w:p w:rsidR="00752FF2" w:rsidRDefault="00752FF2">
    <w:pPr>
      <w:pStyle w:val="Header"/>
    </w:pPr>
    <w:r>
      <w:rPr>
        <w:noProof/>
        <w:lang w:val="en-US"/>
      </w:rPr>
      <w:pict>
        <v:shape id="_x0000_s2881" style="position:absolute;margin-left:522.2pt;margin-top:23.3pt;width:35.45pt;height:35.5pt;z-index:251656704;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D101BE" w:rsidRDefault="00752FF2" w:rsidP="00D101BE">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D101BE" w:rsidRDefault="00752FF2" w:rsidP="00D101BE">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tbl>
    <w:tblPr>
      <w:tblW w:w="9741" w:type="dxa"/>
      <w:tblLayout w:type="fixed"/>
      <w:tblCellMar>
        <w:left w:w="0" w:type="dxa"/>
        <w:right w:w="0" w:type="dxa"/>
      </w:tblCellMar>
      <w:tblLook w:val="00BF"/>
    </w:tblPr>
    <w:tblGrid>
      <w:gridCol w:w="8080"/>
      <w:gridCol w:w="1661"/>
    </w:tblGrid>
    <w:tr w:rsidR="00752FF2">
      <w:trPr>
        <w:gridAfter w:val="1"/>
        <w:wAfter w:w="1661" w:type="dxa"/>
        <w:trHeight w:hRule="exact" w:val="660"/>
      </w:trPr>
      <w:tc>
        <w:tcPr>
          <w:tcW w:w="8080" w:type="dxa"/>
          <w:vAlign w:val="bottom"/>
        </w:tcPr>
        <w:p w:rsidR="00752FF2" w:rsidRPr="0045692D" w:rsidRDefault="00752FF2" w:rsidP="0045692D">
          <w:pPr>
            <w:pStyle w:val="UrbisHeaderTitle"/>
          </w:pPr>
          <w:fldSimple w:instr=" STYLEREF &quot;Heading 1&quot; \* MERGEFORMAT ">
            <w:r w:rsidR="00370FBC">
              <w:rPr>
                <w:noProof/>
              </w:rPr>
              <w:t>Results and Analysis</w:t>
            </w:r>
          </w:fldSimple>
        </w:p>
      </w:tc>
    </w:tr>
    <w:tr w:rsidR="00752FF2">
      <w:trPr>
        <w:trHeight w:hRule="exact" w:val="240"/>
      </w:trPr>
      <w:tc>
        <w:tcPr>
          <w:tcW w:w="9741" w:type="dxa"/>
          <w:gridSpan w:val="2"/>
          <w:tcBorders>
            <w:bottom w:val="single" w:sz="2" w:space="0" w:color="000000"/>
          </w:tcBorders>
        </w:tcPr>
        <w:p w:rsidR="00752FF2" w:rsidRDefault="00752FF2" w:rsidP="00210F58">
          <w:pPr>
            <w:pStyle w:val="Spacer"/>
          </w:pPr>
        </w:p>
      </w:tc>
    </w:tr>
  </w:tbl>
  <w:p w:rsidR="00752FF2" w:rsidRDefault="00752FF2">
    <w:pPr>
      <w:pStyle w:val="Header"/>
    </w:pPr>
    <w:r>
      <w:rPr>
        <w:noProof/>
        <w:lang w:val="en-US"/>
      </w:rPr>
      <w:pict>
        <v:shape id="_x0000_s2883" style="position:absolute;margin-left:522.2pt;margin-top:23.3pt;width:35.45pt;height:35.5pt;z-index:251658752;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E9124E" w:rsidRDefault="00752FF2" w:rsidP="00E9124E">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E9124E" w:rsidRDefault="00752FF2" w:rsidP="00E9124E">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tbl>
    <w:tblPr>
      <w:tblW w:w="9741" w:type="dxa"/>
      <w:tblLayout w:type="fixed"/>
      <w:tblCellMar>
        <w:left w:w="0" w:type="dxa"/>
        <w:right w:w="0" w:type="dxa"/>
      </w:tblCellMar>
      <w:tblLook w:val="00BF"/>
    </w:tblPr>
    <w:tblGrid>
      <w:gridCol w:w="8080"/>
      <w:gridCol w:w="1661"/>
    </w:tblGrid>
    <w:tr w:rsidR="00752FF2">
      <w:trPr>
        <w:gridAfter w:val="1"/>
        <w:wAfter w:w="1661" w:type="dxa"/>
        <w:trHeight w:hRule="exact" w:val="660"/>
      </w:trPr>
      <w:tc>
        <w:tcPr>
          <w:tcW w:w="8080" w:type="dxa"/>
          <w:vAlign w:val="bottom"/>
        </w:tcPr>
        <w:p w:rsidR="00752FF2" w:rsidRPr="0045692D" w:rsidRDefault="00752FF2" w:rsidP="0045692D">
          <w:pPr>
            <w:pStyle w:val="UrbisHeaderTitle"/>
          </w:pPr>
          <w:fldSimple w:instr=" STYLEREF &quot;Heading 1&quot; \* MERGEFORMAT ">
            <w:r w:rsidR="00370FBC">
              <w:rPr>
                <w:noProof/>
              </w:rPr>
              <w:t>Results and Analysis</w:t>
            </w:r>
          </w:fldSimple>
        </w:p>
      </w:tc>
    </w:tr>
    <w:tr w:rsidR="00752FF2">
      <w:trPr>
        <w:trHeight w:hRule="exact" w:val="240"/>
      </w:trPr>
      <w:tc>
        <w:tcPr>
          <w:tcW w:w="9741" w:type="dxa"/>
          <w:gridSpan w:val="2"/>
          <w:tcBorders>
            <w:bottom w:val="single" w:sz="2" w:space="0" w:color="000000"/>
          </w:tcBorders>
        </w:tcPr>
        <w:p w:rsidR="00752FF2" w:rsidRDefault="00752FF2" w:rsidP="00210F58">
          <w:pPr>
            <w:pStyle w:val="Spacer"/>
          </w:pPr>
        </w:p>
      </w:tc>
    </w:tr>
  </w:tbl>
  <w:p w:rsidR="00752FF2" w:rsidRDefault="00752FF2">
    <w:pPr>
      <w:pStyle w:val="Header"/>
    </w:pPr>
    <w:r>
      <w:rPr>
        <w:noProof/>
        <w:lang w:val="en-US"/>
      </w:rPr>
      <w:pict>
        <v:shape id="_x0000_s2887" style="position:absolute;margin-left:522.2pt;margin-top:23.3pt;width:35.45pt;height:35.5pt;z-index:251660800;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2B12CA" w:rsidRDefault="00752FF2" w:rsidP="002B12CA">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2B12CA" w:rsidRDefault="00752FF2" w:rsidP="002B12CA">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tbl>
    <w:tblPr>
      <w:tblW w:w="9741" w:type="dxa"/>
      <w:tblLayout w:type="fixed"/>
      <w:tblCellMar>
        <w:left w:w="0" w:type="dxa"/>
        <w:right w:w="0" w:type="dxa"/>
      </w:tblCellMar>
      <w:tblLook w:val="00BF"/>
    </w:tblPr>
    <w:tblGrid>
      <w:gridCol w:w="8080"/>
      <w:gridCol w:w="1661"/>
    </w:tblGrid>
    <w:tr w:rsidR="00752FF2">
      <w:trPr>
        <w:gridAfter w:val="1"/>
        <w:wAfter w:w="1661" w:type="dxa"/>
        <w:trHeight w:hRule="exact" w:val="660"/>
      </w:trPr>
      <w:tc>
        <w:tcPr>
          <w:tcW w:w="8080" w:type="dxa"/>
          <w:vAlign w:val="bottom"/>
        </w:tcPr>
        <w:p w:rsidR="00752FF2" w:rsidRPr="0045692D" w:rsidRDefault="00752FF2" w:rsidP="0045692D">
          <w:pPr>
            <w:pStyle w:val="UrbisHeaderTitle"/>
          </w:pPr>
          <w:fldSimple w:instr=" STYLEREF &quot;Heading 1&quot; \* MERGEFORMAT ">
            <w:r w:rsidR="00370FBC">
              <w:rPr>
                <w:noProof/>
              </w:rPr>
              <w:t>Conclusion</w:t>
            </w:r>
          </w:fldSimple>
        </w:p>
      </w:tc>
    </w:tr>
    <w:tr w:rsidR="00752FF2">
      <w:trPr>
        <w:trHeight w:hRule="exact" w:val="240"/>
      </w:trPr>
      <w:tc>
        <w:tcPr>
          <w:tcW w:w="9741" w:type="dxa"/>
          <w:gridSpan w:val="2"/>
          <w:tcBorders>
            <w:bottom w:val="single" w:sz="2" w:space="0" w:color="000000"/>
          </w:tcBorders>
        </w:tcPr>
        <w:p w:rsidR="00752FF2" w:rsidRDefault="00752FF2" w:rsidP="00210F58">
          <w:pPr>
            <w:pStyle w:val="Spacer"/>
          </w:pPr>
        </w:p>
      </w:tc>
    </w:tr>
  </w:tbl>
  <w:p w:rsidR="00752FF2" w:rsidRDefault="00752FF2">
    <w:pPr>
      <w:pStyle w:val="Header"/>
    </w:pPr>
    <w:r>
      <w:rPr>
        <w:noProof/>
        <w:lang w:val="en-US"/>
      </w:rPr>
      <w:pict>
        <v:shape id="_x0000_s2891" style="position:absolute;margin-left:522.2pt;margin-top:23.3pt;width:35.45pt;height:35.5pt;z-index:251662848;mso-position-horizontal:absolute;mso-position-horizontal-relative:page;mso-position-vertical:absolute;mso-position-vertical-relative:page" coordsize="10350,10352" path="m,hdc,10352,,10352,,10352v10350,,10350,,10350,c10350,,10350,,10350,hal,hdxm3022,9624v-536,,-536,,-536,c2486,9150,2486,9150,2486,9150v-9,,-9,,-9,c2397,9323,2234,9673,1831,9673v-407,,-576,-257,-576,-705c1255,7516,1255,7516,1255,7516v536,,536,,536,c1791,8831,1791,8831,1791,8831v,262,71,456,270,456c2407,9287,2486,8681,2486,8345v,-829,,-829,,-829c3022,7516,3022,7516,3022,7516hal3022,9624hdxm4647,8020v-536,,-721,191,-721,661c3926,9624,3926,9624,3926,9624v-537,,-537,,-537,c3389,7516,3389,7516,3389,7516v537,,537,,537,c3926,8043,3926,8043,3926,8043v8,,8,,8,c4081,7769,4249,7494,4647,7467hal4647,8020hdxm5764,9673v-909,,-949,-580,-949,-1117c4815,6568,4815,6568,4815,6568v537,,537,,537,c5352,7799,5352,7799,5352,7799v9,,9,,9,c5436,7684,5586,7467,5928,7467v557,,748,474,748,1089c6676,9385,6299,9673,5764,9673xm7488,9624v-536,,-536,,-536,c6952,7516,6952,7516,6952,7516v536,,536,,536,hal7488,9624hdxm8343,9673v-257,,-461,-58,-554,-85c7789,9111,7789,9111,7789,9111v98,83,310,256,562,256c8546,9367,8667,9283,8667,9155v,-213,-396,-368,-607,-545c7828,8415,7771,8295,7771,8091v,-318,217,-624,753,-624c8755,7467,8940,7529,9016,7547v,438,,438,,438c8892,7879,8715,7742,8502,7742v-111,,-262,52,-262,199c8240,8145,8630,8295,8839,8472v230,191,314,324,314,567c9153,9499,8777,9673,8343,9673xm5724,7773v-297,,-350,473,-350,783c5374,8982,5382,9465,5724,9465v309,,372,-483,372,-909c6096,8246,6043,7773,5724,7773xe" fillcolor="black" stroked="f">
          <v:path arrowok="t"/>
          <o:lock v:ext="edit" aspectratio="t" verticies="t"/>
          <w10:wrap anchorx="page" anchory="page"/>
          <w10:anchorlock/>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3" w:type="dxa"/>
      <w:tblLayout w:type="fixed"/>
      <w:tblCellMar>
        <w:left w:w="0" w:type="dxa"/>
        <w:right w:w="0" w:type="dxa"/>
      </w:tblCellMar>
      <w:tblLook w:val="00BF"/>
    </w:tblPr>
    <w:tblGrid>
      <w:gridCol w:w="4871"/>
      <w:gridCol w:w="4854"/>
      <w:gridCol w:w="18"/>
    </w:tblGrid>
    <w:tr w:rsidR="00752FF2">
      <w:trPr>
        <w:trHeight w:hRule="exact" w:val="660"/>
      </w:trPr>
      <w:tc>
        <w:tcPr>
          <w:tcW w:w="4879" w:type="dxa"/>
          <w:vAlign w:val="bottom"/>
        </w:tcPr>
        <w:p w:rsidR="00752FF2" w:rsidRDefault="00752FF2">
          <w:pPr>
            <w:pStyle w:val="UrbisHeaderTitle"/>
            <w:spacing w:after="50" w:line="240" w:lineRule="auto"/>
            <w:ind w:right="113"/>
            <w:rPr>
              <w:caps w:val="0"/>
              <w:sz w:val="20"/>
              <w:szCs w:val="20"/>
            </w:rPr>
          </w:pPr>
        </w:p>
      </w:tc>
      <w:tc>
        <w:tcPr>
          <w:tcW w:w="4880" w:type="dxa"/>
          <w:gridSpan w:val="2"/>
          <w:vAlign w:val="bottom"/>
        </w:tcPr>
        <w:p w:rsidR="00752FF2" w:rsidRDefault="00752FF2">
          <w:pPr>
            <w:pStyle w:val="UrbisHeaderTitle"/>
            <w:spacing w:after="50" w:line="240" w:lineRule="auto"/>
            <w:ind w:right="113"/>
            <w:jc w:val="right"/>
            <w:rPr>
              <w:caps w:val="0"/>
              <w:sz w:val="20"/>
              <w:szCs w:val="20"/>
            </w:rPr>
          </w:pPr>
          <w:r>
            <w:rPr>
              <w:caps w:val="0"/>
              <w:sz w:val="20"/>
              <w:szCs w:val="20"/>
            </w:rPr>
            <w:t>APPENDICES</w:t>
          </w:r>
        </w:p>
      </w:tc>
    </w:tr>
    <w:tr w:rsidR="00752FF2">
      <w:trPr>
        <w:gridAfter w:val="1"/>
        <w:wAfter w:w="18" w:type="dxa"/>
        <w:trHeight w:hRule="exact" w:val="240"/>
      </w:trPr>
      <w:tc>
        <w:tcPr>
          <w:tcW w:w="9741" w:type="dxa"/>
          <w:gridSpan w:val="2"/>
          <w:tcBorders>
            <w:bottom w:val="single" w:sz="2" w:space="0" w:color="000000"/>
          </w:tcBorders>
        </w:tcPr>
        <w:p w:rsidR="00752FF2" w:rsidRDefault="00752FF2">
          <w:pPr>
            <w:pStyle w:val="Spacer"/>
          </w:pPr>
        </w:p>
      </w:tc>
    </w:tr>
  </w:tbl>
  <w:p w:rsidR="00752FF2" w:rsidRPr="00EC12C9" w:rsidRDefault="00752FF2" w:rsidP="00EC12C9">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4B7A59" w:rsidRDefault="00752FF2" w:rsidP="004B7A59">
    <w:pPr>
      <w:pStyle w:val="Header"/>
      <w:rPr>
        <w:color w:val="FFFFFF"/>
        <w:lang w:val="en-US"/>
      </w:rPr>
    </w:pPr>
    <w:proofErr w:type="gramStart"/>
    <w:r w:rsidRPr="004B7A59">
      <w:rPr>
        <w:color w:val="FFFFFF"/>
        <w:lang w:val="en-US"/>
      </w:rPr>
      <w:t>xoffice</w:t>
    </w:r>
    <w:proofErr w:type="gramEnd"/>
    <w:r w:rsidRPr="004B7A59">
      <w:rPr>
        <w:color w:val="FFFFFF"/>
        <w:lang w:val="en-US"/>
      </w:rPr>
      <w:t xml:space="preserve"> locationsx</w:t>
    </w:r>
  </w:p>
  <w:p w:rsidR="00752FF2" w:rsidRPr="00DB75B9" w:rsidRDefault="00752FF2">
    <w:pPr>
      <w:pStyle w:val="Header"/>
      <w:rPr>
        <w:color w:val="FFFFFF"/>
        <w:lang w:val="en-US"/>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tbl>
    <w:tblPr>
      <w:tblW w:w="8080" w:type="dxa"/>
      <w:tblLayout w:type="fixed"/>
      <w:tblCellMar>
        <w:left w:w="0" w:type="dxa"/>
        <w:right w:w="0" w:type="dxa"/>
      </w:tblCellMar>
      <w:tblLook w:val="00BF"/>
    </w:tblPr>
    <w:tblGrid>
      <w:gridCol w:w="8080"/>
    </w:tblGrid>
    <w:tr w:rsidR="00752FF2" w:rsidTr="009567E5">
      <w:trPr>
        <w:trHeight w:hRule="exact" w:val="660"/>
      </w:trPr>
      <w:tc>
        <w:tcPr>
          <w:tcW w:w="8080" w:type="dxa"/>
          <w:vAlign w:val="bottom"/>
        </w:tcPr>
        <w:p w:rsidR="00752FF2" w:rsidRPr="0045692D" w:rsidRDefault="00752FF2" w:rsidP="0045692D">
          <w:pPr>
            <w:pStyle w:val="UrbisHeaderTitle"/>
          </w:pPr>
          <w:r>
            <w:t>TABLE OF CONTENTS</w:t>
          </w:r>
        </w:p>
      </w:tc>
    </w:tr>
  </w:tbl>
  <w:p w:rsidR="00752FF2" w:rsidRDefault="00752FF2" w:rsidP="009567E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Default="00752FF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C73A34" w:rsidRDefault="00752FF2" w:rsidP="00C73A3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2" w:rsidRPr="00C73A34" w:rsidRDefault="00752FF2" w:rsidP="00C73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6C748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79C4A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4D088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D80E4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CF48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F2A1E06"/>
    <w:lvl w:ilvl="0">
      <w:start w:val="1"/>
      <w:numFmt w:val="bullet"/>
      <w:pStyle w:val="ListBullet4"/>
      <w:lvlText w:val=""/>
      <w:lvlJc w:val="left"/>
      <w:pPr>
        <w:tabs>
          <w:tab w:val="num" w:pos="1429"/>
        </w:tabs>
        <w:ind w:left="1429" w:hanging="357"/>
      </w:pPr>
      <w:rPr>
        <w:rFonts w:ascii="Symbol" w:hAnsi="Symbol" w:hint="default"/>
      </w:rPr>
    </w:lvl>
  </w:abstractNum>
  <w:abstractNum w:abstractNumId="6">
    <w:nsid w:val="FFFFFF82"/>
    <w:multiLevelType w:val="singleLevel"/>
    <w:tmpl w:val="52CA6912"/>
    <w:lvl w:ilvl="0">
      <w:start w:val="1"/>
      <w:numFmt w:val="bullet"/>
      <w:pStyle w:val="ListBullet3"/>
      <w:lvlText w:val=""/>
      <w:lvlJc w:val="left"/>
      <w:pPr>
        <w:tabs>
          <w:tab w:val="num" w:pos="1072"/>
        </w:tabs>
        <w:ind w:left="1072" w:hanging="358"/>
      </w:pPr>
      <w:rPr>
        <w:rFonts w:ascii="Wingdings" w:hAnsi="Wingdings" w:hint="default"/>
      </w:rPr>
    </w:lvl>
  </w:abstractNum>
  <w:abstractNum w:abstractNumId="7">
    <w:nsid w:val="FFFFFF83"/>
    <w:multiLevelType w:val="singleLevel"/>
    <w:tmpl w:val="B5921360"/>
    <w:lvl w:ilvl="0">
      <w:start w:val="1"/>
      <w:numFmt w:val="bullet"/>
      <w:pStyle w:val="ListBullet2"/>
      <w:lvlText w:val=""/>
      <w:lvlJc w:val="left"/>
      <w:pPr>
        <w:tabs>
          <w:tab w:val="num" w:pos="714"/>
        </w:tabs>
        <w:ind w:left="714" w:hanging="357"/>
      </w:pPr>
      <w:rPr>
        <w:rFonts w:ascii="Symbol" w:hAnsi="Symbol" w:hint="default"/>
        <w:color w:val="000000"/>
      </w:rPr>
    </w:lvl>
  </w:abstractNum>
  <w:abstractNum w:abstractNumId="8">
    <w:nsid w:val="FFFFFF88"/>
    <w:multiLevelType w:val="singleLevel"/>
    <w:tmpl w:val="B9884544"/>
    <w:lvl w:ilvl="0">
      <w:start w:val="1"/>
      <w:numFmt w:val="decimal"/>
      <w:pStyle w:val="ListNumber"/>
      <w:lvlText w:val="%1."/>
      <w:lvlJc w:val="left"/>
      <w:pPr>
        <w:tabs>
          <w:tab w:val="num" w:pos="360"/>
        </w:tabs>
        <w:ind w:left="360" w:hanging="360"/>
      </w:pPr>
    </w:lvl>
  </w:abstractNum>
  <w:abstractNum w:abstractNumId="9">
    <w:nsid w:val="010D7D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4991702"/>
    <w:multiLevelType w:val="hybridMultilevel"/>
    <w:tmpl w:val="A134B374"/>
    <w:lvl w:ilvl="0" w:tplc="829058DA">
      <w:start w:val="1"/>
      <w:numFmt w:val="lowerLetter"/>
      <w:pStyle w:val="aLettered"/>
      <w:lvlText w:val="(%1)"/>
      <w:lvlJc w:val="left"/>
      <w:pPr>
        <w:tabs>
          <w:tab w:val="num" w:pos="357"/>
        </w:tabs>
        <w:ind w:left="357" w:hanging="357"/>
      </w:pPr>
      <w:rPr>
        <w:rFonts w:ascii="Arial" w:hAnsi="Arial" w:cs="Wingding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5D3328F"/>
    <w:multiLevelType w:val="multilevel"/>
    <w:tmpl w:val="EA6A90A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0D39741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0F06ED9"/>
    <w:multiLevelType w:val="hybridMultilevel"/>
    <w:tmpl w:val="A1FCE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586C8A"/>
    <w:multiLevelType w:val="hybridMultilevel"/>
    <w:tmpl w:val="6D605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677149D"/>
    <w:multiLevelType w:val="hybridMultilevel"/>
    <w:tmpl w:val="0526FD1A"/>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6">
    <w:nsid w:val="16823E85"/>
    <w:multiLevelType w:val="multilevel"/>
    <w:tmpl w:val="3E78E452"/>
    <w:lvl w:ilvl="0">
      <w:start w:val="1"/>
      <w:numFmt w:val="upperLetter"/>
      <w:pStyle w:val="Appendix2"/>
      <w:lvlText w:val="Appendix %1"/>
      <w:lvlJc w:val="left"/>
      <w:pPr>
        <w:tabs>
          <w:tab w:val="num" w:pos="3619"/>
        </w:tabs>
        <w:ind w:left="3619" w:hanging="3119"/>
      </w:pPr>
      <w:rPr>
        <w:rFonts w:ascii="Arial" w:hAnsi="Arial" w:hint="default"/>
        <w:b w:val="0"/>
        <w:i w:val="0"/>
        <w:sz w:val="36"/>
        <w:szCs w:val="36"/>
      </w:rPr>
    </w:lvl>
    <w:lvl w:ilvl="1">
      <w:start w:val="1"/>
      <w:numFmt w:val="decimal"/>
      <w:pStyle w:val="Appendix2"/>
      <w:lvlText w:val="%1.%2"/>
      <w:lvlJc w:val="left"/>
      <w:pPr>
        <w:tabs>
          <w:tab w:val="num" w:pos="709"/>
        </w:tabs>
        <w:ind w:left="709" w:hanging="709"/>
      </w:pPr>
      <w:rPr>
        <w:rFonts w:ascii="Arial" w:hAnsi="Arial" w:hint="default"/>
        <w:b w:val="0"/>
        <w:i w:val="0"/>
        <w:sz w:val="26"/>
      </w:rPr>
    </w:lvl>
    <w:lvl w:ilvl="2">
      <w:start w:val="1"/>
      <w:numFmt w:val="decimal"/>
      <w:pStyle w:val="Appendix3"/>
      <w:lvlText w:val="%1.%2.%3"/>
      <w:lvlJc w:val="left"/>
      <w:pPr>
        <w:tabs>
          <w:tab w:val="num" w:pos="709"/>
        </w:tabs>
        <w:ind w:left="709" w:hanging="709"/>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78E5364"/>
    <w:multiLevelType w:val="multilevel"/>
    <w:tmpl w:val="D81A208C"/>
    <w:lvl w:ilvl="0">
      <w:start w:val="1"/>
      <w:numFmt w:val="upperLetter"/>
      <w:lvlText w:val="Appendix %1"/>
      <w:lvlJc w:val="left"/>
      <w:pPr>
        <w:tabs>
          <w:tab w:val="num" w:pos="4219"/>
        </w:tabs>
        <w:ind w:left="4219" w:hanging="3119"/>
      </w:pPr>
      <w:rPr>
        <w:rFonts w:ascii="Arial" w:hAnsi="Arial" w:hint="default"/>
        <w:b w:val="0"/>
        <w:i w:val="0"/>
        <w:sz w:val="36"/>
        <w:szCs w:val="36"/>
      </w:rPr>
    </w:lvl>
    <w:lvl w:ilvl="1">
      <w:start w:val="1"/>
      <w:numFmt w:val="decimal"/>
      <w:lvlText w:val="%1.%2"/>
      <w:lvlJc w:val="left"/>
      <w:pPr>
        <w:tabs>
          <w:tab w:val="num" w:pos="1309"/>
        </w:tabs>
        <w:ind w:left="1309" w:hanging="709"/>
      </w:pPr>
      <w:rPr>
        <w:rFonts w:ascii="Arial" w:hAnsi="Arial" w:hint="default"/>
        <w:b w:val="0"/>
        <w:i w:val="0"/>
        <w:sz w:val="28"/>
      </w:rPr>
    </w:lvl>
    <w:lvl w:ilvl="2">
      <w:start w:val="1"/>
      <w:numFmt w:val="decimal"/>
      <w:lvlText w:val="%1.%2.%3"/>
      <w:lvlJc w:val="left"/>
      <w:pPr>
        <w:tabs>
          <w:tab w:val="num" w:pos="1309"/>
        </w:tabs>
        <w:ind w:left="1309" w:hanging="709"/>
      </w:pPr>
      <w:rPr>
        <w:rFonts w:ascii="Arial" w:hAnsi="Arial" w:hint="default"/>
        <w:b w:val="0"/>
        <w:i w:val="0"/>
        <w:sz w:val="22"/>
      </w:rPr>
    </w:lvl>
    <w:lvl w:ilvl="3">
      <w:start w:val="1"/>
      <w:numFmt w:val="decimal"/>
      <w:lvlText w:val="%1.%2.%3.%4"/>
      <w:lvlJc w:val="left"/>
      <w:pPr>
        <w:tabs>
          <w:tab w:val="num" w:pos="1464"/>
        </w:tabs>
        <w:ind w:left="1464" w:hanging="864"/>
      </w:pPr>
      <w:rPr>
        <w:rFonts w:hint="default"/>
      </w:rPr>
    </w:lvl>
    <w:lvl w:ilvl="4">
      <w:start w:val="1"/>
      <w:numFmt w:val="decimal"/>
      <w:lvlText w:val="%1.%2.%3.%4.%5"/>
      <w:lvlJc w:val="left"/>
      <w:pPr>
        <w:tabs>
          <w:tab w:val="num" w:pos="1608"/>
        </w:tabs>
        <w:ind w:left="1608" w:hanging="1008"/>
      </w:pPr>
      <w:rPr>
        <w:rFonts w:hint="default"/>
      </w:rPr>
    </w:lvl>
    <w:lvl w:ilvl="5">
      <w:start w:val="1"/>
      <w:numFmt w:val="decimal"/>
      <w:lvlText w:val="%1.%2.%3.%4.%5.%6"/>
      <w:lvlJc w:val="left"/>
      <w:pPr>
        <w:tabs>
          <w:tab w:val="num" w:pos="1752"/>
        </w:tabs>
        <w:ind w:left="1752" w:hanging="1152"/>
      </w:pPr>
      <w:rPr>
        <w:rFonts w:hint="default"/>
      </w:rPr>
    </w:lvl>
    <w:lvl w:ilvl="6">
      <w:start w:val="1"/>
      <w:numFmt w:val="decimal"/>
      <w:lvlText w:val="%1.%2.%3.%4.%5.%6.%7"/>
      <w:lvlJc w:val="left"/>
      <w:pPr>
        <w:tabs>
          <w:tab w:val="num" w:pos="1896"/>
        </w:tabs>
        <w:ind w:left="1896" w:hanging="1296"/>
      </w:pPr>
      <w:rPr>
        <w:rFonts w:hint="default"/>
      </w:rPr>
    </w:lvl>
    <w:lvl w:ilvl="7">
      <w:start w:val="1"/>
      <w:numFmt w:val="decimal"/>
      <w:lvlText w:val="%1.%2.%3.%4.%5.%6.%7.%8"/>
      <w:lvlJc w:val="left"/>
      <w:pPr>
        <w:tabs>
          <w:tab w:val="num" w:pos="2040"/>
        </w:tabs>
        <w:ind w:left="2040" w:hanging="1440"/>
      </w:pPr>
      <w:rPr>
        <w:rFonts w:hint="default"/>
      </w:rPr>
    </w:lvl>
    <w:lvl w:ilvl="8">
      <w:start w:val="1"/>
      <w:numFmt w:val="decimal"/>
      <w:lvlText w:val="%1.%2.%3.%4.%5.%6.%7.%8.%9"/>
      <w:lvlJc w:val="left"/>
      <w:pPr>
        <w:tabs>
          <w:tab w:val="num" w:pos="2184"/>
        </w:tabs>
        <w:ind w:left="2184" w:hanging="1584"/>
      </w:pPr>
      <w:rPr>
        <w:rFonts w:hint="default"/>
      </w:rPr>
    </w:lvl>
  </w:abstractNum>
  <w:abstractNum w:abstractNumId="18">
    <w:nsid w:val="19336F9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97482A"/>
    <w:multiLevelType w:val="hybridMultilevel"/>
    <w:tmpl w:val="8AE6264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99A3CB0"/>
    <w:multiLevelType w:val="multilevel"/>
    <w:tmpl w:val="D81A208C"/>
    <w:lvl w:ilvl="0">
      <w:start w:val="1"/>
      <w:numFmt w:val="upperLetter"/>
      <w:lvlText w:val="Appendix %1"/>
      <w:lvlJc w:val="left"/>
      <w:pPr>
        <w:tabs>
          <w:tab w:val="num" w:pos="4219"/>
        </w:tabs>
        <w:ind w:left="4219" w:hanging="3119"/>
      </w:pPr>
      <w:rPr>
        <w:rFonts w:ascii="Arial" w:hAnsi="Arial" w:hint="default"/>
        <w:b w:val="0"/>
        <w:i w:val="0"/>
        <w:sz w:val="36"/>
        <w:szCs w:val="36"/>
      </w:rPr>
    </w:lvl>
    <w:lvl w:ilvl="1">
      <w:start w:val="1"/>
      <w:numFmt w:val="decimal"/>
      <w:lvlText w:val="%1.%2"/>
      <w:lvlJc w:val="left"/>
      <w:pPr>
        <w:tabs>
          <w:tab w:val="num" w:pos="1309"/>
        </w:tabs>
        <w:ind w:left="1309" w:hanging="709"/>
      </w:pPr>
      <w:rPr>
        <w:rFonts w:ascii="Arial" w:hAnsi="Arial" w:hint="default"/>
        <w:b w:val="0"/>
        <w:i w:val="0"/>
        <w:sz w:val="28"/>
      </w:rPr>
    </w:lvl>
    <w:lvl w:ilvl="2">
      <w:start w:val="1"/>
      <w:numFmt w:val="decimal"/>
      <w:lvlText w:val="%1.%2.%3"/>
      <w:lvlJc w:val="left"/>
      <w:pPr>
        <w:tabs>
          <w:tab w:val="num" w:pos="1309"/>
        </w:tabs>
        <w:ind w:left="1309" w:hanging="709"/>
      </w:pPr>
      <w:rPr>
        <w:rFonts w:ascii="Arial" w:hAnsi="Arial" w:hint="default"/>
        <w:b w:val="0"/>
        <w:i w:val="0"/>
        <w:sz w:val="22"/>
      </w:rPr>
    </w:lvl>
    <w:lvl w:ilvl="3">
      <w:start w:val="1"/>
      <w:numFmt w:val="decimal"/>
      <w:lvlText w:val="%1.%2.%3.%4"/>
      <w:lvlJc w:val="left"/>
      <w:pPr>
        <w:tabs>
          <w:tab w:val="num" w:pos="1464"/>
        </w:tabs>
        <w:ind w:left="1464" w:hanging="864"/>
      </w:pPr>
      <w:rPr>
        <w:rFonts w:hint="default"/>
      </w:rPr>
    </w:lvl>
    <w:lvl w:ilvl="4">
      <w:start w:val="1"/>
      <w:numFmt w:val="decimal"/>
      <w:lvlText w:val="%1.%2.%3.%4.%5"/>
      <w:lvlJc w:val="left"/>
      <w:pPr>
        <w:tabs>
          <w:tab w:val="num" w:pos="1608"/>
        </w:tabs>
        <w:ind w:left="1608" w:hanging="1008"/>
      </w:pPr>
      <w:rPr>
        <w:rFonts w:hint="default"/>
      </w:rPr>
    </w:lvl>
    <w:lvl w:ilvl="5">
      <w:start w:val="1"/>
      <w:numFmt w:val="decimal"/>
      <w:lvlText w:val="%1.%2.%3.%4.%5.%6"/>
      <w:lvlJc w:val="left"/>
      <w:pPr>
        <w:tabs>
          <w:tab w:val="num" w:pos="1752"/>
        </w:tabs>
        <w:ind w:left="1752" w:hanging="1152"/>
      </w:pPr>
      <w:rPr>
        <w:rFonts w:hint="default"/>
      </w:rPr>
    </w:lvl>
    <w:lvl w:ilvl="6">
      <w:start w:val="1"/>
      <w:numFmt w:val="decimal"/>
      <w:lvlText w:val="%1.%2.%3.%4.%5.%6.%7"/>
      <w:lvlJc w:val="left"/>
      <w:pPr>
        <w:tabs>
          <w:tab w:val="num" w:pos="1896"/>
        </w:tabs>
        <w:ind w:left="1896" w:hanging="1296"/>
      </w:pPr>
      <w:rPr>
        <w:rFonts w:hint="default"/>
      </w:rPr>
    </w:lvl>
    <w:lvl w:ilvl="7">
      <w:start w:val="1"/>
      <w:numFmt w:val="decimal"/>
      <w:lvlText w:val="%1.%2.%3.%4.%5.%6.%7.%8"/>
      <w:lvlJc w:val="left"/>
      <w:pPr>
        <w:tabs>
          <w:tab w:val="num" w:pos="2040"/>
        </w:tabs>
        <w:ind w:left="2040" w:hanging="1440"/>
      </w:pPr>
      <w:rPr>
        <w:rFonts w:hint="default"/>
      </w:rPr>
    </w:lvl>
    <w:lvl w:ilvl="8">
      <w:start w:val="1"/>
      <w:numFmt w:val="decimal"/>
      <w:lvlText w:val="%1.%2.%3.%4.%5.%6.%7.%8.%9"/>
      <w:lvlJc w:val="left"/>
      <w:pPr>
        <w:tabs>
          <w:tab w:val="num" w:pos="2184"/>
        </w:tabs>
        <w:ind w:left="2184" w:hanging="1584"/>
      </w:pPr>
      <w:rPr>
        <w:rFonts w:hint="default"/>
      </w:rPr>
    </w:lvl>
  </w:abstractNum>
  <w:abstractNum w:abstractNumId="21">
    <w:nsid w:val="37AA46D6"/>
    <w:multiLevelType w:val="hybridMultilevel"/>
    <w:tmpl w:val="809C74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CE67B6C"/>
    <w:multiLevelType w:val="hybridMultilevel"/>
    <w:tmpl w:val="A83CB2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EA340CC"/>
    <w:multiLevelType w:val="multilevel"/>
    <w:tmpl w:val="EA6A90A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3F95B48"/>
    <w:multiLevelType w:val="hybridMultilevel"/>
    <w:tmpl w:val="2174DD8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4B3517A"/>
    <w:multiLevelType w:val="multilevel"/>
    <w:tmpl w:val="EA6A90A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A0F719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C77472C"/>
    <w:multiLevelType w:val="hybridMultilevel"/>
    <w:tmpl w:val="B18027EA"/>
    <w:lvl w:ilvl="0" w:tplc="BA70CB4C">
      <w:start w:val="1"/>
      <w:numFmt w:val="bullet"/>
      <w:pStyle w:val="UrbisTable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2E1ED8"/>
    <w:multiLevelType w:val="multilevel"/>
    <w:tmpl w:val="D81A208C"/>
    <w:lvl w:ilvl="0">
      <w:start w:val="1"/>
      <w:numFmt w:val="upperLetter"/>
      <w:lvlText w:val="Appendix %1"/>
      <w:lvlJc w:val="left"/>
      <w:pPr>
        <w:tabs>
          <w:tab w:val="num" w:pos="4219"/>
        </w:tabs>
        <w:ind w:left="4219" w:hanging="3119"/>
      </w:pPr>
      <w:rPr>
        <w:rFonts w:ascii="Arial" w:hAnsi="Arial" w:hint="default"/>
        <w:b w:val="0"/>
        <w:i w:val="0"/>
        <w:sz w:val="36"/>
        <w:szCs w:val="36"/>
      </w:rPr>
    </w:lvl>
    <w:lvl w:ilvl="1">
      <w:start w:val="1"/>
      <w:numFmt w:val="decimal"/>
      <w:lvlText w:val="%1.%2"/>
      <w:lvlJc w:val="left"/>
      <w:pPr>
        <w:tabs>
          <w:tab w:val="num" w:pos="1309"/>
        </w:tabs>
        <w:ind w:left="1309" w:hanging="709"/>
      </w:pPr>
      <w:rPr>
        <w:rFonts w:ascii="Arial" w:hAnsi="Arial" w:hint="default"/>
        <w:b w:val="0"/>
        <w:i w:val="0"/>
        <w:sz w:val="28"/>
      </w:rPr>
    </w:lvl>
    <w:lvl w:ilvl="2">
      <w:start w:val="1"/>
      <w:numFmt w:val="decimal"/>
      <w:lvlText w:val="%1.%2.%3"/>
      <w:lvlJc w:val="left"/>
      <w:pPr>
        <w:tabs>
          <w:tab w:val="num" w:pos="1309"/>
        </w:tabs>
        <w:ind w:left="1309" w:hanging="709"/>
      </w:pPr>
      <w:rPr>
        <w:rFonts w:ascii="Arial" w:hAnsi="Arial" w:hint="default"/>
        <w:b w:val="0"/>
        <w:i w:val="0"/>
        <w:sz w:val="22"/>
      </w:rPr>
    </w:lvl>
    <w:lvl w:ilvl="3">
      <w:start w:val="1"/>
      <w:numFmt w:val="decimal"/>
      <w:lvlText w:val="%1.%2.%3.%4"/>
      <w:lvlJc w:val="left"/>
      <w:pPr>
        <w:tabs>
          <w:tab w:val="num" w:pos="1464"/>
        </w:tabs>
        <w:ind w:left="1464" w:hanging="864"/>
      </w:pPr>
      <w:rPr>
        <w:rFonts w:hint="default"/>
      </w:rPr>
    </w:lvl>
    <w:lvl w:ilvl="4">
      <w:start w:val="1"/>
      <w:numFmt w:val="decimal"/>
      <w:lvlText w:val="%1.%2.%3.%4.%5"/>
      <w:lvlJc w:val="left"/>
      <w:pPr>
        <w:tabs>
          <w:tab w:val="num" w:pos="1608"/>
        </w:tabs>
        <w:ind w:left="1608" w:hanging="1008"/>
      </w:pPr>
      <w:rPr>
        <w:rFonts w:hint="default"/>
      </w:rPr>
    </w:lvl>
    <w:lvl w:ilvl="5">
      <w:start w:val="1"/>
      <w:numFmt w:val="decimal"/>
      <w:lvlText w:val="%1.%2.%3.%4.%5.%6"/>
      <w:lvlJc w:val="left"/>
      <w:pPr>
        <w:tabs>
          <w:tab w:val="num" w:pos="1752"/>
        </w:tabs>
        <w:ind w:left="1752" w:hanging="1152"/>
      </w:pPr>
      <w:rPr>
        <w:rFonts w:hint="default"/>
      </w:rPr>
    </w:lvl>
    <w:lvl w:ilvl="6">
      <w:start w:val="1"/>
      <w:numFmt w:val="decimal"/>
      <w:lvlText w:val="%1.%2.%3.%4.%5.%6.%7"/>
      <w:lvlJc w:val="left"/>
      <w:pPr>
        <w:tabs>
          <w:tab w:val="num" w:pos="1896"/>
        </w:tabs>
        <w:ind w:left="1896" w:hanging="1296"/>
      </w:pPr>
      <w:rPr>
        <w:rFonts w:hint="default"/>
      </w:rPr>
    </w:lvl>
    <w:lvl w:ilvl="7">
      <w:start w:val="1"/>
      <w:numFmt w:val="decimal"/>
      <w:lvlText w:val="%1.%2.%3.%4.%5.%6.%7.%8"/>
      <w:lvlJc w:val="left"/>
      <w:pPr>
        <w:tabs>
          <w:tab w:val="num" w:pos="2040"/>
        </w:tabs>
        <w:ind w:left="2040" w:hanging="1440"/>
      </w:pPr>
      <w:rPr>
        <w:rFonts w:hint="default"/>
      </w:rPr>
    </w:lvl>
    <w:lvl w:ilvl="8">
      <w:start w:val="1"/>
      <w:numFmt w:val="decimal"/>
      <w:lvlText w:val="%1.%2.%3.%4.%5.%6.%7.%8.%9"/>
      <w:lvlJc w:val="left"/>
      <w:pPr>
        <w:tabs>
          <w:tab w:val="num" w:pos="2184"/>
        </w:tabs>
        <w:ind w:left="2184" w:hanging="1584"/>
      </w:pPr>
      <w:rPr>
        <w:rFonts w:hint="default"/>
      </w:rPr>
    </w:lvl>
  </w:abstractNum>
  <w:abstractNum w:abstractNumId="29">
    <w:nsid w:val="4FB4674D"/>
    <w:multiLevelType w:val="hybridMultilevel"/>
    <w:tmpl w:val="09ECF4D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FBC2E5D"/>
    <w:multiLevelType w:val="hybridMultilevel"/>
    <w:tmpl w:val="601C8858"/>
    <w:lvl w:ilvl="0" w:tplc="272896F4">
      <w:start w:val="1"/>
      <w:numFmt w:val="decimal"/>
      <w:pStyle w:val="NormalNumbered"/>
      <w:lvlText w:val="%1."/>
      <w:lvlJc w:val="left"/>
      <w:pPr>
        <w:tabs>
          <w:tab w:val="num" w:pos="714"/>
        </w:tabs>
        <w:ind w:left="714" w:hanging="71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08667E"/>
    <w:multiLevelType w:val="singleLevel"/>
    <w:tmpl w:val="E81C1186"/>
    <w:lvl w:ilvl="0">
      <w:start w:val="1"/>
      <w:numFmt w:val="decimal"/>
      <w:pStyle w:val="Nolist"/>
      <w:lvlText w:val="%1."/>
      <w:lvlJc w:val="left"/>
      <w:pPr>
        <w:tabs>
          <w:tab w:val="num" w:pos="357"/>
        </w:tabs>
        <w:ind w:left="357" w:hanging="357"/>
      </w:pPr>
      <w:rPr>
        <w:rFonts w:hint="default"/>
      </w:rPr>
    </w:lvl>
  </w:abstractNum>
  <w:abstractNum w:abstractNumId="32">
    <w:nsid w:val="598C15B5"/>
    <w:multiLevelType w:val="hybridMultilevel"/>
    <w:tmpl w:val="D9228B5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A56D58"/>
    <w:multiLevelType w:val="hybridMultilevel"/>
    <w:tmpl w:val="621650D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8DC0BA9"/>
    <w:multiLevelType w:val="hybridMultilevel"/>
    <w:tmpl w:val="FA1808CA"/>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35">
    <w:nsid w:val="6E0F09C1"/>
    <w:multiLevelType w:val="hybridMultilevel"/>
    <w:tmpl w:val="B82041F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36">
    <w:nsid w:val="71366D6B"/>
    <w:multiLevelType w:val="multilevel"/>
    <w:tmpl w:val="EA6A90A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6197C83"/>
    <w:multiLevelType w:val="hybridMultilevel"/>
    <w:tmpl w:val="ACE0B160"/>
    <w:lvl w:ilvl="0" w:tplc="6602E98C">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Helvetica Neue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4F2748"/>
    <w:multiLevelType w:val="hybridMultilevel"/>
    <w:tmpl w:val="D0C0EE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96D1AC3"/>
    <w:multiLevelType w:val="multilevel"/>
    <w:tmpl w:val="D81A208C"/>
    <w:lvl w:ilvl="0">
      <w:start w:val="1"/>
      <w:numFmt w:val="upperLetter"/>
      <w:lvlText w:val="Appendix %1"/>
      <w:lvlJc w:val="left"/>
      <w:pPr>
        <w:tabs>
          <w:tab w:val="num" w:pos="4219"/>
        </w:tabs>
        <w:ind w:left="4219" w:hanging="3119"/>
      </w:pPr>
      <w:rPr>
        <w:rFonts w:ascii="Arial" w:hAnsi="Arial" w:hint="default"/>
        <w:b w:val="0"/>
        <w:i w:val="0"/>
        <w:sz w:val="36"/>
        <w:szCs w:val="36"/>
      </w:rPr>
    </w:lvl>
    <w:lvl w:ilvl="1">
      <w:start w:val="1"/>
      <w:numFmt w:val="decimal"/>
      <w:lvlText w:val="%1.%2"/>
      <w:lvlJc w:val="left"/>
      <w:pPr>
        <w:tabs>
          <w:tab w:val="num" w:pos="1309"/>
        </w:tabs>
        <w:ind w:left="1309" w:hanging="709"/>
      </w:pPr>
      <w:rPr>
        <w:rFonts w:ascii="Arial" w:hAnsi="Arial" w:hint="default"/>
        <w:b w:val="0"/>
        <w:i w:val="0"/>
        <w:sz w:val="28"/>
      </w:rPr>
    </w:lvl>
    <w:lvl w:ilvl="2">
      <w:start w:val="1"/>
      <w:numFmt w:val="decimal"/>
      <w:lvlText w:val="%1.%2.%3"/>
      <w:lvlJc w:val="left"/>
      <w:pPr>
        <w:tabs>
          <w:tab w:val="num" w:pos="1309"/>
        </w:tabs>
        <w:ind w:left="1309" w:hanging="709"/>
      </w:pPr>
      <w:rPr>
        <w:rFonts w:ascii="Arial" w:hAnsi="Arial" w:hint="default"/>
        <w:b w:val="0"/>
        <w:i w:val="0"/>
        <w:sz w:val="22"/>
      </w:rPr>
    </w:lvl>
    <w:lvl w:ilvl="3">
      <w:start w:val="1"/>
      <w:numFmt w:val="decimal"/>
      <w:lvlText w:val="%1.%2.%3.%4"/>
      <w:lvlJc w:val="left"/>
      <w:pPr>
        <w:tabs>
          <w:tab w:val="num" w:pos="1464"/>
        </w:tabs>
        <w:ind w:left="1464" w:hanging="864"/>
      </w:pPr>
      <w:rPr>
        <w:rFonts w:hint="default"/>
      </w:rPr>
    </w:lvl>
    <w:lvl w:ilvl="4">
      <w:start w:val="1"/>
      <w:numFmt w:val="decimal"/>
      <w:lvlText w:val="%1.%2.%3.%4.%5"/>
      <w:lvlJc w:val="left"/>
      <w:pPr>
        <w:tabs>
          <w:tab w:val="num" w:pos="1608"/>
        </w:tabs>
        <w:ind w:left="1608" w:hanging="1008"/>
      </w:pPr>
      <w:rPr>
        <w:rFonts w:hint="default"/>
      </w:rPr>
    </w:lvl>
    <w:lvl w:ilvl="5">
      <w:start w:val="1"/>
      <w:numFmt w:val="decimal"/>
      <w:lvlText w:val="%1.%2.%3.%4.%5.%6"/>
      <w:lvlJc w:val="left"/>
      <w:pPr>
        <w:tabs>
          <w:tab w:val="num" w:pos="1752"/>
        </w:tabs>
        <w:ind w:left="1752" w:hanging="1152"/>
      </w:pPr>
      <w:rPr>
        <w:rFonts w:hint="default"/>
      </w:rPr>
    </w:lvl>
    <w:lvl w:ilvl="6">
      <w:start w:val="1"/>
      <w:numFmt w:val="decimal"/>
      <w:lvlText w:val="%1.%2.%3.%4.%5.%6.%7"/>
      <w:lvlJc w:val="left"/>
      <w:pPr>
        <w:tabs>
          <w:tab w:val="num" w:pos="1896"/>
        </w:tabs>
        <w:ind w:left="1896" w:hanging="1296"/>
      </w:pPr>
      <w:rPr>
        <w:rFonts w:hint="default"/>
      </w:rPr>
    </w:lvl>
    <w:lvl w:ilvl="7">
      <w:start w:val="1"/>
      <w:numFmt w:val="decimal"/>
      <w:lvlText w:val="%1.%2.%3.%4.%5.%6.%7.%8"/>
      <w:lvlJc w:val="left"/>
      <w:pPr>
        <w:tabs>
          <w:tab w:val="num" w:pos="2040"/>
        </w:tabs>
        <w:ind w:left="2040" w:hanging="1440"/>
      </w:pPr>
      <w:rPr>
        <w:rFonts w:hint="default"/>
      </w:rPr>
    </w:lvl>
    <w:lvl w:ilvl="8">
      <w:start w:val="1"/>
      <w:numFmt w:val="decimal"/>
      <w:lvlText w:val="%1.%2.%3.%4.%5.%6.%7.%8.%9"/>
      <w:lvlJc w:val="left"/>
      <w:pPr>
        <w:tabs>
          <w:tab w:val="num" w:pos="2184"/>
        </w:tabs>
        <w:ind w:left="2184" w:hanging="1584"/>
      </w:pPr>
      <w:rPr>
        <w:rFonts w:hint="default"/>
      </w:rPr>
    </w:lvl>
  </w:abstractNum>
  <w:abstractNum w:abstractNumId="40">
    <w:nsid w:val="7A765A2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CB20ADC"/>
    <w:multiLevelType w:val="hybridMultilevel"/>
    <w:tmpl w:val="579A1D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3"/>
  </w:num>
  <w:num w:numId="6">
    <w:abstractNumId w:val="2"/>
  </w:num>
  <w:num w:numId="7">
    <w:abstractNumId w:val="1"/>
  </w:num>
  <w:num w:numId="8">
    <w:abstractNumId w:val="0"/>
  </w:num>
  <w:num w:numId="9">
    <w:abstractNumId w:val="10"/>
  </w:num>
  <w:num w:numId="10">
    <w:abstractNumId w:val="31"/>
  </w:num>
  <w:num w:numId="11">
    <w:abstractNumId w:val="16"/>
  </w:num>
  <w:num w:numId="12">
    <w:abstractNumId w:val="27"/>
  </w:num>
  <w:num w:numId="13">
    <w:abstractNumId w:val="40"/>
  </w:num>
  <w:num w:numId="14">
    <w:abstractNumId w:val="18"/>
  </w:num>
  <w:num w:numId="15">
    <w:abstractNumId w:val="12"/>
  </w:num>
  <w:num w:numId="16">
    <w:abstractNumId w:val="30"/>
  </w:num>
  <w:num w:numId="17">
    <w:abstractNumId w:val="11"/>
  </w:num>
  <w:num w:numId="18">
    <w:abstractNumId w:val="37"/>
  </w:num>
  <w:num w:numId="19">
    <w:abstractNumId w:val="7"/>
  </w:num>
  <w:num w:numId="20">
    <w:abstractNumId w:val="6"/>
  </w:num>
  <w:num w:numId="21">
    <w:abstractNumId w:val="5"/>
  </w:num>
  <w:num w:numId="22">
    <w:abstractNumId w:val="28"/>
  </w:num>
  <w:num w:numId="23">
    <w:abstractNumId w:val="39"/>
  </w:num>
  <w:num w:numId="24">
    <w:abstractNumId w:val="17"/>
  </w:num>
  <w:num w:numId="25">
    <w:abstractNumId w:val="20"/>
  </w:num>
  <w:num w:numId="26">
    <w:abstractNumId w:val="25"/>
  </w:num>
  <w:num w:numId="27">
    <w:abstractNumId w:val="23"/>
  </w:num>
  <w:num w:numId="28">
    <w:abstractNumId w:val="36"/>
  </w:num>
  <w:num w:numId="29">
    <w:abstractNumId w:val="10"/>
  </w:num>
  <w:num w:numId="30">
    <w:abstractNumId w:val="9"/>
  </w:num>
  <w:num w:numId="31">
    <w:abstractNumId w:val="26"/>
  </w:num>
  <w:num w:numId="32">
    <w:abstractNumId w:val="33"/>
  </w:num>
  <w:num w:numId="33">
    <w:abstractNumId w:val="32"/>
  </w:num>
  <w:num w:numId="34">
    <w:abstractNumId w:val="24"/>
  </w:num>
  <w:num w:numId="35">
    <w:abstractNumId w:val="19"/>
  </w:num>
  <w:num w:numId="36">
    <w:abstractNumId w:val="29"/>
  </w:num>
  <w:num w:numId="37">
    <w:abstractNumId w:val="14"/>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1"/>
  </w:num>
  <w:num w:numId="43">
    <w:abstractNumId w:val="21"/>
  </w:num>
  <w:num w:numId="44">
    <w:abstractNumId w:val="22"/>
  </w:num>
  <w:num w:numId="45">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0004"/>
  <w:doNotTrackMoves/>
  <w:defaultTabStop w:val="720"/>
  <w:evenAndOddHeaders/>
  <w:drawingGridHorizontalSpacing w:val="100"/>
  <w:drawingGridVerticalSpacing w:val="181"/>
  <w:displayHorizontalDrawingGridEvery w:val="2"/>
  <w:characterSpacingControl w:val="doNotCompress"/>
  <w:hdrShapeDefaults>
    <o:shapedefaults v:ext="edit" spidmax="3074">
      <o:colormru v:ext="edit" colors="#50b3cf,#005a84,white,#fd0,#e20177,#003a57"/>
      <o:colormenu v:ext="edit" fillcolor="white" strokecolor="whit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01BE"/>
    <w:rsid w:val="00000613"/>
    <w:rsid w:val="0000172D"/>
    <w:rsid w:val="00001749"/>
    <w:rsid w:val="000019A2"/>
    <w:rsid w:val="00002208"/>
    <w:rsid w:val="00002518"/>
    <w:rsid w:val="00002BEC"/>
    <w:rsid w:val="0000605C"/>
    <w:rsid w:val="0000688A"/>
    <w:rsid w:val="000072E2"/>
    <w:rsid w:val="00007627"/>
    <w:rsid w:val="000102FF"/>
    <w:rsid w:val="00011A94"/>
    <w:rsid w:val="00011F40"/>
    <w:rsid w:val="00012837"/>
    <w:rsid w:val="000134D9"/>
    <w:rsid w:val="000150E5"/>
    <w:rsid w:val="0001546F"/>
    <w:rsid w:val="00015C17"/>
    <w:rsid w:val="00015C20"/>
    <w:rsid w:val="000161CA"/>
    <w:rsid w:val="0001790A"/>
    <w:rsid w:val="00020F4B"/>
    <w:rsid w:val="00023C4E"/>
    <w:rsid w:val="00025034"/>
    <w:rsid w:val="0002644B"/>
    <w:rsid w:val="00030509"/>
    <w:rsid w:val="00031BE3"/>
    <w:rsid w:val="00032A51"/>
    <w:rsid w:val="00032D04"/>
    <w:rsid w:val="00032FD9"/>
    <w:rsid w:val="00033461"/>
    <w:rsid w:val="00033FDB"/>
    <w:rsid w:val="00034069"/>
    <w:rsid w:val="0003511E"/>
    <w:rsid w:val="00035CE6"/>
    <w:rsid w:val="00037C6A"/>
    <w:rsid w:val="00042345"/>
    <w:rsid w:val="000429EC"/>
    <w:rsid w:val="000436EC"/>
    <w:rsid w:val="00046094"/>
    <w:rsid w:val="000460B8"/>
    <w:rsid w:val="000461A6"/>
    <w:rsid w:val="000472E5"/>
    <w:rsid w:val="0005084C"/>
    <w:rsid w:val="000513BC"/>
    <w:rsid w:val="00051A72"/>
    <w:rsid w:val="0005209A"/>
    <w:rsid w:val="00052887"/>
    <w:rsid w:val="00052AAE"/>
    <w:rsid w:val="00052B6C"/>
    <w:rsid w:val="00052E0E"/>
    <w:rsid w:val="0005300A"/>
    <w:rsid w:val="00054BF1"/>
    <w:rsid w:val="00055F89"/>
    <w:rsid w:val="00056619"/>
    <w:rsid w:val="00056783"/>
    <w:rsid w:val="0005756C"/>
    <w:rsid w:val="000608C2"/>
    <w:rsid w:val="00061395"/>
    <w:rsid w:val="000616D1"/>
    <w:rsid w:val="0006252B"/>
    <w:rsid w:val="000634EC"/>
    <w:rsid w:val="0006350A"/>
    <w:rsid w:val="0006536F"/>
    <w:rsid w:val="000657F9"/>
    <w:rsid w:val="000672A2"/>
    <w:rsid w:val="00067DCB"/>
    <w:rsid w:val="00071B02"/>
    <w:rsid w:val="00072D23"/>
    <w:rsid w:val="00073AF9"/>
    <w:rsid w:val="000742C7"/>
    <w:rsid w:val="00074E3E"/>
    <w:rsid w:val="00075469"/>
    <w:rsid w:val="00076012"/>
    <w:rsid w:val="00080E79"/>
    <w:rsid w:val="0008194F"/>
    <w:rsid w:val="00081CEA"/>
    <w:rsid w:val="00081FAC"/>
    <w:rsid w:val="00082252"/>
    <w:rsid w:val="00082960"/>
    <w:rsid w:val="00083A51"/>
    <w:rsid w:val="00084AE5"/>
    <w:rsid w:val="000858DC"/>
    <w:rsid w:val="000862E5"/>
    <w:rsid w:val="00091918"/>
    <w:rsid w:val="00091C8E"/>
    <w:rsid w:val="0009266A"/>
    <w:rsid w:val="000928E8"/>
    <w:rsid w:val="000946E8"/>
    <w:rsid w:val="00096548"/>
    <w:rsid w:val="00096CD2"/>
    <w:rsid w:val="0009751E"/>
    <w:rsid w:val="00097C0F"/>
    <w:rsid w:val="00097E5C"/>
    <w:rsid w:val="000A0CF2"/>
    <w:rsid w:val="000A1F61"/>
    <w:rsid w:val="000A23A5"/>
    <w:rsid w:val="000A2494"/>
    <w:rsid w:val="000A32E3"/>
    <w:rsid w:val="000A381D"/>
    <w:rsid w:val="000A39C5"/>
    <w:rsid w:val="000A46C1"/>
    <w:rsid w:val="000A58D9"/>
    <w:rsid w:val="000A5907"/>
    <w:rsid w:val="000A5BB5"/>
    <w:rsid w:val="000A7523"/>
    <w:rsid w:val="000B0593"/>
    <w:rsid w:val="000B0668"/>
    <w:rsid w:val="000B0EAA"/>
    <w:rsid w:val="000B17E0"/>
    <w:rsid w:val="000B2492"/>
    <w:rsid w:val="000B24E5"/>
    <w:rsid w:val="000B2E0E"/>
    <w:rsid w:val="000B3F06"/>
    <w:rsid w:val="000B4117"/>
    <w:rsid w:val="000B4838"/>
    <w:rsid w:val="000B6A0B"/>
    <w:rsid w:val="000C005D"/>
    <w:rsid w:val="000C02CD"/>
    <w:rsid w:val="000C0867"/>
    <w:rsid w:val="000C1E09"/>
    <w:rsid w:val="000C2604"/>
    <w:rsid w:val="000C302C"/>
    <w:rsid w:val="000C40AF"/>
    <w:rsid w:val="000C40F9"/>
    <w:rsid w:val="000C6F17"/>
    <w:rsid w:val="000C7496"/>
    <w:rsid w:val="000C79AF"/>
    <w:rsid w:val="000D009B"/>
    <w:rsid w:val="000D019A"/>
    <w:rsid w:val="000D019F"/>
    <w:rsid w:val="000D020B"/>
    <w:rsid w:val="000D1E81"/>
    <w:rsid w:val="000D4177"/>
    <w:rsid w:val="000D563D"/>
    <w:rsid w:val="000D630E"/>
    <w:rsid w:val="000D6FA0"/>
    <w:rsid w:val="000D799C"/>
    <w:rsid w:val="000E0EFE"/>
    <w:rsid w:val="000E1241"/>
    <w:rsid w:val="000E1A28"/>
    <w:rsid w:val="000E2C5A"/>
    <w:rsid w:val="000E4AD4"/>
    <w:rsid w:val="000E6593"/>
    <w:rsid w:val="000E7755"/>
    <w:rsid w:val="000F113B"/>
    <w:rsid w:val="000F31E0"/>
    <w:rsid w:val="000F73FA"/>
    <w:rsid w:val="000F79C4"/>
    <w:rsid w:val="001028F8"/>
    <w:rsid w:val="0010309D"/>
    <w:rsid w:val="0010346F"/>
    <w:rsid w:val="00103695"/>
    <w:rsid w:val="0010375B"/>
    <w:rsid w:val="00104226"/>
    <w:rsid w:val="0010496C"/>
    <w:rsid w:val="00105396"/>
    <w:rsid w:val="0010670D"/>
    <w:rsid w:val="00106FEC"/>
    <w:rsid w:val="001073BC"/>
    <w:rsid w:val="001102EB"/>
    <w:rsid w:val="001103FE"/>
    <w:rsid w:val="001107CF"/>
    <w:rsid w:val="0011132B"/>
    <w:rsid w:val="001119CE"/>
    <w:rsid w:val="00111BB6"/>
    <w:rsid w:val="0011413B"/>
    <w:rsid w:val="0011440D"/>
    <w:rsid w:val="0011497A"/>
    <w:rsid w:val="00114A3E"/>
    <w:rsid w:val="00114E13"/>
    <w:rsid w:val="00115014"/>
    <w:rsid w:val="001178BF"/>
    <w:rsid w:val="00120551"/>
    <w:rsid w:val="0012134D"/>
    <w:rsid w:val="00121AFB"/>
    <w:rsid w:val="00122092"/>
    <w:rsid w:val="00124D08"/>
    <w:rsid w:val="001274E4"/>
    <w:rsid w:val="001307C4"/>
    <w:rsid w:val="00130F36"/>
    <w:rsid w:val="00131522"/>
    <w:rsid w:val="00132737"/>
    <w:rsid w:val="00132DAB"/>
    <w:rsid w:val="0013308F"/>
    <w:rsid w:val="00136837"/>
    <w:rsid w:val="001412F5"/>
    <w:rsid w:val="001425D8"/>
    <w:rsid w:val="001427F8"/>
    <w:rsid w:val="00142B98"/>
    <w:rsid w:val="00146441"/>
    <w:rsid w:val="001466CB"/>
    <w:rsid w:val="0014749C"/>
    <w:rsid w:val="001476F8"/>
    <w:rsid w:val="00147CE2"/>
    <w:rsid w:val="0015070D"/>
    <w:rsid w:val="00152CAC"/>
    <w:rsid w:val="00154FD4"/>
    <w:rsid w:val="00157743"/>
    <w:rsid w:val="0015789B"/>
    <w:rsid w:val="00161A6F"/>
    <w:rsid w:val="00162570"/>
    <w:rsid w:val="00162F9C"/>
    <w:rsid w:val="00164757"/>
    <w:rsid w:val="00165590"/>
    <w:rsid w:val="00170742"/>
    <w:rsid w:val="001710A2"/>
    <w:rsid w:val="00171C80"/>
    <w:rsid w:val="00173AA9"/>
    <w:rsid w:val="00173C98"/>
    <w:rsid w:val="001741B6"/>
    <w:rsid w:val="0017478D"/>
    <w:rsid w:val="001761B1"/>
    <w:rsid w:val="00176A27"/>
    <w:rsid w:val="0017735E"/>
    <w:rsid w:val="0017737A"/>
    <w:rsid w:val="001779F9"/>
    <w:rsid w:val="00180FA4"/>
    <w:rsid w:val="001810D4"/>
    <w:rsid w:val="00181349"/>
    <w:rsid w:val="00182008"/>
    <w:rsid w:val="001824F7"/>
    <w:rsid w:val="001832C8"/>
    <w:rsid w:val="00183B11"/>
    <w:rsid w:val="00190505"/>
    <w:rsid w:val="001910FE"/>
    <w:rsid w:val="00194B95"/>
    <w:rsid w:val="001A1004"/>
    <w:rsid w:val="001A354A"/>
    <w:rsid w:val="001A5456"/>
    <w:rsid w:val="001A6525"/>
    <w:rsid w:val="001A6AE9"/>
    <w:rsid w:val="001A6BDA"/>
    <w:rsid w:val="001B0D2D"/>
    <w:rsid w:val="001B1673"/>
    <w:rsid w:val="001B1DFC"/>
    <w:rsid w:val="001B1E76"/>
    <w:rsid w:val="001B3890"/>
    <w:rsid w:val="001B5C48"/>
    <w:rsid w:val="001B6408"/>
    <w:rsid w:val="001B795A"/>
    <w:rsid w:val="001C0E97"/>
    <w:rsid w:val="001C2E66"/>
    <w:rsid w:val="001C3D25"/>
    <w:rsid w:val="001C3FEE"/>
    <w:rsid w:val="001C438D"/>
    <w:rsid w:val="001C5004"/>
    <w:rsid w:val="001C50C6"/>
    <w:rsid w:val="001C5C62"/>
    <w:rsid w:val="001C65E9"/>
    <w:rsid w:val="001C6EB3"/>
    <w:rsid w:val="001C719D"/>
    <w:rsid w:val="001C774A"/>
    <w:rsid w:val="001C7D61"/>
    <w:rsid w:val="001D0123"/>
    <w:rsid w:val="001D0CCC"/>
    <w:rsid w:val="001D43BA"/>
    <w:rsid w:val="001D5669"/>
    <w:rsid w:val="001D65F1"/>
    <w:rsid w:val="001D6B9F"/>
    <w:rsid w:val="001D7877"/>
    <w:rsid w:val="001E0A46"/>
    <w:rsid w:val="001E0D1B"/>
    <w:rsid w:val="001E103F"/>
    <w:rsid w:val="001E13FA"/>
    <w:rsid w:val="001E18D0"/>
    <w:rsid w:val="001E2BA1"/>
    <w:rsid w:val="001E495A"/>
    <w:rsid w:val="001E59EA"/>
    <w:rsid w:val="001E70D6"/>
    <w:rsid w:val="001E7323"/>
    <w:rsid w:val="001E7B6C"/>
    <w:rsid w:val="001F0890"/>
    <w:rsid w:val="001F4784"/>
    <w:rsid w:val="001F4E52"/>
    <w:rsid w:val="001F58C9"/>
    <w:rsid w:val="001F5B0E"/>
    <w:rsid w:val="001F7FC7"/>
    <w:rsid w:val="0020049C"/>
    <w:rsid w:val="002007B5"/>
    <w:rsid w:val="00200878"/>
    <w:rsid w:val="00200B88"/>
    <w:rsid w:val="002016E8"/>
    <w:rsid w:val="00202D00"/>
    <w:rsid w:val="002030E2"/>
    <w:rsid w:val="002030EC"/>
    <w:rsid w:val="00205307"/>
    <w:rsid w:val="00206BDF"/>
    <w:rsid w:val="00207AB9"/>
    <w:rsid w:val="00207EB1"/>
    <w:rsid w:val="00210F58"/>
    <w:rsid w:val="00211090"/>
    <w:rsid w:val="00211BA5"/>
    <w:rsid w:val="00213B5D"/>
    <w:rsid w:val="00214C7B"/>
    <w:rsid w:val="002162C9"/>
    <w:rsid w:val="00220736"/>
    <w:rsid w:val="00222644"/>
    <w:rsid w:val="00222D88"/>
    <w:rsid w:val="00222F6C"/>
    <w:rsid w:val="0022325D"/>
    <w:rsid w:val="00224D38"/>
    <w:rsid w:val="00224E92"/>
    <w:rsid w:val="0022501D"/>
    <w:rsid w:val="0022553A"/>
    <w:rsid w:val="00231FD5"/>
    <w:rsid w:val="00234383"/>
    <w:rsid w:val="0023501C"/>
    <w:rsid w:val="00235726"/>
    <w:rsid w:val="00235FB4"/>
    <w:rsid w:val="0023752C"/>
    <w:rsid w:val="00237C52"/>
    <w:rsid w:val="0024197F"/>
    <w:rsid w:val="0024234E"/>
    <w:rsid w:val="002437B6"/>
    <w:rsid w:val="002454B4"/>
    <w:rsid w:val="0024598E"/>
    <w:rsid w:val="00245E59"/>
    <w:rsid w:val="002478BF"/>
    <w:rsid w:val="00250FB6"/>
    <w:rsid w:val="002512E8"/>
    <w:rsid w:val="00253C90"/>
    <w:rsid w:val="00253C9A"/>
    <w:rsid w:val="00254973"/>
    <w:rsid w:val="002563F9"/>
    <w:rsid w:val="002567B7"/>
    <w:rsid w:val="0025783E"/>
    <w:rsid w:val="002601B6"/>
    <w:rsid w:val="00260A93"/>
    <w:rsid w:val="002612AD"/>
    <w:rsid w:val="00261787"/>
    <w:rsid w:val="002626CB"/>
    <w:rsid w:val="00263D5F"/>
    <w:rsid w:val="00265D42"/>
    <w:rsid w:val="00267565"/>
    <w:rsid w:val="00267D3B"/>
    <w:rsid w:val="00270102"/>
    <w:rsid w:val="0027019B"/>
    <w:rsid w:val="002703F2"/>
    <w:rsid w:val="00272500"/>
    <w:rsid w:val="002730E0"/>
    <w:rsid w:val="00273777"/>
    <w:rsid w:val="00273C5C"/>
    <w:rsid w:val="0027433C"/>
    <w:rsid w:val="00274B1E"/>
    <w:rsid w:val="00275075"/>
    <w:rsid w:val="002751F7"/>
    <w:rsid w:val="00277A2D"/>
    <w:rsid w:val="00277D14"/>
    <w:rsid w:val="00277E11"/>
    <w:rsid w:val="002802A2"/>
    <w:rsid w:val="00281051"/>
    <w:rsid w:val="002819FE"/>
    <w:rsid w:val="002824AE"/>
    <w:rsid w:val="00284B1C"/>
    <w:rsid w:val="00284D4D"/>
    <w:rsid w:val="0028518C"/>
    <w:rsid w:val="00286EEB"/>
    <w:rsid w:val="00287A12"/>
    <w:rsid w:val="0029147C"/>
    <w:rsid w:val="00292B4F"/>
    <w:rsid w:val="00293BC9"/>
    <w:rsid w:val="00296D5F"/>
    <w:rsid w:val="002A03F3"/>
    <w:rsid w:val="002A0589"/>
    <w:rsid w:val="002A061B"/>
    <w:rsid w:val="002A0CCF"/>
    <w:rsid w:val="002A28FB"/>
    <w:rsid w:val="002A2D6B"/>
    <w:rsid w:val="002A32C0"/>
    <w:rsid w:val="002A5356"/>
    <w:rsid w:val="002A5603"/>
    <w:rsid w:val="002A5D85"/>
    <w:rsid w:val="002A62AB"/>
    <w:rsid w:val="002A6ADF"/>
    <w:rsid w:val="002B12CA"/>
    <w:rsid w:val="002B28E3"/>
    <w:rsid w:val="002B2994"/>
    <w:rsid w:val="002B36B8"/>
    <w:rsid w:val="002B4CF8"/>
    <w:rsid w:val="002B507F"/>
    <w:rsid w:val="002B5DA8"/>
    <w:rsid w:val="002B77B3"/>
    <w:rsid w:val="002C0354"/>
    <w:rsid w:val="002C0446"/>
    <w:rsid w:val="002C06BA"/>
    <w:rsid w:val="002C06C4"/>
    <w:rsid w:val="002C0B00"/>
    <w:rsid w:val="002C155D"/>
    <w:rsid w:val="002C1DF4"/>
    <w:rsid w:val="002C1EEE"/>
    <w:rsid w:val="002C2909"/>
    <w:rsid w:val="002C4418"/>
    <w:rsid w:val="002C7A79"/>
    <w:rsid w:val="002D06EA"/>
    <w:rsid w:val="002D179D"/>
    <w:rsid w:val="002D28A8"/>
    <w:rsid w:val="002D3C4C"/>
    <w:rsid w:val="002D40BB"/>
    <w:rsid w:val="002D4E7E"/>
    <w:rsid w:val="002D5269"/>
    <w:rsid w:val="002D58FF"/>
    <w:rsid w:val="002D6FA9"/>
    <w:rsid w:val="002D7A99"/>
    <w:rsid w:val="002E0037"/>
    <w:rsid w:val="002E1229"/>
    <w:rsid w:val="002E1303"/>
    <w:rsid w:val="002E189A"/>
    <w:rsid w:val="002E31A1"/>
    <w:rsid w:val="002E394F"/>
    <w:rsid w:val="002E4768"/>
    <w:rsid w:val="002E4F9C"/>
    <w:rsid w:val="002E5FA5"/>
    <w:rsid w:val="002E7441"/>
    <w:rsid w:val="002E77CD"/>
    <w:rsid w:val="002E7D88"/>
    <w:rsid w:val="002F0CC0"/>
    <w:rsid w:val="002F2026"/>
    <w:rsid w:val="002F307D"/>
    <w:rsid w:val="002F35DF"/>
    <w:rsid w:val="002F3889"/>
    <w:rsid w:val="002F501D"/>
    <w:rsid w:val="002F5EBF"/>
    <w:rsid w:val="002F693B"/>
    <w:rsid w:val="00301578"/>
    <w:rsid w:val="00301688"/>
    <w:rsid w:val="00301BFF"/>
    <w:rsid w:val="00301E1D"/>
    <w:rsid w:val="00302BAC"/>
    <w:rsid w:val="00303D20"/>
    <w:rsid w:val="003041BC"/>
    <w:rsid w:val="003060F0"/>
    <w:rsid w:val="003077D3"/>
    <w:rsid w:val="00310836"/>
    <w:rsid w:val="00310A75"/>
    <w:rsid w:val="003123D9"/>
    <w:rsid w:val="00312CDE"/>
    <w:rsid w:val="003148D6"/>
    <w:rsid w:val="003155F8"/>
    <w:rsid w:val="0031780F"/>
    <w:rsid w:val="00317E38"/>
    <w:rsid w:val="00317F2B"/>
    <w:rsid w:val="003227E7"/>
    <w:rsid w:val="0032290B"/>
    <w:rsid w:val="00327C96"/>
    <w:rsid w:val="00330054"/>
    <w:rsid w:val="0033207F"/>
    <w:rsid w:val="003321BE"/>
    <w:rsid w:val="00332782"/>
    <w:rsid w:val="00332DAA"/>
    <w:rsid w:val="0033402A"/>
    <w:rsid w:val="00334D09"/>
    <w:rsid w:val="00336187"/>
    <w:rsid w:val="00337F44"/>
    <w:rsid w:val="0034000A"/>
    <w:rsid w:val="003415A9"/>
    <w:rsid w:val="00341D10"/>
    <w:rsid w:val="00342052"/>
    <w:rsid w:val="003435FF"/>
    <w:rsid w:val="00345D78"/>
    <w:rsid w:val="00346976"/>
    <w:rsid w:val="00347992"/>
    <w:rsid w:val="003502CF"/>
    <w:rsid w:val="0035063E"/>
    <w:rsid w:val="0035142A"/>
    <w:rsid w:val="00353B6C"/>
    <w:rsid w:val="00354D02"/>
    <w:rsid w:val="00354E22"/>
    <w:rsid w:val="00355F7A"/>
    <w:rsid w:val="003565B6"/>
    <w:rsid w:val="0035764B"/>
    <w:rsid w:val="00357C91"/>
    <w:rsid w:val="003601D4"/>
    <w:rsid w:val="00360D15"/>
    <w:rsid w:val="00360FC5"/>
    <w:rsid w:val="0036369F"/>
    <w:rsid w:val="00363C7B"/>
    <w:rsid w:val="0036448B"/>
    <w:rsid w:val="003647AD"/>
    <w:rsid w:val="00365416"/>
    <w:rsid w:val="00370892"/>
    <w:rsid w:val="00370A82"/>
    <w:rsid w:val="00370FBC"/>
    <w:rsid w:val="00371A33"/>
    <w:rsid w:val="00371D2F"/>
    <w:rsid w:val="00371EF2"/>
    <w:rsid w:val="0037377C"/>
    <w:rsid w:val="00374122"/>
    <w:rsid w:val="00374307"/>
    <w:rsid w:val="00374CC8"/>
    <w:rsid w:val="00374D66"/>
    <w:rsid w:val="00376D6D"/>
    <w:rsid w:val="00377A45"/>
    <w:rsid w:val="00380999"/>
    <w:rsid w:val="003848F1"/>
    <w:rsid w:val="00384DDA"/>
    <w:rsid w:val="00385C60"/>
    <w:rsid w:val="00386EFC"/>
    <w:rsid w:val="003904AF"/>
    <w:rsid w:val="00390515"/>
    <w:rsid w:val="00390BBF"/>
    <w:rsid w:val="0039268D"/>
    <w:rsid w:val="00392726"/>
    <w:rsid w:val="003929C1"/>
    <w:rsid w:val="00393C15"/>
    <w:rsid w:val="00393F30"/>
    <w:rsid w:val="00394919"/>
    <w:rsid w:val="00394ADB"/>
    <w:rsid w:val="00396106"/>
    <w:rsid w:val="00396749"/>
    <w:rsid w:val="00396F7D"/>
    <w:rsid w:val="00397109"/>
    <w:rsid w:val="00397119"/>
    <w:rsid w:val="00397534"/>
    <w:rsid w:val="00397EEE"/>
    <w:rsid w:val="003A14BD"/>
    <w:rsid w:val="003A22BE"/>
    <w:rsid w:val="003A2766"/>
    <w:rsid w:val="003A28EB"/>
    <w:rsid w:val="003A30B2"/>
    <w:rsid w:val="003A367A"/>
    <w:rsid w:val="003A417E"/>
    <w:rsid w:val="003B1433"/>
    <w:rsid w:val="003B312E"/>
    <w:rsid w:val="003B3676"/>
    <w:rsid w:val="003B56CE"/>
    <w:rsid w:val="003B5898"/>
    <w:rsid w:val="003B5B02"/>
    <w:rsid w:val="003B5C7E"/>
    <w:rsid w:val="003B60B9"/>
    <w:rsid w:val="003B625D"/>
    <w:rsid w:val="003B7D67"/>
    <w:rsid w:val="003C02E3"/>
    <w:rsid w:val="003C05D9"/>
    <w:rsid w:val="003C1A00"/>
    <w:rsid w:val="003C28FB"/>
    <w:rsid w:val="003C6723"/>
    <w:rsid w:val="003D10FB"/>
    <w:rsid w:val="003D155E"/>
    <w:rsid w:val="003D32DC"/>
    <w:rsid w:val="003D36DB"/>
    <w:rsid w:val="003D5F78"/>
    <w:rsid w:val="003D6139"/>
    <w:rsid w:val="003E4D52"/>
    <w:rsid w:val="003E5678"/>
    <w:rsid w:val="003E7469"/>
    <w:rsid w:val="003E752E"/>
    <w:rsid w:val="003F0FB4"/>
    <w:rsid w:val="003F0FD9"/>
    <w:rsid w:val="003F170B"/>
    <w:rsid w:val="003F1712"/>
    <w:rsid w:val="003F179F"/>
    <w:rsid w:val="003F1F95"/>
    <w:rsid w:val="003F2FE6"/>
    <w:rsid w:val="003F350F"/>
    <w:rsid w:val="003F583E"/>
    <w:rsid w:val="003F6489"/>
    <w:rsid w:val="003F6DE7"/>
    <w:rsid w:val="003F7236"/>
    <w:rsid w:val="003F7F1B"/>
    <w:rsid w:val="00401FED"/>
    <w:rsid w:val="00402537"/>
    <w:rsid w:val="00402EBF"/>
    <w:rsid w:val="00403FC5"/>
    <w:rsid w:val="00404045"/>
    <w:rsid w:val="00404C40"/>
    <w:rsid w:val="0040572F"/>
    <w:rsid w:val="00406004"/>
    <w:rsid w:val="004100EB"/>
    <w:rsid w:val="00412306"/>
    <w:rsid w:val="004127BE"/>
    <w:rsid w:val="004129E3"/>
    <w:rsid w:val="00412ED2"/>
    <w:rsid w:val="00412F05"/>
    <w:rsid w:val="00414057"/>
    <w:rsid w:val="0041441D"/>
    <w:rsid w:val="0041550E"/>
    <w:rsid w:val="00415B7F"/>
    <w:rsid w:val="0041700F"/>
    <w:rsid w:val="00417ABF"/>
    <w:rsid w:val="0042003D"/>
    <w:rsid w:val="00420E06"/>
    <w:rsid w:val="00421090"/>
    <w:rsid w:val="0042177C"/>
    <w:rsid w:val="00423026"/>
    <w:rsid w:val="0042322D"/>
    <w:rsid w:val="00423815"/>
    <w:rsid w:val="004255A8"/>
    <w:rsid w:val="00425DC8"/>
    <w:rsid w:val="00426FC1"/>
    <w:rsid w:val="00427B5F"/>
    <w:rsid w:val="00427E36"/>
    <w:rsid w:val="004303FD"/>
    <w:rsid w:val="00431E33"/>
    <w:rsid w:val="0043233C"/>
    <w:rsid w:val="00432F0E"/>
    <w:rsid w:val="00434597"/>
    <w:rsid w:val="00435102"/>
    <w:rsid w:val="004373C4"/>
    <w:rsid w:val="00440853"/>
    <w:rsid w:val="00441341"/>
    <w:rsid w:val="00441B75"/>
    <w:rsid w:val="004423B9"/>
    <w:rsid w:val="004425D8"/>
    <w:rsid w:val="00442C2D"/>
    <w:rsid w:val="00442F2B"/>
    <w:rsid w:val="0044351B"/>
    <w:rsid w:val="004459E0"/>
    <w:rsid w:val="0044651D"/>
    <w:rsid w:val="004471DC"/>
    <w:rsid w:val="00447245"/>
    <w:rsid w:val="00450D4D"/>
    <w:rsid w:val="00452890"/>
    <w:rsid w:val="00453402"/>
    <w:rsid w:val="0045347D"/>
    <w:rsid w:val="004535D6"/>
    <w:rsid w:val="004559B2"/>
    <w:rsid w:val="004559BC"/>
    <w:rsid w:val="0045649B"/>
    <w:rsid w:val="0045692D"/>
    <w:rsid w:val="00457469"/>
    <w:rsid w:val="00457ACF"/>
    <w:rsid w:val="00460B12"/>
    <w:rsid w:val="00463357"/>
    <w:rsid w:val="004640C7"/>
    <w:rsid w:val="0046473B"/>
    <w:rsid w:val="00464AF4"/>
    <w:rsid w:val="004655CE"/>
    <w:rsid w:val="00465680"/>
    <w:rsid w:val="00465F9A"/>
    <w:rsid w:val="0047074B"/>
    <w:rsid w:val="00471A1C"/>
    <w:rsid w:val="00474C02"/>
    <w:rsid w:val="00475F44"/>
    <w:rsid w:val="00475FCF"/>
    <w:rsid w:val="00476BBC"/>
    <w:rsid w:val="00480E04"/>
    <w:rsid w:val="004810E4"/>
    <w:rsid w:val="00481AAA"/>
    <w:rsid w:val="004830B1"/>
    <w:rsid w:val="00483D78"/>
    <w:rsid w:val="00485751"/>
    <w:rsid w:val="00485F45"/>
    <w:rsid w:val="00487C10"/>
    <w:rsid w:val="004911F6"/>
    <w:rsid w:val="0049162F"/>
    <w:rsid w:val="00492A2B"/>
    <w:rsid w:val="00492BB2"/>
    <w:rsid w:val="00492C75"/>
    <w:rsid w:val="00493E92"/>
    <w:rsid w:val="00494372"/>
    <w:rsid w:val="00494385"/>
    <w:rsid w:val="004958C4"/>
    <w:rsid w:val="00497872"/>
    <w:rsid w:val="00497D47"/>
    <w:rsid w:val="00497DA0"/>
    <w:rsid w:val="004A154E"/>
    <w:rsid w:val="004A1F21"/>
    <w:rsid w:val="004A2748"/>
    <w:rsid w:val="004A29CA"/>
    <w:rsid w:val="004A325F"/>
    <w:rsid w:val="004A37DA"/>
    <w:rsid w:val="004A62CD"/>
    <w:rsid w:val="004A646F"/>
    <w:rsid w:val="004A658B"/>
    <w:rsid w:val="004A728D"/>
    <w:rsid w:val="004A7390"/>
    <w:rsid w:val="004A7516"/>
    <w:rsid w:val="004B08C4"/>
    <w:rsid w:val="004B1442"/>
    <w:rsid w:val="004B1F45"/>
    <w:rsid w:val="004B3EE3"/>
    <w:rsid w:val="004B5339"/>
    <w:rsid w:val="004B56AB"/>
    <w:rsid w:val="004B6852"/>
    <w:rsid w:val="004B6E18"/>
    <w:rsid w:val="004B73D4"/>
    <w:rsid w:val="004B769F"/>
    <w:rsid w:val="004B7A59"/>
    <w:rsid w:val="004C3213"/>
    <w:rsid w:val="004C3942"/>
    <w:rsid w:val="004C395F"/>
    <w:rsid w:val="004C3D91"/>
    <w:rsid w:val="004C5265"/>
    <w:rsid w:val="004C5C4F"/>
    <w:rsid w:val="004C6E07"/>
    <w:rsid w:val="004C76DE"/>
    <w:rsid w:val="004D43A6"/>
    <w:rsid w:val="004E0585"/>
    <w:rsid w:val="004E1EEF"/>
    <w:rsid w:val="004E24AF"/>
    <w:rsid w:val="004E3235"/>
    <w:rsid w:val="004E48B9"/>
    <w:rsid w:val="004E54E6"/>
    <w:rsid w:val="004E5CC0"/>
    <w:rsid w:val="004E7760"/>
    <w:rsid w:val="004F099D"/>
    <w:rsid w:val="004F1854"/>
    <w:rsid w:val="004F20A4"/>
    <w:rsid w:val="004F25A6"/>
    <w:rsid w:val="004F47C2"/>
    <w:rsid w:val="004F48DB"/>
    <w:rsid w:val="004F62AE"/>
    <w:rsid w:val="004F6C81"/>
    <w:rsid w:val="00500471"/>
    <w:rsid w:val="005012AF"/>
    <w:rsid w:val="00502FFC"/>
    <w:rsid w:val="0050361D"/>
    <w:rsid w:val="00504309"/>
    <w:rsid w:val="0050461A"/>
    <w:rsid w:val="005055E6"/>
    <w:rsid w:val="00506ED3"/>
    <w:rsid w:val="00506FA4"/>
    <w:rsid w:val="005072CC"/>
    <w:rsid w:val="00507C56"/>
    <w:rsid w:val="00511CCA"/>
    <w:rsid w:val="005125A8"/>
    <w:rsid w:val="00512C43"/>
    <w:rsid w:val="0051334F"/>
    <w:rsid w:val="00514BFC"/>
    <w:rsid w:val="005151DF"/>
    <w:rsid w:val="005158AF"/>
    <w:rsid w:val="00516516"/>
    <w:rsid w:val="0051693E"/>
    <w:rsid w:val="00516C77"/>
    <w:rsid w:val="00516E2A"/>
    <w:rsid w:val="00517217"/>
    <w:rsid w:val="005221CC"/>
    <w:rsid w:val="00523515"/>
    <w:rsid w:val="00524D1B"/>
    <w:rsid w:val="00525507"/>
    <w:rsid w:val="00525D6F"/>
    <w:rsid w:val="005265AE"/>
    <w:rsid w:val="00526BC2"/>
    <w:rsid w:val="005301F7"/>
    <w:rsid w:val="0053037A"/>
    <w:rsid w:val="00530431"/>
    <w:rsid w:val="00532BB1"/>
    <w:rsid w:val="005330A4"/>
    <w:rsid w:val="005335AC"/>
    <w:rsid w:val="00534DE1"/>
    <w:rsid w:val="00535609"/>
    <w:rsid w:val="0053565F"/>
    <w:rsid w:val="00535B4E"/>
    <w:rsid w:val="00535D1C"/>
    <w:rsid w:val="005368FF"/>
    <w:rsid w:val="00536D2A"/>
    <w:rsid w:val="00536E36"/>
    <w:rsid w:val="005406DF"/>
    <w:rsid w:val="00540AD7"/>
    <w:rsid w:val="00541580"/>
    <w:rsid w:val="00541CC6"/>
    <w:rsid w:val="0054234E"/>
    <w:rsid w:val="00542647"/>
    <w:rsid w:val="0054292A"/>
    <w:rsid w:val="00542BD7"/>
    <w:rsid w:val="00544802"/>
    <w:rsid w:val="00546184"/>
    <w:rsid w:val="00551F03"/>
    <w:rsid w:val="005520E3"/>
    <w:rsid w:val="0055427F"/>
    <w:rsid w:val="00554AE4"/>
    <w:rsid w:val="00554E55"/>
    <w:rsid w:val="005552B6"/>
    <w:rsid w:val="005577A3"/>
    <w:rsid w:val="00557BAE"/>
    <w:rsid w:val="005601F1"/>
    <w:rsid w:val="005604CB"/>
    <w:rsid w:val="005618A6"/>
    <w:rsid w:val="0056191B"/>
    <w:rsid w:val="00562B66"/>
    <w:rsid w:val="00565066"/>
    <w:rsid w:val="005651D3"/>
    <w:rsid w:val="00566E49"/>
    <w:rsid w:val="0057054F"/>
    <w:rsid w:val="0057310E"/>
    <w:rsid w:val="00573D23"/>
    <w:rsid w:val="00573FF1"/>
    <w:rsid w:val="0057456D"/>
    <w:rsid w:val="00576DA5"/>
    <w:rsid w:val="0057777E"/>
    <w:rsid w:val="005804F6"/>
    <w:rsid w:val="00580DF4"/>
    <w:rsid w:val="00581CD8"/>
    <w:rsid w:val="00582009"/>
    <w:rsid w:val="005829B6"/>
    <w:rsid w:val="00583B02"/>
    <w:rsid w:val="005857FA"/>
    <w:rsid w:val="00586308"/>
    <w:rsid w:val="00586C13"/>
    <w:rsid w:val="00586C6B"/>
    <w:rsid w:val="00590069"/>
    <w:rsid w:val="00590B71"/>
    <w:rsid w:val="005919C7"/>
    <w:rsid w:val="00592E51"/>
    <w:rsid w:val="005946FB"/>
    <w:rsid w:val="00594D13"/>
    <w:rsid w:val="00595D53"/>
    <w:rsid w:val="00597FE7"/>
    <w:rsid w:val="005A157F"/>
    <w:rsid w:val="005A1A37"/>
    <w:rsid w:val="005A3295"/>
    <w:rsid w:val="005A422F"/>
    <w:rsid w:val="005A4A5E"/>
    <w:rsid w:val="005A6C76"/>
    <w:rsid w:val="005A7F1D"/>
    <w:rsid w:val="005B0A9F"/>
    <w:rsid w:val="005B15D3"/>
    <w:rsid w:val="005B2A76"/>
    <w:rsid w:val="005B34E9"/>
    <w:rsid w:val="005B49D5"/>
    <w:rsid w:val="005B6215"/>
    <w:rsid w:val="005C444D"/>
    <w:rsid w:val="005C550E"/>
    <w:rsid w:val="005C55BB"/>
    <w:rsid w:val="005C576F"/>
    <w:rsid w:val="005C5C15"/>
    <w:rsid w:val="005C6146"/>
    <w:rsid w:val="005C6675"/>
    <w:rsid w:val="005C681A"/>
    <w:rsid w:val="005C6B11"/>
    <w:rsid w:val="005C6BA1"/>
    <w:rsid w:val="005C79E0"/>
    <w:rsid w:val="005C7B46"/>
    <w:rsid w:val="005D0024"/>
    <w:rsid w:val="005D0730"/>
    <w:rsid w:val="005D09A6"/>
    <w:rsid w:val="005D0D9F"/>
    <w:rsid w:val="005D1069"/>
    <w:rsid w:val="005D13D6"/>
    <w:rsid w:val="005D26C5"/>
    <w:rsid w:val="005D2CF8"/>
    <w:rsid w:val="005D533C"/>
    <w:rsid w:val="005D543F"/>
    <w:rsid w:val="005D5723"/>
    <w:rsid w:val="005D6211"/>
    <w:rsid w:val="005D64E9"/>
    <w:rsid w:val="005D65AA"/>
    <w:rsid w:val="005E0558"/>
    <w:rsid w:val="005E0AA9"/>
    <w:rsid w:val="005E1CB0"/>
    <w:rsid w:val="005E415A"/>
    <w:rsid w:val="005E6DAC"/>
    <w:rsid w:val="005F0473"/>
    <w:rsid w:val="005F1858"/>
    <w:rsid w:val="005F1E74"/>
    <w:rsid w:val="005F2FD9"/>
    <w:rsid w:val="005F3114"/>
    <w:rsid w:val="005F34C6"/>
    <w:rsid w:val="005F7AB9"/>
    <w:rsid w:val="005F7B50"/>
    <w:rsid w:val="00600307"/>
    <w:rsid w:val="00600815"/>
    <w:rsid w:val="006008BE"/>
    <w:rsid w:val="00601DC6"/>
    <w:rsid w:val="00602484"/>
    <w:rsid w:val="00602C78"/>
    <w:rsid w:val="00603C8A"/>
    <w:rsid w:val="00606C88"/>
    <w:rsid w:val="006078E7"/>
    <w:rsid w:val="00610304"/>
    <w:rsid w:val="0061065D"/>
    <w:rsid w:val="006107C7"/>
    <w:rsid w:val="00610D82"/>
    <w:rsid w:val="00611F4F"/>
    <w:rsid w:val="006144EA"/>
    <w:rsid w:val="0061455F"/>
    <w:rsid w:val="00614ADD"/>
    <w:rsid w:val="006162C2"/>
    <w:rsid w:val="006166BC"/>
    <w:rsid w:val="00620263"/>
    <w:rsid w:val="00622FF3"/>
    <w:rsid w:val="00623AA4"/>
    <w:rsid w:val="006242A7"/>
    <w:rsid w:val="006246AE"/>
    <w:rsid w:val="006255FF"/>
    <w:rsid w:val="00625B7C"/>
    <w:rsid w:val="006260FE"/>
    <w:rsid w:val="006269DF"/>
    <w:rsid w:val="00627E5C"/>
    <w:rsid w:val="006320BD"/>
    <w:rsid w:val="00632E55"/>
    <w:rsid w:val="0063477F"/>
    <w:rsid w:val="00634D8A"/>
    <w:rsid w:val="00636D22"/>
    <w:rsid w:val="006374D6"/>
    <w:rsid w:val="00637A9B"/>
    <w:rsid w:val="00637BD5"/>
    <w:rsid w:val="006418B2"/>
    <w:rsid w:val="0064408B"/>
    <w:rsid w:val="006441AB"/>
    <w:rsid w:val="00644F08"/>
    <w:rsid w:val="00645050"/>
    <w:rsid w:val="00645D12"/>
    <w:rsid w:val="00646BA6"/>
    <w:rsid w:val="00647123"/>
    <w:rsid w:val="00647C15"/>
    <w:rsid w:val="006511F2"/>
    <w:rsid w:val="00652130"/>
    <w:rsid w:val="006523FE"/>
    <w:rsid w:val="0065332F"/>
    <w:rsid w:val="00656641"/>
    <w:rsid w:val="0066133E"/>
    <w:rsid w:val="00661FF6"/>
    <w:rsid w:val="00662C54"/>
    <w:rsid w:val="00663FA6"/>
    <w:rsid w:val="006654EF"/>
    <w:rsid w:val="00665573"/>
    <w:rsid w:val="00665952"/>
    <w:rsid w:val="006660DE"/>
    <w:rsid w:val="00666974"/>
    <w:rsid w:val="00667521"/>
    <w:rsid w:val="00670B5D"/>
    <w:rsid w:val="00671539"/>
    <w:rsid w:val="00672171"/>
    <w:rsid w:val="00672867"/>
    <w:rsid w:val="00673F55"/>
    <w:rsid w:val="0067556F"/>
    <w:rsid w:val="006755AE"/>
    <w:rsid w:val="00676266"/>
    <w:rsid w:val="006800B8"/>
    <w:rsid w:val="00680DBC"/>
    <w:rsid w:val="00682993"/>
    <w:rsid w:val="00683D15"/>
    <w:rsid w:val="00683F09"/>
    <w:rsid w:val="006841FD"/>
    <w:rsid w:val="0068420D"/>
    <w:rsid w:val="00684282"/>
    <w:rsid w:val="00685590"/>
    <w:rsid w:val="006875F3"/>
    <w:rsid w:val="00687D79"/>
    <w:rsid w:val="00690B9A"/>
    <w:rsid w:val="0069121E"/>
    <w:rsid w:val="0069259D"/>
    <w:rsid w:val="00693F9B"/>
    <w:rsid w:val="006963C1"/>
    <w:rsid w:val="00697463"/>
    <w:rsid w:val="006A1607"/>
    <w:rsid w:val="006A5A36"/>
    <w:rsid w:val="006A609C"/>
    <w:rsid w:val="006A676B"/>
    <w:rsid w:val="006B2652"/>
    <w:rsid w:val="006B2C30"/>
    <w:rsid w:val="006B2FB2"/>
    <w:rsid w:val="006B3402"/>
    <w:rsid w:val="006B45B2"/>
    <w:rsid w:val="006B5C1C"/>
    <w:rsid w:val="006B7739"/>
    <w:rsid w:val="006B784F"/>
    <w:rsid w:val="006C0999"/>
    <w:rsid w:val="006C0ED0"/>
    <w:rsid w:val="006C3D6E"/>
    <w:rsid w:val="006C6E16"/>
    <w:rsid w:val="006C6F64"/>
    <w:rsid w:val="006C7182"/>
    <w:rsid w:val="006D1A6B"/>
    <w:rsid w:val="006D1FDC"/>
    <w:rsid w:val="006D2508"/>
    <w:rsid w:val="006D317A"/>
    <w:rsid w:val="006D3E3E"/>
    <w:rsid w:val="006D5A73"/>
    <w:rsid w:val="006D5C43"/>
    <w:rsid w:val="006D67E7"/>
    <w:rsid w:val="006E0D7E"/>
    <w:rsid w:val="006E12CA"/>
    <w:rsid w:val="006E1321"/>
    <w:rsid w:val="006E1C85"/>
    <w:rsid w:val="006E23FF"/>
    <w:rsid w:val="006E2A80"/>
    <w:rsid w:val="006E2EA6"/>
    <w:rsid w:val="006E4C91"/>
    <w:rsid w:val="006E6ABD"/>
    <w:rsid w:val="006F06B5"/>
    <w:rsid w:val="006F1AE8"/>
    <w:rsid w:val="006F262B"/>
    <w:rsid w:val="006F2D7A"/>
    <w:rsid w:val="006F4714"/>
    <w:rsid w:val="006F5576"/>
    <w:rsid w:val="006F5F7C"/>
    <w:rsid w:val="006F674D"/>
    <w:rsid w:val="006F692E"/>
    <w:rsid w:val="006F75E9"/>
    <w:rsid w:val="006F7A8D"/>
    <w:rsid w:val="00700249"/>
    <w:rsid w:val="00700D04"/>
    <w:rsid w:val="00701B39"/>
    <w:rsid w:val="0070349B"/>
    <w:rsid w:val="00703705"/>
    <w:rsid w:val="00704B44"/>
    <w:rsid w:val="00704B4C"/>
    <w:rsid w:val="00704B78"/>
    <w:rsid w:val="00704D12"/>
    <w:rsid w:val="0070566D"/>
    <w:rsid w:val="0070665E"/>
    <w:rsid w:val="00706C23"/>
    <w:rsid w:val="00706CA8"/>
    <w:rsid w:val="00710067"/>
    <w:rsid w:val="00710216"/>
    <w:rsid w:val="0071197D"/>
    <w:rsid w:val="00711DFB"/>
    <w:rsid w:val="00711F2A"/>
    <w:rsid w:val="00712040"/>
    <w:rsid w:val="00712973"/>
    <w:rsid w:val="00713467"/>
    <w:rsid w:val="00714229"/>
    <w:rsid w:val="00714912"/>
    <w:rsid w:val="00714FB4"/>
    <w:rsid w:val="0072190C"/>
    <w:rsid w:val="00721A68"/>
    <w:rsid w:val="007229C6"/>
    <w:rsid w:val="0072368E"/>
    <w:rsid w:val="0072381C"/>
    <w:rsid w:val="00723AC7"/>
    <w:rsid w:val="00725E6E"/>
    <w:rsid w:val="00725FDC"/>
    <w:rsid w:val="0072636D"/>
    <w:rsid w:val="00726824"/>
    <w:rsid w:val="00731ED6"/>
    <w:rsid w:val="00733C81"/>
    <w:rsid w:val="00733EF1"/>
    <w:rsid w:val="007359FD"/>
    <w:rsid w:val="0073633B"/>
    <w:rsid w:val="007372F3"/>
    <w:rsid w:val="00737BF6"/>
    <w:rsid w:val="00740C0D"/>
    <w:rsid w:val="00740CA8"/>
    <w:rsid w:val="00740EED"/>
    <w:rsid w:val="00741BD5"/>
    <w:rsid w:val="00741C72"/>
    <w:rsid w:val="0074268A"/>
    <w:rsid w:val="00742CB1"/>
    <w:rsid w:val="00743180"/>
    <w:rsid w:val="00744391"/>
    <w:rsid w:val="00744D30"/>
    <w:rsid w:val="00745373"/>
    <w:rsid w:val="00745485"/>
    <w:rsid w:val="00745558"/>
    <w:rsid w:val="00746022"/>
    <w:rsid w:val="00747104"/>
    <w:rsid w:val="00747A17"/>
    <w:rsid w:val="0075178D"/>
    <w:rsid w:val="00751CFB"/>
    <w:rsid w:val="00752E11"/>
    <w:rsid w:val="00752FF2"/>
    <w:rsid w:val="00753515"/>
    <w:rsid w:val="0075402D"/>
    <w:rsid w:val="0075457B"/>
    <w:rsid w:val="00754CD2"/>
    <w:rsid w:val="00755D14"/>
    <w:rsid w:val="00756510"/>
    <w:rsid w:val="00757297"/>
    <w:rsid w:val="007579BA"/>
    <w:rsid w:val="0076206F"/>
    <w:rsid w:val="007625E2"/>
    <w:rsid w:val="00763DC4"/>
    <w:rsid w:val="00764CCE"/>
    <w:rsid w:val="00770BD9"/>
    <w:rsid w:val="00772B17"/>
    <w:rsid w:val="00772FB9"/>
    <w:rsid w:val="00773A1C"/>
    <w:rsid w:val="00773FA3"/>
    <w:rsid w:val="00774751"/>
    <w:rsid w:val="00774B05"/>
    <w:rsid w:val="00775268"/>
    <w:rsid w:val="00775C7A"/>
    <w:rsid w:val="0077661C"/>
    <w:rsid w:val="007774F9"/>
    <w:rsid w:val="00777E49"/>
    <w:rsid w:val="00781AE9"/>
    <w:rsid w:val="00782E67"/>
    <w:rsid w:val="00782F25"/>
    <w:rsid w:val="00783DEA"/>
    <w:rsid w:val="00783F2C"/>
    <w:rsid w:val="00785171"/>
    <w:rsid w:val="0078527C"/>
    <w:rsid w:val="00785747"/>
    <w:rsid w:val="00785980"/>
    <w:rsid w:val="00786B24"/>
    <w:rsid w:val="00787BDA"/>
    <w:rsid w:val="007902FA"/>
    <w:rsid w:val="0079215E"/>
    <w:rsid w:val="007924A1"/>
    <w:rsid w:val="00792762"/>
    <w:rsid w:val="00792C80"/>
    <w:rsid w:val="0079350F"/>
    <w:rsid w:val="0079549E"/>
    <w:rsid w:val="0079626B"/>
    <w:rsid w:val="00797CEB"/>
    <w:rsid w:val="007A31B3"/>
    <w:rsid w:val="007A4B38"/>
    <w:rsid w:val="007A5BAA"/>
    <w:rsid w:val="007A6939"/>
    <w:rsid w:val="007B019F"/>
    <w:rsid w:val="007B0D5F"/>
    <w:rsid w:val="007B1873"/>
    <w:rsid w:val="007B2299"/>
    <w:rsid w:val="007B320C"/>
    <w:rsid w:val="007B4869"/>
    <w:rsid w:val="007B539C"/>
    <w:rsid w:val="007B57A7"/>
    <w:rsid w:val="007B5BD3"/>
    <w:rsid w:val="007B5E10"/>
    <w:rsid w:val="007B6976"/>
    <w:rsid w:val="007B7E37"/>
    <w:rsid w:val="007C14F7"/>
    <w:rsid w:val="007C1B1F"/>
    <w:rsid w:val="007C3467"/>
    <w:rsid w:val="007C486A"/>
    <w:rsid w:val="007C4B07"/>
    <w:rsid w:val="007C5498"/>
    <w:rsid w:val="007C60CE"/>
    <w:rsid w:val="007C6218"/>
    <w:rsid w:val="007C6426"/>
    <w:rsid w:val="007C798A"/>
    <w:rsid w:val="007D1202"/>
    <w:rsid w:val="007D160F"/>
    <w:rsid w:val="007D1B3B"/>
    <w:rsid w:val="007D21CA"/>
    <w:rsid w:val="007D2F71"/>
    <w:rsid w:val="007D3EA5"/>
    <w:rsid w:val="007D4584"/>
    <w:rsid w:val="007D4E7C"/>
    <w:rsid w:val="007D7976"/>
    <w:rsid w:val="007E0E60"/>
    <w:rsid w:val="007E1541"/>
    <w:rsid w:val="007E1BB5"/>
    <w:rsid w:val="007E289D"/>
    <w:rsid w:val="007E2E17"/>
    <w:rsid w:val="007E2E44"/>
    <w:rsid w:val="007E6306"/>
    <w:rsid w:val="007F0FB5"/>
    <w:rsid w:val="007F13C9"/>
    <w:rsid w:val="007F1426"/>
    <w:rsid w:val="007F2E41"/>
    <w:rsid w:val="007F308F"/>
    <w:rsid w:val="007F3140"/>
    <w:rsid w:val="007F3B45"/>
    <w:rsid w:val="007F530C"/>
    <w:rsid w:val="007F6364"/>
    <w:rsid w:val="007F665D"/>
    <w:rsid w:val="007F73F0"/>
    <w:rsid w:val="007F7E2A"/>
    <w:rsid w:val="0080051F"/>
    <w:rsid w:val="00802716"/>
    <w:rsid w:val="00802DB9"/>
    <w:rsid w:val="00805849"/>
    <w:rsid w:val="00806CD1"/>
    <w:rsid w:val="00810197"/>
    <w:rsid w:val="0081021D"/>
    <w:rsid w:val="008103C7"/>
    <w:rsid w:val="0081112A"/>
    <w:rsid w:val="00811617"/>
    <w:rsid w:val="00811E89"/>
    <w:rsid w:val="0081213B"/>
    <w:rsid w:val="00812634"/>
    <w:rsid w:val="00813C2E"/>
    <w:rsid w:val="0081470F"/>
    <w:rsid w:val="00815626"/>
    <w:rsid w:val="00815883"/>
    <w:rsid w:val="00815E9B"/>
    <w:rsid w:val="00816A57"/>
    <w:rsid w:val="00817DD6"/>
    <w:rsid w:val="00817F43"/>
    <w:rsid w:val="00822021"/>
    <w:rsid w:val="008232F2"/>
    <w:rsid w:val="00823D85"/>
    <w:rsid w:val="008245C3"/>
    <w:rsid w:val="008266F1"/>
    <w:rsid w:val="0083146D"/>
    <w:rsid w:val="0083148A"/>
    <w:rsid w:val="008315D2"/>
    <w:rsid w:val="008315DB"/>
    <w:rsid w:val="00831F5D"/>
    <w:rsid w:val="0083303A"/>
    <w:rsid w:val="00834B0A"/>
    <w:rsid w:val="00834D33"/>
    <w:rsid w:val="00835E04"/>
    <w:rsid w:val="00836C70"/>
    <w:rsid w:val="00836F6B"/>
    <w:rsid w:val="008442C5"/>
    <w:rsid w:val="00844760"/>
    <w:rsid w:val="00845274"/>
    <w:rsid w:val="00845EA9"/>
    <w:rsid w:val="0084773F"/>
    <w:rsid w:val="00847AEC"/>
    <w:rsid w:val="0085142C"/>
    <w:rsid w:val="00851734"/>
    <w:rsid w:val="00851B8D"/>
    <w:rsid w:val="00851C48"/>
    <w:rsid w:val="00852153"/>
    <w:rsid w:val="008521F2"/>
    <w:rsid w:val="008524F8"/>
    <w:rsid w:val="00852ACC"/>
    <w:rsid w:val="00854C78"/>
    <w:rsid w:val="008557E5"/>
    <w:rsid w:val="00857B21"/>
    <w:rsid w:val="008619AE"/>
    <w:rsid w:val="0086268E"/>
    <w:rsid w:val="008630CB"/>
    <w:rsid w:val="00866689"/>
    <w:rsid w:val="00872657"/>
    <w:rsid w:val="008740E1"/>
    <w:rsid w:val="0087496B"/>
    <w:rsid w:val="00875661"/>
    <w:rsid w:val="00876450"/>
    <w:rsid w:val="008766EE"/>
    <w:rsid w:val="008800DB"/>
    <w:rsid w:val="0088078F"/>
    <w:rsid w:val="00880EDF"/>
    <w:rsid w:val="00881668"/>
    <w:rsid w:val="0088207B"/>
    <w:rsid w:val="00884795"/>
    <w:rsid w:val="00885592"/>
    <w:rsid w:val="00885AAF"/>
    <w:rsid w:val="00890D62"/>
    <w:rsid w:val="008917FE"/>
    <w:rsid w:val="00892B3D"/>
    <w:rsid w:val="00894235"/>
    <w:rsid w:val="00896C08"/>
    <w:rsid w:val="00896DAD"/>
    <w:rsid w:val="008A0F19"/>
    <w:rsid w:val="008A20D9"/>
    <w:rsid w:val="008A2BB9"/>
    <w:rsid w:val="008A74F9"/>
    <w:rsid w:val="008A7854"/>
    <w:rsid w:val="008B076E"/>
    <w:rsid w:val="008B1387"/>
    <w:rsid w:val="008B4C4C"/>
    <w:rsid w:val="008B51BF"/>
    <w:rsid w:val="008B529F"/>
    <w:rsid w:val="008C037B"/>
    <w:rsid w:val="008C1394"/>
    <w:rsid w:val="008C1808"/>
    <w:rsid w:val="008C2A78"/>
    <w:rsid w:val="008C3A3B"/>
    <w:rsid w:val="008C50F9"/>
    <w:rsid w:val="008C52F1"/>
    <w:rsid w:val="008C77DD"/>
    <w:rsid w:val="008D102B"/>
    <w:rsid w:val="008D21BF"/>
    <w:rsid w:val="008D3FBA"/>
    <w:rsid w:val="008D4BEF"/>
    <w:rsid w:val="008D4DF4"/>
    <w:rsid w:val="008D643A"/>
    <w:rsid w:val="008E01B9"/>
    <w:rsid w:val="008E13A2"/>
    <w:rsid w:val="008E18BD"/>
    <w:rsid w:val="008E235D"/>
    <w:rsid w:val="008E2DBC"/>
    <w:rsid w:val="008E2E18"/>
    <w:rsid w:val="008E37B8"/>
    <w:rsid w:val="008E4EBB"/>
    <w:rsid w:val="008E5471"/>
    <w:rsid w:val="008E5DE3"/>
    <w:rsid w:val="008E63CD"/>
    <w:rsid w:val="008E658F"/>
    <w:rsid w:val="008E6601"/>
    <w:rsid w:val="008E66BF"/>
    <w:rsid w:val="008E7A2A"/>
    <w:rsid w:val="008F112B"/>
    <w:rsid w:val="008F12C8"/>
    <w:rsid w:val="008F2902"/>
    <w:rsid w:val="008F320F"/>
    <w:rsid w:val="008F4C47"/>
    <w:rsid w:val="008F759B"/>
    <w:rsid w:val="00900EB7"/>
    <w:rsid w:val="0090164D"/>
    <w:rsid w:val="00901AE9"/>
    <w:rsid w:val="0090213F"/>
    <w:rsid w:val="009021A1"/>
    <w:rsid w:val="0090234E"/>
    <w:rsid w:val="009023A3"/>
    <w:rsid w:val="00902992"/>
    <w:rsid w:val="00902CD6"/>
    <w:rsid w:val="0090361D"/>
    <w:rsid w:val="0090393F"/>
    <w:rsid w:val="00903B5D"/>
    <w:rsid w:val="00903C2C"/>
    <w:rsid w:val="00904C52"/>
    <w:rsid w:val="00905D49"/>
    <w:rsid w:val="00905E88"/>
    <w:rsid w:val="0090761D"/>
    <w:rsid w:val="009122AE"/>
    <w:rsid w:val="00912D46"/>
    <w:rsid w:val="00913DAD"/>
    <w:rsid w:val="009145CF"/>
    <w:rsid w:val="0091474B"/>
    <w:rsid w:val="00915471"/>
    <w:rsid w:val="009176F6"/>
    <w:rsid w:val="00920F5B"/>
    <w:rsid w:val="00921B91"/>
    <w:rsid w:val="00921DA9"/>
    <w:rsid w:val="00922BE1"/>
    <w:rsid w:val="00923460"/>
    <w:rsid w:val="00924BDF"/>
    <w:rsid w:val="0092565F"/>
    <w:rsid w:val="00925F00"/>
    <w:rsid w:val="009278CE"/>
    <w:rsid w:val="00927DC2"/>
    <w:rsid w:val="00927DCF"/>
    <w:rsid w:val="009301D6"/>
    <w:rsid w:val="0093101E"/>
    <w:rsid w:val="00931BCF"/>
    <w:rsid w:val="00933EDF"/>
    <w:rsid w:val="00935434"/>
    <w:rsid w:val="00940B5F"/>
    <w:rsid w:val="009417B6"/>
    <w:rsid w:val="00941EC1"/>
    <w:rsid w:val="009428BA"/>
    <w:rsid w:val="00942A55"/>
    <w:rsid w:val="00942C0D"/>
    <w:rsid w:val="0094359F"/>
    <w:rsid w:val="0094469A"/>
    <w:rsid w:val="009446CE"/>
    <w:rsid w:val="009478DC"/>
    <w:rsid w:val="00951061"/>
    <w:rsid w:val="00951A92"/>
    <w:rsid w:val="00953A2B"/>
    <w:rsid w:val="00953C7C"/>
    <w:rsid w:val="00953EB7"/>
    <w:rsid w:val="00954E62"/>
    <w:rsid w:val="00955620"/>
    <w:rsid w:val="00955941"/>
    <w:rsid w:val="00956555"/>
    <w:rsid w:val="009567E5"/>
    <w:rsid w:val="00957FD8"/>
    <w:rsid w:val="00960993"/>
    <w:rsid w:val="0096155C"/>
    <w:rsid w:val="009632E6"/>
    <w:rsid w:val="009657F2"/>
    <w:rsid w:val="00965DA6"/>
    <w:rsid w:val="00967218"/>
    <w:rsid w:val="00967587"/>
    <w:rsid w:val="0097145C"/>
    <w:rsid w:val="009715E7"/>
    <w:rsid w:val="00971CD1"/>
    <w:rsid w:val="009735C5"/>
    <w:rsid w:val="009736C4"/>
    <w:rsid w:val="00973AEF"/>
    <w:rsid w:val="0097438A"/>
    <w:rsid w:val="009751AA"/>
    <w:rsid w:val="00975A21"/>
    <w:rsid w:val="00976908"/>
    <w:rsid w:val="00980100"/>
    <w:rsid w:val="009818BB"/>
    <w:rsid w:val="00981AB9"/>
    <w:rsid w:val="0098266A"/>
    <w:rsid w:val="009831F4"/>
    <w:rsid w:val="00984027"/>
    <w:rsid w:val="00986B78"/>
    <w:rsid w:val="00986DED"/>
    <w:rsid w:val="00986E06"/>
    <w:rsid w:val="00986ED8"/>
    <w:rsid w:val="0099310D"/>
    <w:rsid w:val="009938AD"/>
    <w:rsid w:val="00993B50"/>
    <w:rsid w:val="00993C00"/>
    <w:rsid w:val="00994FA1"/>
    <w:rsid w:val="00995CBA"/>
    <w:rsid w:val="00996229"/>
    <w:rsid w:val="009A0252"/>
    <w:rsid w:val="009A03D8"/>
    <w:rsid w:val="009A0B11"/>
    <w:rsid w:val="009A1E4B"/>
    <w:rsid w:val="009A2C55"/>
    <w:rsid w:val="009A322C"/>
    <w:rsid w:val="009A3301"/>
    <w:rsid w:val="009A4155"/>
    <w:rsid w:val="009A52DD"/>
    <w:rsid w:val="009A5436"/>
    <w:rsid w:val="009A57B6"/>
    <w:rsid w:val="009A5D80"/>
    <w:rsid w:val="009A6313"/>
    <w:rsid w:val="009A67A6"/>
    <w:rsid w:val="009A6B38"/>
    <w:rsid w:val="009A7830"/>
    <w:rsid w:val="009B13AB"/>
    <w:rsid w:val="009B2A20"/>
    <w:rsid w:val="009B3285"/>
    <w:rsid w:val="009B3F3C"/>
    <w:rsid w:val="009B478D"/>
    <w:rsid w:val="009B51D4"/>
    <w:rsid w:val="009B530D"/>
    <w:rsid w:val="009B532D"/>
    <w:rsid w:val="009B6BFC"/>
    <w:rsid w:val="009B72D9"/>
    <w:rsid w:val="009B7F4A"/>
    <w:rsid w:val="009C0CE0"/>
    <w:rsid w:val="009C1094"/>
    <w:rsid w:val="009C1276"/>
    <w:rsid w:val="009C19AC"/>
    <w:rsid w:val="009C19F8"/>
    <w:rsid w:val="009C1D0C"/>
    <w:rsid w:val="009C206D"/>
    <w:rsid w:val="009C27BC"/>
    <w:rsid w:val="009C2848"/>
    <w:rsid w:val="009C42F0"/>
    <w:rsid w:val="009C4B25"/>
    <w:rsid w:val="009C7085"/>
    <w:rsid w:val="009C7D7F"/>
    <w:rsid w:val="009C7DE8"/>
    <w:rsid w:val="009D0D3F"/>
    <w:rsid w:val="009D3F68"/>
    <w:rsid w:val="009D4AB7"/>
    <w:rsid w:val="009D7E73"/>
    <w:rsid w:val="009D7F0C"/>
    <w:rsid w:val="009E0A8B"/>
    <w:rsid w:val="009E2ED4"/>
    <w:rsid w:val="009E3520"/>
    <w:rsid w:val="009E6B62"/>
    <w:rsid w:val="009E7F1C"/>
    <w:rsid w:val="009F015B"/>
    <w:rsid w:val="009F030D"/>
    <w:rsid w:val="009F03F3"/>
    <w:rsid w:val="009F05EB"/>
    <w:rsid w:val="009F0A00"/>
    <w:rsid w:val="009F0E43"/>
    <w:rsid w:val="009F12AC"/>
    <w:rsid w:val="009F18D7"/>
    <w:rsid w:val="009F1F40"/>
    <w:rsid w:val="009F2245"/>
    <w:rsid w:val="009F3ED6"/>
    <w:rsid w:val="009F6488"/>
    <w:rsid w:val="009F78E5"/>
    <w:rsid w:val="00A0027D"/>
    <w:rsid w:val="00A0076B"/>
    <w:rsid w:val="00A0108F"/>
    <w:rsid w:val="00A02671"/>
    <w:rsid w:val="00A029A3"/>
    <w:rsid w:val="00A02E1B"/>
    <w:rsid w:val="00A031DA"/>
    <w:rsid w:val="00A03268"/>
    <w:rsid w:val="00A03958"/>
    <w:rsid w:val="00A03EE3"/>
    <w:rsid w:val="00A04482"/>
    <w:rsid w:val="00A12282"/>
    <w:rsid w:val="00A12C87"/>
    <w:rsid w:val="00A13D93"/>
    <w:rsid w:val="00A14022"/>
    <w:rsid w:val="00A14A56"/>
    <w:rsid w:val="00A1535F"/>
    <w:rsid w:val="00A16704"/>
    <w:rsid w:val="00A20C34"/>
    <w:rsid w:val="00A224FE"/>
    <w:rsid w:val="00A22CED"/>
    <w:rsid w:val="00A234EB"/>
    <w:rsid w:val="00A2418B"/>
    <w:rsid w:val="00A248CA"/>
    <w:rsid w:val="00A24E8F"/>
    <w:rsid w:val="00A267DA"/>
    <w:rsid w:val="00A26F92"/>
    <w:rsid w:val="00A2776E"/>
    <w:rsid w:val="00A27BCE"/>
    <w:rsid w:val="00A27C58"/>
    <w:rsid w:val="00A3061B"/>
    <w:rsid w:val="00A31655"/>
    <w:rsid w:val="00A327B1"/>
    <w:rsid w:val="00A32CD3"/>
    <w:rsid w:val="00A33526"/>
    <w:rsid w:val="00A33F66"/>
    <w:rsid w:val="00A34000"/>
    <w:rsid w:val="00A340DD"/>
    <w:rsid w:val="00A34696"/>
    <w:rsid w:val="00A363DB"/>
    <w:rsid w:val="00A375C9"/>
    <w:rsid w:val="00A4072D"/>
    <w:rsid w:val="00A40776"/>
    <w:rsid w:val="00A40F7B"/>
    <w:rsid w:val="00A41F95"/>
    <w:rsid w:val="00A42387"/>
    <w:rsid w:val="00A42A0D"/>
    <w:rsid w:val="00A42D27"/>
    <w:rsid w:val="00A43A63"/>
    <w:rsid w:val="00A449B2"/>
    <w:rsid w:val="00A45696"/>
    <w:rsid w:val="00A45D4B"/>
    <w:rsid w:val="00A45FF2"/>
    <w:rsid w:val="00A4643C"/>
    <w:rsid w:val="00A4716D"/>
    <w:rsid w:val="00A47924"/>
    <w:rsid w:val="00A506CA"/>
    <w:rsid w:val="00A50A25"/>
    <w:rsid w:val="00A50EE8"/>
    <w:rsid w:val="00A51074"/>
    <w:rsid w:val="00A5187B"/>
    <w:rsid w:val="00A51C5F"/>
    <w:rsid w:val="00A53FFA"/>
    <w:rsid w:val="00A5457E"/>
    <w:rsid w:val="00A54EF8"/>
    <w:rsid w:val="00A55D19"/>
    <w:rsid w:val="00A609FC"/>
    <w:rsid w:val="00A60DB1"/>
    <w:rsid w:val="00A62DE9"/>
    <w:rsid w:val="00A6352E"/>
    <w:rsid w:val="00A63766"/>
    <w:rsid w:val="00A63FB1"/>
    <w:rsid w:val="00A649F3"/>
    <w:rsid w:val="00A655BC"/>
    <w:rsid w:val="00A65F79"/>
    <w:rsid w:val="00A70005"/>
    <w:rsid w:val="00A70EED"/>
    <w:rsid w:val="00A7279C"/>
    <w:rsid w:val="00A735DA"/>
    <w:rsid w:val="00A738C6"/>
    <w:rsid w:val="00A7649A"/>
    <w:rsid w:val="00A76E10"/>
    <w:rsid w:val="00A76EAB"/>
    <w:rsid w:val="00A811D3"/>
    <w:rsid w:val="00A848CC"/>
    <w:rsid w:val="00A85FED"/>
    <w:rsid w:val="00A872F6"/>
    <w:rsid w:val="00A87729"/>
    <w:rsid w:val="00A9011F"/>
    <w:rsid w:val="00A91742"/>
    <w:rsid w:val="00A91B0B"/>
    <w:rsid w:val="00A92C15"/>
    <w:rsid w:val="00A930B8"/>
    <w:rsid w:val="00A93411"/>
    <w:rsid w:val="00A94D08"/>
    <w:rsid w:val="00A95327"/>
    <w:rsid w:val="00A953CD"/>
    <w:rsid w:val="00A96060"/>
    <w:rsid w:val="00A96984"/>
    <w:rsid w:val="00AA1529"/>
    <w:rsid w:val="00AA18C1"/>
    <w:rsid w:val="00AA55C9"/>
    <w:rsid w:val="00AB0608"/>
    <w:rsid w:val="00AB1365"/>
    <w:rsid w:val="00AB14F4"/>
    <w:rsid w:val="00AB1B8A"/>
    <w:rsid w:val="00AB322B"/>
    <w:rsid w:val="00AB3B58"/>
    <w:rsid w:val="00AB4F7B"/>
    <w:rsid w:val="00AB503C"/>
    <w:rsid w:val="00AB60AA"/>
    <w:rsid w:val="00AB672F"/>
    <w:rsid w:val="00AB677D"/>
    <w:rsid w:val="00AB6F02"/>
    <w:rsid w:val="00AB77AC"/>
    <w:rsid w:val="00AC1580"/>
    <w:rsid w:val="00AC1DB4"/>
    <w:rsid w:val="00AC2224"/>
    <w:rsid w:val="00AC2E4E"/>
    <w:rsid w:val="00AC2F4F"/>
    <w:rsid w:val="00AC45C2"/>
    <w:rsid w:val="00AC4A33"/>
    <w:rsid w:val="00AC5D7F"/>
    <w:rsid w:val="00AD0120"/>
    <w:rsid w:val="00AD0234"/>
    <w:rsid w:val="00AD0D50"/>
    <w:rsid w:val="00AD119C"/>
    <w:rsid w:val="00AD3B8A"/>
    <w:rsid w:val="00AD53A5"/>
    <w:rsid w:val="00AD653C"/>
    <w:rsid w:val="00AD75B4"/>
    <w:rsid w:val="00AD7645"/>
    <w:rsid w:val="00AD7AA2"/>
    <w:rsid w:val="00AD7ACF"/>
    <w:rsid w:val="00AD7D2B"/>
    <w:rsid w:val="00AD7EF5"/>
    <w:rsid w:val="00AE0601"/>
    <w:rsid w:val="00AE5153"/>
    <w:rsid w:val="00AE6AB9"/>
    <w:rsid w:val="00AE773C"/>
    <w:rsid w:val="00AE7B46"/>
    <w:rsid w:val="00AF0C28"/>
    <w:rsid w:val="00AF13AD"/>
    <w:rsid w:val="00AF3D46"/>
    <w:rsid w:val="00AF3FC1"/>
    <w:rsid w:val="00AF6F42"/>
    <w:rsid w:val="00AF7243"/>
    <w:rsid w:val="00B01EF2"/>
    <w:rsid w:val="00B03CDB"/>
    <w:rsid w:val="00B04D8C"/>
    <w:rsid w:val="00B052B4"/>
    <w:rsid w:val="00B0679A"/>
    <w:rsid w:val="00B139C5"/>
    <w:rsid w:val="00B15358"/>
    <w:rsid w:val="00B1589A"/>
    <w:rsid w:val="00B15975"/>
    <w:rsid w:val="00B161A4"/>
    <w:rsid w:val="00B16D2D"/>
    <w:rsid w:val="00B17473"/>
    <w:rsid w:val="00B20009"/>
    <w:rsid w:val="00B2131D"/>
    <w:rsid w:val="00B21674"/>
    <w:rsid w:val="00B2242A"/>
    <w:rsid w:val="00B235AC"/>
    <w:rsid w:val="00B23CD2"/>
    <w:rsid w:val="00B24FB4"/>
    <w:rsid w:val="00B25443"/>
    <w:rsid w:val="00B260B9"/>
    <w:rsid w:val="00B262AE"/>
    <w:rsid w:val="00B26304"/>
    <w:rsid w:val="00B2659B"/>
    <w:rsid w:val="00B266A5"/>
    <w:rsid w:val="00B2676D"/>
    <w:rsid w:val="00B26881"/>
    <w:rsid w:val="00B2689A"/>
    <w:rsid w:val="00B31133"/>
    <w:rsid w:val="00B31C5E"/>
    <w:rsid w:val="00B33881"/>
    <w:rsid w:val="00B350E5"/>
    <w:rsid w:val="00B35433"/>
    <w:rsid w:val="00B355B4"/>
    <w:rsid w:val="00B355CD"/>
    <w:rsid w:val="00B35A20"/>
    <w:rsid w:val="00B36B69"/>
    <w:rsid w:val="00B36F8A"/>
    <w:rsid w:val="00B37244"/>
    <w:rsid w:val="00B40BDD"/>
    <w:rsid w:val="00B438BB"/>
    <w:rsid w:val="00B44A0D"/>
    <w:rsid w:val="00B45623"/>
    <w:rsid w:val="00B45E4C"/>
    <w:rsid w:val="00B46410"/>
    <w:rsid w:val="00B464A8"/>
    <w:rsid w:val="00B47432"/>
    <w:rsid w:val="00B47799"/>
    <w:rsid w:val="00B52E4C"/>
    <w:rsid w:val="00B56C72"/>
    <w:rsid w:val="00B576C3"/>
    <w:rsid w:val="00B57C45"/>
    <w:rsid w:val="00B57C88"/>
    <w:rsid w:val="00B61583"/>
    <w:rsid w:val="00B620C0"/>
    <w:rsid w:val="00B62281"/>
    <w:rsid w:val="00B62E89"/>
    <w:rsid w:val="00B637FC"/>
    <w:rsid w:val="00B6398A"/>
    <w:rsid w:val="00B64373"/>
    <w:rsid w:val="00B64915"/>
    <w:rsid w:val="00B6559D"/>
    <w:rsid w:val="00B65BE0"/>
    <w:rsid w:val="00B6750F"/>
    <w:rsid w:val="00B67D3A"/>
    <w:rsid w:val="00B7048A"/>
    <w:rsid w:val="00B70BE9"/>
    <w:rsid w:val="00B70DB9"/>
    <w:rsid w:val="00B71486"/>
    <w:rsid w:val="00B74603"/>
    <w:rsid w:val="00B74A6F"/>
    <w:rsid w:val="00B74B4B"/>
    <w:rsid w:val="00B75D56"/>
    <w:rsid w:val="00B76EBC"/>
    <w:rsid w:val="00B770DC"/>
    <w:rsid w:val="00B80CBF"/>
    <w:rsid w:val="00B812CB"/>
    <w:rsid w:val="00B82633"/>
    <w:rsid w:val="00B85FAA"/>
    <w:rsid w:val="00B861F2"/>
    <w:rsid w:val="00B874DF"/>
    <w:rsid w:val="00B904D3"/>
    <w:rsid w:val="00B905D9"/>
    <w:rsid w:val="00B91E2E"/>
    <w:rsid w:val="00B91FCB"/>
    <w:rsid w:val="00B9205B"/>
    <w:rsid w:val="00B935CC"/>
    <w:rsid w:val="00B94881"/>
    <w:rsid w:val="00B94909"/>
    <w:rsid w:val="00B94B4B"/>
    <w:rsid w:val="00B95281"/>
    <w:rsid w:val="00B95CD8"/>
    <w:rsid w:val="00BA0BC5"/>
    <w:rsid w:val="00BA0F13"/>
    <w:rsid w:val="00BA1470"/>
    <w:rsid w:val="00BA1E1E"/>
    <w:rsid w:val="00BA3DBC"/>
    <w:rsid w:val="00BA49F8"/>
    <w:rsid w:val="00BA5C46"/>
    <w:rsid w:val="00BA76B9"/>
    <w:rsid w:val="00BB0224"/>
    <w:rsid w:val="00BB0628"/>
    <w:rsid w:val="00BB06DE"/>
    <w:rsid w:val="00BB085F"/>
    <w:rsid w:val="00BB1962"/>
    <w:rsid w:val="00BB3BDE"/>
    <w:rsid w:val="00BB3EEF"/>
    <w:rsid w:val="00BB4459"/>
    <w:rsid w:val="00BB5336"/>
    <w:rsid w:val="00BB6B14"/>
    <w:rsid w:val="00BC3077"/>
    <w:rsid w:val="00BC3399"/>
    <w:rsid w:val="00BC33DA"/>
    <w:rsid w:val="00BC4279"/>
    <w:rsid w:val="00BC46A3"/>
    <w:rsid w:val="00BC47E8"/>
    <w:rsid w:val="00BC5E39"/>
    <w:rsid w:val="00BD1C17"/>
    <w:rsid w:val="00BD4FD9"/>
    <w:rsid w:val="00BD7031"/>
    <w:rsid w:val="00BE04D9"/>
    <w:rsid w:val="00BE1462"/>
    <w:rsid w:val="00BE2413"/>
    <w:rsid w:val="00BE296E"/>
    <w:rsid w:val="00BE3882"/>
    <w:rsid w:val="00BE3E1B"/>
    <w:rsid w:val="00BE516C"/>
    <w:rsid w:val="00BE6879"/>
    <w:rsid w:val="00BE77E8"/>
    <w:rsid w:val="00BE7920"/>
    <w:rsid w:val="00BE7DB3"/>
    <w:rsid w:val="00BF0335"/>
    <w:rsid w:val="00BF04D1"/>
    <w:rsid w:val="00BF0B25"/>
    <w:rsid w:val="00BF15AC"/>
    <w:rsid w:val="00BF1AB0"/>
    <w:rsid w:val="00BF1BC5"/>
    <w:rsid w:val="00BF22F5"/>
    <w:rsid w:val="00BF2644"/>
    <w:rsid w:val="00BF5855"/>
    <w:rsid w:val="00BF6B40"/>
    <w:rsid w:val="00BF730D"/>
    <w:rsid w:val="00C0123F"/>
    <w:rsid w:val="00C01C2E"/>
    <w:rsid w:val="00C02323"/>
    <w:rsid w:val="00C03EF7"/>
    <w:rsid w:val="00C05386"/>
    <w:rsid w:val="00C05DE1"/>
    <w:rsid w:val="00C05FA6"/>
    <w:rsid w:val="00C10806"/>
    <w:rsid w:val="00C1375F"/>
    <w:rsid w:val="00C1533E"/>
    <w:rsid w:val="00C15476"/>
    <w:rsid w:val="00C1673F"/>
    <w:rsid w:val="00C16D61"/>
    <w:rsid w:val="00C17128"/>
    <w:rsid w:val="00C1737B"/>
    <w:rsid w:val="00C179D9"/>
    <w:rsid w:val="00C21217"/>
    <w:rsid w:val="00C21327"/>
    <w:rsid w:val="00C2143D"/>
    <w:rsid w:val="00C21F2D"/>
    <w:rsid w:val="00C2270B"/>
    <w:rsid w:val="00C23EAD"/>
    <w:rsid w:val="00C23F6D"/>
    <w:rsid w:val="00C25314"/>
    <w:rsid w:val="00C255E8"/>
    <w:rsid w:val="00C2635A"/>
    <w:rsid w:val="00C3006A"/>
    <w:rsid w:val="00C3078C"/>
    <w:rsid w:val="00C33B0B"/>
    <w:rsid w:val="00C33E72"/>
    <w:rsid w:val="00C3440D"/>
    <w:rsid w:val="00C34ADA"/>
    <w:rsid w:val="00C35C8E"/>
    <w:rsid w:val="00C4027C"/>
    <w:rsid w:val="00C403E0"/>
    <w:rsid w:val="00C42CED"/>
    <w:rsid w:val="00C42F30"/>
    <w:rsid w:val="00C430E7"/>
    <w:rsid w:val="00C45CCD"/>
    <w:rsid w:val="00C45D95"/>
    <w:rsid w:val="00C46573"/>
    <w:rsid w:val="00C471DB"/>
    <w:rsid w:val="00C5035A"/>
    <w:rsid w:val="00C50F57"/>
    <w:rsid w:val="00C51DFE"/>
    <w:rsid w:val="00C52023"/>
    <w:rsid w:val="00C537D2"/>
    <w:rsid w:val="00C55F47"/>
    <w:rsid w:val="00C567C0"/>
    <w:rsid w:val="00C56DFF"/>
    <w:rsid w:val="00C572D5"/>
    <w:rsid w:val="00C5745C"/>
    <w:rsid w:val="00C604BF"/>
    <w:rsid w:val="00C612CF"/>
    <w:rsid w:val="00C61E16"/>
    <w:rsid w:val="00C62BF3"/>
    <w:rsid w:val="00C62C2F"/>
    <w:rsid w:val="00C6563C"/>
    <w:rsid w:val="00C658DA"/>
    <w:rsid w:val="00C6596A"/>
    <w:rsid w:val="00C66C31"/>
    <w:rsid w:val="00C7013C"/>
    <w:rsid w:val="00C73792"/>
    <w:rsid w:val="00C73A08"/>
    <w:rsid w:val="00C73A34"/>
    <w:rsid w:val="00C73E16"/>
    <w:rsid w:val="00C74FFC"/>
    <w:rsid w:val="00C750B4"/>
    <w:rsid w:val="00C75DAA"/>
    <w:rsid w:val="00C7682A"/>
    <w:rsid w:val="00C769DD"/>
    <w:rsid w:val="00C76AEB"/>
    <w:rsid w:val="00C7704A"/>
    <w:rsid w:val="00C805D4"/>
    <w:rsid w:val="00C80E4F"/>
    <w:rsid w:val="00C84505"/>
    <w:rsid w:val="00C84CBE"/>
    <w:rsid w:val="00C8651B"/>
    <w:rsid w:val="00C8724D"/>
    <w:rsid w:val="00C87488"/>
    <w:rsid w:val="00C8770C"/>
    <w:rsid w:val="00C87D5F"/>
    <w:rsid w:val="00C928E9"/>
    <w:rsid w:val="00C93021"/>
    <w:rsid w:val="00C96238"/>
    <w:rsid w:val="00CA0605"/>
    <w:rsid w:val="00CA24FA"/>
    <w:rsid w:val="00CA3471"/>
    <w:rsid w:val="00CA38AF"/>
    <w:rsid w:val="00CA3E3F"/>
    <w:rsid w:val="00CA4400"/>
    <w:rsid w:val="00CA4A05"/>
    <w:rsid w:val="00CA4F54"/>
    <w:rsid w:val="00CA5C92"/>
    <w:rsid w:val="00CA603B"/>
    <w:rsid w:val="00CA6071"/>
    <w:rsid w:val="00CA7955"/>
    <w:rsid w:val="00CA7D4A"/>
    <w:rsid w:val="00CB4047"/>
    <w:rsid w:val="00CB412D"/>
    <w:rsid w:val="00CB7C49"/>
    <w:rsid w:val="00CC123E"/>
    <w:rsid w:val="00CC1757"/>
    <w:rsid w:val="00CC250B"/>
    <w:rsid w:val="00CC2DB3"/>
    <w:rsid w:val="00CC2FE0"/>
    <w:rsid w:val="00CC4C4F"/>
    <w:rsid w:val="00CC52B2"/>
    <w:rsid w:val="00CC52F0"/>
    <w:rsid w:val="00CC6256"/>
    <w:rsid w:val="00CC7E81"/>
    <w:rsid w:val="00CD0440"/>
    <w:rsid w:val="00CD145A"/>
    <w:rsid w:val="00CD3415"/>
    <w:rsid w:val="00CD3FFA"/>
    <w:rsid w:val="00CD4228"/>
    <w:rsid w:val="00CD567D"/>
    <w:rsid w:val="00CD57F1"/>
    <w:rsid w:val="00CD5DBA"/>
    <w:rsid w:val="00CD682B"/>
    <w:rsid w:val="00CE059A"/>
    <w:rsid w:val="00CE0A66"/>
    <w:rsid w:val="00CE1D16"/>
    <w:rsid w:val="00CE2B30"/>
    <w:rsid w:val="00CE35D6"/>
    <w:rsid w:val="00CE3E70"/>
    <w:rsid w:val="00CE4E49"/>
    <w:rsid w:val="00CE5015"/>
    <w:rsid w:val="00CE588B"/>
    <w:rsid w:val="00CE6337"/>
    <w:rsid w:val="00CE78F5"/>
    <w:rsid w:val="00CE7FCB"/>
    <w:rsid w:val="00CF07E9"/>
    <w:rsid w:val="00CF1388"/>
    <w:rsid w:val="00CF18A8"/>
    <w:rsid w:val="00CF27B5"/>
    <w:rsid w:val="00CF57DA"/>
    <w:rsid w:val="00CF5F4E"/>
    <w:rsid w:val="00CF66C0"/>
    <w:rsid w:val="00CF6E6A"/>
    <w:rsid w:val="00CF6EC8"/>
    <w:rsid w:val="00CF6EDD"/>
    <w:rsid w:val="00CF7451"/>
    <w:rsid w:val="00CF7661"/>
    <w:rsid w:val="00D0042B"/>
    <w:rsid w:val="00D0104A"/>
    <w:rsid w:val="00D01FE1"/>
    <w:rsid w:val="00D02CCF"/>
    <w:rsid w:val="00D02EC4"/>
    <w:rsid w:val="00D03C39"/>
    <w:rsid w:val="00D05594"/>
    <w:rsid w:val="00D06BCB"/>
    <w:rsid w:val="00D101BE"/>
    <w:rsid w:val="00D11365"/>
    <w:rsid w:val="00D115B3"/>
    <w:rsid w:val="00D11715"/>
    <w:rsid w:val="00D11F3E"/>
    <w:rsid w:val="00D12251"/>
    <w:rsid w:val="00D125F7"/>
    <w:rsid w:val="00D13B89"/>
    <w:rsid w:val="00D146F8"/>
    <w:rsid w:val="00D14BF0"/>
    <w:rsid w:val="00D14F43"/>
    <w:rsid w:val="00D16F81"/>
    <w:rsid w:val="00D20581"/>
    <w:rsid w:val="00D22BC2"/>
    <w:rsid w:val="00D25333"/>
    <w:rsid w:val="00D26281"/>
    <w:rsid w:val="00D272D5"/>
    <w:rsid w:val="00D3329F"/>
    <w:rsid w:val="00D33B44"/>
    <w:rsid w:val="00D33F5B"/>
    <w:rsid w:val="00D33FCF"/>
    <w:rsid w:val="00D35A8E"/>
    <w:rsid w:val="00D375F8"/>
    <w:rsid w:val="00D40B3C"/>
    <w:rsid w:val="00D41B07"/>
    <w:rsid w:val="00D41B42"/>
    <w:rsid w:val="00D4271D"/>
    <w:rsid w:val="00D42FB1"/>
    <w:rsid w:val="00D4519F"/>
    <w:rsid w:val="00D453E0"/>
    <w:rsid w:val="00D45AAD"/>
    <w:rsid w:val="00D45B2B"/>
    <w:rsid w:val="00D46629"/>
    <w:rsid w:val="00D46D28"/>
    <w:rsid w:val="00D47983"/>
    <w:rsid w:val="00D500C4"/>
    <w:rsid w:val="00D50AA3"/>
    <w:rsid w:val="00D5250A"/>
    <w:rsid w:val="00D526AB"/>
    <w:rsid w:val="00D529F4"/>
    <w:rsid w:val="00D540DB"/>
    <w:rsid w:val="00D544FB"/>
    <w:rsid w:val="00D551C4"/>
    <w:rsid w:val="00D557C4"/>
    <w:rsid w:val="00D565E9"/>
    <w:rsid w:val="00D608E0"/>
    <w:rsid w:val="00D61737"/>
    <w:rsid w:val="00D62F00"/>
    <w:rsid w:val="00D641FE"/>
    <w:rsid w:val="00D64C1E"/>
    <w:rsid w:val="00D64DA3"/>
    <w:rsid w:val="00D65A9C"/>
    <w:rsid w:val="00D6774E"/>
    <w:rsid w:val="00D703DF"/>
    <w:rsid w:val="00D706A8"/>
    <w:rsid w:val="00D71215"/>
    <w:rsid w:val="00D71272"/>
    <w:rsid w:val="00D722AA"/>
    <w:rsid w:val="00D72D01"/>
    <w:rsid w:val="00D72E76"/>
    <w:rsid w:val="00D743CF"/>
    <w:rsid w:val="00D7666E"/>
    <w:rsid w:val="00D77179"/>
    <w:rsid w:val="00D80D2B"/>
    <w:rsid w:val="00D81386"/>
    <w:rsid w:val="00D81BAF"/>
    <w:rsid w:val="00D84926"/>
    <w:rsid w:val="00D8678D"/>
    <w:rsid w:val="00D87AE4"/>
    <w:rsid w:val="00D907CE"/>
    <w:rsid w:val="00D90D3B"/>
    <w:rsid w:val="00D90E94"/>
    <w:rsid w:val="00D91674"/>
    <w:rsid w:val="00D917F3"/>
    <w:rsid w:val="00D91A61"/>
    <w:rsid w:val="00D92099"/>
    <w:rsid w:val="00D9274F"/>
    <w:rsid w:val="00D92808"/>
    <w:rsid w:val="00D929E9"/>
    <w:rsid w:val="00D945B4"/>
    <w:rsid w:val="00D96EA3"/>
    <w:rsid w:val="00D972B3"/>
    <w:rsid w:val="00DA0089"/>
    <w:rsid w:val="00DA062B"/>
    <w:rsid w:val="00DA1BC6"/>
    <w:rsid w:val="00DA1F16"/>
    <w:rsid w:val="00DA49E1"/>
    <w:rsid w:val="00DA5BCC"/>
    <w:rsid w:val="00DA7F06"/>
    <w:rsid w:val="00DB1EA8"/>
    <w:rsid w:val="00DB2F5E"/>
    <w:rsid w:val="00DB3E52"/>
    <w:rsid w:val="00DB410D"/>
    <w:rsid w:val="00DB5B3C"/>
    <w:rsid w:val="00DB6183"/>
    <w:rsid w:val="00DB664B"/>
    <w:rsid w:val="00DB6BB7"/>
    <w:rsid w:val="00DB75B9"/>
    <w:rsid w:val="00DC284A"/>
    <w:rsid w:val="00DC31E7"/>
    <w:rsid w:val="00DC4173"/>
    <w:rsid w:val="00DC43A7"/>
    <w:rsid w:val="00DC612A"/>
    <w:rsid w:val="00DC6545"/>
    <w:rsid w:val="00DC6581"/>
    <w:rsid w:val="00DC6709"/>
    <w:rsid w:val="00DC7521"/>
    <w:rsid w:val="00DD089A"/>
    <w:rsid w:val="00DD1100"/>
    <w:rsid w:val="00DD1F30"/>
    <w:rsid w:val="00DD246A"/>
    <w:rsid w:val="00DD3079"/>
    <w:rsid w:val="00DD38F5"/>
    <w:rsid w:val="00DD57AC"/>
    <w:rsid w:val="00DD5A15"/>
    <w:rsid w:val="00DD6137"/>
    <w:rsid w:val="00DD63BB"/>
    <w:rsid w:val="00DD646A"/>
    <w:rsid w:val="00DE0CFC"/>
    <w:rsid w:val="00DE0DED"/>
    <w:rsid w:val="00DE1CC6"/>
    <w:rsid w:val="00DE1D5E"/>
    <w:rsid w:val="00DE21FF"/>
    <w:rsid w:val="00DE2AE3"/>
    <w:rsid w:val="00DE38CF"/>
    <w:rsid w:val="00DE422C"/>
    <w:rsid w:val="00DE57F5"/>
    <w:rsid w:val="00DE5FD1"/>
    <w:rsid w:val="00DF105E"/>
    <w:rsid w:val="00DF12DE"/>
    <w:rsid w:val="00DF241F"/>
    <w:rsid w:val="00DF2E8B"/>
    <w:rsid w:val="00DF3172"/>
    <w:rsid w:val="00DF39B0"/>
    <w:rsid w:val="00E00265"/>
    <w:rsid w:val="00E00DF9"/>
    <w:rsid w:val="00E02990"/>
    <w:rsid w:val="00E04824"/>
    <w:rsid w:val="00E04C7D"/>
    <w:rsid w:val="00E06F7D"/>
    <w:rsid w:val="00E07C6F"/>
    <w:rsid w:val="00E11257"/>
    <w:rsid w:val="00E12155"/>
    <w:rsid w:val="00E13EDD"/>
    <w:rsid w:val="00E142B5"/>
    <w:rsid w:val="00E15396"/>
    <w:rsid w:val="00E16895"/>
    <w:rsid w:val="00E1746D"/>
    <w:rsid w:val="00E20C92"/>
    <w:rsid w:val="00E21920"/>
    <w:rsid w:val="00E21F8F"/>
    <w:rsid w:val="00E22BC4"/>
    <w:rsid w:val="00E23134"/>
    <w:rsid w:val="00E24051"/>
    <w:rsid w:val="00E25C12"/>
    <w:rsid w:val="00E26A58"/>
    <w:rsid w:val="00E304F4"/>
    <w:rsid w:val="00E30B53"/>
    <w:rsid w:val="00E31AE8"/>
    <w:rsid w:val="00E3211A"/>
    <w:rsid w:val="00E3287D"/>
    <w:rsid w:val="00E32D23"/>
    <w:rsid w:val="00E33631"/>
    <w:rsid w:val="00E339D7"/>
    <w:rsid w:val="00E35A52"/>
    <w:rsid w:val="00E361E3"/>
    <w:rsid w:val="00E37CFD"/>
    <w:rsid w:val="00E408E6"/>
    <w:rsid w:val="00E41116"/>
    <w:rsid w:val="00E41A54"/>
    <w:rsid w:val="00E4367E"/>
    <w:rsid w:val="00E437AF"/>
    <w:rsid w:val="00E4433C"/>
    <w:rsid w:val="00E44FDF"/>
    <w:rsid w:val="00E45C11"/>
    <w:rsid w:val="00E4642B"/>
    <w:rsid w:val="00E47F65"/>
    <w:rsid w:val="00E5103A"/>
    <w:rsid w:val="00E5180D"/>
    <w:rsid w:val="00E518B1"/>
    <w:rsid w:val="00E5224E"/>
    <w:rsid w:val="00E52EE1"/>
    <w:rsid w:val="00E54677"/>
    <w:rsid w:val="00E55D73"/>
    <w:rsid w:val="00E574C9"/>
    <w:rsid w:val="00E6019C"/>
    <w:rsid w:val="00E60A11"/>
    <w:rsid w:val="00E62C66"/>
    <w:rsid w:val="00E62E83"/>
    <w:rsid w:val="00E62ECF"/>
    <w:rsid w:val="00E63193"/>
    <w:rsid w:val="00E64097"/>
    <w:rsid w:val="00E65629"/>
    <w:rsid w:val="00E65E9C"/>
    <w:rsid w:val="00E661B3"/>
    <w:rsid w:val="00E724F1"/>
    <w:rsid w:val="00E732DF"/>
    <w:rsid w:val="00E73F02"/>
    <w:rsid w:val="00E748BB"/>
    <w:rsid w:val="00E75703"/>
    <w:rsid w:val="00E75A2D"/>
    <w:rsid w:val="00E80A2E"/>
    <w:rsid w:val="00E80D56"/>
    <w:rsid w:val="00E8626B"/>
    <w:rsid w:val="00E86CBB"/>
    <w:rsid w:val="00E87B9C"/>
    <w:rsid w:val="00E9124E"/>
    <w:rsid w:val="00E9143B"/>
    <w:rsid w:val="00E923F3"/>
    <w:rsid w:val="00E92C57"/>
    <w:rsid w:val="00E94A79"/>
    <w:rsid w:val="00E952E9"/>
    <w:rsid w:val="00E959C8"/>
    <w:rsid w:val="00E964CF"/>
    <w:rsid w:val="00E9760C"/>
    <w:rsid w:val="00E97EA8"/>
    <w:rsid w:val="00EA04DB"/>
    <w:rsid w:val="00EA14CF"/>
    <w:rsid w:val="00EA2234"/>
    <w:rsid w:val="00EA2B27"/>
    <w:rsid w:val="00EA4141"/>
    <w:rsid w:val="00EA42B0"/>
    <w:rsid w:val="00EA5552"/>
    <w:rsid w:val="00EA6638"/>
    <w:rsid w:val="00EA7199"/>
    <w:rsid w:val="00EA7DA6"/>
    <w:rsid w:val="00EB00C5"/>
    <w:rsid w:val="00EB57C1"/>
    <w:rsid w:val="00EB5CCC"/>
    <w:rsid w:val="00EB66A9"/>
    <w:rsid w:val="00EB7BFE"/>
    <w:rsid w:val="00EC0D22"/>
    <w:rsid w:val="00EC12C9"/>
    <w:rsid w:val="00EC1D16"/>
    <w:rsid w:val="00EC3F64"/>
    <w:rsid w:val="00EC6B41"/>
    <w:rsid w:val="00EC6DA7"/>
    <w:rsid w:val="00EC7276"/>
    <w:rsid w:val="00ED045F"/>
    <w:rsid w:val="00ED0C33"/>
    <w:rsid w:val="00ED2950"/>
    <w:rsid w:val="00ED2F2F"/>
    <w:rsid w:val="00ED330C"/>
    <w:rsid w:val="00ED38B4"/>
    <w:rsid w:val="00ED4714"/>
    <w:rsid w:val="00ED62FD"/>
    <w:rsid w:val="00ED6D0F"/>
    <w:rsid w:val="00ED6F9C"/>
    <w:rsid w:val="00ED7195"/>
    <w:rsid w:val="00EE3B69"/>
    <w:rsid w:val="00EE401A"/>
    <w:rsid w:val="00EE6EF2"/>
    <w:rsid w:val="00EF0219"/>
    <w:rsid w:val="00EF27B1"/>
    <w:rsid w:val="00EF2B64"/>
    <w:rsid w:val="00EF497F"/>
    <w:rsid w:val="00EF6C7A"/>
    <w:rsid w:val="00EF7320"/>
    <w:rsid w:val="00F0097A"/>
    <w:rsid w:val="00F05F08"/>
    <w:rsid w:val="00F0641C"/>
    <w:rsid w:val="00F07A13"/>
    <w:rsid w:val="00F10013"/>
    <w:rsid w:val="00F1090D"/>
    <w:rsid w:val="00F127F6"/>
    <w:rsid w:val="00F1564D"/>
    <w:rsid w:val="00F1574E"/>
    <w:rsid w:val="00F17858"/>
    <w:rsid w:val="00F201B8"/>
    <w:rsid w:val="00F204EF"/>
    <w:rsid w:val="00F225A6"/>
    <w:rsid w:val="00F22C55"/>
    <w:rsid w:val="00F2318E"/>
    <w:rsid w:val="00F2339F"/>
    <w:rsid w:val="00F25956"/>
    <w:rsid w:val="00F26C0F"/>
    <w:rsid w:val="00F2708C"/>
    <w:rsid w:val="00F27953"/>
    <w:rsid w:val="00F279E4"/>
    <w:rsid w:val="00F3035C"/>
    <w:rsid w:val="00F30718"/>
    <w:rsid w:val="00F314B2"/>
    <w:rsid w:val="00F3210A"/>
    <w:rsid w:val="00F348A8"/>
    <w:rsid w:val="00F354A5"/>
    <w:rsid w:val="00F354F6"/>
    <w:rsid w:val="00F35A7F"/>
    <w:rsid w:val="00F364D9"/>
    <w:rsid w:val="00F36853"/>
    <w:rsid w:val="00F36D78"/>
    <w:rsid w:val="00F37634"/>
    <w:rsid w:val="00F406D1"/>
    <w:rsid w:val="00F4079F"/>
    <w:rsid w:val="00F4249D"/>
    <w:rsid w:val="00F426E2"/>
    <w:rsid w:val="00F435EB"/>
    <w:rsid w:val="00F44B13"/>
    <w:rsid w:val="00F468F8"/>
    <w:rsid w:val="00F4704F"/>
    <w:rsid w:val="00F47113"/>
    <w:rsid w:val="00F5079F"/>
    <w:rsid w:val="00F50AC0"/>
    <w:rsid w:val="00F5266E"/>
    <w:rsid w:val="00F52B63"/>
    <w:rsid w:val="00F54A48"/>
    <w:rsid w:val="00F55F9C"/>
    <w:rsid w:val="00F5705E"/>
    <w:rsid w:val="00F572FD"/>
    <w:rsid w:val="00F577A2"/>
    <w:rsid w:val="00F60913"/>
    <w:rsid w:val="00F61438"/>
    <w:rsid w:val="00F6221D"/>
    <w:rsid w:val="00F62509"/>
    <w:rsid w:val="00F6399B"/>
    <w:rsid w:val="00F64365"/>
    <w:rsid w:val="00F643C5"/>
    <w:rsid w:val="00F658F4"/>
    <w:rsid w:val="00F67CD3"/>
    <w:rsid w:val="00F67FD1"/>
    <w:rsid w:val="00F71074"/>
    <w:rsid w:val="00F71335"/>
    <w:rsid w:val="00F727D5"/>
    <w:rsid w:val="00F737DB"/>
    <w:rsid w:val="00F748C4"/>
    <w:rsid w:val="00F75667"/>
    <w:rsid w:val="00F778EE"/>
    <w:rsid w:val="00F77D73"/>
    <w:rsid w:val="00F80CB3"/>
    <w:rsid w:val="00F81262"/>
    <w:rsid w:val="00F83F65"/>
    <w:rsid w:val="00F86A9B"/>
    <w:rsid w:val="00F900C0"/>
    <w:rsid w:val="00F90452"/>
    <w:rsid w:val="00F9057D"/>
    <w:rsid w:val="00F93009"/>
    <w:rsid w:val="00F93109"/>
    <w:rsid w:val="00F9386D"/>
    <w:rsid w:val="00F943F3"/>
    <w:rsid w:val="00F944C4"/>
    <w:rsid w:val="00F94DFF"/>
    <w:rsid w:val="00F951E5"/>
    <w:rsid w:val="00F978E0"/>
    <w:rsid w:val="00FA007D"/>
    <w:rsid w:val="00FA0BF5"/>
    <w:rsid w:val="00FA4FCB"/>
    <w:rsid w:val="00FA5268"/>
    <w:rsid w:val="00FA5ED0"/>
    <w:rsid w:val="00FA7A99"/>
    <w:rsid w:val="00FB2457"/>
    <w:rsid w:val="00FB2E32"/>
    <w:rsid w:val="00FB2F24"/>
    <w:rsid w:val="00FB3B16"/>
    <w:rsid w:val="00FB3BEE"/>
    <w:rsid w:val="00FB64AC"/>
    <w:rsid w:val="00FB6727"/>
    <w:rsid w:val="00FB69A2"/>
    <w:rsid w:val="00FB7B51"/>
    <w:rsid w:val="00FC1369"/>
    <w:rsid w:val="00FC1B6B"/>
    <w:rsid w:val="00FC268E"/>
    <w:rsid w:val="00FC2CDC"/>
    <w:rsid w:val="00FC424B"/>
    <w:rsid w:val="00FC532E"/>
    <w:rsid w:val="00FC76C4"/>
    <w:rsid w:val="00FD38AE"/>
    <w:rsid w:val="00FD3C12"/>
    <w:rsid w:val="00FD3D4F"/>
    <w:rsid w:val="00FD41BC"/>
    <w:rsid w:val="00FD5770"/>
    <w:rsid w:val="00FD5B95"/>
    <w:rsid w:val="00FD5BB4"/>
    <w:rsid w:val="00FD6431"/>
    <w:rsid w:val="00FD7386"/>
    <w:rsid w:val="00FE0B3D"/>
    <w:rsid w:val="00FE0E1E"/>
    <w:rsid w:val="00FE1998"/>
    <w:rsid w:val="00FE1DD1"/>
    <w:rsid w:val="00FE277B"/>
    <w:rsid w:val="00FE2C41"/>
    <w:rsid w:val="00FE44D5"/>
    <w:rsid w:val="00FE6F28"/>
    <w:rsid w:val="00FE7914"/>
    <w:rsid w:val="00FE7A1C"/>
    <w:rsid w:val="00FF0B21"/>
    <w:rsid w:val="00FF0F41"/>
    <w:rsid w:val="00FF4AA5"/>
    <w:rsid w:val="00FF4AE8"/>
    <w:rsid w:val="00FF4F41"/>
    <w:rsid w:val="00FF519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colormru v:ext="edit" colors="#50b3cf,#005a84,white,#fd0,#e20177,#003a57"/>
      <o:colormenu v:ext="edit" fillcolor="white"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24B"/>
    <w:pPr>
      <w:spacing w:before="60" w:after="240"/>
    </w:pPr>
    <w:rPr>
      <w:rFonts w:ascii="Arial" w:hAnsi="Arial"/>
      <w:lang w:eastAsia="en-US"/>
    </w:rPr>
  </w:style>
  <w:style w:type="paragraph" w:styleId="Heading1">
    <w:name w:val="heading 1"/>
    <w:basedOn w:val="Normal"/>
    <w:next w:val="Normal"/>
    <w:qFormat/>
    <w:rsid w:val="00E8626B"/>
    <w:pPr>
      <w:keepNext/>
      <w:pageBreakBefore/>
      <w:numPr>
        <w:numId w:val="17"/>
      </w:numPr>
      <w:spacing w:before="120" w:after="600" w:line="280" w:lineRule="atLeast"/>
      <w:contextualSpacing/>
      <w:outlineLvl w:val="0"/>
    </w:pPr>
    <w:rPr>
      <w:rFonts w:cs="Arial"/>
      <w:bCs/>
      <w:color w:val="0092D2"/>
      <w:sz w:val="36"/>
      <w:szCs w:val="32"/>
    </w:rPr>
  </w:style>
  <w:style w:type="paragraph" w:styleId="Heading2">
    <w:name w:val="heading 2"/>
    <w:basedOn w:val="Normal"/>
    <w:next w:val="Normal"/>
    <w:qFormat/>
    <w:rsid w:val="00D703DF"/>
    <w:pPr>
      <w:keepNext/>
      <w:numPr>
        <w:ilvl w:val="1"/>
        <w:numId w:val="17"/>
      </w:numPr>
      <w:spacing w:before="400" w:after="120" w:line="280" w:lineRule="exact"/>
      <w:outlineLvl w:val="1"/>
    </w:pPr>
    <w:rPr>
      <w:rFonts w:cs="Arial"/>
      <w:bCs/>
      <w:iCs/>
      <w:caps/>
      <w:color w:val="7F7F7F"/>
      <w:sz w:val="26"/>
      <w:szCs w:val="28"/>
    </w:rPr>
  </w:style>
  <w:style w:type="paragraph" w:styleId="Heading3">
    <w:name w:val="heading 3"/>
    <w:basedOn w:val="Normal"/>
    <w:next w:val="Normal"/>
    <w:qFormat/>
    <w:rsid w:val="00D703DF"/>
    <w:pPr>
      <w:keepNext/>
      <w:numPr>
        <w:ilvl w:val="2"/>
        <w:numId w:val="17"/>
      </w:numPr>
      <w:spacing w:before="300" w:after="120" w:line="280" w:lineRule="exact"/>
      <w:outlineLvl w:val="2"/>
    </w:pPr>
    <w:rPr>
      <w:rFonts w:cs="Arial"/>
      <w:bCs/>
      <w:i/>
      <w:color w:val="7F7F7F"/>
      <w:sz w:val="24"/>
      <w:szCs w:val="24"/>
    </w:rPr>
  </w:style>
  <w:style w:type="paragraph" w:styleId="Heading4">
    <w:name w:val="heading 4"/>
    <w:basedOn w:val="Normal"/>
    <w:next w:val="Normal"/>
    <w:qFormat/>
    <w:rsid w:val="00D703DF"/>
    <w:pPr>
      <w:keepNext/>
      <w:numPr>
        <w:ilvl w:val="3"/>
        <w:numId w:val="17"/>
      </w:numPr>
      <w:spacing w:before="180" w:after="60" w:line="280" w:lineRule="exact"/>
      <w:ind w:left="862" w:hanging="862"/>
      <w:outlineLvl w:val="3"/>
    </w:pPr>
    <w:rPr>
      <w:bCs/>
      <w:color w:val="7F7F7F"/>
      <w:sz w:val="22"/>
      <w:szCs w:val="28"/>
    </w:rPr>
  </w:style>
  <w:style w:type="paragraph" w:styleId="Heading5">
    <w:name w:val="heading 5"/>
    <w:basedOn w:val="Normal"/>
    <w:next w:val="Normal"/>
    <w:qFormat/>
    <w:rsid w:val="00E16895"/>
    <w:pPr>
      <w:numPr>
        <w:ilvl w:val="4"/>
        <w:numId w:val="17"/>
      </w:numPr>
      <w:spacing w:before="240" w:after="60"/>
      <w:outlineLvl w:val="4"/>
    </w:pPr>
    <w:rPr>
      <w:b/>
      <w:bCs/>
      <w:i/>
      <w:iCs/>
      <w:sz w:val="26"/>
      <w:szCs w:val="26"/>
    </w:rPr>
  </w:style>
  <w:style w:type="paragraph" w:styleId="Heading6">
    <w:name w:val="heading 6"/>
    <w:basedOn w:val="Normal"/>
    <w:next w:val="Normal"/>
    <w:qFormat/>
    <w:rsid w:val="00E16895"/>
    <w:pPr>
      <w:numPr>
        <w:ilvl w:val="5"/>
        <w:numId w:val="17"/>
      </w:numPr>
      <w:spacing w:before="240" w:after="60"/>
      <w:outlineLvl w:val="5"/>
    </w:pPr>
    <w:rPr>
      <w:rFonts w:ascii="Times New Roman" w:hAnsi="Times New Roman"/>
      <w:b/>
      <w:bCs/>
      <w:sz w:val="22"/>
      <w:szCs w:val="22"/>
    </w:rPr>
  </w:style>
  <w:style w:type="paragraph" w:styleId="Heading7">
    <w:name w:val="heading 7"/>
    <w:basedOn w:val="Normal"/>
    <w:next w:val="Normal"/>
    <w:qFormat/>
    <w:rsid w:val="00E16895"/>
    <w:pPr>
      <w:numPr>
        <w:ilvl w:val="6"/>
        <w:numId w:val="17"/>
      </w:numPr>
      <w:spacing w:before="240" w:after="60"/>
      <w:outlineLvl w:val="6"/>
    </w:pPr>
    <w:rPr>
      <w:rFonts w:ascii="Times New Roman" w:hAnsi="Times New Roman"/>
      <w:sz w:val="24"/>
      <w:szCs w:val="24"/>
    </w:rPr>
  </w:style>
  <w:style w:type="paragraph" w:styleId="Heading8">
    <w:name w:val="heading 8"/>
    <w:basedOn w:val="Normal"/>
    <w:next w:val="Normal"/>
    <w:qFormat/>
    <w:rsid w:val="00E16895"/>
    <w:pPr>
      <w:numPr>
        <w:ilvl w:val="7"/>
        <w:numId w:val="17"/>
      </w:numPr>
      <w:spacing w:before="240" w:after="60"/>
      <w:outlineLvl w:val="7"/>
    </w:pPr>
    <w:rPr>
      <w:rFonts w:ascii="Times New Roman" w:hAnsi="Times New Roman"/>
      <w:i/>
      <w:iCs/>
      <w:sz w:val="24"/>
      <w:szCs w:val="24"/>
    </w:rPr>
  </w:style>
  <w:style w:type="paragraph" w:styleId="Heading9">
    <w:name w:val="heading 9"/>
    <w:basedOn w:val="Normal"/>
    <w:next w:val="Normal"/>
    <w:qFormat/>
    <w:rsid w:val="00E16895"/>
    <w:pPr>
      <w:numPr>
        <w:ilvl w:val="8"/>
        <w:numId w:val="17"/>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0">
    <w:name w:val="No List"/>
    <w:semiHidden/>
  </w:style>
  <w:style w:type="paragraph" w:styleId="Header">
    <w:name w:val="header"/>
    <w:basedOn w:val="Normal"/>
    <w:rsid w:val="002802A2"/>
    <w:pPr>
      <w:spacing w:before="0" w:after="0"/>
    </w:pPr>
  </w:style>
  <w:style w:type="paragraph" w:styleId="Footer">
    <w:name w:val="footer"/>
    <w:link w:val="FooterChar"/>
    <w:rsid w:val="00370892"/>
    <w:pPr>
      <w:tabs>
        <w:tab w:val="center" w:pos="4320"/>
        <w:tab w:val="right" w:pos="8640"/>
      </w:tabs>
    </w:pPr>
    <w:rPr>
      <w:rFonts w:ascii="Arial" w:hAnsi="Arial"/>
      <w:sz w:val="16"/>
      <w:szCs w:val="16"/>
      <w:lang w:eastAsia="en-US"/>
    </w:rPr>
  </w:style>
  <w:style w:type="table" w:styleId="TableGrid">
    <w:name w:val="Table Grid"/>
    <w:basedOn w:val="TableNormal"/>
    <w:rsid w:val="00E20C92"/>
    <w:pPr>
      <w:spacing w:after="200" w:line="280" w:lineRule="exact"/>
      <w:ind w:left="108"/>
    </w:pPr>
    <w:rPr>
      <w:rFonts w:ascii="Arial" w:hAnsi="Arial"/>
      <w:sz w:val="18"/>
    </w:rPr>
    <w:tblPr>
      <w:tblStyleRow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pPr>
        <w:wordWrap/>
        <w:spacing w:afterLines="0" w:afterAutospacing="0" w:line="280" w:lineRule="exact"/>
        <w:ind w:leftChars="0" w:left="108"/>
        <w:contextualSpacing w:val="0"/>
      </w:pPr>
      <w:rPr>
        <w:rFonts w:ascii="Arial" w:hAnsi="Arial"/>
        <w:caps/>
        <w:smallCaps w:val="0"/>
        <w:strike w:val="0"/>
        <w:dstrike w:val="0"/>
        <w:outline w:val="0"/>
        <w:shadow w:val="0"/>
        <w:emboss w:val="0"/>
        <w:imprint w:val="0"/>
        <w:vanish w:val="0"/>
        <w:color w:val="009FE3"/>
        <w:sz w:val="18"/>
        <w:vertAlign w:val="baseline"/>
      </w:rPr>
    </w:tblStylePr>
    <w:tblStylePr w:type="band1Horz">
      <w:tblPr/>
      <w:tcPr>
        <w:shd w:val="clear" w:color="auto" w:fill="F3F3F3"/>
      </w:tcPr>
    </w:tblStylePr>
  </w:style>
  <w:style w:type="paragraph" w:customStyle="1" w:styleId="UrbisTitle">
    <w:name w:val="Urbis Title"/>
    <w:basedOn w:val="Normal"/>
    <w:semiHidden/>
    <w:rsid w:val="0033207F"/>
    <w:pPr>
      <w:spacing w:before="0" w:after="0"/>
      <w:ind w:right="113"/>
    </w:pPr>
    <w:rPr>
      <w:color w:val="000000"/>
      <w:sz w:val="50"/>
      <w:szCs w:val="50"/>
    </w:rPr>
  </w:style>
  <w:style w:type="paragraph" w:customStyle="1" w:styleId="Spacer">
    <w:name w:val="Spacer"/>
    <w:basedOn w:val="Normal"/>
    <w:rsid w:val="002802A2"/>
    <w:pPr>
      <w:spacing w:before="0" w:after="0"/>
    </w:pPr>
    <w:rPr>
      <w:sz w:val="2"/>
      <w:szCs w:val="2"/>
    </w:rPr>
  </w:style>
  <w:style w:type="paragraph" w:customStyle="1" w:styleId="UrbisClientCompany">
    <w:name w:val="Urbis Client Company"/>
    <w:basedOn w:val="Normal"/>
    <w:semiHidden/>
    <w:rsid w:val="0033207F"/>
    <w:pPr>
      <w:spacing w:before="0"/>
      <w:ind w:right="113"/>
    </w:pPr>
    <w:rPr>
      <w:color w:val="000000"/>
      <w:sz w:val="28"/>
      <w:szCs w:val="28"/>
    </w:rPr>
  </w:style>
  <w:style w:type="paragraph" w:customStyle="1" w:styleId="UrbisClientAddress">
    <w:name w:val="Urbis Client Address"/>
    <w:basedOn w:val="Normal"/>
    <w:semiHidden/>
    <w:rsid w:val="0033207F"/>
    <w:pPr>
      <w:spacing w:before="0" w:after="50"/>
      <w:ind w:right="113"/>
    </w:pPr>
    <w:rPr>
      <w:color w:val="000000"/>
    </w:rPr>
  </w:style>
  <w:style w:type="paragraph" w:customStyle="1" w:styleId="UrbisCopyright">
    <w:name w:val="Urbis Copyright"/>
    <w:basedOn w:val="Footer"/>
    <w:semiHidden/>
    <w:rsid w:val="00F2708C"/>
  </w:style>
  <w:style w:type="paragraph" w:customStyle="1" w:styleId="UrbisHeaderTitle">
    <w:name w:val="Urbis Header Title"/>
    <w:basedOn w:val="Normal"/>
    <w:semiHidden/>
    <w:rsid w:val="00261787"/>
    <w:pPr>
      <w:spacing w:before="0" w:after="0" w:line="320" w:lineRule="exact"/>
    </w:pPr>
    <w:rPr>
      <w:caps/>
      <w:color w:val="000000"/>
      <w:sz w:val="19"/>
      <w:szCs w:val="19"/>
    </w:rPr>
  </w:style>
  <w:style w:type="paragraph" w:styleId="TOC1">
    <w:name w:val="toc 1"/>
    <w:basedOn w:val="Normal"/>
    <w:next w:val="Normal"/>
    <w:uiPriority w:val="39"/>
    <w:rsid w:val="006D5A73"/>
    <w:pPr>
      <w:tabs>
        <w:tab w:val="left" w:pos="448"/>
        <w:tab w:val="right" w:leader="dot" w:pos="9191"/>
      </w:tabs>
      <w:spacing w:before="240" w:after="40"/>
      <w:ind w:left="448" w:hanging="448"/>
    </w:pPr>
    <w:rPr>
      <w:b/>
      <w:noProof/>
      <w:szCs w:val="24"/>
    </w:rPr>
  </w:style>
  <w:style w:type="character" w:customStyle="1" w:styleId="UrbisClientCompanyC">
    <w:name w:val="Urbis Client Company_C"/>
    <w:basedOn w:val="DefaultParagraphFont"/>
    <w:semiHidden/>
    <w:rsid w:val="00475FCF"/>
    <w:rPr>
      <w:rFonts w:ascii="Arial" w:hAnsi="Arial"/>
      <w:color w:val="000080"/>
      <w:sz w:val="30"/>
    </w:rPr>
  </w:style>
  <w:style w:type="paragraph" w:styleId="ListBullet">
    <w:name w:val="List Bullet"/>
    <w:basedOn w:val="Normal"/>
    <w:link w:val="ListBulletChar"/>
    <w:rsid w:val="007372F3"/>
    <w:pPr>
      <w:numPr>
        <w:numId w:val="18"/>
      </w:numPr>
      <w:spacing w:before="0" w:after="120" w:line="280" w:lineRule="exact"/>
    </w:pPr>
  </w:style>
  <w:style w:type="paragraph" w:styleId="ListBullet2">
    <w:name w:val="List Bullet 2"/>
    <w:basedOn w:val="Normal"/>
    <w:rsid w:val="007372F3"/>
    <w:pPr>
      <w:numPr>
        <w:numId w:val="19"/>
      </w:numPr>
      <w:spacing w:before="0" w:after="120" w:line="280" w:lineRule="exact"/>
    </w:pPr>
  </w:style>
  <w:style w:type="paragraph" w:customStyle="1" w:styleId="Head1no">
    <w:name w:val="Head 1 (no #)"/>
    <w:basedOn w:val="Heading1"/>
    <w:next w:val="Normal"/>
    <w:rsid w:val="00312CDE"/>
    <w:pPr>
      <w:pageBreakBefore w:val="0"/>
      <w:numPr>
        <w:numId w:val="0"/>
      </w:numPr>
    </w:pPr>
  </w:style>
  <w:style w:type="paragraph" w:customStyle="1" w:styleId="Head2no">
    <w:name w:val="Head 2 (no #)"/>
    <w:basedOn w:val="Heading2"/>
    <w:next w:val="Normal"/>
    <w:rsid w:val="00312CDE"/>
    <w:pPr>
      <w:numPr>
        <w:ilvl w:val="0"/>
        <w:numId w:val="0"/>
      </w:numPr>
    </w:pPr>
  </w:style>
  <w:style w:type="paragraph" w:customStyle="1" w:styleId="ExecutiveSummary">
    <w:name w:val="Executive Summary"/>
    <w:basedOn w:val="Normal"/>
    <w:next w:val="Normal"/>
    <w:rsid w:val="00815626"/>
    <w:pPr>
      <w:spacing w:before="0" w:after="360"/>
    </w:pPr>
    <w:rPr>
      <w:color w:val="009FE3"/>
      <w:sz w:val="36"/>
      <w:szCs w:val="36"/>
    </w:rPr>
  </w:style>
  <w:style w:type="paragraph" w:customStyle="1" w:styleId="Head3no">
    <w:name w:val="Head 3 (no #)"/>
    <w:basedOn w:val="Heading3"/>
    <w:next w:val="Normal"/>
    <w:rsid w:val="00312CDE"/>
    <w:pPr>
      <w:numPr>
        <w:ilvl w:val="0"/>
        <w:numId w:val="0"/>
      </w:numPr>
    </w:pPr>
    <w:rPr>
      <w:i w:val="0"/>
    </w:rPr>
  </w:style>
  <w:style w:type="paragraph" w:customStyle="1" w:styleId="aLettered">
    <w:name w:val="(a) Lettered"/>
    <w:basedOn w:val="BodyText"/>
    <w:rsid w:val="00F67FD1"/>
    <w:pPr>
      <w:numPr>
        <w:numId w:val="29"/>
      </w:numPr>
      <w:spacing w:before="0" w:after="160" w:line="280" w:lineRule="exact"/>
    </w:pPr>
    <w:rPr>
      <w:iCs/>
    </w:rPr>
  </w:style>
  <w:style w:type="paragraph" w:styleId="BodyText">
    <w:name w:val="Body Text"/>
    <w:basedOn w:val="Normal"/>
    <w:semiHidden/>
    <w:rsid w:val="00C769DD"/>
    <w:pPr>
      <w:spacing w:after="120"/>
    </w:pPr>
  </w:style>
  <w:style w:type="paragraph" w:customStyle="1" w:styleId="Nolist">
    <w:name w:val="No. list"/>
    <w:basedOn w:val="BodyText"/>
    <w:rsid w:val="00471A1C"/>
    <w:pPr>
      <w:numPr>
        <w:numId w:val="10"/>
      </w:numPr>
      <w:spacing w:after="60" w:line="240" w:lineRule="exact"/>
    </w:pPr>
  </w:style>
  <w:style w:type="paragraph" w:customStyle="1" w:styleId="HangingQuote">
    <w:name w:val="Hanging Quote"/>
    <w:basedOn w:val="Normal"/>
    <w:rsid w:val="006E6ABD"/>
    <w:pPr>
      <w:suppressAutoHyphens/>
      <w:ind w:left="227" w:right="284"/>
    </w:pPr>
    <w:rPr>
      <w:rFonts w:cs="Arial"/>
      <w:i/>
      <w:spacing w:val="-2"/>
    </w:rPr>
  </w:style>
  <w:style w:type="paragraph" w:customStyle="1" w:styleId="Appendix1">
    <w:name w:val="Appendix 1"/>
    <w:basedOn w:val="Normal"/>
    <w:next w:val="Normal"/>
    <w:rsid w:val="00EF7320"/>
    <w:pPr>
      <w:pageBreakBefore/>
      <w:spacing w:before="3000" w:after="120"/>
    </w:pPr>
    <w:rPr>
      <w:color w:val="009FE3"/>
      <w:sz w:val="36"/>
      <w:szCs w:val="48"/>
    </w:rPr>
  </w:style>
  <w:style w:type="paragraph" w:customStyle="1" w:styleId="Appendix2">
    <w:name w:val="Appendix 2"/>
    <w:basedOn w:val="Normal"/>
    <w:next w:val="Normal"/>
    <w:rsid w:val="00080E79"/>
    <w:pPr>
      <w:numPr>
        <w:ilvl w:val="1"/>
        <w:numId w:val="11"/>
      </w:numPr>
      <w:spacing w:before="480" w:after="60"/>
    </w:pPr>
    <w:rPr>
      <w:color w:val="7F7F7F"/>
      <w:sz w:val="26"/>
      <w:szCs w:val="28"/>
    </w:rPr>
  </w:style>
  <w:style w:type="paragraph" w:customStyle="1" w:styleId="UrbisPicture1">
    <w:name w:val="Urbis Picture 1"/>
    <w:basedOn w:val="Normal"/>
    <w:semiHidden/>
    <w:rsid w:val="00DC43A7"/>
    <w:pPr>
      <w:spacing w:before="120" w:after="0"/>
    </w:pPr>
  </w:style>
  <w:style w:type="paragraph" w:styleId="TOC2">
    <w:name w:val="toc 2"/>
    <w:basedOn w:val="Normal"/>
    <w:next w:val="Normal"/>
    <w:rsid w:val="006D5A73"/>
    <w:pPr>
      <w:tabs>
        <w:tab w:val="left" w:pos="1050"/>
        <w:tab w:val="right" w:leader="dot" w:pos="9191"/>
      </w:tabs>
      <w:spacing w:after="40"/>
      <w:ind w:left="1050" w:hanging="602"/>
    </w:pPr>
    <w:rPr>
      <w:rFonts w:cs="Arial"/>
      <w:noProof/>
    </w:rPr>
  </w:style>
  <w:style w:type="paragraph" w:styleId="TOC3">
    <w:name w:val="toc 3"/>
    <w:basedOn w:val="Normal"/>
    <w:next w:val="Normal"/>
    <w:rsid w:val="006D5A73"/>
    <w:pPr>
      <w:tabs>
        <w:tab w:val="left" w:pos="1050"/>
        <w:tab w:val="right" w:leader="dot" w:pos="9191"/>
      </w:tabs>
      <w:spacing w:before="0" w:after="40"/>
      <w:ind w:left="1050" w:hanging="602"/>
    </w:pPr>
  </w:style>
  <w:style w:type="paragraph" w:customStyle="1" w:styleId="Appendix4">
    <w:name w:val="Appendix 4"/>
    <w:basedOn w:val="Appendix3"/>
    <w:rsid w:val="00967587"/>
    <w:rPr>
      <w:sz w:val="22"/>
    </w:rPr>
  </w:style>
  <w:style w:type="paragraph" w:styleId="TableofFigures">
    <w:name w:val="table of figures"/>
    <w:basedOn w:val="Normal"/>
    <w:next w:val="Normal"/>
    <w:rsid w:val="0070566D"/>
    <w:pPr>
      <w:tabs>
        <w:tab w:val="left" w:pos="1414"/>
        <w:tab w:val="right" w:leader="dot" w:pos="9191"/>
      </w:tabs>
      <w:spacing w:before="0" w:after="60"/>
      <w:ind w:left="1414" w:hanging="966"/>
    </w:pPr>
    <w:rPr>
      <w:sz w:val="18"/>
      <w:szCs w:val="18"/>
    </w:rPr>
  </w:style>
  <w:style w:type="paragraph" w:customStyle="1" w:styleId="TOCSubheadings">
    <w:name w:val="TOC Subheadings"/>
    <w:basedOn w:val="Normal"/>
    <w:rsid w:val="001B1E76"/>
    <w:pPr>
      <w:spacing w:before="0" w:after="60"/>
    </w:pPr>
    <w:rPr>
      <w:b/>
      <w:caps/>
      <w:color w:val="000000"/>
    </w:rPr>
  </w:style>
  <w:style w:type="paragraph" w:customStyle="1" w:styleId="UrbisPhotoCell">
    <w:name w:val="Urbis Photo Cell"/>
    <w:basedOn w:val="Normal"/>
    <w:semiHidden/>
    <w:rsid w:val="00E20C92"/>
    <w:pPr>
      <w:spacing w:before="0"/>
    </w:pPr>
  </w:style>
  <w:style w:type="paragraph" w:customStyle="1" w:styleId="Char">
    <w:name w:val=" Char"/>
    <w:basedOn w:val="Normal"/>
    <w:rsid w:val="008266F1"/>
    <w:pPr>
      <w:spacing w:before="0" w:after="160" w:line="240" w:lineRule="exact"/>
    </w:pPr>
    <w:rPr>
      <w:rFonts w:ascii="Times New Roman" w:eastAsia="Batang" w:hAnsi="Times New Roman"/>
      <w:sz w:val="24"/>
      <w:szCs w:val="24"/>
      <w:lang w:val="en-US" w:eastAsia="en-AU"/>
    </w:rPr>
  </w:style>
  <w:style w:type="paragraph" w:customStyle="1" w:styleId="UrbisTableBody">
    <w:name w:val="Urbis Table Body"/>
    <w:basedOn w:val="Normal"/>
    <w:rsid w:val="00E62ECF"/>
    <w:pPr>
      <w:spacing w:before="40" w:after="40" w:line="280" w:lineRule="exact"/>
      <w:ind w:left="108"/>
    </w:pPr>
    <w:rPr>
      <w:sz w:val="18"/>
      <w:szCs w:val="18"/>
    </w:rPr>
  </w:style>
  <w:style w:type="paragraph" w:customStyle="1" w:styleId="UrbisTableHeader">
    <w:name w:val="Urbis Table Header"/>
    <w:basedOn w:val="Normal"/>
    <w:rsid w:val="00E20C92"/>
    <w:pPr>
      <w:spacing w:before="40" w:after="160" w:line="280" w:lineRule="exact"/>
      <w:ind w:left="108"/>
    </w:pPr>
    <w:rPr>
      <w:color w:val="009FE3"/>
      <w:sz w:val="18"/>
      <w:szCs w:val="24"/>
    </w:rPr>
  </w:style>
  <w:style w:type="paragraph" w:customStyle="1" w:styleId="UrbisTableBullets">
    <w:name w:val="Urbis Table Bullets"/>
    <w:basedOn w:val="UrbisTableBody"/>
    <w:rsid w:val="00D80D2B"/>
    <w:pPr>
      <w:numPr>
        <w:numId w:val="12"/>
      </w:numPr>
    </w:pPr>
  </w:style>
  <w:style w:type="paragraph" w:styleId="TOC6">
    <w:name w:val="toc 6"/>
    <w:basedOn w:val="Normal"/>
    <w:next w:val="Normal"/>
    <w:rsid w:val="006D5A73"/>
    <w:pPr>
      <w:tabs>
        <w:tab w:val="left" w:pos="812"/>
        <w:tab w:val="right" w:leader="dot" w:pos="9191"/>
      </w:tabs>
      <w:spacing w:before="0" w:after="60"/>
      <w:ind w:left="812" w:hanging="364"/>
    </w:pPr>
    <w:rPr>
      <w:noProof/>
    </w:rPr>
  </w:style>
  <w:style w:type="paragraph" w:customStyle="1" w:styleId="FooterFileName">
    <w:name w:val="Footer File Name"/>
    <w:basedOn w:val="Footer"/>
    <w:rsid w:val="004A62CD"/>
    <w:rPr>
      <w:sz w:val="12"/>
      <w:szCs w:val="12"/>
    </w:rPr>
  </w:style>
  <w:style w:type="paragraph" w:customStyle="1" w:styleId="FooterPageNo">
    <w:name w:val="Footer Page No"/>
    <w:basedOn w:val="Footer"/>
    <w:rsid w:val="002802A2"/>
    <w:pPr>
      <w:ind w:right="17"/>
      <w:jc w:val="right"/>
    </w:pPr>
  </w:style>
  <w:style w:type="table" w:customStyle="1" w:styleId="CaptionTable">
    <w:name w:val="Caption_Table"/>
    <w:basedOn w:val="TableNormal"/>
    <w:rsid w:val="00033461"/>
    <w:tblPr>
      <w:tblInd w:w="0" w:type="dxa"/>
      <w:tblCellMar>
        <w:top w:w="0" w:type="dxa"/>
        <w:left w:w="108" w:type="dxa"/>
        <w:bottom w:w="0" w:type="dxa"/>
        <w:right w:w="108" w:type="dxa"/>
      </w:tblCellMar>
    </w:tblPr>
    <w:tcPr>
      <w:vAlign w:val="bottom"/>
    </w:tcPr>
    <w:tblStylePr w:type="firstRow">
      <w:rPr>
        <w:rFonts w:ascii="Arial" w:hAnsi="Arial"/>
        <w:color w:val="009FE3"/>
        <w:sz w:val="24"/>
      </w:rPr>
      <w:tblPr/>
      <w:tcPr>
        <w:tcBorders>
          <w:top w:val="nil"/>
          <w:left w:val="nil"/>
          <w:bottom w:val="nil"/>
          <w:right w:val="nil"/>
          <w:insideH w:val="nil"/>
          <w:insideV w:val="nil"/>
          <w:tl2br w:val="nil"/>
          <w:tr2bl w:val="nil"/>
        </w:tcBorders>
      </w:tcPr>
    </w:tblStylePr>
    <w:tblStylePr w:type="lastRow">
      <w:rPr>
        <w:rFonts w:ascii="Arial" w:hAnsi="Arial"/>
        <w:caps/>
        <w:smallCaps w:val="0"/>
        <w:color w:val="7F7F7F"/>
        <w:sz w:val="16"/>
      </w:rPr>
      <w:tblPr/>
      <w:tcPr>
        <w:tcBorders>
          <w:bottom w:val="dotted" w:sz="4" w:space="0" w:color="0092D2"/>
        </w:tcBorders>
      </w:tcPr>
    </w:tblStylePr>
  </w:style>
  <w:style w:type="numbering" w:styleId="111111">
    <w:name w:val="Outline List 2"/>
    <w:basedOn w:val="NoList0"/>
    <w:semiHidden/>
    <w:rsid w:val="00516E2A"/>
    <w:pPr>
      <w:numPr>
        <w:numId w:val="13"/>
      </w:numPr>
    </w:pPr>
  </w:style>
  <w:style w:type="numbering" w:styleId="1ai">
    <w:name w:val="Outline List 1"/>
    <w:basedOn w:val="NoList0"/>
    <w:semiHidden/>
    <w:rsid w:val="00516E2A"/>
    <w:pPr>
      <w:numPr>
        <w:numId w:val="14"/>
      </w:numPr>
    </w:pPr>
  </w:style>
  <w:style w:type="numbering" w:styleId="ArticleSection">
    <w:name w:val="Outline List 3"/>
    <w:basedOn w:val="NoList0"/>
    <w:semiHidden/>
    <w:rsid w:val="00516E2A"/>
    <w:pPr>
      <w:numPr>
        <w:numId w:val="15"/>
      </w:numPr>
    </w:pPr>
  </w:style>
  <w:style w:type="paragraph" w:styleId="BlockText">
    <w:name w:val="Block Text"/>
    <w:basedOn w:val="Normal"/>
    <w:semiHidden/>
    <w:rsid w:val="00516E2A"/>
    <w:pPr>
      <w:spacing w:after="120"/>
      <w:ind w:left="1440" w:right="1440"/>
    </w:pPr>
  </w:style>
  <w:style w:type="paragraph" w:styleId="BodyText2">
    <w:name w:val="Body Text 2"/>
    <w:basedOn w:val="Normal"/>
    <w:semiHidden/>
    <w:rsid w:val="00516E2A"/>
    <w:pPr>
      <w:spacing w:after="120" w:line="480" w:lineRule="auto"/>
    </w:pPr>
  </w:style>
  <w:style w:type="paragraph" w:styleId="BodyText3">
    <w:name w:val="Body Text 3"/>
    <w:basedOn w:val="Normal"/>
    <w:semiHidden/>
    <w:rsid w:val="00516E2A"/>
    <w:pPr>
      <w:spacing w:after="120"/>
    </w:pPr>
    <w:rPr>
      <w:sz w:val="16"/>
      <w:szCs w:val="16"/>
    </w:rPr>
  </w:style>
  <w:style w:type="paragraph" w:styleId="BodyTextFirstIndent">
    <w:name w:val="Body Text First Indent"/>
    <w:basedOn w:val="BodyText"/>
    <w:semiHidden/>
    <w:rsid w:val="00516E2A"/>
    <w:pPr>
      <w:ind w:firstLine="210"/>
    </w:pPr>
  </w:style>
  <w:style w:type="paragraph" w:styleId="BodyTextIndent">
    <w:name w:val="Body Text Indent"/>
    <w:basedOn w:val="Normal"/>
    <w:semiHidden/>
    <w:rsid w:val="00516E2A"/>
    <w:pPr>
      <w:spacing w:after="120"/>
      <w:ind w:left="283"/>
    </w:pPr>
  </w:style>
  <w:style w:type="paragraph" w:styleId="BodyTextFirstIndent2">
    <w:name w:val="Body Text First Indent 2"/>
    <w:basedOn w:val="BodyTextIndent"/>
    <w:semiHidden/>
    <w:rsid w:val="00516E2A"/>
    <w:pPr>
      <w:ind w:firstLine="210"/>
    </w:pPr>
  </w:style>
  <w:style w:type="paragraph" w:styleId="BodyTextIndent2">
    <w:name w:val="Body Text Indent 2"/>
    <w:basedOn w:val="Normal"/>
    <w:semiHidden/>
    <w:rsid w:val="00516E2A"/>
    <w:pPr>
      <w:spacing w:after="120" w:line="480" w:lineRule="auto"/>
      <w:ind w:left="283"/>
    </w:pPr>
  </w:style>
  <w:style w:type="paragraph" w:styleId="BodyTextIndent3">
    <w:name w:val="Body Text Indent 3"/>
    <w:basedOn w:val="Normal"/>
    <w:semiHidden/>
    <w:rsid w:val="00516E2A"/>
    <w:pPr>
      <w:spacing w:after="120"/>
      <w:ind w:left="283"/>
    </w:pPr>
    <w:rPr>
      <w:sz w:val="16"/>
      <w:szCs w:val="16"/>
    </w:rPr>
  </w:style>
  <w:style w:type="paragraph" w:styleId="Closing">
    <w:name w:val="Closing"/>
    <w:basedOn w:val="Normal"/>
    <w:semiHidden/>
    <w:rsid w:val="00516E2A"/>
    <w:pPr>
      <w:ind w:left="4252"/>
    </w:pPr>
  </w:style>
  <w:style w:type="paragraph" w:styleId="Date">
    <w:name w:val="Date"/>
    <w:basedOn w:val="Normal"/>
    <w:next w:val="Normal"/>
    <w:semiHidden/>
    <w:rsid w:val="00516E2A"/>
  </w:style>
  <w:style w:type="paragraph" w:styleId="E-mailSignature">
    <w:name w:val="E-mail Signature"/>
    <w:basedOn w:val="Normal"/>
    <w:semiHidden/>
    <w:rsid w:val="00516E2A"/>
  </w:style>
  <w:style w:type="character" w:styleId="Emphasis">
    <w:name w:val="Emphasis"/>
    <w:basedOn w:val="DefaultParagraphFont"/>
    <w:qFormat/>
    <w:rsid w:val="00516E2A"/>
    <w:rPr>
      <w:i/>
      <w:iCs/>
    </w:rPr>
  </w:style>
  <w:style w:type="paragraph" w:styleId="EnvelopeAddress">
    <w:name w:val="envelope address"/>
    <w:basedOn w:val="Normal"/>
    <w:semiHidden/>
    <w:rsid w:val="00516E2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516E2A"/>
    <w:rPr>
      <w:rFonts w:cs="Arial"/>
    </w:rPr>
  </w:style>
  <w:style w:type="character" w:styleId="FollowedHyperlink">
    <w:name w:val="FollowedHyperlink"/>
    <w:basedOn w:val="DefaultParagraphFont"/>
    <w:semiHidden/>
    <w:rsid w:val="00516E2A"/>
    <w:rPr>
      <w:color w:val="800080"/>
      <w:u w:val="single"/>
    </w:rPr>
  </w:style>
  <w:style w:type="character" w:styleId="HTMLAcronym">
    <w:name w:val="HTML Acronym"/>
    <w:basedOn w:val="DefaultParagraphFont"/>
    <w:semiHidden/>
    <w:rsid w:val="00516E2A"/>
  </w:style>
  <w:style w:type="paragraph" w:styleId="HTMLAddress">
    <w:name w:val="HTML Address"/>
    <w:basedOn w:val="Normal"/>
    <w:semiHidden/>
    <w:rsid w:val="00516E2A"/>
    <w:rPr>
      <w:i/>
      <w:iCs/>
    </w:rPr>
  </w:style>
  <w:style w:type="character" w:styleId="HTMLCite">
    <w:name w:val="HTML Cite"/>
    <w:basedOn w:val="DefaultParagraphFont"/>
    <w:semiHidden/>
    <w:rsid w:val="00516E2A"/>
    <w:rPr>
      <w:i/>
      <w:iCs/>
    </w:rPr>
  </w:style>
  <w:style w:type="character" w:styleId="HTMLCode">
    <w:name w:val="HTML Code"/>
    <w:basedOn w:val="DefaultParagraphFont"/>
    <w:semiHidden/>
    <w:rsid w:val="00516E2A"/>
    <w:rPr>
      <w:rFonts w:ascii="Courier New" w:hAnsi="Courier New" w:cs="Courier New"/>
      <w:sz w:val="20"/>
      <w:szCs w:val="20"/>
    </w:rPr>
  </w:style>
  <w:style w:type="character" w:styleId="HTMLDefinition">
    <w:name w:val="HTML Definition"/>
    <w:basedOn w:val="DefaultParagraphFont"/>
    <w:semiHidden/>
    <w:rsid w:val="00516E2A"/>
    <w:rPr>
      <w:i/>
      <w:iCs/>
    </w:rPr>
  </w:style>
  <w:style w:type="character" w:styleId="HTMLKeyboard">
    <w:name w:val="HTML Keyboard"/>
    <w:basedOn w:val="DefaultParagraphFont"/>
    <w:semiHidden/>
    <w:rsid w:val="00516E2A"/>
    <w:rPr>
      <w:rFonts w:ascii="Courier New" w:hAnsi="Courier New" w:cs="Courier New"/>
      <w:sz w:val="20"/>
      <w:szCs w:val="20"/>
    </w:rPr>
  </w:style>
  <w:style w:type="paragraph" w:styleId="HTMLPreformatted">
    <w:name w:val="HTML Preformatted"/>
    <w:basedOn w:val="Normal"/>
    <w:semiHidden/>
    <w:rsid w:val="00516E2A"/>
    <w:rPr>
      <w:rFonts w:ascii="Courier New" w:hAnsi="Courier New" w:cs="Courier New"/>
    </w:rPr>
  </w:style>
  <w:style w:type="character" w:styleId="HTMLSample">
    <w:name w:val="HTML Sample"/>
    <w:basedOn w:val="DefaultParagraphFont"/>
    <w:semiHidden/>
    <w:rsid w:val="00516E2A"/>
    <w:rPr>
      <w:rFonts w:ascii="Courier New" w:hAnsi="Courier New" w:cs="Courier New"/>
    </w:rPr>
  </w:style>
  <w:style w:type="character" w:styleId="HTMLTypewriter">
    <w:name w:val="HTML Typewriter"/>
    <w:basedOn w:val="DefaultParagraphFont"/>
    <w:semiHidden/>
    <w:rsid w:val="00516E2A"/>
    <w:rPr>
      <w:rFonts w:ascii="Courier New" w:hAnsi="Courier New" w:cs="Courier New"/>
      <w:sz w:val="20"/>
      <w:szCs w:val="20"/>
    </w:rPr>
  </w:style>
  <w:style w:type="character" w:styleId="HTMLVariable">
    <w:name w:val="HTML Variable"/>
    <w:basedOn w:val="DefaultParagraphFont"/>
    <w:semiHidden/>
    <w:rsid w:val="00516E2A"/>
    <w:rPr>
      <w:i/>
      <w:iCs/>
    </w:rPr>
  </w:style>
  <w:style w:type="character" w:styleId="Hyperlink">
    <w:name w:val="Hyperlink"/>
    <w:basedOn w:val="DefaultParagraphFont"/>
    <w:uiPriority w:val="99"/>
    <w:rsid w:val="00516E2A"/>
    <w:rPr>
      <w:color w:val="0000FF"/>
      <w:u w:val="single"/>
    </w:rPr>
  </w:style>
  <w:style w:type="character" w:styleId="LineNumber">
    <w:name w:val="line number"/>
    <w:basedOn w:val="DefaultParagraphFont"/>
    <w:semiHidden/>
    <w:rsid w:val="00516E2A"/>
  </w:style>
  <w:style w:type="paragraph" w:styleId="List">
    <w:name w:val="List"/>
    <w:basedOn w:val="Normal"/>
    <w:semiHidden/>
    <w:rsid w:val="00516E2A"/>
    <w:pPr>
      <w:ind w:left="283" w:hanging="283"/>
    </w:pPr>
  </w:style>
  <w:style w:type="paragraph" w:styleId="List2">
    <w:name w:val="List 2"/>
    <w:basedOn w:val="Normal"/>
    <w:semiHidden/>
    <w:rsid w:val="00516E2A"/>
    <w:pPr>
      <w:ind w:left="566" w:hanging="283"/>
    </w:pPr>
  </w:style>
  <w:style w:type="paragraph" w:styleId="List3">
    <w:name w:val="List 3"/>
    <w:basedOn w:val="Normal"/>
    <w:semiHidden/>
    <w:rsid w:val="00516E2A"/>
    <w:pPr>
      <w:ind w:left="849" w:hanging="283"/>
    </w:pPr>
  </w:style>
  <w:style w:type="paragraph" w:styleId="List4">
    <w:name w:val="List 4"/>
    <w:basedOn w:val="Normal"/>
    <w:semiHidden/>
    <w:rsid w:val="00516E2A"/>
    <w:pPr>
      <w:ind w:left="1132" w:hanging="283"/>
    </w:pPr>
  </w:style>
  <w:style w:type="paragraph" w:styleId="List5">
    <w:name w:val="List 5"/>
    <w:basedOn w:val="Normal"/>
    <w:semiHidden/>
    <w:rsid w:val="00516E2A"/>
    <w:pPr>
      <w:ind w:left="1415" w:hanging="283"/>
    </w:pPr>
  </w:style>
  <w:style w:type="paragraph" w:styleId="ListBullet3">
    <w:name w:val="List Bullet 3"/>
    <w:basedOn w:val="Normal"/>
    <w:rsid w:val="007372F3"/>
    <w:pPr>
      <w:numPr>
        <w:numId w:val="20"/>
      </w:numPr>
      <w:spacing w:before="0" w:after="200" w:line="280" w:lineRule="exact"/>
    </w:pPr>
  </w:style>
  <w:style w:type="paragraph" w:styleId="ListBullet4">
    <w:name w:val="List Bullet 4"/>
    <w:basedOn w:val="Normal"/>
    <w:rsid w:val="007372F3"/>
    <w:pPr>
      <w:numPr>
        <w:numId w:val="21"/>
      </w:numPr>
      <w:spacing w:before="0" w:after="120" w:line="280" w:lineRule="exact"/>
    </w:pPr>
  </w:style>
  <w:style w:type="paragraph" w:styleId="ListBullet5">
    <w:name w:val="List Bullet 5"/>
    <w:basedOn w:val="Normal"/>
    <w:semiHidden/>
    <w:rsid w:val="00516E2A"/>
    <w:pPr>
      <w:numPr>
        <w:numId w:val="3"/>
      </w:numPr>
    </w:pPr>
  </w:style>
  <w:style w:type="paragraph" w:styleId="ListContinue">
    <w:name w:val="List Continue"/>
    <w:basedOn w:val="Normal"/>
    <w:semiHidden/>
    <w:rsid w:val="00516E2A"/>
    <w:pPr>
      <w:spacing w:after="120"/>
      <w:ind w:left="283"/>
    </w:pPr>
  </w:style>
  <w:style w:type="paragraph" w:styleId="ListContinue2">
    <w:name w:val="List Continue 2"/>
    <w:basedOn w:val="Normal"/>
    <w:semiHidden/>
    <w:rsid w:val="00516E2A"/>
    <w:pPr>
      <w:spacing w:after="120"/>
      <w:ind w:left="566"/>
    </w:pPr>
  </w:style>
  <w:style w:type="paragraph" w:styleId="ListContinue3">
    <w:name w:val="List Continue 3"/>
    <w:basedOn w:val="Normal"/>
    <w:semiHidden/>
    <w:rsid w:val="00516E2A"/>
    <w:pPr>
      <w:spacing w:after="120"/>
      <w:ind w:left="849"/>
    </w:pPr>
  </w:style>
  <w:style w:type="paragraph" w:styleId="ListContinue4">
    <w:name w:val="List Continue 4"/>
    <w:basedOn w:val="Normal"/>
    <w:semiHidden/>
    <w:rsid w:val="00516E2A"/>
    <w:pPr>
      <w:spacing w:after="120"/>
      <w:ind w:left="1132"/>
    </w:pPr>
  </w:style>
  <w:style w:type="paragraph" w:styleId="ListContinue5">
    <w:name w:val="List Continue 5"/>
    <w:basedOn w:val="Normal"/>
    <w:semiHidden/>
    <w:rsid w:val="00516E2A"/>
    <w:pPr>
      <w:spacing w:after="120"/>
      <w:ind w:left="1415"/>
    </w:pPr>
  </w:style>
  <w:style w:type="paragraph" w:styleId="ListNumber">
    <w:name w:val="List Number"/>
    <w:basedOn w:val="Normal"/>
    <w:semiHidden/>
    <w:rsid w:val="00516E2A"/>
    <w:pPr>
      <w:numPr>
        <w:numId w:val="4"/>
      </w:numPr>
    </w:pPr>
  </w:style>
  <w:style w:type="paragraph" w:styleId="ListNumber2">
    <w:name w:val="List Number 2"/>
    <w:basedOn w:val="Normal"/>
    <w:semiHidden/>
    <w:rsid w:val="00516E2A"/>
    <w:pPr>
      <w:numPr>
        <w:numId w:val="5"/>
      </w:numPr>
    </w:pPr>
  </w:style>
  <w:style w:type="paragraph" w:styleId="ListNumber3">
    <w:name w:val="List Number 3"/>
    <w:basedOn w:val="Normal"/>
    <w:semiHidden/>
    <w:rsid w:val="00516E2A"/>
    <w:pPr>
      <w:numPr>
        <w:numId w:val="6"/>
      </w:numPr>
    </w:pPr>
  </w:style>
  <w:style w:type="paragraph" w:styleId="ListNumber4">
    <w:name w:val="List Number 4"/>
    <w:basedOn w:val="Normal"/>
    <w:semiHidden/>
    <w:rsid w:val="00516E2A"/>
    <w:pPr>
      <w:numPr>
        <w:numId w:val="7"/>
      </w:numPr>
    </w:pPr>
  </w:style>
  <w:style w:type="paragraph" w:styleId="ListNumber5">
    <w:name w:val="List Number 5"/>
    <w:basedOn w:val="Normal"/>
    <w:semiHidden/>
    <w:rsid w:val="00516E2A"/>
    <w:pPr>
      <w:numPr>
        <w:numId w:val="8"/>
      </w:numPr>
    </w:pPr>
  </w:style>
  <w:style w:type="paragraph" w:styleId="MessageHeader">
    <w:name w:val="Message Header"/>
    <w:basedOn w:val="Normal"/>
    <w:semiHidden/>
    <w:rsid w:val="00516E2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516E2A"/>
    <w:rPr>
      <w:rFonts w:ascii="Times New Roman" w:hAnsi="Times New Roman"/>
      <w:sz w:val="24"/>
      <w:szCs w:val="24"/>
    </w:rPr>
  </w:style>
  <w:style w:type="paragraph" w:styleId="NoteHeading">
    <w:name w:val="Note Heading"/>
    <w:basedOn w:val="Normal"/>
    <w:next w:val="Normal"/>
    <w:semiHidden/>
    <w:rsid w:val="00516E2A"/>
  </w:style>
  <w:style w:type="paragraph" w:styleId="PlainText">
    <w:name w:val="Plain Text"/>
    <w:basedOn w:val="Normal"/>
    <w:semiHidden/>
    <w:rsid w:val="00516E2A"/>
    <w:rPr>
      <w:rFonts w:ascii="Courier New" w:hAnsi="Courier New" w:cs="Courier New"/>
    </w:rPr>
  </w:style>
  <w:style w:type="paragraph" w:styleId="Salutation">
    <w:name w:val="Salutation"/>
    <w:basedOn w:val="Normal"/>
    <w:next w:val="Normal"/>
    <w:semiHidden/>
    <w:rsid w:val="00516E2A"/>
  </w:style>
  <w:style w:type="paragraph" w:styleId="Signature">
    <w:name w:val="Signature"/>
    <w:basedOn w:val="Normal"/>
    <w:semiHidden/>
    <w:rsid w:val="00516E2A"/>
    <w:pPr>
      <w:ind w:left="4252"/>
    </w:pPr>
  </w:style>
  <w:style w:type="character" w:styleId="Strong">
    <w:name w:val="Strong"/>
    <w:basedOn w:val="DefaultParagraphFont"/>
    <w:qFormat/>
    <w:rsid w:val="00516E2A"/>
    <w:rPr>
      <w:b/>
      <w:bCs/>
    </w:rPr>
  </w:style>
  <w:style w:type="paragraph" w:styleId="Caption">
    <w:name w:val="caption"/>
    <w:basedOn w:val="Normal"/>
    <w:next w:val="Normal"/>
    <w:link w:val="CaptionChar"/>
    <w:qFormat/>
    <w:rsid w:val="008A7854"/>
    <w:pPr>
      <w:keepNext/>
      <w:tabs>
        <w:tab w:val="left" w:pos="980"/>
      </w:tabs>
      <w:spacing w:before="240" w:after="120"/>
      <w:ind w:left="981" w:hanging="981"/>
    </w:pPr>
    <w:rPr>
      <w:bCs/>
      <w:caps/>
      <w:color w:val="009FE3"/>
      <w:sz w:val="18"/>
    </w:rPr>
  </w:style>
  <w:style w:type="table" w:styleId="Table3Deffects1">
    <w:name w:val="Table 3D effects 1"/>
    <w:basedOn w:val="TableNormal"/>
    <w:semiHidden/>
    <w:rsid w:val="00516E2A"/>
    <w:pPr>
      <w:spacing w:before="40" w:after="1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6E2A"/>
    <w:pPr>
      <w:spacing w:before="40" w:after="1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6E2A"/>
    <w:pPr>
      <w:spacing w:before="40" w:after="1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16E2A"/>
    <w:pPr>
      <w:spacing w:before="40" w:after="1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6E2A"/>
    <w:pPr>
      <w:spacing w:before="40" w:after="1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6E2A"/>
    <w:pPr>
      <w:spacing w:before="40" w:after="1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6E2A"/>
    <w:pPr>
      <w:spacing w:before="40" w:after="1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16E2A"/>
    <w:pPr>
      <w:spacing w:before="40" w:after="1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6E2A"/>
    <w:pPr>
      <w:spacing w:before="40" w:after="1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6E2A"/>
    <w:pPr>
      <w:spacing w:before="40" w:after="1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16E2A"/>
    <w:pPr>
      <w:spacing w:before="40" w:after="1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6E2A"/>
    <w:pPr>
      <w:spacing w:before="40" w:after="1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6E2A"/>
    <w:pPr>
      <w:spacing w:before="40" w:after="1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6E2A"/>
    <w:pPr>
      <w:spacing w:before="40" w:after="1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6E2A"/>
    <w:pPr>
      <w:spacing w:before="40" w:after="1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16E2A"/>
    <w:pPr>
      <w:spacing w:before="40" w:after="1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16E2A"/>
    <w:pPr>
      <w:spacing w:before="40" w:after="1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16E2A"/>
    <w:pPr>
      <w:spacing w:before="40" w:after="1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16E2A"/>
    <w:pPr>
      <w:spacing w:before="40" w:after="1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6E2A"/>
    <w:pPr>
      <w:spacing w:before="40" w:after="1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6E2A"/>
    <w:pPr>
      <w:spacing w:before="40" w:after="1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6E2A"/>
    <w:pPr>
      <w:spacing w:before="40" w:after="1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6E2A"/>
    <w:pPr>
      <w:spacing w:before="40" w:after="1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6E2A"/>
    <w:pPr>
      <w:spacing w:before="40" w:after="1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16E2A"/>
    <w:pPr>
      <w:spacing w:before="40" w:after="1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16E2A"/>
    <w:pPr>
      <w:spacing w:before="40" w:after="1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6E2A"/>
    <w:pPr>
      <w:spacing w:before="40" w:after="1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6E2A"/>
    <w:pPr>
      <w:spacing w:before="40" w:after="1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6E2A"/>
    <w:pPr>
      <w:spacing w:before="40" w:after="1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6E2A"/>
    <w:pPr>
      <w:spacing w:before="40" w:after="1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6E2A"/>
    <w:pPr>
      <w:spacing w:before="40" w:after="1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6E2A"/>
    <w:pPr>
      <w:spacing w:before="40" w:after="1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6E2A"/>
    <w:pPr>
      <w:spacing w:before="40" w:after="1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516E2A"/>
    <w:pPr>
      <w:ind w:left="200" w:hanging="200"/>
    </w:pPr>
  </w:style>
  <w:style w:type="table" w:styleId="TableProfessional">
    <w:name w:val="Table Professional"/>
    <w:basedOn w:val="TableNormal"/>
    <w:semiHidden/>
    <w:rsid w:val="00516E2A"/>
    <w:pPr>
      <w:spacing w:before="40" w:after="1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16E2A"/>
    <w:pPr>
      <w:spacing w:before="40" w:after="1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6E2A"/>
    <w:pPr>
      <w:spacing w:before="40" w:after="1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16E2A"/>
    <w:pPr>
      <w:spacing w:before="40" w:after="1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16E2A"/>
    <w:pPr>
      <w:spacing w:before="40" w:after="1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6E2A"/>
    <w:pPr>
      <w:spacing w:before="40" w:after="1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16E2A"/>
    <w:pPr>
      <w:spacing w:before="40" w:after="1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16E2A"/>
    <w:pPr>
      <w:spacing w:before="40" w:after="1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16E2A"/>
    <w:pPr>
      <w:spacing w:before="40" w:after="1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16E2A"/>
    <w:pPr>
      <w:spacing w:before="40" w:after="1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ptionChar">
    <w:name w:val="Caption Char"/>
    <w:basedOn w:val="DefaultParagraphFont"/>
    <w:link w:val="Caption"/>
    <w:rsid w:val="008A7854"/>
    <w:rPr>
      <w:rFonts w:ascii="Arial" w:hAnsi="Arial"/>
      <w:bCs/>
      <w:caps/>
      <w:color w:val="009FE3"/>
      <w:sz w:val="18"/>
      <w:lang w:val="en-AU" w:eastAsia="en-US" w:bidi="ar-SA"/>
    </w:rPr>
  </w:style>
  <w:style w:type="paragraph" w:customStyle="1" w:styleId="Head4no">
    <w:name w:val="Head 4 (no #)"/>
    <w:basedOn w:val="Normal"/>
    <w:next w:val="Normal"/>
    <w:rsid w:val="00312CDE"/>
    <w:pPr>
      <w:keepNext/>
      <w:spacing w:before="180" w:after="60" w:line="280" w:lineRule="exact"/>
    </w:pPr>
    <w:rPr>
      <w:color w:val="7F7F7F"/>
      <w:sz w:val="22"/>
      <w:szCs w:val="22"/>
    </w:rPr>
  </w:style>
  <w:style w:type="paragraph" w:customStyle="1" w:styleId="Job">
    <w:name w:val="Job"/>
    <w:basedOn w:val="Normal"/>
    <w:rsid w:val="00682993"/>
    <w:pPr>
      <w:spacing w:after="0"/>
    </w:pPr>
    <w:rPr>
      <w:b/>
    </w:rPr>
  </w:style>
  <w:style w:type="paragraph" w:customStyle="1" w:styleId="Description">
    <w:name w:val="Description"/>
    <w:basedOn w:val="Normal"/>
    <w:rsid w:val="00682993"/>
    <w:pPr>
      <w:spacing w:before="0" w:after="0"/>
    </w:pPr>
  </w:style>
  <w:style w:type="character" w:customStyle="1" w:styleId="ListBulletChar">
    <w:name w:val="List Bullet Char"/>
    <w:basedOn w:val="DefaultParagraphFont"/>
    <w:link w:val="ListBullet"/>
    <w:rsid w:val="00D101BE"/>
    <w:rPr>
      <w:rFonts w:ascii="Arial" w:hAnsi="Arial"/>
      <w:lang w:val="en-AU" w:eastAsia="en-US" w:bidi="ar-SA"/>
    </w:rPr>
  </w:style>
  <w:style w:type="paragraph" w:customStyle="1" w:styleId="Appendix3">
    <w:name w:val="Appendix 3"/>
    <w:basedOn w:val="Normal"/>
    <w:link w:val="Appendix3Char"/>
    <w:rsid w:val="00080E79"/>
    <w:pPr>
      <w:numPr>
        <w:ilvl w:val="2"/>
        <w:numId w:val="11"/>
      </w:numPr>
      <w:spacing w:before="240" w:after="60"/>
    </w:pPr>
    <w:rPr>
      <w:color w:val="7F7F7F"/>
      <w:sz w:val="24"/>
      <w:szCs w:val="22"/>
    </w:rPr>
  </w:style>
  <w:style w:type="character" w:customStyle="1" w:styleId="Appendix3Char">
    <w:name w:val="Appendix 3 Char"/>
    <w:basedOn w:val="DefaultParagraphFont"/>
    <w:link w:val="Appendix3"/>
    <w:rsid w:val="00080E79"/>
    <w:rPr>
      <w:rFonts w:ascii="Arial" w:hAnsi="Arial"/>
      <w:color w:val="7F7F7F"/>
      <w:sz w:val="24"/>
      <w:szCs w:val="22"/>
      <w:lang w:val="en-AU" w:eastAsia="en-US" w:bidi="ar-SA"/>
    </w:rPr>
  </w:style>
  <w:style w:type="character" w:styleId="PageNumber">
    <w:name w:val="page number"/>
    <w:basedOn w:val="DefaultParagraphFont"/>
    <w:rsid w:val="002D40BB"/>
    <w:rPr>
      <w:rFonts w:ascii="Arial" w:hAnsi="Arial"/>
      <w:color w:val="0092D2"/>
      <w:sz w:val="32"/>
    </w:rPr>
  </w:style>
  <w:style w:type="paragraph" w:styleId="TOC5">
    <w:name w:val="toc 5"/>
    <w:basedOn w:val="Normal"/>
    <w:next w:val="Normal"/>
    <w:rsid w:val="005C7B46"/>
    <w:pPr>
      <w:tabs>
        <w:tab w:val="right" w:leader="dot" w:pos="9191"/>
      </w:tabs>
      <w:spacing w:before="0" w:after="60"/>
    </w:pPr>
    <w:rPr>
      <w:rFonts w:cs="Arial"/>
      <w:b/>
      <w:caps/>
      <w:noProof/>
    </w:rPr>
  </w:style>
  <w:style w:type="paragraph" w:customStyle="1" w:styleId="UrbisTCEntry">
    <w:name w:val="Urbis TC Entry"/>
    <w:basedOn w:val="Normal"/>
    <w:rsid w:val="00634D8A"/>
  </w:style>
  <w:style w:type="paragraph" w:customStyle="1" w:styleId="UrbisCoverTitle">
    <w:name w:val="Urbis Cover Title"/>
    <w:basedOn w:val="Normal"/>
    <w:rsid w:val="008B529F"/>
    <w:pPr>
      <w:jc w:val="right"/>
    </w:pPr>
    <w:rPr>
      <w:color w:val="FFFFFF"/>
      <w:sz w:val="60"/>
      <w:szCs w:val="60"/>
    </w:rPr>
  </w:style>
  <w:style w:type="paragraph" w:customStyle="1" w:styleId="UrbisCoverSubHeading">
    <w:name w:val="Urbis Cover Sub Heading"/>
    <w:basedOn w:val="Normal"/>
    <w:rsid w:val="008B529F"/>
    <w:pPr>
      <w:jc w:val="right"/>
    </w:pPr>
    <w:rPr>
      <w:color w:val="FFFFFF"/>
      <w:sz w:val="32"/>
      <w:szCs w:val="32"/>
    </w:rPr>
  </w:style>
  <w:style w:type="paragraph" w:customStyle="1" w:styleId="UrbisClientLogo">
    <w:name w:val="Urbis Client Logo"/>
    <w:basedOn w:val="Normal"/>
    <w:rsid w:val="003A2766"/>
    <w:pPr>
      <w:spacing w:before="0" w:after="0"/>
      <w:ind w:right="57"/>
      <w:jc w:val="right"/>
    </w:pPr>
  </w:style>
  <w:style w:type="paragraph" w:styleId="BalloonText">
    <w:name w:val="Balloon Text"/>
    <w:basedOn w:val="Normal"/>
    <w:semiHidden/>
    <w:rsid w:val="0094359F"/>
    <w:rPr>
      <w:rFonts w:ascii="Tahoma" w:hAnsi="Tahoma" w:cs="Tahoma"/>
      <w:sz w:val="16"/>
      <w:szCs w:val="16"/>
    </w:rPr>
  </w:style>
  <w:style w:type="paragraph" w:customStyle="1" w:styleId="NormalNumbered">
    <w:name w:val="Normal Numbered"/>
    <w:basedOn w:val="Normal"/>
    <w:rsid w:val="001C774A"/>
    <w:pPr>
      <w:numPr>
        <w:numId w:val="16"/>
      </w:numPr>
    </w:pPr>
  </w:style>
  <w:style w:type="paragraph" w:customStyle="1" w:styleId="UrbisDisclaimer">
    <w:name w:val="Urbis Disclaimer"/>
    <w:basedOn w:val="Normal"/>
    <w:rsid w:val="00A02671"/>
    <w:pPr>
      <w:spacing w:before="0" w:after="80"/>
    </w:pPr>
    <w:rPr>
      <w:sz w:val="18"/>
      <w:szCs w:val="18"/>
    </w:rPr>
  </w:style>
  <w:style w:type="paragraph" w:customStyle="1" w:styleId="UrbisDisclaimerTitle">
    <w:name w:val="Urbis Disclaimer Title"/>
    <w:basedOn w:val="UrbisDisclaimer"/>
    <w:rsid w:val="00A02671"/>
    <w:pPr>
      <w:spacing w:after="120"/>
    </w:pPr>
    <w:rPr>
      <w:b/>
      <w:caps/>
    </w:rPr>
  </w:style>
  <w:style w:type="paragraph" w:styleId="TOC7">
    <w:name w:val="toc 7"/>
    <w:basedOn w:val="Normal"/>
    <w:next w:val="Normal"/>
    <w:rsid w:val="00371D2F"/>
    <w:pPr>
      <w:tabs>
        <w:tab w:val="right" w:pos="9191"/>
      </w:tabs>
      <w:spacing w:before="0" w:after="60"/>
    </w:pPr>
    <w:rPr>
      <w:b/>
      <w:caps/>
    </w:rPr>
  </w:style>
  <w:style w:type="paragraph" w:customStyle="1" w:styleId="UrbisDefinitions">
    <w:name w:val="Urbis Definitions"/>
    <w:basedOn w:val="Normal"/>
    <w:next w:val="Normal"/>
    <w:rsid w:val="00BF04D1"/>
    <w:pPr>
      <w:spacing w:before="3000" w:after="120"/>
    </w:pPr>
    <w:rPr>
      <w:color w:val="009FE3"/>
      <w:sz w:val="36"/>
      <w:szCs w:val="48"/>
    </w:rPr>
  </w:style>
  <w:style w:type="paragraph" w:customStyle="1" w:styleId="OfficeLocale">
    <w:name w:val="Office_Locale"/>
    <w:basedOn w:val="Normal"/>
    <w:rsid w:val="00953A2B"/>
    <w:pPr>
      <w:framePr w:hSpace="180" w:wrap="around" w:vAnchor="text" w:hAnchor="page" w:x="919" w:y="7857"/>
      <w:autoSpaceDE w:val="0"/>
      <w:autoSpaceDN w:val="0"/>
      <w:adjustRightInd w:val="0"/>
    </w:pPr>
    <w:rPr>
      <w:rFonts w:ascii="Antique Olive" w:hAnsi="Antique Olive" w:cs="NeutraliserSansRegular"/>
      <w:color w:val="7E8082"/>
    </w:rPr>
  </w:style>
  <w:style w:type="paragraph" w:customStyle="1" w:styleId="UrbisSupptitle">
    <w:name w:val="Urbis Supp title"/>
    <w:rsid w:val="00B905D9"/>
    <w:pPr>
      <w:jc w:val="right"/>
    </w:pPr>
    <w:rPr>
      <w:rFonts w:ascii="Arial" w:hAnsi="Arial"/>
      <w:b/>
      <w:color w:val="001400"/>
      <w:sz w:val="44"/>
      <w:szCs w:val="44"/>
      <w:lang w:eastAsia="en-US"/>
    </w:rPr>
  </w:style>
  <w:style w:type="paragraph" w:customStyle="1" w:styleId="UrbisSuppDate">
    <w:name w:val="Urbis Supp Date"/>
    <w:rsid w:val="00B905D9"/>
    <w:pPr>
      <w:jc w:val="right"/>
    </w:pPr>
    <w:rPr>
      <w:rFonts w:ascii="Arial" w:hAnsi="Arial"/>
      <w:color w:val="7E8082"/>
      <w:sz w:val="22"/>
      <w:szCs w:val="22"/>
      <w:lang w:eastAsia="en-US"/>
    </w:rPr>
  </w:style>
  <w:style w:type="paragraph" w:customStyle="1" w:styleId="FooterFileNameEven">
    <w:name w:val="Footer File Name Even"/>
    <w:basedOn w:val="FooterFileName"/>
    <w:rsid w:val="00370892"/>
    <w:pPr>
      <w:ind w:right="113"/>
      <w:jc w:val="right"/>
    </w:pPr>
  </w:style>
  <w:style w:type="character" w:styleId="CommentReference">
    <w:name w:val="annotation reference"/>
    <w:basedOn w:val="DefaultParagraphFont"/>
    <w:semiHidden/>
    <w:rsid w:val="006B2652"/>
    <w:rPr>
      <w:sz w:val="16"/>
      <w:szCs w:val="16"/>
    </w:rPr>
  </w:style>
  <w:style w:type="paragraph" w:customStyle="1" w:styleId="StyleUrbisPhotoCell18ptAfter18pt">
    <w:name w:val="Style Urbis Photo Cell + 18 pt After:  18 pt"/>
    <w:basedOn w:val="UrbisPhotoCell"/>
    <w:rsid w:val="00A54EF8"/>
    <w:pPr>
      <w:spacing w:after="120"/>
    </w:pPr>
    <w:rPr>
      <w:sz w:val="36"/>
    </w:rPr>
  </w:style>
  <w:style w:type="paragraph" w:customStyle="1" w:styleId="StyleCaptionPicturesLeft0cmFirstline0cmBefore91">
    <w:name w:val="Style Caption Pictures + Left:  0 cm First line:  0 cm Before:  9...1"/>
    <w:basedOn w:val="Normal"/>
    <w:rsid w:val="000D009B"/>
    <w:pPr>
      <w:tabs>
        <w:tab w:val="left" w:pos="882"/>
      </w:tabs>
      <w:spacing w:after="60"/>
    </w:pPr>
    <w:rPr>
      <w:caps/>
      <w:sz w:val="16"/>
    </w:rPr>
  </w:style>
  <w:style w:type="paragraph" w:customStyle="1" w:styleId="UrbisCoverDateWhite">
    <w:name w:val="Urbis Cover Date White"/>
    <w:basedOn w:val="UrbisCoverTitle"/>
    <w:rsid w:val="00A76E10"/>
    <w:rPr>
      <w:sz w:val="24"/>
    </w:rPr>
  </w:style>
  <w:style w:type="paragraph" w:customStyle="1" w:styleId="UrbisCoverDateBlack">
    <w:name w:val="Urbis Cover Date Black"/>
    <w:basedOn w:val="UrbisCoverDateWhite"/>
    <w:rsid w:val="00A76E10"/>
    <w:rPr>
      <w:color w:val="auto"/>
    </w:rPr>
  </w:style>
  <w:style w:type="paragraph" w:styleId="CommentText">
    <w:name w:val="annotation text"/>
    <w:basedOn w:val="Normal"/>
    <w:semiHidden/>
    <w:rsid w:val="006B2652"/>
  </w:style>
  <w:style w:type="paragraph" w:customStyle="1" w:styleId="SectionNameRight">
    <w:name w:val="Section Name Right"/>
    <w:basedOn w:val="Footer"/>
    <w:link w:val="SectionNameRightCharChar"/>
    <w:rsid w:val="00731ED6"/>
    <w:pPr>
      <w:jc w:val="right"/>
    </w:pPr>
    <w:rPr>
      <w:rFonts w:cs="Arial"/>
      <w:caps/>
      <w:color w:val="009FE3"/>
      <w:sz w:val="12"/>
    </w:rPr>
  </w:style>
  <w:style w:type="character" w:customStyle="1" w:styleId="SectionNameRightCharChar">
    <w:name w:val="Section Name Right Char Char"/>
    <w:basedOn w:val="DefaultParagraphFont"/>
    <w:link w:val="SectionNameRight"/>
    <w:rsid w:val="00731ED6"/>
    <w:rPr>
      <w:rFonts w:ascii="Arial" w:hAnsi="Arial" w:cs="Arial"/>
      <w:caps/>
      <w:color w:val="009FE3"/>
      <w:sz w:val="12"/>
      <w:szCs w:val="16"/>
      <w:lang w:val="en-AU" w:eastAsia="en-US" w:bidi="ar-SA"/>
    </w:rPr>
  </w:style>
  <w:style w:type="paragraph" w:customStyle="1" w:styleId="SectionNameLeft">
    <w:name w:val="Section Name Left"/>
    <w:basedOn w:val="SectionNameRight"/>
    <w:link w:val="SectionNameLeftChar"/>
    <w:rsid w:val="00DD089A"/>
    <w:pPr>
      <w:jc w:val="left"/>
    </w:pPr>
    <w:rPr>
      <w:szCs w:val="20"/>
    </w:rPr>
  </w:style>
  <w:style w:type="character" w:customStyle="1" w:styleId="SectionNameLeftChar">
    <w:name w:val="Section Name Left Char"/>
    <w:basedOn w:val="SectionNameRightCharChar"/>
    <w:link w:val="SectionNameLeft"/>
    <w:rsid w:val="00DD089A"/>
  </w:style>
  <w:style w:type="character" w:customStyle="1" w:styleId="FooterChar">
    <w:name w:val="Footer Char"/>
    <w:basedOn w:val="DefaultParagraphFont"/>
    <w:link w:val="Footer"/>
    <w:rsid w:val="001F7FC7"/>
    <w:rPr>
      <w:rFonts w:ascii="Arial" w:hAnsi="Arial"/>
      <w:sz w:val="16"/>
      <w:szCs w:val="16"/>
      <w:lang w:val="en-AU" w:eastAsia="en-US" w:bidi="ar-SA"/>
    </w:rPr>
  </w:style>
  <w:style w:type="paragraph" w:customStyle="1" w:styleId="Introduction">
    <w:name w:val="Introduction"/>
    <w:basedOn w:val="ExecutiveSummary"/>
    <w:rsid w:val="009278CE"/>
  </w:style>
  <w:style w:type="paragraph" w:customStyle="1" w:styleId="StyleStyleUrbisPhotoCell18ptAfter18pt9ptCustomC">
    <w:name w:val="Style Style Urbis Photo Cell + 18 pt After:  18 pt + 9 pt Custom C..."/>
    <w:basedOn w:val="StyleUrbisPhotoCell18ptAfter18pt"/>
    <w:rsid w:val="00C2635A"/>
    <w:pPr>
      <w:spacing w:after="0"/>
      <w:ind w:left="108"/>
    </w:pPr>
    <w:rPr>
      <w:sz w:val="18"/>
    </w:rPr>
  </w:style>
  <w:style w:type="paragraph" w:styleId="CommentSubject">
    <w:name w:val="annotation subject"/>
    <w:basedOn w:val="CommentText"/>
    <w:next w:val="CommentText"/>
    <w:semiHidden/>
    <w:rsid w:val="006B2652"/>
    <w:rPr>
      <w:b/>
      <w:bCs/>
    </w:rPr>
  </w:style>
</w:styles>
</file>

<file path=word/webSettings.xml><?xml version="1.0" encoding="utf-8"?>
<w:webSettings xmlns:r="http://schemas.openxmlformats.org/officeDocument/2006/relationships" xmlns:w="http://schemas.openxmlformats.org/wordprocessingml/2006/main">
  <w:divs>
    <w:div w:id="21128809">
      <w:bodyDiv w:val="1"/>
      <w:marLeft w:val="0"/>
      <w:marRight w:val="0"/>
      <w:marTop w:val="0"/>
      <w:marBottom w:val="0"/>
      <w:divBdr>
        <w:top w:val="none" w:sz="0" w:space="0" w:color="auto"/>
        <w:left w:val="none" w:sz="0" w:space="0" w:color="auto"/>
        <w:bottom w:val="none" w:sz="0" w:space="0" w:color="auto"/>
        <w:right w:val="none" w:sz="0" w:space="0" w:color="auto"/>
      </w:divBdr>
    </w:div>
    <w:div w:id="61173450">
      <w:bodyDiv w:val="1"/>
      <w:marLeft w:val="0"/>
      <w:marRight w:val="0"/>
      <w:marTop w:val="0"/>
      <w:marBottom w:val="0"/>
      <w:divBdr>
        <w:top w:val="none" w:sz="0" w:space="0" w:color="auto"/>
        <w:left w:val="none" w:sz="0" w:space="0" w:color="auto"/>
        <w:bottom w:val="none" w:sz="0" w:space="0" w:color="auto"/>
        <w:right w:val="none" w:sz="0" w:space="0" w:color="auto"/>
      </w:divBdr>
    </w:div>
    <w:div w:id="77097582">
      <w:bodyDiv w:val="1"/>
      <w:marLeft w:val="0"/>
      <w:marRight w:val="0"/>
      <w:marTop w:val="0"/>
      <w:marBottom w:val="0"/>
      <w:divBdr>
        <w:top w:val="none" w:sz="0" w:space="0" w:color="auto"/>
        <w:left w:val="none" w:sz="0" w:space="0" w:color="auto"/>
        <w:bottom w:val="none" w:sz="0" w:space="0" w:color="auto"/>
        <w:right w:val="none" w:sz="0" w:space="0" w:color="auto"/>
      </w:divBdr>
    </w:div>
    <w:div w:id="127941458">
      <w:bodyDiv w:val="1"/>
      <w:marLeft w:val="0"/>
      <w:marRight w:val="0"/>
      <w:marTop w:val="0"/>
      <w:marBottom w:val="0"/>
      <w:divBdr>
        <w:top w:val="none" w:sz="0" w:space="0" w:color="auto"/>
        <w:left w:val="none" w:sz="0" w:space="0" w:color="auto"/>
        <w:bottom w:val="none" w:sz="0" w:space="0" w:color="auto"/>
        <w:right w:val="none" w:sz="0" w:space="0" w:color="auto"/>
      </w:divBdr>
    </w:div>
    <w:div w:id="135731050">
      <w:bodyDiv w:val="1"/>
      <w:marLeft w:val="0"/>
      <w:marRight w:val="0"/>
      <w:marTop w:val="0"/>
      <w:marBottom w:val="0"/>
      <w:divBdr>
        <w:top w:val="none" w:sz="0" w:space="0" w:color="auto"/>
        <w:left w:val="none" w:sz="0" w:space="0" w:color="auto"/>
        <w:bottom w:val="none" w:sz="0" w:space="0" w:color="auto"/>
        <w:right w:val="none" w:sz="0" w:space="0" w:color="auto"/>
      </w:divBdr>
    </w:div>
    <w:div w:id="199705331">
      <w:bodyDiv w:val="1"/>
      <w:marLeft w:val="0"/>
      <w:marRight w:val="0"/>
      <w:marTop w:val="0"/>
      <w:marBottom w:val="0"/>
      <w:divBdr>
        <w:top w:val="none" w:sz="0" w:space="0" w:color="auto"/>
        <w:left w:val="none" w:sz="0" w:space="0" w:color="auto"/>
        <w:bottom w:val="none" w:sz="0" w:space="0" w:color="auto"/>
        <w:right w:val="none" w:sz="0" w:space="0" w:color="auto"/>
      </w:divBdr>
    </w:div>
    <w:div w:id="235557962">
      <w:bodyDiv w:val="1"/>
      <w:marLeft w:val="0"/>
      <w:marRight w:val="0"/>
      <w:marTop w:val="0"/>
      <w:marBottom w:val="0"/>
      <w:divBdr>
        <w:top w:val="none" w:sz="0" w:space="0" w:color="auto"/>
        <w:left w:val="none" w:sz="0" w:space="0" w:color="auto"/>
        <w:bottom w:val="none" w:sz="0" w:space="0" w:color="auto"/>
        <w:right w:val="none" w:sz="0" w:space="0" w:color="auto"/>
      </w:divBdr>
    </w:div>
    <w:div w:id="246426143">
      <w:bodyDiv w:val="1"/>
      <w:marLeft w:val="0"/>
      <w:marRight w:val="0"/>
      <w:marTop w:val="0"/>
      <w:marBottom w:val="0"/>
      <w:divBdr>
        <w:top w:val="none" w:sz="0" w:space="0" w:color="auto"/>
        <w:left w:val="none" w:sz="0" w:space="0" w:color="auto"/>
        <w:bottom w:val="none" w:sz="0" w:space="0" w:color="auto"/>
        <w:right w:val="none" w:sz="0" w:space="0" w:color="auto"/>
      </w:divBdr>
    </w:div>
    <w:div w:id="310911729">
      <w:bodyDiv w:val="1"/>
      <w:marLeft w:val="0"/>
      <w:marRight w:val="0"/>
      <w:marTop w:val="0"/>
      <w:marBottom w:val="0"/>
      <w:divBdr>
        <w:top w:val="none" w:sz="0" w:space="0" w:color="auto"/>
        <w:left w:val="none" w:sz="0" w:space="0" w:color="auto"/>
        <w:bottom w:val="none" w:sz="0" w:space="0" w:color="auto"/>
        <w:right w:val="none" w:sz="0" w:space="0" w:color="auto"/>
      </w:divBdr>
    </w:div>
    <w:div w:id="367486233">
      <w:bodyDiv w:val="1"/>
      <w:marLeft w:val="0"/>
      <w:marRight w:val="0"/>
      <w:marTop w:val="0"/>
      <w:marBottom w:val="0"/>
      <w:divBdr>
        <w:top w:val="none" w:sz="0" w:space="0" w:color="auto"/>
        <w:left w:val="none" w:sz="0" w:space="0" w:color="auto"/>
        <w:bottom w:val="none" w:sz="0" w:space="0" w:color="auto"/>
        <w:right w:val="none" w:sz="0" w:space="0" w:color="auto"/>
      </w:divBdr>
    </w:div>
    <w:div w:id="372659614">
      <w:bodyDiv w:val="1"/>
      <w:marLeft w:val="0"/>
      <w:marRight w:val="0"/>
      <w:marTop w:val="0"/>
      <w:marBottom w:val="0"/>
      <w:divBdr>
        <w:top w:val="none" w:sz="0" w:space="0" w:color="auto"/>
        <w:left w:val="none" w:sz="0" w:space="0" w:color="auto"/>
        <w:bottom w:val="none" w:sz="0" w:space="0" w:color="auto"/>
        <w:right w:val="none" w:sz="0" w:space="0" w:color="auto"/>
      </w:divBdr>
    </w:div>
    <w:div w:id="374472723">
      <w:bodyDiv w:val="1"/>
      <w:marLeft w:val="0"/>
      <w:marRight w:val="0"/>
      <w:marTop w:val="0"/>
      <w:marBottom w:val="0"/>
      <w:divBdr>
        <w:top w:val="none" w:sz="0" w:space="0" w:color="auto"/>
        <w:left w:val="none" w:sz="0" w:space="0" w:color="auto"/>
        <w:bottom w:val="none" w:sz="0" w:space="0" w:color="auto"/>
        <w:right w:val="none" w:sz="0" w:space="0" w:color="auto"/>
      </w:divBdr>
    </w:div>
    <w:div w:id="397021539">
      <w:bodyDiv w:val="1"/>
      <w:marLeft w:val="0"/>
      <w:marRight w:val="0"/>
      <w:marTop w:val="0"/>
      <w:marBottom w:val="0"/>
      <w:divBdr>
        <w:top w:val="none" w:sz="0" w:space="0" w:color="auto"/>
        <w:left w:val="none" w:sz="0" w:space="0" w:color="auto"/>
        <w:bottom w:val="none" w:sz="0" w:space="0" w:color="auto"/>
        <w:right w:val="none" w:sz="0" w:space="0" w:color="auto"/>
      </w:divBdr>
    </w:div>
    <w:div w:id="420302587">
      <w:bodyDiv w:val="1"/>
      <w:marLeft w:val="0"/>
      <w:marRight w:val="0"/>
      <w:marTop w:val="0"/>
      <w:marBottom w:val="0"/>
      <w:divBdr>
        <w:top w:val="none" w:sz="0" w:space="0" w:color="auto"/>
        <w:left w:val="none" w:sz="0" w:space="0" w:color="auto"/>
        <w:bottom w:val="none" w:sz="0" w:space="0" w:color="auto"/>
        <w:right w:val="none" w:sz="0" w:space="0" w:color="auto"/>
      </w:divBdr>
    </w:div>
    <w:div w:id="453868534">
      <w:bodyDiv w:val="1"/>
      <w:marLeft w:val="0"/>
      <w:marRight w:val="0"/>
      <w:marTop w:val="0"/>
      <w:marBottom w:val="0"/>
      <w:divBdr>
        <w:top w:val="none" w:sz="0" w:space="0" w:color="auto"/>
        <w:left w:val="none" w:sz="0" w:space="0" w:color="auto"/>
        <w:bottom w:val="none" w:sz="0" w:space="0" w:color="auto"/>
        <w:right w:val="none" w:sz="0" w:space="0" w:color="auto"/>
      </w:divBdr>
    </w:div>
    <w:div w:id="473451715">
      <w:bodyDiv w:val="1"/>
      <w:marLeft w:val="0"/>
      <w:marRight w:val="0"/>
      <w:marTop w:val="0"/>
      <w:marBottom w:val="0"/>
      <w:divBdr>
        <w:top w:val="none" w:sz="0" w:space="0" w:color="auto"/>
        <w:left w:val="none" w:sz="0" w:space="0" w:color="auto"/>
        <w:bottom w:val="none" w:sz="0" w:space="0" w:color="auto"/>
        <w:right w:val="none" w:sz="0" w:space="0" w:color="auto"/>
      </w:divBdr>
    </w:div>
    <w:div w:id="518278838">
      <w:bodyDiv w:val="1"/>
      <w:marLeft w:val="0"/>
      <w:marRight w:val="0"/>
      <w:marTop w:val="0"/>
      <w:marBottom w:val="0"/>
      <w:divBdr>
        <w:top w:val="none" w:sz="0" w:space="0" w:color="auto"/>
        <w:left w:val="none" w:sz="0" w:space="0" w:color="auto"/>
        <w:bottom w:val="none" w:sz="0" w:space="0" w:color="auto"/>
        <w:right w:val="none" w:sz="0" w:space="0" w:color="auto"/>
      </w:divBdr>
    </w:div>
    <w:div w:id="520554499">
      <w:bodyDiv w:val="1"/>
      <w:marLeft w:val="0"/>
      <w:marRight w:val="0"/>
      <w:marTop w:val="0"/>
      <w:marBottom w:val="0"/>
      <w:divBdr>
        <w:top w:val="none" w:sz="0" w:space="0" w:color="auto"/>
        <w:left w:val="none" w:sz="0" w:space="0" w:color="auto"/>
        <w:bottom w:val="none" w:sz="0" w:space="0" w:color="auto"/>
        <w:right w:val="none" w:sz="0" w:space="0" w:color="auto"/>
      </w:divBdr>
    </w:div>
    <w:div w:id="552616027">
      <w:bodyDiv w:val="1"/>
      <w:marLeft w:val="0"/>
      <w:marRight w:val="0"/>
      <w:marTop w:val="0"/>
      <w:marBottom w:val="0"/>
      <w:divBdr>
        <w:top w:val="none" w:sz="0" w:space="0" w:color="auto"/>
        <w:left w:val="none" w:sz="0" w:space="0" w:color="auto"/>
        <w:bottom w:val="none" w:sz="0" w:space="0" w:color="auto"/>
        <w:right w:val="none" w:sz="0" w:space="0" w:color="auto"/>
      </w:divBdr>
    </w:div>
    <w:div w:id="557595251">
      <w:bodyDiv w:val="1"/>
      <w:marLeft w:val="0"/>
      <w:marRight w:val="0"/>
      <w:marTop w:val="0"/>
      <w:marBottom w:val="0"/>
      <w:divBdr>
        <w:top w:val="none" w:sz="0" w:space="0" w:color="auto"/>
        <w:left w:val="none" w:sz="0" w:space="0" w:color="auto"/>
        <w:bottom w:val="none" w:sz="0" w:space="0" w:color="auto"/>
        <w:right w:val="none" w:sz="0" w:space="0" w:color="auto"/>
      </w:divBdr>
    </w:div>
    <w:div w:id="632373763">
      <w:bodyDiv w:val="1"/>
      <w:marLeft w:val="0"/>
      <w:marRight w:val="0"/>
      <w:marTop w:val="0"/>
      <w:marBottom w:val="0"/>
      <w:divBdr>
        <w:top w:val="none" w:sz="0" w:space="0" w:color="auto"/>
        <w:left w:val="none" w:sz="0" w:space="0" w:color="auto"/>
        <w:bottom w:val="none" w:sz="0" w:space="0" w:color="auto"/>
        <w:right w:val="none" w:sz="0" w:space="0" w:color="auto"/>
      </w:divBdr>
    </w:div>
    <w:div w:id="638608106">
      <w:bodyDiv w:val="1"/>
      <w:marLeft w:val="0"/>
      <w:marRight w:val="0"/>
      <w:marTop w:val="0"/>
      <w:marBottom w:val="0"/>
      <w:divBdr>
        <w:top w:val="none" w:sz="0" w:space="0" w:color="auto"/>
        <w:left w:val="none" w:sz="0" w:space="0" w:color="auto"/>
        <w:bottom w:val="none" w:sz="0" w:space="0" w:color="auto"/>
        <w:right w:val="none" w:sz="0" w:space="0" w:color="auto"/>
      </w:divBdr>
    </w:div>
    <w:div w:id="687952912">
      <w:bodyDiv w:val="1"/>
      <w:marLeft w:val="0"/>
      <w:marRight w:val="0"/>
      <w:marTop w:val="0"/>
      <w:marBottom w:val="0"/>
      <w:divBdr>
        <w:top w:val="none" w:sz="0" w:space="0" w:color="auto"/>
        <w:left w:val="none" w:sz="0" w:space="0" w:color="auto"/>
        <w:bottom w:val="none" w:sz="0" w:space="0" w:color="auto"/>
        <w:right w:val="none" w:sz="0" w:space="0" w:color="auto"/>
      </w:divBdr>
    </w:div>
    <w:div w:id="689571191">
      <w:bodyDiv w:val="1"/>
      <w:marLeft w:val="0"/>
      <w:marRight w:val="0"/>
      <w:marTop w:val="0"/>
      <w:marBottom w:val="0"/>
      <w:divBdr>
        <w:top w:val="none" w:sz="0" w:space="0" w:color="auto"/>
        <w:left w:val="none" w:sz="0" w:space="0" w:color="auto"/>
        <w:bottom w:val="none" w:sz="0" w:space="0" w:color="auto"/>
        <w:right w:val="none" w:sz="0" w:space="0" w:color="auto"/>
      </w:divBdr>
    </w:div>
    <w:div w:id="699011842">
      <w:bodyDiv w:val="1"/>
      <w:marLeft w:val="0"/>
      <w:marRight w:val="0"/>
      <w:marTop w:val="0"/>
      <w:marBottom w:val="0"/>
      <w:divBdr>
        <w:top w:val="none" w:sz="0" w:space="0" w:color="auto"/>
        <w:left w:val="none" w:sz="0" w:space="0" w:color="auto"/>
        <w:bottom w:val="none" w:sz="0" w:space="0" w:color="auto"/>
        <w:right w:val="none" w:sz="0" w:space="0" w:color="auto"/>
      </w:divBdr>
    </w:div>
    <w:div w:id="709650017">
      <w:bodyDiv w:val="1"/>
      <w:marLeft w:val="0"/>
      <w:marRight w:val="0"/>
      <w:marTop w:val="0"/>
      <w:marBottom w:val="0"/>
      <w:divBdr>
        <w:top w:val="none" w:sz="0" w:space="0" w:color="auto"/>
        <w:left w:val="none" w:sz="0" w:space="0" w:color="auto"/>
        <w:bottom w:val="none" w:sz="0" w:space="0" w:color="auto"/>
        <w:right w:val="none" w:sz="0" w:space="0" w:color="auto"/>
      </w:divBdr>
    </w:div>
    <w:div w:id="726298790">
      <w:bodyDiv w:val="1"/>
      <w:marLeft w:val="0"/>
      <w:marRight w:val="0"/>
      <w:marTop w:val="0"/>
      <w:marBottom w:val="0"/>
      <w:divBdr>
        <w:top w:val="none" w:sz="0" w:space="0" w:color="auto"/>
        <w:left w:val="none" w:sz="0" w:space="0" w:color="auto"/>
        <w:bottom w:val="none" w:sz="0" w:space="0" w:color="auto"/>
        <w:right w:val="none" w:sz="0" w:space="0" w:color="auto"/>
      </w:divBdr>
    </w:div>
    <w:div w:id="740906346">
      <w:bodyDiv w:val="1"/>
      <w:marLeft w:val="0"/>
      <w:marRight w:val="0"/>
      <w:marTop w:val="0"/>
      <w:marBottom w:val="0"/>
      <w:divBdr>
        <w:top w:val="none" w:sz="0" w:space="0" w:color="auto"/>
        <w:left w:val="none" w:sz="0" w:space="0" w:color="auto"/>
        <w:bottom w:val="none" w:sz="0" w:space="0" w:color="auto"/>
        <w:right w:val="none" w:sz="0" w:space="0" w:color="auto"/>
      </w:divBdr>
    </w:div>
    <w:div w:id="787940635">
      <w:bodyDiv w:val="1"/>
      <w:marLeft w:val="0"/>
      <w:marRight w:val="0"/>
      <w:marTop w:val="0"/>
      <w:marBottom w:val="0"/>
      <w:divBdr>
        <w:top w:val="none" w:sz="0" w:space="0" w:color="auto"/>
        <w:left w:val="none" w:sz="0" w:space="0" w:color="auto"/>
        <w:bottom w:val="none" w:sz="0" w:space="0" w:color="auto"/>
        <w:right w:val="none" w:sz="0" w:space="0" w:color="auto"/>
      </w:divBdr>
    </w:div>
    <w:div w:id="791241723">
      <w:bodyDiv w:val="1"/>
      <w:marLeft w:val="0"/>
      <w:marRight w:val="0"/>
      <w:marTop w:val="0"/>
      <w:marBottom w:val="0"/>
      <w:divBdr>
        <w:top w:val="none" w:sz="0" w:space="0" w:color="auto"/>
        <w:left w:val="none" w:sz="0" w:space="0" w:color="auto"/>
        <w:bottom w:val="none" w:sz="0" w:space="0" w:color="auto"/>
        <w:right w:val="none" w:sz="0" w:space="0" w:color="auto"/>
      </w:divBdr>
    </w:div>
    <w:div w:id="807208749">
      <w:bodyDiv w:val="1"/>
      <w:marLeft w:val="0"/>
      <w:marRight w:val="0"/>
      <w:marTop w:val="0"/>
      <w:marBottom w:val="0"/>
      <w:divBdr>
        <w:top w:val="none" w:sz="0" w:space="0" w:color="auto"/>
        <w:left w:val="none" w:sz="0" w:space="0" w:color="auto"/>
        <w:bottom w:val="none" w:sz="0" w:space="0" w:color="auto"/>
        <w:right w:val="none" w:sz="0" w:space="0" w:color="auto"/>
      </w:divBdr>
    </w:div>
    <w:div w:id="821240202">
      <w:bodyDiv w:val="1"/>
      <w:marLeft w:val="0"/>
      <w:marRight w:val="0"/>
      <w:marTop w:val="0"/>
      <w:marBottom w:val="0"/>
      <w:divBdr>
        <w:top w:val="none" w:sz="0" w:space="0" w:color="auto"/>
        <w:left w:val="none" w:sz="0" w:space="0" w:color="auto"/>
        <w:bottom w:val="none" w:sz="0" w:space="0" w:color="auto"/>
        <w:right w:val="none" w:sz="0" w:space="0" w:color="auto"/>
      </w:divBdr>
    </w:div>
    <w:div w:id="840465832">
      <w:bodyDiv w:val="1"/>
      <w:marLeft w:val="0"/>
      <w:marRight w:val="0"/>
      <w:marTop w:val="0"/>
      <w:marBottom w:val="0"/>
      <w:divBdr>
        <w:top w:val="none" w:sz="0" w:space="0" w:color="auto"/>
        <w:left w:val="none" w:sz="0" w:space="0" w:color="auto"/>
        <w:bottom w:val="none" w:sz="0" w:space="0" w:color="auto"/>
        <w:right w:val="none" w:sz="0" w:space="0" w:color="auto"/>
      </w:divBdr>
    </w:div>
    <w:div w:id="928122440">
      <w:bodyDiv w:val="1"/>
      <w:marLeft w:val="0"/>
      <w:marRight w:val="0"/>
      <w:marTop w:val="0"/>
      <w:marBottom w:val="0"/>
      <w:divBdr>
        <w:top w:val="none" w:sz="0" w:space="0" w:color="auto"/>
        <w:left w:val="none" w:sz="0" w:space="0" w:color="auto"/>
        <w:bottom w:val="none" w:sz="0" w:space="0" w:color="auto"/>
        <w:right w:val="none" w:sz="0" w:space="0" w:color="auto"/>
      </w:divBdr>
    </w:div>
    <w:div w:id="970747564">
      <w:bodyDiv w:val="1"/>
      <w:marLeft w:val="0"/>
      <w:marRight w:val="0"/>
      <w:marTop w:val="0"/>
      <w:marBottom w:val="0"/>
      <w:divBdr>
        <w:top w:val="none" w:sz="0" w:space="0" w:color="auto"/>
        <w:left w:val="none" w:sz="0" w:space="0" w:color="auto"/>
        <w:bottom w:val="none" w:sz="0" w:space="0" w:color="auto"/>
        <w:right w:val="none" w:sz="0" w:space="0" w:color="auto"/>
      </w:divBdr>
    </w:div>
    <w:div w:id="985742882">
      <w:bodyDiv w:val="1"/>
      <w:marLeft w:val="0"/>
      <w:marRight w:val="0"/>
      <w:marTop w:val="0"/>
      <w:marBottom w:val="0"/>
      <w:divBdr>
        <w:top w:val="none" w:sz="0" w:space="0" w:color="auto"/>
        <w:left w:val="none" w:sz="0" w:space="0" w:color="auto"/>
        <w:bottom w:val="none" w:sz="0" w:space="0" w:color="auto"/>
        <w:right w:val="none" w:sz="0" w:space="0" w:color="auto"/>
      </w:divBdr>
    </w:div>
    <w:div w:id="997853318">
      <w:bodyDiv w:val="1"/>
      <w:marLeft w:val="0"/>
      <w:marRight w:val="0"/>
      <w:marTop w:val="0"/>
      <w:marBottom w:val="0"/>
      <w:divBdr>
        <w:top w:val="none" w:sz="0" w:space="0" w:color="auto"/>
        <w:left w:val="none" w:sz="0" w:space="0" w:color="auto"/>
        <w:bottom w:val="none" w:sz="0" w:space="0" w:color="auto"/>
        <w:right w:val="none" w:sz="0" w:space="0" w:color="auto"/>
      </w:divBdr>
    </w:div>
    <w:div w:id="1016006135">
      <w:bodyDiv w:val="1"/>
      <w:marLeft w:val="0"/>
      <w:marRight w:val="0"/>
      <w:marTop w:val="0"/>
      <w:marBottom w:val="0"/>
      <w:divBdr>
        <w:top w:val="none" w:sz="0" w:space="0" w:color="auto"/>
        <w:left w:val="none" w:sz="0" w:space="0" w:color="auto"/>
        <w:bottom w:val="none" w:sz="0" w:space="0" w:color="auto"/>
        <w:right w:val="none" w:sz="0" w:space="0" w:color="auto"/>
      </w:divBdr>
    </w:div>
    <w:div w:id="1017273798">
      <w:bodyDiv w:val="1"/>
      <w:marLeft w:val="0"/>
      <w:marRight w:val="0"/>
      <w:marTop w:val="0"/>
      <w:marBottom w:val="0"/>
      <w:divBdr>
        <w:top w:val="none" w:sz="0" w:space="0" w:color="auto"/>
        <w:left w:val="none" w:sz="0" w:space="0" w:color="auto"/>
        <w:bottom w:val="none" w:sz="0" w:space="0" w:color="auto"/>
        <w:right w:val="none" w:sz="0" w:space="0" w:color="auto"/>
      </w:divBdr>
    </w:div>
    <w:div w:id="1023673429">
      <w:bodyDiv w:val="1"/>
      <w:marLeft w:val="0"/>
      <w:marRight w:val="0"/>
      <w:marTop w:val="0"/>
      <w:marBottom w:val="0"/>
      <w:divBdr>
        <w:top w:val="none" w:sz="0" w:space="0" w:color="auto"/>
        <w:left w:val="none" w:sz="0" w:space="0" w:color="auto"/>
        <w:bottom w:val="none" w:sz="0" w:space="0" w:color="auto"/>
        <w:right w:val="none" w:sz="0" w:space="0" w:color="auto"/>
      </w:divBdr>
    </w:div>
    <w:div w:id="1025986825">
      <w:bodyDiv w:val="1"/>
      <w:marLeft w:val="0"/>
      <w:marRight w:val="0"/>
      <w:marTop w:val="0"/>
      <w:marBottom w:val="0"/>
      <w:divBdr>
        <w:top w:val="none" w:sz="0" w:space="0" w:color="auto"/>
        <w:left w:val="none" w:sz="0" w:space="0" w:color="auto"/>
        <w:bottom w:val="none" w:sz="0" w:space="0" w:color="auto"/>
        <w:right w:val="none" w:sz="0" w:space="0" w:color="auto"/>
      </w:divBdr>
    </w:div>
    <w:div w:id="1039864944">
      <w:bodyDiv w:val="1"/>
      <w:marLeft w:val="0"/>
      <w:marRight w:val="0"/>
      <w:marTop w:val="0"/>
      <w:marBottom w:val="0"/>
      <w:divBdr>
        <w:top w:val="none" w:sz="0" w:space="0" w:color="auto"/>
        <w:left w:val="none" w:sz="0" w:space="0" w:color="auto"/>
        <w:bottom w:val="none" w:sz="0" w:space="0" w:color="auto"/>
        <w:right w:val="none" w:sz="0" w:space="0" w:color="auto"/>
      </w:divBdr>
    </w:div>
    <w:div w:id="1048652806">
      <w:bodyDiv w:val="1"/>
      <w:marLeft w:val="0"/>
      <w:marRight w:val="0"/>
      <w:marTop w:val="0"/>
      <w:marBottom w:val="0"/>
      <w:divBdr>
        <w:top w:val="none" w:sz="0" w:space="0" w:color="auto"/>
        <w:left w:val="none" w:sz="0" w:space="0" w:color="auto"/>
        <w:bottom w:val="none" w:sz="0" w:space="0" w:color="auto"/>
        <w:right w:val="none" w:sz="0" w:space="0" w:color="auto"/>
      </w:divBdr>
    </w:div>
    <w:div w:id="1070614743">
      <w:bodyDiv w:val="1"/>
      <w:marLeft w:val="0"/>
      <w:marRight w:val="0"/>
      <w:marTop w:val="0"/>
      <w:marBottom w:val="0"/>
      <w:divBdr>
        <w:top w:val="none" w:sz="0" w:space="0" w:color="auto"/>
        <w:left w:val="none" w:sz="0" w:space="0" w:color="auto"/>
        <w:bottom w:val="none" w:sz="0" w:space="0" w:color="auto"/>
        <w:right w:val="none" w:sz="0" w:space="0" w:color="auto"/>
      </w:divBdr>
    </w:div>
    <w:div w:id="1071924185">
      <w:bodyDiv w:val="1"/>
      <w:marLeft w:val="0"/>
      <w:marRight w:val="0"/>
      <w:marTop w:val="0"/>
      <w:marBottom w:val="0"/>
      <w:divBdr>
        <w:top w:val="none" w:sz="0" w:space="0" w:color="auto"/>
        <w:left w:val="none" w:sz="0" w:space="0" w:color="auto"/>
        <w:bottom w:val="none" w:sz="0" w:space="0" w:color="auto"/>
        <w:right w:val="none" w:sz="0" w:space="0" w:color="auto"/>
      </w:divBdr>
    </w:div>
    <w:div w:id="1077440359">
      <w:bodyDiv w:val="1"/>
      <w:marLeft w:val="0"/>
      <w:marRight w:val="0"/>
      <w:marTop w:val="0"/>
      <w:marBottom w:val="0"/>
      <w:divBdr>
        <w:top w:val="none" w:sz="0" w:space="0" w:color="auto"/>
        <w:left w:val="none" w:sz="0" w:space="0" w:color="auto"/>
        <w:bottom w:val="none" w:sz="0" w:space="0" w:color="auto"/>
        <w:right w:val="none" w:sz="0" w:space="0" w:color="auto"/>
      </w:divBdr>
    </w:div>
    <w:div w:id="1116174308">
      <w:bodyDiv w:val="1"/>
      <w:marLeft w:val="0"/>
      <w:marRight w:val="0"/>
      <w:marTop w:val="0"/>
      <w:marBottom w:val="0"/>
      <w:divBdr>
        <w:top w:val="none" w:sz="0" w:space="0" w:color="auto"/>
        <w:left w:val="none" w:sz="0" w:space="0" w:color="auto"/>
        <w:bottom w:val="none" w:sz="0" w:space="0" w:color="auto"/>
        <w:right w:val="none" w:sz="0" w:space="0" w:color="auto"/>
      </w:divBdr>
    </w:div>
    <w:div w:id="1128544422">
      <w:bodyDiv w:val="1"/>
      <w:marLeft w:val="0"/>
      <w:marRight w:val="0"/>
      <w:marTop w:val="0"/>
      <w:marBottom w:val="0"/>
      <w:divBdr>
        <w:top w:val="none" w:sz="0" w:space="0" w:color="auto"/>
        <w:left w:val="none" w:sz="0" w:space="0" w:color="auto"/>
        <w:bottom w:val="none" w:sz="0" w:space="0" w:color="auto"/>
        <w:right w:val="none" w:sz="0" w:space="0" w:color="auto"/>
      </w:divBdr>
    </w:div>
    <w:div w:id="1155535686">
      <w:bodyDiv w:val="1"/>
      <w:marLeft w:val="0"/>
      <w:marRight w:val="0"/>
      <w:marTop w:val="0"/>
      <w:marBottom w:val="0"/>
      <w:divBdr>
        <w:top w:val="none" w:sz="0" w:space="0" w:color="auto"/>
        <w:left w:val="none" w:sz="0" w:space="0" w:color="auto"/>
        <w:bottom w:val="none" w:sz="0" w:space="0" w:color="auto"/>
        <w:right w:val="none" w:sz="0" w:space="0" w:color="auto"/>
      </w:divBdr>
    </w:div>
    <w:div w:id="1156842711">
      <w:bodyDiv w:val="1"/>
      <w:marLeft w:val="0"/>
      <w:marRight w:val="0"/>
      <w:marTop w:val="0"/>
      <w:marBottom w:val="0"/>
      <w:divBdr>
        <w:top w:val="none" w:sz="0" w:space="0" w:color="auto"/>
        <w:left w:val="none" w:sz="0" w:space="0" w:color="auto"/>
        <w:bottom w:val="none" w:sz="0" w:space="0" w:color="auto"/>
        <w:right w:val="none" w:sz="0" w:space="0" w:color="auto"/>
      </w:divBdr>
    </w:div>
    <w:div w:id="1247350684">
      <w:bodyDiv w:val="1"/>
      <w:marLeft w:val="0"/>
      <w:marRight w:val="0"/>
      <w:marTop w:val="0"/>
      <w:marBottom w:val="0"/>
      <w:divBdr>
        <w:top w:val="none" w:sz="0" w:space="0" w:color="auto"/>
        <w:left w:val="none" w:sz="0" w:space="0" w:color="auto"/>
        <w:bottom w:val="none" w:sz="0" w:space="0" w:color="auto"/>
        <w:right w:val="none" w:sz="0" w:space="0" w:color="auto"/>
      </w:divBdr>
    </w:div>
    <w:div w:id="1288319108">
      <w:bodyDiv w:val="1"/>
      <w:marLeft w:val="0"/>
      <w:marRight w:val="0"/>
      <w:marTop w:val="0"/>
      <w:marBottom w:val="0"/>
      <w:divBdr>
        <w:top w:val="none" w:sz="0" w:space="0" w:color="auto"/>
        <w:left w:val="none" w:sz="0" w:space="0" w:color="auto"/>
        <w:bottom w:val="none" w:sz="0" w:space="0" w:color="auto"/>
        <w:right w:val="none" w:sz="0" w:space="0" w:color="auto"/>
      </w:divBdr>
    </w:div>
    <w:div w:id="1354722266">
      <w:bodyDiv w:val="1"/>
      <w:marLeft w:val="0"/>
      <w:marRight w:val="0"/>
      <w:marTop w:val="0"/>
      <w:marBottom w:val="0"/>
      <w:divBdr>
        <w:top w:val="none" w:sz="0" w:space="0" w:color="auto"/>
        <w:left w:val="none" w:sz="0" w:space="0" w:color="auto"/>
        <w:bottom w:val="none" w:sz="0" w:space="0" w:color="auto"/>
        <w:right w:val="none" w:sz="0" w:space="0" w:color="auto"/>
      </w:divBdr>
    </w:div>
    <w:div w:id="1371225901">
      <w:bodyDiv w:val="1"/>
      <w:marLeft w:val="0"/>
      <w:marRight w:val="0"/>
      <w:marTop w:val="0"/>
      <w:marBottom w:val="0"/>
      <w:divBdr>
        <w:top w:val="none" w:sz="0" w:space="0" w:color="auto"/>
        <w:left w:val="none" w:sz="0" w:space="0" w:color="auto"/>
        <w:bottom w:val="none" w:sz="0" w:space="0" w:color="auto"/>
        <w:right w:val="none" w:sz="0" w:space="0" w:color="auto"/>
      </w:divBdr>
    </w:div>
    <w:div w:id="1382746708">
      <w:bodyDiv w:val="1"/>
      <w:marLeft w:val="0"/>
      <w:marRight w:val="0"/>
      <w:marTop w:val="0"/>
      <w:marBottom w:val="0"/>
      <w:divBdr>
        <w:top w:val="none" w:sz="0" w:space="0" w:color="auto"/>
        <w:left w:val="none" w:sz="0" w:space="0" w:color="auto"/>
        <w:bottom w:val="none" w:sz="0" w:space="0" w:color="auto"/>
        <w:right w:val="none" w:sz="0" w:space="0" w:color="auto"/>
      </w:divBdr>
    </w:div>
    <w:div w:id="1406950619">
      <w:bodyDiv w:val="1"/>
      <w:marLeft w:val="0"/>
      <w:marRight w:val="0"/>
      <w:marTop w:val="0"/>
      <w:marBottom w:val="0"/>
      <w:divBdr>
        <w:top w:val="none" w:sz="0" w:space="0" w:color="auto"/>
        <w:left w:val="none" w:sz="0" w:space="0" w:color="auto"/>
        <w:bottom w:val="none" w:sz="0" w:space="0" w:color="auto"/>
        <w:right w:val="none" w:sz="0" w:space="0" w:color="auto"/>
      </w:divBdr>
    </w:div>
    <w:div w:id="1414626991">
      <w:bodyDiv w:val="1"/>
      <w:marLeft w:val="0"/>
      <w:marRight w:val="0"/>
      <w:marTop w:val="0"/>
      <w:marBottom w:val="0"/>
      <w:divBdr>
        <w:top w:val="none" w:sz="0" w:space="0" w:color="auto"/>
        <w:left w:val="none" w:sz="0" w:space="0" w:color="auto"/>
        <w:bottom w:val="none" w:sz="0" w:space="0" w:color="auto"/>
        <w:right w:val="none" w:sz="0" w:space="0" w:color="auto"/>
      </w:divBdr>
    </w:div>
    <w:div w:id="1427732122">
      <w:bodyDiv w:val="1"/>
      <w:marLeft w:val="0"/>
      <w:marRight w:val="0"/>
      <w:marTop w:val="0"/>
      <w:marBottom w:val="0"/>
      <w:divBdr>
        <w:top w:val="none" w:sz="0" w:space="0" w:color="auto"/>
        <w:left w:val="none" w:sz="0" w:space="0" w:color="auto"/>
        <w:bottom w:val="none" w:sz="0" w:space="0" w:color="auto"/>
        <w:right w:val="none" w:sz="0" w:space="0" w:color="auto"/>
      </w:divBdr>
    </w:div>
    <w:div w:id="1442532149">
      <w:bodyDiv w:val="1"/>
      <w:marLeft w:val="0"/>
      <w:marRight w:val="0"/>
      <w:marTop w:val="0"/>
      <w:marBottom w:val="0"/>
      <w:divBdr>
        <w:top w:val="none" w:sz="0" w:space="0" w:color="auto"/>
        <w:left w:val="none" w:sz="0" w:space="0" w:color="auto"/>
        <w:bottom w:val="none" w:sz="0" w:space="0" w:color="auto"/>
        <w:right w:val="none" w:sz="0" w:space="0" w:color="auto"/>
      </w:divBdr>
    </w:div>
    <w:div w:id="1451319657">
      <w:bodyDiv w:val="1"/>
      <w:marLeft w:val="0"/>
      <w:marRight w:val="0"/>
      <w:marTop w:val="0"/>
      <w:marBottom w:val="0"/>
      <w:divBdr>
        <w:top w:val="none" w:sz="0" w:space="0" w:color="auto"/>
        <w:left w:val="none" w:sz="0" w:space="0" w:color="auto"/>
        <w:bottom w:val="none" w:sz="0" w:space="0" w:color="auto"/>
        <w:right w:val="none" w:sz="0" w:space="0" w:color="auto"/>
      </w:divBdr>
    </w:div>
    <w:div w:id="1456869361">
      <w:bodyDiv w:val="1"/>
      <w:marLeft w:val="0"/>
      <w:marRight w:val="0"/>
      <w:marTop w:val="0"/>
      <w:marBottom w:val="0"/>
      <w:divBdr>
        <w:top w:val="none" w:sz="0" w:space="0" w:color="auto"/>
        <w:left w:val="none" w:sz="0" w:space="0" w:color="auto"/>
        <w:bottom w:val="none" w:sz="0" w:space="0" w:color="auto"/>
        <w:right w:val="none" w:sz="0" w:space="0" w:color="auto"/>
      </w:divBdr>
    </w:div>
    <w:div w:id="1465196103">
      <w:bodyDiv w:val="1"/>
      <w:marLeft w:val="0"/>
      <w:marRight w:val="0"/>
      <w:marTop w:val="0"/>
      <w:marBottom w:val="0"/>
      <w:divBdr>
        <w:top w:val="none" w:sz="0" w:space="0" w:color="auto"/>
        <w:left w:val="none" w:sz="0" w:space="0" w:color="auto"/>
        <w:bottom w:val="none" w:sz="0" w:space="0" w:color="auto"/>
        <w:right w:val="none" w:sz="0" w:space="0" w:color="auto"/>
      </w:divBdr>
    </w:div>
    <w:div w:id="1473979913">
      <w:bodyDiv w:val="1"/>
      <w:marLeft w:val="0"/>
      <w:marRight w:val="0"/>
      <w:marTop w:val="0"/>
      <w:marBottom w:val="0"/>
      <w:divBdr>
        <w:top w:val="none" w:sz="0" w:space="0" w:color="auto"/>
        <w:left w:val="none" w:sz="0" w:space="0" w:color="auto"/>
        <w:bottom w:val="none" w:sz="0" w:space="0" w:color="auto"/>
        <w:right w:val="none" w:sz="0" w:space="0" w:color="auto"/>
      </w:divBdr>
    </w:div>
    <w:div w:id="1565331483">
      <w:bodyDiv w:val="1"/>
      <w:marLeft w:val="0"/>
      <w:marRight w:val="0"/>
      <w:marTop w:val="0"/>
      <w:marBottom w:val="0"/>
      <w:divBdr>
        <w:top w:val="none" w:sz="0" w:space="0" w:color="auto"/>
        <w:left w:val="none" w:sz="0" w:space="0" w:color="auto"/>
        <w:bottom w:val="none" w:sz="0" w:space="0" w:color="auto"/>
        <w:right w:val="none" w:sz="0" w:space="0" w:color="auto"/>
      </w:divBdr>
    </w:div>
    <w:div w:id="1567494695">
      <w:bodyDiv w:val="1"/>
      <w:marLeft w:val="0"/>
      <w:marRight w:val="0"/>
      <w:marTop w:val="0"/>
      <w:marBottom w:val="0"/>
      <w:divBdr>
        <w:top w:val="none" w:sz="0" w:space="0" w:color="auto"/>
        <w:left w:val="none" w:sz="0" w:space="0" w:color="auto"/>
        <w:bottom w:val="none" w:sz="0" w:space="0" w:color="auto"/>
        <w:right w:val="none" w:sz="0" w:space="0" w:color="auto"/>
      </w:divBdr>
    </w:div>
    <w:div w:id="1642611509">
      <w:bodyDiv w:val="1"/>
      <w:marLeft w:val="0"/>
      <w:marRight w:val="0"/>
      <w:marTop w:val="0"/>
      <w:marBottom w:val="0"/>
      <w:divBdr>
        <w:top w:val="none" w:sz="0" w:space="0" w:color="auto"/>
        <w:left w:val="none" w:sz="0" w:space="0" w:color="auto"/>
        <w:bottom w:val="none" w:sz="0" w:space="0" w:color="auto"/>
        <w:right w:val="none" w:sz="0" w:space="0" w:color="auto"/>
      </w:divBdr>
    </w:div>
    <w:div w:id="1649898458">
      <w:bodyDiv w:val="1"/>
      <w:marLeft w:val="0"/>
      <w:marRight w:val="0"/>
      <w:marTop w:val="0"/>
      <w:marBottom w:val="0"/>
      <w:divBdr>
        <w:top w:val="none" w:sz="0" w:space="0" w:color="auto"/>
        <w:left w:val="none" w:sz="0" w:space="0" w:color="auto"/>
        <w:bottom w:val="none" w:sz="0" w:space="0" w:color="auto"/>
        <w:right w:val="none" w:sz="0" w:space="0" w:color="auto"/>
      </w:divBdr>
    </w:div>
    <w:div w:id="1711373799">
      <w:bodyDiv w:val="1"/>
      <w:marLeft w:val="0"/>
      <w:marRight w:val="0"/>
      <w:marTop w:val="0"/>
      <w:marBottom w:val="0"/>
      <w:divBdr>
        <w:top w:val="none" w:sz="0" w:space="0" w:color="auto"/>
        <w:left w:val="none" w:sz="0" w:space="0" w:color="auto"/>
        <w:bottom w:val="none" w:sz="0" w:space="0" w:color="auto"/>
        <w:right w:val="none" w:sz="0" w:space="0" w:color="auto"/>
      </w:divBdr>
    </w:div>
    <w:div w:id="1750690662">
      <w:bodyDiv w:val="1"/>
      <w:marLeft w:val="0"/>
      <w:marRight w:val="0"/>
      <w:marTop w:val="0"/>
      <w:marBottom w:val="0"/>
      <w:divBdr>
        <w:top w:val="none" w:sz="0" w:space="0" w:color="auto"/>
        <w:left w:val="none" w:sz="0" w:space="0" w:color="auto"/>
        <w:bottom w:val="none" w:sz="0" w:space="0" w:color="auto"/>
        <w:right w:val="none" w:sz="0" w:space="0" w:color="auto"/>
      </w:divBdr>
    </w:div>
    <w:div w:id="1769815277">
      <w:bodyDiv w:val="1"/>
      <w:marLeft w:val="0"/>
      <w:marRight w:val="0"/>
      <w:marTop w:val="0"/>
      <w:marBottom w:val="0"/>
      <w:divBdr>
        <w:top w:val="none" w:sz="0" w:space="0" w:color="auto"/>
        <w:left w:val="none" w:sz="0" w:space="0" w:color="auto"/>
        <w:bottom w:val="none" w:sz="0" w:space="0" w:color="auto"/>
        <w:right w:val="none" w:sz="0" w:space="0" w:color="auto"/>
      </w:divBdr>
    </w:div>
    <w:div w:id="1788546075">
      <w:bodyDiv w:val="1"/>
      <w:marLeft w:val="0"/>
      <w:marRight w:val="0"/>
      <w:marTop w:val="0"/>
      <w:marBottom w:val="0"/>
      <w:divBdr>
        <w:top w:val="none" w:sz="0" w:space="0" w:color="auto"/>
        <w:left w:val="none" w:sz="0" w:space="0" w:color="auto"/>
        <w:bottom w:val="none" w:sz="0" w:space="0" w:color="auto"/>
        <w:right w:val="none" w:sz="0" w:space="0" w:color="auto"/>
      </w:divBdr>
    </w:div>
    <w:div w:id="1809200481">
      <w:bodyDiv w:val="1"/>
      <w:marLeft w:val="0"/>
      <w:marRight w:val="0"/>
      <w:marTop w:val="0"/>
      <w:marBottom w:val="0"/>
      <w:divBdr>
        <w:top w:val="none" w:sz="0" w:space="0" w:color="auto"/>
        <w:left w:val="none" w:sz="0" w:space="0" w:color="auto"/>
        <w:bottom w:val="none" w:sz="0" w:space="0" w:color="auto"/>
        <w:right w:val="none" w:sz="0" w:space="0" w:color="auto"/>
      </w:divBdr>
    </w:div>
    <w:div w:id="1850409108">
      <w:bodyDiv w:val="1"/>
      <w:marLeft w:val="0"/>
      <w:marRight w:val="0"/>
      <w:marTop w:val="0"/>
      <w:marBottom w:val="0"/>
      <w:divBdr>
        <w:top w:val="none" w:sz="0" w:space="0" w:color="auto"/>
        <w:left w:val="none" w:sz="0" w:space="0" w:color="auto"/>
        <w:bottom w:val="none" w:sz="0" w:space="0" w:color="auto"/>
        <w:right w:val="none" w:sz="0" w:space="0" w:color="auto"/>
      </w:divBdr>
    </w:div>
    <w:div w:id="1919825584">
      <w:bodyDiv w:val="1"/>
      <w:marLeft w:val="0"/>
      <w:marRight w:val="0"/>
      <w:marTop w:val="0"/>
      <w:marBottom w:val="0"/>
      <w:divBdr>
        <w:top w:val="none" w:sz="0" w:space="0" w:color="auto"/>
        <w:left w:val="none" w:sz="0" w:space="0" w:color="auto"/>
        <w:bottom w:val="none" w:sz="0" w:space="0" w:color="auto"/>
        <w:right w:val="none" w:sz="0" w:space="0" w:color="auto"/>
      </w:divBdr>
    </w:div>
    <w:div w:id="1929805724">
      <w:bodyDiv w:val="1"/>
      <w:marLeft w:val="0"/>
      <w:marRight w:val="0"/>
      <w:marTop w:val="0"/>
      <w:marBottom w:val="0"/>
      <w:divBdr>
        <w:top w:val="none" w:sz="0" w:space="0" w:color="auto"/>
        <w:left w:val="none" w:sz="0" w:space="0" w:color="auto"/>
        <w:bottom w:val="none" w:sz="0" w:space="0" w:color="auto"/>
        <w:right w:val="none" w:sz="0" w:space="0" w:color="auto"/>
      </w:divBdr>
    </w:div>
    <w:div w:id="1988707941">
      <w:bodyDiv w:val="1"/>
      <w:marLeft w:val="0"/>
      <w:marRight w:val="0"/>
      <w:marTop w:val="0"/>
      <w:marBottom w:val="0"/>
      <w:divBdr>
        <w:top w:val="none" w:sz="0" w:space="0" w:color="auto"/>
        <w:left w:val="none" w:sz="0" w:space="0" w:color="auto"/>
        <w:bottom w:val="none" w:sz="0" w:space="0" w:color="auto"/>
        <w:right w:val="none" w:sz="0" w:space="0" w:color="auto"/>
      </w:divBdr>
    </w:div>
    <w:div w:id="1999990824">
      <w:bodyDiv w:val="1"/>
      <w:marLeft w:val="0"/>
      <w:marRight w:val="0"/>
      <w:marTop w:val="0"/>
      <w:marBottom w:val="0"/>
      <w:divBdr>
        <w:top w:val="none" w:sz="0" w:space="0" w:color="auto"/>
        <w:left w:val="none" w:sz="0" w:space="0" w:color="auto"/>
        <w:bottom w:val="none" w:sz="0" w:space="0" w:color="auto"/>
        <w:right w:val="none" w:sz="0" w:space="0" w:color="auto"/>
      </w:divBdr>
    </w:div>
    <w:div w:id="2011180394">
      <w:bodyDiv w:val="1"/>
      <w:marLeft w:val="0"/>
      <w:marRight w:val="0"/>
      <w:marTop w:val="0"/>
      <w:marBottom w:val="0"/>
      <w:divBdr>
        <w:top w:val="none" w:sz="0" w:space="0" w:color="auto"/>
        <w:left w:val="none" w:sz="0" w:space="0" w:color="auto"/>
        <w:bottom w:val="none" w:sz="0" w:space="0" w:color="auto"/>
        <w:right w:val="none" w:sz="0" w:space="0" w:color="auto"/>
      </w:divBdr>
    </w:div>
    <w:div w:id="2043241194">
      <w:bodyDiv w:val="1"/>
      <w:marLeft w:val="0"/>
      <w:marRight w:val="0"/>
      <w:marTop w:val="0"/>
      <w:marBottom w:val="0"/>
      <w:divBdr>
        <w:top w:val="none" w:sz="0" w:space="0" w:color="auto"/>
        <w:left w:val="none" w:sz="0" w:space="0" w:color="auto"/>
        <w:bottom w:val="none" w:sz="0" w:space="0" w:color="auto"/>
        <w:right w:val="none" w:sz="0" w:space="0" w:color="auto"/>
      </w:divBdr>
    </w:div>
    <w:div w:id="2051374048">
      <w:bodyDiv w:val="1"/>
      <w:marLeft w:val="0"/>
      <w:marRight w:val="0"/>
      <w:marTop w:val="0"/>
      <w:marBottom w:val="0"/>
      <w:divBdr>
        <w:top w:val="none" w:sz="0" w:space="0" w:color="auto"/>
        <w:left w:val="none" w:sz="0" w:space="0" w:color="auto"/>
        <w:bottom w:val="none" w:sz="0" w:space="0" w:color="auto"/>
        <w:right w:val="none" w:sz="0" w:space="0" w:color="auto"/>
      </w:divBdr>
    </w:div>
    <w:div w:id="2072387242">
      <w:bodyDiv w:val="1"/>
      <w:marLeft w:val="0"/>
      <w:marRight w:val="0"/>
      <w:marTop w:val="0"/>
      <w:marBottom w:val="0"/>
      <w:divBdr>
        <w:top w:val="none" w:sz="0" w:space="0" w:color="auto"/>
        <w:left w:val="none" w:sz="0" w:space="0" w:color="auto"/>
        <w:bottom w:val="none" w:sz="0" w:space="0" w:color="auto"/>
        <w:right w:val="none" w:sz="0" w:space="0" w:color="auto"/>
      </w:divBdr>
    </w:div>
    <w:div w:id="2101902251">
      <w:bodyDiv w:val="1"/>
      <w:marLeft w:val="0"/>
      <w:marRight w:val="0"/>
      <w:marTop w:val="0"/>
      <w:marBottom w:val="0"/>
      <w:divBdr>
        <w:top w:val="none" w:sz="0" w:space="0" w:color="auto"/>
        <w:left w:val="none" w:sz="0" w:space="0" w:color="auto"/>
        <w:bottom w:val="none" w:sz="0" w:space="0" w:color="auto"/>
        <w:right w:val="none" w:sz="0" w:space="0" w:color="auto"/>
      </w:divBdr>
    </w:div>
    <w:div w:id="2126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targetScreenSz w:val="1024x768"/>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oleObject" Target="file:///\\file03\Projects\Client\N\National%20Housing%20Supply%20Council\Estate%20Master\SummaryCostsInputSheet_140411.xls!VIC.Infill(2)!R1C2:R61C8" TargetMode="External"/><Relationship Id="rId21" Type="http://schemas.openxmlformats.org/officeDocument/2006/relationships/oleObject" Target="file:///\\file03\Projects\Client\N\National%20Housing%20Supply%20Council\Estate%20Master\SummaryCostsInputSheet_140411.xls!I.BarChart%25%20(2)!R2C1:R6C3" TargetMode="External"/><Relationship Id="rId42" Type="http://schemas.openxmlformats.org/officeDocument/2006/relationships/header" Target="header14.xml"/><Relationship Id="rId47" Type="http://schemas.openxmlformats.org/officeDocument/2006/relationships/image" Target="media/image8.emf"/><Relationship Id="rId63" Type="http://schemas.openxmlformats.org/officeDocument/2006/relationships/image" Target="media/image16.emf"/><Relationship Id="rId68" Type="http://schemas.openxmlformats.org/officeDocument/2006/relationships/footer" Target="footer13.xml"/><Relationship Id="rId84" Type="http://schemas.openxmlformats.org/officeDocument/2006/relationships/oleObject" Target="file:///\\file03\Projects\Client\N\National%20Housing%20Supply%20Council\Estate%20Master\SummaryCostsInputSheet_140411.xls!G.Land!R2C1:R7C3" TargetMode="External"/><Relationship Id="rId89" Type="http://schemas.openxmlformats.org/officeDocument/2006/relationships/image" Target="media/image24.emf"/><Relationship Id="rId112" Type="http://schemas.openxmlformats.org/officeDocument/2006/relationships/footer" Target="footer21.xml"/><Relationship Id="rId133" Type="http://schemas.openxmlformats.org/officeDocument/2006/relationships/oleObject" Target="file:///\\file03\Projects\Client\N\National%20Housing%20Supply%20Council\Estate%20Master\SummaryCostsInputSheet_140411.xls!SA.GField%20(2)!R1C2:R64C8" TargetMode="External"/><Relationship Id="rId138" Type="http://schemas.openxmlformats.org/officeDocument/2006/relationships/footer" Target="footer22.xml"/><Relationship Id="rId16" Type="http://schemas.openxmlformats.org/officeDocument/2006/relationships/header" Target="header6.xml"/><Relationship Id="rId107" Type="http://schemas.openxmlformats.org/officeDocument/2006/relationships/footer" Target="footer19.xml"/><Relationship Id="rId11" Type="http://schemas.openxmlformats.org/officeDocument/2006/relationships/header" Target="header3.xml"/><Relationship Id="rId32" Type="http://schemas.openxmlformats.org/officeDocument/2006/relationships/oleObject" Target="file:///\\file03\Projects\Client\N\National%20Housing%20Supply%20Council\Research\Melb%20vs%20SEQ%20House%20Price%20no.s%20280411.xls!Example!R2C1:R13C10" TargetMode="External"/><Relationship Id="rId37" Type="http://schemas.openxmlformats.org/officeDocument/2006/relationships/footer" Target="footer8.xml"/><Relationship Id="rId53" Type="http://schemas.openxmlformats.org/officeDocument/2006/relationships/image" Target="media/image11.emf"/><Relationship Id="rId58" Type="http://schemas.openxmlformats.org/officeDocument/2006/relationships/oleObject" Target="file:///\\file03\Projects\Client\N\National%20Housing%20Supply%20Council\Estate%20Master\SummaryCostsInputSheet_140411.xls!I.Gov!R2C1:R7C3" TargetMode="External"/><Relationship Id="rId74" Type="http://schemas.openxmlformats.org/officeDocument/2006/relationships/footer" Target="footer14.xml"/><Relationship Id="rId79" Type="http://schemas.openxmlformats.org/officeDocument/2006/relationships/image" Target="media/image19.emf"/><Relationship Id="rId102" Type="http://schemas.openxmlformats.org/officeDocument/2006/relationships/image" Target="media/image28.emf"/><Relationship Id="rId123" Type="http://schemas.openxmlformats.org/officeDocument/2006/relationships/oleObject" Target="file:///\\file03\Projects\Client\N\National%20Housing%20Supply%20Council\Estate%20Master\SummaryCostsInputSheet_140411.xls!SA.Infill(2)!R1C2:R60C8" TargetMode="External"/><Relationship Id="rId128" Type="http://schemas.openxmlformats.org/officeDocument/2006/relationships/image" Target="media/image36.emf"/><Relationship Id="rId144" Type="http://schemas.openxmlformats.org/officeDocument/2006/relationships/footer" Target="footer24.xml"/><Relationship Id="rId5" Type="http://schemas.openxmlformats.org/officeDocument/2006/relationships/webSettings" Target="webSettings.xml"/><Relationship Id="rId90" Type="http://schemas.openxmlformats.org/officeDocument/2006/relationships/oleObject" Target="file:///\\file03\Projects\Client\N\National%20Housing%20Supply%20Council\Estate%20Master\SummaryCostsInputSheet_140411.xls!G.Gov!R2C1:R7C3" TargetMode="External"/><Relationship Id="rId95" Type="http://schemas.openxmlformats.org/officeDocument/2006/relationships/image" Target="media/image27.emf"/><Relationship Id="rId22" Type="http://schemas.openxmlformats.org/officeDocument/2006/relationships/image" Target="media/image3.wmf"/><Relationship Id="rId27" Type="http://schemas.openxmlformats.org/officeDocument/2006/relationships/footer" Target="footer7.xml"/><Relationship Id="rId43" Type="http://schemas.openxmlformats.org/officeDocument/2006/relationships/header" Target="header15.xml"/><Relationship Id="rId48" Type="http://schemas.openxmlformats.org/officeDocument/2006/relationships/oleObject" Target="file:///\\file03\Projects\Client\N\National%20Housing%20Supply%20Council\Estate%20Master\SummaryCostsInputSheet_140411.xls!I.BarChart%25!R2C1:R6C3" TargetMode="External"/><Relationship Id="rId64" Type="http://schemas.openxmlformats.org/officeDocument/2006/relationships/oleObject" Target="file:///\\file03\Projects\Client\N\National%20Housing%20Supply%20Council\Estate%20Master\SummaryCostsInputSheet_140411.xls!I.DP!R2C1:R7C3" TargetMode="External"/><Relationship Id="rId69" Type="http://schemas.openxmlformats.org/officeDocument/2006/relationships/header" Target="header19.xml"/><Relationship Id="rId113" Type="http://schemas.openxmlformats.org/officeDocument/2006/relationships/header" Target="header31.xml"/><Relationship Id="rId118" Type="http://schemas.openxmlformats.org/officeDocument/2006/relationships/image" Target="media/image31.emf"/><Relationship Id="rId134" Type="http://schemas.openxmlformats.org/officeDocument/2006/relationships/image" Target="media/image39.emf"/><Relationship Id="rId139" Type="http://schemas.openxmlformats.org/officeDocument/2006/relationships/footer" Target="footer23.xml"/><Relationship Id="rId80" Type="http://schemas.openxmlformats.org/officeDocument/2006/relationships/oleObject" Target="file:///\\file03\Projects\Client\N\National%20Housing%20Supply%20Council\Estate%20Master\SummaryCostsInputSheet_140411.xls!G.BarChart%25!R2C1:R7C3" TargetMode="External"/><Relationship Id="rId85"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6.wmf"/><Relationship Id="rId38" Type="http://schemas.openxmlformats.org/officeDocument/2006/relationships/footer" Target="footer9.xml"/><Relationship Id="rId46" Type="http://schemas.openxmlformats.org/officeDocument/2006/relationships/header" Target="header16.xml"/><Relationship Id="rId59" Type="http://schemas.openxmlformats.org/officeDocument/2006/relationships/image" Target="media/image14.emf"/><Relationship Id="rId67" Type="http://schemas.openxmlformats.org/officeDocument/2006/relationships/footer" Target="footer12.xml"/><Relationship Id="rId103" Type="http://schemas.openxmlformats.org/officeDocument/2006/relationships/oleObject" Target="file:///\\file03\Projects\Client\N\National%20Housing%20Supply%20Council\Estate%20Master\SummaryCostsInputSheet_140411.xls!IN.vs.GF!R2C1:R23C13" TargetMode="External"/><Relationship Id="rId108" Type="http://schemas.openxmlformats.org/officeDocument/2006/relationships/header" Target="header28.xml"/><Relationship Id="rId116" Type="http://schemas.openxmlformats.org/officeDocument/2006/relationships/image" Target="media/image30.emf"/><Relationship Id="rId124" Type="http://schemas.openxmlformats.org/officeDocument/2006/relationships/image" Target="media/image34.emf"/><Relationship Id="rId129" Type="http://schemas.openxmlformats.org/officeDocument/2006/relationships/oleObject" Target="file:///\\file03\Projects\Client\N\National%20Housing%20Supply%20Council\Estate%20Master\SummaryCostsInputSheet_140411.xls!QLD.GField%20(2)!R1C2:R66C8" TargetMode="External"/><Relationship Id="rId137" Type="http://schemas.openxmlformats.org/officeDocument/2006/relationships/header" Target="header33.xml"/><Relationship Id="rId20" Type="http://schemas.openxmlformats.org/officeDocument/2006/relationships/image" Target="media/image2.wmf"/><Relationship Id="rId41" Type="http://schemas.openxmlformats.org/officeDocument/2006/relationships/oleObject" Target="file:///\\file03\Projects\Client\N\National%20Housing%20Supply%20Council\Estate%20Master\SummaryCostsInputSheet_140411.xls!I.SumTable!R2C1:R35C15" TargetMode="External"/><Relationship Id="rId54" Type="http://schemas.openxmlformats.org/officeDocument/2006/relationships/oleObject" Target="file:///\\file03\Projects\Client\N\National%20Housing%20Supply%20Council\Estate%20Master\SummaryCostsInputSheet_140411.xls!I.Construct!R2C1:R7C3" TargetMode="External"/><Relationship Id="rId62" Type="http://schemas.openxmlformats.org/officeDocument/2006/relationships/oleObject" Target="file:///\\file03\Projects\Client\N\National%20Housing%20Supply%20Council\Estate%20Master\SummaryCostsInputSheet_140411.xls!I.DC&amp;I!R2C1:R7C3" TargetMode="External"/><Relationship Id="rId70" Type="http://schemas.openxmlformats.org/officeDocument/2006/relationships/image" Target="media/image17.emf"/><Relationship Id="rId75" Type="http://schemas.openxmlformats.org/officeDocument/2006/relationships/footer" Target="footer15.xml"/><Relationship Id="rId83" Type="http://schemas.openxmlformats.org/officeDocument/2006/relationships/image" Target="media/image21.emf"/><Relationship Id="rId88" Type="http://schemas.openxmlformats.org/officeDocument/2006/relationships/oleObject" Target="file:///\\file03\Projects\Client\N\National%20Housing%20Supply%20Council\Estate%20Master\SummaryCostsInputSheet_140411.xls!G.ProFee!R2C1:R7C3" TargetMode="External"/><Relationship Id="rId91" Type="http://schemas.openxmlformats.org/officeDocument/2006/relationships/image" Target="media/image25.emf"/><Relationship Id="rId96" Type="http://schemas.openxmlformats.org/officeDocument/2006/relationships/oleObject" Target="file:///\\file03\Projects\Client\N\National%20Housing%20Supply%20Council\Estate%20Master\SummaryCostsInputSheet_140411.xls!G.DP!R2C1:R7C3" TargetMode="External"/><Relationship Id="rId111" Type="http://schemas.openxmlformats.org/officeDocument/2006/relationships/footer" Target="footer20.xml"/><Relationship Id="rId132" Type="http://schemas.openxmlformats.org/officeDocument/2006/relationships/image" Target="media/image38.emf"/><Relationship Id="rId140" Type="http://schemas.openxmlformats.org/officeDocument/2006/relationships/header" Target="header34.xml"/><Relationship Id="rId145" Type="http://schemas.openxmlformats.org/officeDocument/2006/relationships/footer" Target="footer25.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file:///\\file03\Projects\Client\N\National%20Housing%20Supply%20Council\Estate%20Master\SummaryCostsInputSheet_140411.xls!G.BarChart%25%20(2)!R2C1:R7C3" TargetMode="External"/><Relationship Id="rId28" Type="http://schemas.openxmlformats.org/officeDocument/2006/relationships/header" Target="header10.xml"/><Relationship Id="rId36" Type="http://schemas.openxmlformats.org/officeDocument/2006/relationships/header" Target="header12.xml"/><Relationship Id="rId49" Type="http://schemas.openxmlformats.org/officeDocument/2006/relationships/image" Target="media/image9.emf"/><Relationship Id="rId57" Type="http://schemas.openxmlformats.org/officeDocument/2006/relationships/image" Target="media/image13.emf"/><Relationship Id="rId106" Type="http://schemas.openxmlformats.org/officeDocument/2006/relationships/footer" Target="footer18.xml"/><Relationship Id="rId114" Type="http://schemas.openxmlformats.org/officeDocument/2006/relationships/image" Target="media/image29.emf"/><Relationship Id="rId119" Type="http://schemas.openxmlformats.org/officeDocument/2006/relationships/oleObject" Target="file:///\\file03\Projects\Client\N\National%20Housing%20Supply%20Council\Estate%20Master\SummaryCostsInputSheet_140411.xls!QLD.Infill(2)!R1C2:R63C7" TargetMode="External"/><Relationship Id="rId127" Type="http://schemas.openxmlformats.org/officeDocument/2006/relationships/oleObject" Target="file:///\\file03\Projects\Client\N\National%20Housing%20Supply%20Council\Estate%20Master\SummaryCostsInputSheet_140411.xls!VIC.GField%20(2)!R1C2:R65C8" TargetMode="External"/><Relationship Id="rId10" Type="http://schemas.openxmlformats.org/officeDocument/2006/relationships/header" Target="header2.xml"/><Relationship Id="rId31" Type="http://schemas.openxmlformats.org/officeDocument/2006/relationships/image" Target="media/image5.wmf"/><Relationship Id="rId44" Type="http://schemas.openxmlformats.org/officeDocument/2006/relationships/footer" Target="footer10.xml"/><Relationship Id="rId52" Type="http://schemas.openxmlformats.org/officeDocument/2006/relationships/oleObject" Target="file:///\\file03\Projects\Client\N\National%20Housing%20Supply%20Council\Estate%20Master\SummaryCostsInputSheet_140411.xls!I.Land!R2C1:R7C3" TargetMode="External"/><Relationship Id="rId60" Type="http://schemas.openxmlformats.org/officeDocument/2006/relationships/oleObject" Target="file:///\\file03\Projects\Client\N\National%20Housing%20Supply%20Council\Estate%20Master\SummaryCostsInputSheet_140411.xls!I.Gov!R17C1:R23C3" TargetMode="External"/><Relationship Id="rId65" Type="http://schemas.openxmlformats.org/officeDocument/2006/relationships/header" Target="header17.xml"/><Relationship Id="rId73" Type="http://schemas.openxmlformats.org/officeDocument/2006/relationships/header" Target="header21.xml"/><Relationship Id="rId78" Type="http://schemas.openxmlformats.org/officeDocument/2006/relationships/oleObject" Target="file:///\\file03\Projects\Client\N\National%20Housing%20Supply%20Council\Research\New%20Dwelling%20Approvals%20-%20Capital%20Cities.xls!NDAs%20-%20Houses!R2C1:R21C8" TargetMode="External"/><Relationship Id="rId81" Type="http://schemas.openxmlformats.org/officeDocument/2006/relationships/image" Target="media/image20.emf"/><Relationship Id="rId86" Type="http://schemas.openxmlformats.org/officeDocument/2006/relationships/oleObject" Target="file:///\\file03\Projects\Client\N\National%20Housing%20Supply%20Council\Estate%20Master\SummaryCostsInputSheet_140411.xls!G.Construct!R2C1:R7C3" TargetMode="External"/><Relationship Id="rId94" Type="http://schemas.openxmlformats.org/officeDocument/2006/relationships/oleObject" Target="file:///\\file03\Projects\Client\N\National%20Housing%20Supply%20Council\Estate%20Master\SummaryCostsInputSheet_140411.xls!G.DC&amp;I!R2C1:R7C3" TargetMode="External"/><Relationship Id="rId99" Type="http://schemas.openxmlformats.org/officeDocument/2006/relationships/footer" Target="footer16.xml"/><Relationship Id="rId101" Type="http://schemas.openxmlformats.org/officeDocument/2006/relationships/header" Target="header25.xml"/><Relationship Id="rId122" Type="http://schemas.openxmlformats.org/officeDocument/2006/relationships/image" Target="media/image33.emf"/><Relationship Id="rId130" Type="http://schemas.openxmlformats.org/officeDocument/2006/relationships/image" Target="media/image37.emf"/><Relationship Id="rId135" Type="http://schemas.openxmlformats.org/officeDocument/2006/relationships/oleObject" Target="file:///\\file03\Projects\Client\N\National%20Housing%20Supply%20Council\Estate%20Master\SummaryCostsInputSheet_140411.xls!RLB.Costs!R2C1:R20C9" TargetMode="External"/><Relationship Id="rId143" Type="http://schemas.openxmlformats.org/officeDocument/2006/relationships/header" Target="header36.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3.xml"/><Relationship Id="rId109" Type="http://schemas.openxmlformats.org/officeDocument/2006/relationships/header" Target="header29.xml"/><Relationship Id="rId34" Type="http://schemas.openxmlformats.org/officeDocument/2006/relationships/oleObject" Target="file:///\\file03\Projects\Client\N\National%20Housing%20Supply%20Council\Research\New%20Dwelling%20Approvals%20-%20Capital%20Cities.xls!NDAs%20-%20Attached!R1C1:R20C8" TargetMode="External"/><Relationship Id="rId50" Type="http://schemas.openxmlformats.org/officeDocument/2006/relationships/oleObject" Target="file:///\\file03\Projects\Client\N\National%20Housing%20Supply%20Council\Estate%20Master\SummaryCostsInputSheet_140411.xls!I.DwCostSum!R2C1:R7C3" TargetMode="External"/><Relationship Id="rId55" Type="http://schemas.openxmlformats.org/officeDocument/2006/relationships/image" Target="media/image12.emf"/><Relationship Id="rId76" Type="http://schemas.openxmlformats.org/officeDocument/2006/relationships/header" Target="header22.xml"/><Relationship Id="rId97" Type="http://schemas.openxmlformats.org/officeDocument/2006/relationships/header" Target="header23.xml"/><Relationship Id="rId104" Type="http://schemas.openxmlformats.org/officeDocument/2006/relationships/header" Target="header26.xml"/><Relationship Id="rId120" Type="http://schemas.openxmlformats.org/officeDocument/2006/relationships/image" Target="media/image32.emf"/><Relationship Id="rId125" Type="http://schemas.openxmlformats.org/officeDocument/2006/relationships/oleObject" Target="file:///\\file03\Projects\Client\N\National%20Housing%20Supply%20Council\Estate%20Master\SummaryCostsInputSheet_140411.xls!NSW.GField%20(2)!R1C2:R63C8" TargetMode="External"/><Relationship Id="rId141" Type="http://schemas.openxmlformats.org/officeDocument/2006/relationships/hyperlink" Target="http://www.urbis.com.au" TargetMode="External"/><Relationship Id="rId146"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oleObject" Target="file:///\\file03\Projects\Client\N\National%20Housing%20Supply%20Council\Estate%20Master\SummaryCostsInputSheet_140411.xls!G.SumTable!R2C1:R35C15" TargetMode="External"/><Relationship Id="rId92" Type="http://schemas.openxmlformats.org/officeDocument/2006/relationships/oleObject" Target="file:///\\file03\Projects\Client\N\National%20Housing%20Supply%20Council\Estate%20Master\SummaryCostsInputSheet_140411.xls!G.Gov!R17C1:R23C3" TargetMode="External"/><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header" Target="header8.xml"/><Relationship Id="rId40" Type="http://schemas.openxmlformats.org/officeDocument/2006/relationships/image" Target="media/image7.emf"/><Relationship Id="rId45" Type="http://schemas.openxmlformats.org/officeDocument/2006/relationships/footer" Target="footer11.xml"/><Relationship Id="rId66" Type="http://schemas.openxmlformats.org/officeDocument/2006/relationships/header" Target="header18.xml"/><Relationship Id="rId87" Type="http://schemas.openxmlformats.org/officeDocument/2006/relationships/image" Target="media/image23.emf"/><Relationship Id="rId110" Type="http://schemas.openxmlformats.org/officeDocument/2006/relationships/header" Target="header30.xml"/><Relationship Id="rId115" Type="http://schemas.openxmlformats.org/officeDocument/2006/relationships/oleObject" Target="file:///\\file03\Projects\Client\N\National%20Housing%20Supply%20Council\Estate%20Master\SummaryCostsInputSheet_140411.xls!NSW.Infill(2)!R1C2:R58C8" TargetMode="External"/><Relationship Id="rId131" Type="http://schemas.openxmlformats.org/officeDocument/2006/relationships/oleObject" Target="file:///\\file03\Projects\Client\N\National%20Housing%20Supply%20Council\Estate%20Master\SummaryCostsInputSheet_140411.xls!WA.GField%20(2)!R1C2:R67C8" TargetMode="External"/><Relationship Id="rId136" Type="http://schemas.openxmlformats.org/officeDocument/2006/relationships/header" Target="header32.xml"/><Relationship Id="rId61" Type="http://schemas.openxmlformats.org/officeDocument/2006/relationships/image" Target="media/image15.emf"/><Relationship Id="rId82" Type="http://schemas.openxmlformats.org/officeDocument/2006/relationships/oleObject" Target="file:///\\file03\Projects\Client\N\National%20Housing%20Supply%20Council\Estate%20Master\SummaryCostsInputSheet_140411.xls!G.DwCostSum!R2C1:R6C3" TargetMode="Externa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oleObject" Target="file:///\\file03\Projects\Client\N\National%20Housing%20Supply%20Council\Research\RP%20Data%20-%20Capital%20Growth.xls!Cap%20Growth!R2C1:R12C6" TargetMode="External"/><Relationship Id="rId35" Type="http://schemas.openxmlformats.org/officeDocument/2006/relationships/header" Target="header11.xml"/><Relationship Id="rId56" Type="http://schemas.openxmlformats.org/officeDocument/2006/relationships/oleObject" Target="file:///\\file03\Projects\Client\N\National%20Housing%20Supply%20Council\Estate%20Master\SummaryCostsInputSheet_140411.xls!I.ProFee!R2C1:R7C3" TargetMode="External"/><Relationship Id="rId77" Type="http://schemas.openxmlformats.org/officeDocument/2006/relationships/image" Target="media/image18.wmf"/><Relationship Id="rId100" Type="http://schemas.openxmlformats.org/officeDocument/2006/relationships/footer" Target="footer17.xml"/><Relationship Id="rId105" Type="http://schemas.openxmlformats.org/officeDocument/2006/relationships/header" Target="header27.xml"/><Relationship Id="rId126" Type="http://schemas.openxmlformats.org/officeDocument/2006/relationships/image" Target="media/image35.emf"/><Relationship Id="rId14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10.emf"/><Relationship Id="rId72" Type="http://schemas.openxmlformats.org/officeDocument/2006/relationships/header" Target="header20.xml"/><Relationship Id="rId93" Type="http://schemas.openxmlformats.org/officeDocument/2006/relationships/image" Target="media/image26.emf"/><Relationship Id="rId98" Type="http://schemas.openxmlformats.org/officeDocument/2006/relationships/header" Target="header24.xml"/><Relationship Id="rId121" Type="http://schemas.openxmlformats.org/officeDocument/2006/relationships/oleObject" Target="file:///\\file03\Projects\Client\N\National%20Housing%20Supply%20Council\Estate%20Master\SummaryCostsInputSheet_140411.xls!WA.Infill(2)!R1C2:R62C8" TargetMode="External"/><Relationship Id="rId142" Type="http://schemas.openxmlformats.org/officeDocument/2006/relationships/header" Target="header3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Brisbane%20Templates\Urbi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Urbis Report.dot</Template>
  <TotalTime>5</TotalTime>
  <Pages>67</Pages>
  <Words>13427</Words>
  <Characters>83985</Characters>
  <Application>Microsoft Office Word</Application>
  <DocSecurity>0</DocSecurity>
  <Lines>699</Lines>
  <Paragraphs>194</Paragraphs>
  <ScaleCrop>false</ScaleCrop>
  <HeadingPairs>
    <vt:vector size="2" baseType="variant">
      <vt:variant>
        <vt:lpstr>Title</vt:lpstr>
      </vt:variant>
      <vt:variant>
        <vt:i4>1</vt:i4>
      </vt:variant>
    </vt:vector>
  </HeadingPairs>
  <TitlesOfParts>
    <vt:vector size="1" baseType="lpstr">
      <vt:lpstr>Urbis Report</vt:lpstr>
    </vt:vector>
  </TitlesOfParts>
  <Company>Urbis</Company>
  <LinksUpToDate>false</LinksUpToDate>
  <CharactersWithSpaces>97218</CharactersWithSpaces>
  <SharedDoc>false</SharedDoc>
  <HLinks>
    <vt:vector size="264" baseType="variant">
      <vt:variant>
        <vt:i4>983121</vt:i4>
      </vt:variant>
      <vt:variant>
        <vt:i4>384</vt:i4>
      </vt:variant>
      <vt:variant>
        <vt:i4>0</vt:i4>
      </vt:variant>
      <vt:variant>
        <vt:i4>5</vt:i4>
      </vt:variant>
      <vt:variant>
        <vt:lpwstr>http://www.urbis.com.au/</vt:lpwstr>
      </vt:variant>
      <vt:variant>
        <vt:lpwstr/>
      </vt:variant>
      <vt:variant>
        <vt:i4>1048638</vt:i4>
      </vt:variant>
      <vt:variant>
        <vt:i4>254</vt:i4>
      </vt:variant>
      <vt:variant>
        <vt:i4>0</vt:i4>
      </vt:variant>
      <vt:variant>
        <vt:i4>5</vt:i4>
      </vt:variant>
      <vt:variant>
        <vt:lpwstr/>
      </vt:variant>
      <vt:variant>
        <vt:lpwstr>_Toc294088062</vt:lpwstr>
      </vt:variant>
      <vt:variant>
        <vt:i4>1048638</vt:i4>
      </vt:variant>
      <vt:variant>
        <vt:i4>248</vt:i4>
      </vt:variant>
      <vt:variant>
        <vt:i4>0</vt:i4>
      </vt:variant>
      <vt:variant>
        <vt:i4>5</vt:i4>
      </vt:variant>
      <vt:variant>
        <vt:lpwstr/>
      </vt:variant>
      <vt:variant>
        <vt:lpwstr>_Toc294088061</vt:lpwstr>
      </vt:variant>
      <vt:variant>
        <vt:i4>1048638</vt:i4>
      </vt:variant>
      <vt:variant>
        <vt:i4>242</vt:i4>
      </vt:variant>
      <vt:variant>
        <vt:i4>0</vt:i4>
      </vt:variant>
      <vt:variant>
        <vt:i4>5</vt:i4>
      </vt:variant>
      <vt:variant>
        <vt:lpwstr/>
      </vt:variant>
      <vt:variant>
        <vt:lpwstr>_Toc294088060</vt:lpwstr>
      </vt:variant>
      <vt:variant>
        <vt:i4>1245246</vt:i4>
      </vt:variant>
      <vt:variant>
        <vt:i4>236</vt:i4>
      </vt:variant>
      <vt:variant>
        <vt:i4>0</vt:i4>
      </vt:variant>
      <vt:variant>
        <vt:i4>5</vt:i4>
      </vt:variant>
      <vt:variant>
        <vt:lpwstr/>
      </vt:variant>
      <vt:variant>
        <vt:lpwstr>_Toc294088059</vt:lpwstr>
      </vt:variant>
      <vt:variant>
        <vt:i4>1245246</vt:i4>
      </vt:variant>
      <vt:variant>
        <vt:i4>230</vt:i4>
      </vt:variant>
      <vt:variant>
        <vt:i4>0</vt:i4>
      </vt:variant>
      <vt:variant>
        <vt:i4>5</vt:i4>
      </vt:variant>
      <vt:variant>
        <vt:lpwstr/>
      </vt:variant>
      <vt:variant>
        <vt:lpwstr>_Toc294088058</vt:lpwstr>
      </vt:variant>
      <vt:variant>
        <vt:i4>1245246</vt:i4>
      </vt:variant>
      <vt:variant>
        <vt:i4>224</vt:i4>
      </vt:variant>
      <vt:variant>
        <vt:i4>0</vt:i4>
      </vt:variant>
      <vt:variant>
        <vt:i4>5</vt:i4>
      </vt:variant>
      <vt:variant>
        <vt:lpwstr/>
      </vt:variant>
      <vt:variant>
        <vt:lpwstr>_Toc294088057</vt:lpwstr>
      </vt:variant>
      <vt:variant>
        <vt:i4>1245246</vt:i4>
      </vt:variant>
      <vt:variant>
        <vt:i4>218</vt:i4>
      </vt:variant>
      <vt:variant>
        <vt:i4>0</vt:i4>
      </vt:variant>
      <vt:variant>
        <vt:i4>5</vt:i4>
      </vt:variant>
      <vt:variant>
        <vt:lpwstr/>
      </vt:variant>
      <vt:variant>
        <vt:lpwstr>_Toc294088056</vt:lpwstr>
      </vt:variant>
      <vt:variant>
        <vt:i4>1245246</vt:i4>
      </vt:variant>
      <vt:variant>
        <vt:i4>212</vt:i4>
      </vt:variant>
      <vt:variant>
        <vt:i4>0</vt:i4>
      </vt:variant>
      <vt:variant>
        <vt:i4>5</vt:i4>
      </vt:variant>
      <vt:variant>
        <vt:lpwstr/>
      </vt:variant>
      <vt:variant>
        <vt:lpwstr>_Toc294088055</vt:lpwstr>
      </vt:variant>
      <vt:variant>
        <vt:i4>1245246</vt:i4>
      </vt:variant>
      <vt:variant>
        <vt:i4>206</vt:i4>
      </vt:variant>
      <vt:variant>
        <vt:i4>0</vt:i4>
      </vt:variant>
      <vt:variant>
        <vt:i4>5</vt:i4>
      </vt:variant>
      <vt:variant>
        <vt:lpwstr/>
      </vt:variant>
      <vt:variant>
        <vt:lpwstr>_Toc294088054</vt:lpwstr>
      </vt:variant>
      <vt:variant>
        <vt:i4>1245246</vt:i4>
      </vt:variant>
      <vt:variant>
        <vt:i4>200</vt:i4>
      </vt:variant>
      <vt:variant>
        <vt:i4>0</vt:i4>
      </vt:variant>
      <vt:variant>
        <vt:i4>5</vt:i4>
      </vt:variant>
      <vt:variant>
        <vt:lpwstr/>
      </vt:variant>
      <vt:variant>
        <vt:lpwstr>_Toc294088053</vt:lpwstr>
      </vt:variant>
      <vt:variant>
        <vt:i4>1245246</vt:i4>
      </vt:variant>
      <vt:variant>
        <vt:i4>194</vt:i4>
      </vt:variant>
      <vt:variant>
        <vt:i4>0</vt:i4>
      </vt:variant>
      <vt:variant>
        <vt:i4>5</vt:i4>
      </vt:variant>
      <vt:variant>
        <vt:lpwstr/>
      </vt:variant>
      <vt:variant>
        <vt:lpwstr>_Toc294088052</vt:lpwstr>
      </vt:variant>
      <vt:variant>
        <vt:i4>1245246</vt:i4>
      </vt:variant>
      <vt:variant>
        <vt:i4>188</vt:i4>
      </vt:variant>
      <vt:variant>
        <vt:i4>0</vt:i4>
      </vt:variant>
      <vt:variant>
        <vt:i4>5</vt:i4>
      </vt:variant>
      <vt:variant>
        <vt:lpwstr/>
      </vt:variant>
      <vt:variant>
        <vt:lpwstr>_Toc294088051</vt:lpwstr>
      </vt:variant>
      <vt:variant>
        <vt:i4>1245246</vt:i4>
      </vt:variant>
      <vt:variant>
        <vt:i4>182</vt:i4>
      </vt:variant>
      <vt:variant>
        <vt:i4>0</vt:i4>
      </vt:variant>
      <vt:variant>
        <vt:i4>5</vt:i4>
      </vt:variant>
      <vt:variant>
        <vt:lpwstr/>
      </vt:variant>
      <vt:variant>
        <vt:lpwstr>_Toc294088050</vt:lpwstr>
      </vt:variant>
      <vt:variant>
        <vt:i4>1179710</vt:i4>
      </vt:variant>
      <vt:variant>
        <vt:i4>176</vt:i4>
      </vt:variant>
      <vt:variant>
        <vt:i4>0</vt:i4>
      </vt:variant>
      <vt:variant>
        <vt:i4>5</vt:i4>
      </vt:variant>
      <vt:variant>
        <vt:lpwstr/>
      </vt:variant>
      <vt:variant>
        <vt:lpwstr>_Toc294088049</vt:lpwstr>
      </vt:variant>
      <vt:variant>
        <vt:i4>1179710</vt:i4>
      </vt:variant>
      <vt:variant>
        <vt:i4>170</vt:i4>
      </vt:variant>
      <vt:variant>
        <vt:i4>0</vt:i4>
      </vt:variant>
      <vt:variant>
        <vt:i4>5</vt:i4>
      </vt:variant>
      <vt:variant>
        <vt:lpwstr/>
      </vt:variant>
      <vt:variant>
        <vt:lpwstr>_Toc294088048</vt:lpwstr>
      </vt:variant>
      <vt:variant>
        <vt:i4>1179710</vt:i4>
      </vt:variant>
      <vt:variant>
        <vt:i4>164</vt:i4>
      </vt:variant>
      <vt:variant>
        <vt:i4>0</vt:i4>
      </vt:variant>
      <vt:variant>
        <vt:i4>5</vt:i4>
      </vt:variant>
      <vt:variant>
        <vt:lpwstr/>
      </vt:variant>
      <vt:variant>
        <vt:lpwstr>_Toc294088047</vt:lpwstr>
      </vt:variant>
      <vt:variant>
        <vt:i4>1179710</vt:i4>
      </vt:variant>
      <vt:variant>
        <vt:i4>158</vt:i4>
      </vt:variant>
      <vt:variant>
        <vt:i4>0</vt:i4>
      </vt:variant>
      <vt:variant>
        <vt:i4>5</vt:i4>
      </vt:variant>
      <vt:variant>
        <vt:lpwstr/>
      </vt:variant>
      <vt:variant>
        <vt:lpwstr>_Toc294088046</vt:lpwstr>
      </vt:variant>
      <vt:variant>
        <vt:i4>1179710</vt:i4>
      </vt:variant>
      <vt:variant>
        <vt:i4>152</vt:i4>
      </vt:variant>
      <vt:variant>
        <vt:i4>0</vt:i4>
      </vt:variant>
      <vt:variant>
        <vt:i4>5</vt:i4>
      </vt:variant>
      <vt:variant>
        <vt:lpwstr/>
      </vt:variant>
      <vt:variant>
        <vt:lpwstr>_Toc294088045</vt:lpwstr>
      </vt:variant>
      <vt:variant>
        <vt:i4>1179710</vt:i4>
      </vt:variant>
      <vt:variant>
        <vt:i4>146</vt:i4>
      </vt:variant>
      <vt:variant>
        <vt:i4>0</vt:i4>
      </vt:variant>
      <vt:variant>
        <vt:i4>5</vt:i4>
      </vt:variant>
      <vt:variant>
        <vt:lpwstr/>
      </vt:variant>
      <vt:variant>
        <vt:lpwstr>_Toc294088044</vt:lpwstr>
      </vt:variant>
      <vt:variant>
        <vt:i4>1179710</vt:i4>
      </vt:variant>
      <vt:variant>
        <vt:i4>140</vt:i4>
      </vt:variant>
      <vt:variant>
        <vt:i4>0</vt:i4>
      </vt:variant>
      <vt:variant>
        <vt:i4>5</vt:i4>
      </vt:variant>
      <vt:variant>
        <vt:lpwstr/>
      </vt:variant>
      <vt:variant>
        <vt:lpwstr>_Toc294088043</vt:lpwstr>
      </vt:variant>
      <vt:variant>
        <vt:i4>1179710</vt:i4>
      </vt:variant>
      <vt:variant>
        <vt:i4>134</vt:i4>
      </vt:variant>
      <vt:variant>
        <vt:i4>0</vt:i4>
      </vt:variant>
      <vt:variant>
        <vt:i4>5</vt:i4>
      </vt:variant>
      <vt:variant>
        <vt:lpwstr/>
      </vt:variant>
      <vt:variant>
        <vt:lpwstr>_Toc294088042</vt:lpwstr>
      </vt:variant>
      <vt:variant>
        <vt:i4>1179710</vt:i4>
      </vt:variant>
      <vt:variant>
        <vt:i4>128</vt:i4>
      </vt:variant>
      <vt:variant>
        <vt:i4>0</vt:i4>
      </vt:variant>
      <vt:variant>
        <vt:i4>5</vt:i4>
      </vt:variant>
      <vt:variant>
        <vt:lpwstr/>
      </vt:variant>
      <vt:variant>
        <vt:lpwstr>_Toc294088041</vt:lpwstr>
      </vt:variant>
      <vt:variant>
        <vt:i4>1179710</vt:i4>
      </vt:variant>
      <vt:variant>
        <vt:i4>122</vt:i4>
      </vt:variant>
      <vt:variant>
        <vt:i4>0</vt:i4>
      </vt:variant>
      <vt:variant>
        <vt:i4>5</vt:i4>
      </vt:variant>
      <vt:variant>
        <vt:lpwstr/>
      </vt:variant>
      <vt:variant>
        <vt:lpwstr>_Toc294088040</vt:lpwstr>
      </vt:variant>
      <vt:variant>
        <vt:i4>1376318</vt:i4>
      </vt:variant>
      <vt:variant>
        <vt:i4>116</vt:i4>
      </vt:variant>
      <vt:variant>
        <vt:i4>0</vt:i4>
      </vt:variant>
      <vt:variant>
        <vt:i4>5</vt:i4>
      </vt:variant>
      <vt:variant>
        <vt:lpwstr/>
      </vt:variant>
      <vt:variant>
        <vt:lpwstr>_Toc294088039</vt:lpwstr>
      </vt:variant>
      <vt:variant>
        <vt:i4>1376318</vt:i4>
      </vt:variant>
      <vt:variant>
        <vt:i4>110</vt:i4>
      </vt:variant>
      <vt:variant>
        <vt:i4>0</vt:i4>
      </vt:variant>
      <vt:variant>
        <vt:i4>5</vt:i4>
      </vt:variant>
      <vt:variant>
        <vt:lpwstr/>
      </vt:variant>
      <vt:variant>
        <vt:lpwstr>_Toc294088038</vt:lpwstr>
      </vt:variant>
      <vt:variant>
        <vt:i4>1376318</vt:i4>
      </vt:variant>
      <vt:variant>
        <vt:i4>104</vt:i4>
      </vt:variant>
      <vt:variant>
        <vt:i4>0</vt:i4>
      </vt:variant>
      <vt:variant>
        <vt:i4>5</vt:i4>
      </vt:variant>
      <vt:variant>
        <vt:lpwstr/>
      </vt:variant>
      <vt:variant>
        <vt:lpwstr>_Toc294088037</vt:lpwstr>
      </vt:variant>
      <vt:variant>
        <vt:i4>1376318</vt:i4>
      </vt:variant>
      <vt:variant>
        <vt:i4>98</vt:i4>
      </vt:variant>
      <vt:variant>
        <vt:i4>0</vt:i4>
      </vt:variant>
      <vt:variant>
        <vt:i4>5</vt:i4>
      </vt:variant>
      <vt:variant>
        <vt:lpwstr/>
      </vt:variant>
      <vt:variant>
        <vt:lpwstr>_Toc294088036</vt:lpwstr>
      </vt:variant>
      <vt:variant>
        <vt:i4>1376318</vt:i4>
      </vt:variant>
      <vt:variant>
        <vt:i4>92</vt:i4>
      </vt:variant>
      <vt:variant>
        <vt:i4>0</vt:i4>
      </vt:variant>
      <vt:variant>
        <vt:i4>5</vt:i4>
      </vt:variant>
      <vt:variant>
        <vt:lpwstr/>
      </vt:variant>
      <vt:variant>
        <vt:lpwstr>_Toc294088035</vt:lpwstr>
      </vt:variant>
      <vt:variant>
        <vt:i4>1376318</vt:i4>
      </vt:variant>
      <vt:variant>
        <vt:i4>86</vt:i4>
      </vt:variant>
      <vt:variant>
        <vt:i4>0</vt:i4>
      </vt:variant>
      <vt:variant>
        <vt:i4>5</vt:i4>
      </vt:variant>
      <vt:variant>
        <vt:lpwstr/>
      </vt:variant>
      <vt:variant>
        <vt:lpwstr>_Toc294088034</vt:lpwstr>
      </vt:variant>
      <vt:variant>
        <vt:i4>1376318</vt:i4>
      </vt:variant>
      <vt:variant>
        <vt:i4>80</vt:i4>
      </vt:variant>
      <vt:variant>
        <vt:i4>0</vt:i4>
      </vt:variant>
      <vt:variant>
        <vt:i4>5</vt:i4>
      </vt:variant>
      <vt:variant>
        <vt:lpwstr/>
      </vt:variant>
      <vt:variant>
        <vt:lpwstr>_Toc294088033</vt:lpwstr>
      </vt:variant>
      <vt:variant>
        <vt:i4>1376318</vt:i4>
      </vt:variant>
      <vt:variant>
        <vt:i4>74</vt:i4>
      </vt:variant>
      <vt:variant>
        <vt:i4>0</vt:i4>
      </vt:variant>
      <vt:variant>
        <vt:i4>5</vt:i4>
      </vt:variant>
      <vt:variant>
        <vt:lpwstr/>
      </vt:variant>
      <vt:variant>
        <vt:lpwstr>_Toc294088032</vt:lpwstr>
      </vt:variant>
      <vt:variant>
        <vt:i4>1376318</vt:i4>
      </vt:variant>
      <vt:variant>
        <vt:i4>68</vt:i4>
      </vt:variant>
      <vt:variant>
        <vt:i4>0</vt:i4>
      </vt:variant>
      <vt:variant>
        <vt:i4>5</vt:i4>
      </vt:variant>
      <vt:variant>
        <vt:lpwstr/>
      </vt:variant>
      <vt:variant>
        <vt:lpwstr>_Toc294088031</vt:lpwstr>
      </vt:variant>
      <vt:variant>
        <vt:i4>1376318</vt:i4>
      </vt:variant>
      <vt:variant>
        <vt:i4>62</vt:i4>
      </vt:variant>
      <vt:variant>
        <vt:i4>0</vt:i4>
      </vt:variant>
      <vt:variant>
        <vt:i4>5</vt:i4>
      </vt:variant>
      <vt:variant>
        <vt:lpwstr/>
      </vt:variant>
      <vt:variant>
        <vt:lpwstr>_Toc294088030</vt:lpwstr>
      </vt:variant>
      <vt:variant>
        <vt:i4>1310782</vt:i4>
      </vt:variant>
      <vt:variant>
        <vt:i4>56</vt:i4>
      </vt:variant>
      <vt:variant>
        <vt:i4>0</vt:i4>
      </vt:variant>
      <vt:variant>
        <vt:i4>5</vt:i4>
      </vt:variant>
      <vt:variant>
        <vt:lpwstr/>
      </vt:variant>
      <vt:variant>
        <vt:lpwstr>_Toc294088029</vt:lpwstr>
      </vt:variant>
      <vt:variant>
        <vt:i4>1310782</vt:i4>
      </vt:variant>
      <vt:variant>
        <vt:i4>50</vt:i4>
      </vt:variant>
      <vt:variant>
        <vt:i4>0</vt:i4>
      </vt:variant>
      <vt:variant>
        <vt:i4>5</vt:i4>
      </vt:variant>
      <vt:variant>
        <vt:lpwstr/>
      </vt:variant>
      <vt:variant>
        <vt:lpwstr>_Toc294088028</vt:lpwstr>
      </vt:variant>
      <vt:variant>
        <vt:i4>1310782</vt:i4>
      </vt:variant>
      <vt:variant>
        <vt:i4>44</vt:i4>
      </vt:variant>
      <vt:variant>
        <vt:i4>0</vt:i4>
      </vt:variant>
      <vt:variant>
        <vt:i4>5</vt:i4>
      </vt:variant>
      <vt:variant>
        <vt:lpwstr/>
      </vt:variant>
      <vt:variant>
        <vt:lpwstr>_Toc294088027</vt:lpwstr>
      </vt:variant>
      <vt:variant>
        <vt:i4>1310782</vt:i4>
      </vt:variant>
      <vt:variant>
        <vt:i4>38</vt:i4>
      </vt:variant>
      <vt:variant>
        <vt:i4>0</vt:i4>
      </vt:variant>
      <vt:variant>
        <vt:i4>5</vt:i4>
      </vt:variant>
      <vt:variant>
        <vt:lpwstr/>
      </vt:variant>
      <vt:variant>
        <vt:lpwstr>_Toc294088026</vt:lpwstr>
      </vt:variant>
      <vt:variant>
        <vt:i4>1310782</vt:i4>
      </vt:variant>
      <vt:variant>
        <vt:i4>32</vt:i4>
      </vt:variant>
      <vt:variant>
        <vt:i4>0</vt:i4>
      </vt:variant>
      <vt:variant>
        <vt:i4>5</vt:i4>
      </vt:variant>
      <vt:variant>
        <vt:lpwstr/>
      </vt:variant>
      <vt:variant>
        <vt:lpwstr>_Toc294088025</vt:lpwstr>
      </vt:variant>
      <vt:variant>
        <vt:i4>1310782</vt:i4>
      </vt:variant>
      <vt:variant>
        <vt:i4>26</vt:i4>
      </vt:variant>
      <vt:variant>
        <vt:i4>0</vt:i4>
      </vt:variant>
      <vt:variant>
        <vt:i4>5</vt:i4>
      </vt:variant>
      <vt:variant>
        <vt:lpwstr/>
      </vt:variant>
      <vt:variant>
        <vt:lpwstr>_Toc294088024</vt:lpwstr>
      </vt:variant>
      <vt:variant>
        <vt:i4>1310782</vt:i4>
      </vt:variant>
      <vt:variant>
        <vt:i4>20</vt:i4>
      </vt:variant>
      <vt:variant>
        <vt:i4>0</vt:i4>
      </vt:variant>
      <vt:variant>
        <vt:i4>5</vt:i4>
      </vt:variant>
      <vt:variant>
        <vt:lpwstr/>
      </vt:variant>
      <vt:variant>
        <vt:lpwstr>_Toc294088023</vt:lpwstr>
      </vt:variant>
      <vt:variant>
        <vt:i4>1310782</vt:i4>
      </vt:variant>
      <vt:variant>
        <vt:i4>14</vt:i4>
      </vt:variant>
      <vt:variant>
        <vt:i4>0</vt:i4>
      </vt:variant>
      <vt:variant>
        <vt:i4>5</vt:i4>
      </vt:variant>
      <vt:variant>
        <vt:lpwstr/>
      </vt:variant>
      <vt:variant>
        <vt:lpwstr>_Toc294088022</vt:lpwstr>
      </vt:variant>
      <vt:variant>
        <vt:i4>1310782</vt:i4>
      </vt:variant>
      <vt:variant>
        <vt:i4>8</vt:i4>
      </vt:variant>
      <vt:variant>
        <vt:i4>0</vt:i4>
      </vt:variant>
      <vt:variant>
        <vt:i4>5</vt:i4>
      </vt:variant>
      <vt:variant>
        <vt:lpwstr/>
      </vt:variant>
      <vt:variant>
        <vt:lpwstr>_Toc294088021</vt:lpwstr>
      </vt:variant>
      <vt:variant>
        <vt:i4>1310782</vt:i4>
      </vt:variant>
      <vt:variant>
        <vt:i4>2</vt:i4>
      </vt:variant>
      <vt:variant>
        <vt:i4>0</vt:i4>
      </vt:variant>
      <vt:variant>
        <vt:i4>5</vt:i4>
      </vt:variant>
      <vt:variant>
        <vt:lpwstr/>
      </vt:variant>
      <vt:variant>
        <vt:lpwstr>_Toc294088020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NHSC residential cost analysis</dc:title>
  <dc:creator>Department of Housing and Homelessness</dc:creator>
  <cp:lastModifiedBy>a01255</cp:lastModifiedBy>
  <cp:revision>3</cp:revision>
  <cp:lastPrinted>2011-05-25T00:58:00Z</cp:lastPrinted>
  <dcterms:created xsi:type="dcterms:W3CDTF">2011-12-13T22:38:00Z</dcterms:created>
  <dcterms:modified xsi:type="dcterms:W3CDTF">2011-12-13T22:40:00Z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61</vt:lpwstr>
  </property>
  <property fmtid="{D5CDD505-2E9C-101B-9397-08002B2CF9AE}" pid="3" name="Word ver">
    <vt:lpwstr>2003</vt:lpwstr>
  </property>
  <property fmtid="{D5CDD505-2E9C-101B-9397-08002B2CF9AE}" pid="4" name="HeaderText">
    <vt:lpwstr>THIS IS THE NAME OF THE PROJECT IN ONE LINE</vt:lpwstr>
  </property>
  <property fmtid="{D5CDD505-2E9C-101B-9397-08002B2CF9AE}" pid="5" name="FooterText">
    <vt:lpwstr>Footer Text for Document Body</vt:lpwstr>
  </property>
</Properties>
</file>