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992EC" w14:textId="77777777" w:rsidR="00D778B3" w:rsidRDefault="00D778B3" w:rsidP="00D778B3">
      <w:pPr>
        <w:jc w:val="center"/>
      </w:pPr>
      <w:bookmarkStart w:id="0" w:name="_Toc496792433"/>
    </w:p>
    <w:p w14:paraId="7A464983" w14:textId="77777777" w:rsidR="00D778B3" w:rsidRDefault="00D778B3" w:rsidP="00D778B3">
      <w:pPr>
        <w:jc w:val="center"/>
      </w:pPr>
    </w:p>
    <w:p w14:paraId="757F285D" w14:textId="77777777" w:rsidR="00D778B3" w:rsidRPr="00D63A15" w:rsidRDefault="00D778B3" w:rsidP="00D778B3">
      <w:pPr>
        <w:jc w:val="center"/>
        <w:rPr>
          <w:caps/>
        </w:rPr>
      </w:pPr>
      <w:r>
        <w:rPr>
          <w:caps/>
          <w:noProof/>
          <w:lang w:eastAsia="en-AU"/>
        </w:rPr>
        <w:drawing>
          <wp:inline distT="0" distB="0" distL="0" distR="0" wp14:anchorId="2AD558FB" wp14:editId="55C35060">
            <wp:extent cx="246697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2A3C68B4" w14:textId="77777777" w:rsidR="00D778B3" w:rsidRDefault="00D778B3" w:rsidP="00D778B3">
      <w:pPr>
        <w:jc w:val="center"/>
      </w:pPr>
    </w:p>
    <w:p w14:paraId="6A89910A" w14:textId="77777777" w:rsidR="00D778B3" w:rsidRDefault="00D778B3" w:rsidP="00D778B3"/>
    <w:p w14:paraId="3A8E09B2" w14:textId="77777777" w:rsidR="00D778B3" w:rsidRDefault="00D778B3" w:rsidP="00D778B3"/>
    <w:p w14:paraId="7616BC11" w14:textId="77777777" w:rsidR="00D778B3" w:rsidRDefault="00D778B3" w:rsidP="00D778B3">
      <w:pPr>
        <w:jc w:val="center"/>
        <w:rPr>
          <w:sz w:val="36"/>
          <w:szCs w:val="36"/>
        </w:rPr>
      </w:pPr>
      <w:r w:rsidRPr="005418C5">
        <w:rPr>
          <w:sz w:val="36"/>
          <w:szCs w:val="36"/>
        </w:rPr>
        <w:t xml:space="preserve">Australian </w:t>
      </w:r>
      <w:r>
        <w:rPr>
          <w:sz w:val="36"/>
          <w:szCs w:val="36"/>
        </w:rPr>
        <w:t>Government</w:t>
      </w:r>
      <w:r w:rsidRPr="005418C5">
        <w:rPr>
          <w:sz w:val="36"/>
          <w:szCs w:val="36"/>
        </w:rPr>
        <w:t xml:space="preserve"> response to the</w:t>
      </w:r>
      <w:r>
        <w:rPr>
          <w:sz w:val="36"/>
          <w:szCs w:val="36"/>
        </w:rPr>
        <w:t xml:space="preserve"> </w:t>
      </w:r>
      <w:r>
        <w:rPr>
          <w:sz w:val="36"/>
          <w:szCs w:val="36"/>
        </w:rPr>
        <w:br/>
        <w:t>Senate Economics References Committee</w:t>
      </w:r>
      <w:r w:rsidRPr="009B57C6">
        <w:rPr>
          <w:sz w:val="36"/>
          <w:szCs w:val="36"/>
        </w:rPr>
        <w:t xml:space="preserve"> report</w:t>
      </w:r>
      <w:r>
        <w:rPr>
          <w:sz w:val="36"/>
          <w:szCs w:val="36"/>
        </w:rPr>
        <w:t>:</w:t>
      </w:r>
    </w:p>
    <w:p w14:paraId="6139C02D" w14:textId="77777777" w:rsidR="00D778B3" w:rsidRDefault="00D778B3" w:rsidP="00D778B3">
      <w:pPr>
        <w:jc w:val="center"/>
        <w:rPr>
          <w:sz w:val="36"/>
          <w:szCs w:val="36"/>
        </w:rPr>
      </w:pPr>
    </w:p>
    <w:p w14:paraId="7F8E5CAE" w14:textId="77777777" w:rsidR="00D778B3" w:rsidRDefault="00D778B3" w:rsidP="00D778B3">
      <w:pPr>
        <w:jc w:val="center"/>
        <w:rPr>
          <w:sz w:val="36"/>
          <w:szCs w:val="36"/>
        </w:rPr>
      </w:pPr>
      <w:r>
        <w:rPr>
          <w:sz w:val="36"/>
          <w:szCs w:val="36"/>
        </w:rPr>
        <w:t>Australia’s general insurance industry: sapping consumers of the will to compare</w:t>
      </w:r>
    </w:p>
    <w:p w14:paraId="1386735A" w14:textId="77777777" w:rsidR="00D778B3" w:rsidRDefault="00D778B3" w:rsidP="00D778B3">
      <w:pPr>
        <w:jc w:val="center"/>
        <w:rPr>
          <w:sz w:val="36"/>
          <w:szCs w:val="36"/>
        </w:rPr>
      </w:pPr>
    </w:p>
    <w:p w14:paraId="28040C01" w14:textId="77777777" w:rsidR="00D778B3" w:rsidRDefault="00D778B3" w:rsidP="00D778B3">
      <w:pPr>
        <w:jc w:val="center"/>
        <w:rPr>
          <w:sz w:val="36"/>
          <w:szCs w:val="36"/>
        </w:rPr>
      </w:pPr>
    </w:p>
    <w:p w14:paraId="3E4D40B4" w14:textId="77777777" w:rsidR="00D778B3" w:rsidRDefault="00D778B3" w:rsidP="00D778B3">
      <w:pPr>
        <w:jc w:val="center"/>
        <w:rPr>
          <w:sz w:val="36"/>
          <w:szCs w:val="36"/>
        </w:rPr>
      </w:pPr>
    </w:p>
    <w:p w14:paraId="34B81807" w14:textId="77777777" w:rsidR="00D778B3" w:rsidRDefault="00D778B3" w:rsidP="00D778B3">
      <w:pPr>
        <w:jc w:val="center"/>
        <w:rPr>
          <w:sz w:val="36"/>
          <w:szCs w:val="36"/>
        </w:rPr>
      </w:pPr>
    </w:p>
    <w:p w14:paraId="157E87D5" w14:textId="77777777" w:rsidR="00D778B3" w:rsidRDefault="00D778B3" w:rsidP="00D778B3">
      <w:pPr>
        <w:jc w:val="center"/>
        <w:rPr>
          <w:sz w:val="36"/>
          <w:szCs w:val="36"/>
        </w:rPr>
      </w:pPr>
    </w:p>
    <w:p w14:paraId="322DAE34" w14:textId="77777777" w:rsidR="00D778B3" w:rsidRDefault="00D778B3" w:rsidP="00D778B3">
      <w:pPr>
        <w:jc w:val="center"/>
        <w:rPr>
          <w:sz w:val="36"/>
          <w:szCs w:val="36"/>
        </w:rPr>
      </w:pPr>
    </w:p>
    <w:p w14:paraId="1D80C0BB" w14:textId="77777777" w:rsidR="00D778B3" w:rsidRDefault="00D778B3" w:rsidP="00D778B3">
      <w:pPr>
        <w:jc w:val="center"/>
        <w:rPr>
          <w:sz w:val="36"/>
          <w:szCs w:val="36"/>
        </w:rPr>
      </w:pPr>
    </w:p>
    <w:p w14:paraId="6F6E967B" w14:textId="77777777" w:rsidR="00D778B3" w:rsidRDefault="00D778B3" w:rsidP="00D778B3">
      <w:pPr>
        <w:jc w:val="center"/>
        <w:rPr>
          <w:sz w:val="36"/>
          <w:szCs w:val="36"/>
        </w:rPr>
      </w:pPr>
    </w:p>
    <w:p w14:paraId="008FD0A4" w14:textId="77777777" w:rsidR="00D778B3" w:rsidRDefault="00D778B3" w:rsidP="00D778B3">
      <w:pPr>
        <w:jc w:val="center"/>
        <w:rPr>
          <w:sz w:val="36"/>
          <w:szCs w:val="36"/>
        </w:rPr>
      </w:pPr>
    </w:p>
    <w:p w14:paraId="2843E2E5" w14:textId="77777777" w:rsidR="00D778B3" w:rsidRDefault="00D778B3" w:rsidP="00D778B3">
      <w:pPr>
        <w:jc w:val="center"/>
        <w:rPr>
          <w:sz w:val="36"/>
          <w:szCs w:val="36"/>
        </w:rPr>
      </w:pPr>
    </w:p>
    <w:p w14:paraId="4F643153" w14:textId="77777777" w:rsidR="00D778B3" w:rsidRDefault="00D778B3" w:rsidP="00D778B3">
      <w:pPr>
        <w:jc w:val="center"/>
        <w:rPr>
          <w:sz w:val="36"/>
          <w:szCs w:val="36"/>
        </w:rPr>
      </w:pPr>
    </w:p>
    <w:p w14:paraId="51C52317" w14:textId="77777777" w:rsidR="00D778B3" w:rsidRDefault="00D778B3" w:rsidP="00D778B3">
      <w:pPr>
        <w:jc w:val="center"/>
        <w:rPr>
          <w:sz w:val="36"/>
          <w:szCs w:val="36"/>
        </w:rPr>
      </w:pPr>
    </w:p>
    <w:p w14:paraId="6E810172" w14:textId="77777777" w:rsidR="00D778B3" w:rsidRDefault="00D778B3" w:rsidP="00D778B3">
      <w:pPr>
        <w:jc w:val="right"/>
        <w:rPr>
          <w:caps/>
          <w:sz w:val="28"/>
          <w:szCs w:val="28"/>
        </w:rPr>
      </w:pPr>
      <w:r>
        <w:rPr>
          <w:caps/>
          <w:sz w:val="28"/>
          <w:szCs w:val="28"/>
        </w:rPr>
        <w:t>December 2017</w:t>
      </w:r>
    </w:p>
    <w:p w14:paraId="4C2EA431" w14:textId="20B552CA" w:rsidR="00D778B3" w:rsidRDefault="00D778B3">
      <w:pPr>
        <w:spacing w:before="0" w:after="200" w:line="276" w:lineRule="auto"/>
        <w:rPr>
          <w:rFonts w:eastAsiaTheme="majorEastAsia" w:cstheme="majorBidi"/>
          <w:b/>
          <w:bCs/>
          <w:color w:val="003865"/>
          <w:sz w:val="24"/>
          <w:szCs w:val="28"/>
        </w:rPr>
      </w:pPr>
    </w:p>
    <w:p w14:paraId="63145B14" w14:textId="40EF5FBF" w:rsidR="002F7407" w:rsidRDefault="002F7407" w:rsidP="002F7407">
      <w:pPr>
        <w:pStyle w:val="TOCLevel2"/>
      </w:pPr>
      <w:r>
        <w:lastRenderedPageBreak/>
        <w:t>Government Response to Senate Insurance Inquiry</w:t>
      </w:r>
      <w:bookmarkEnd w:id="0"/>
    </w:p>
    <w:p w14:paraId="1EF6F6B8" w14:textId="77777777" w:rsidR="002F7407" w:rsidRDefault="002F7407" w:rsidP="002F7407">
      <w:pPr>
        <w:rPr>
          <w:b/>
        </w:rPr>
      </w:pPr>
    </w:p>
    <w:p w14:paraId="0363AC44" w14:textId="77777777" w:rsidR="002F7407" w:rsidRDefault="002F7407" w:rsidP="002F7407">
      <w:pPr>
        <w:rPr>
          <w:b/>
          <w:i/>
        </w:rPr>
      </w:pPr>
      <w:r>
        <w:rPr>
          <w:b/>
        </w:rPr>
        <w:t>G</w:t>
      </w:r>
      <w:r w:rsidRPr="00D704E6">
        <w:rPr>
          <w:b/>
        </w:rPr>
        <w:t xml:space="preserve">overnment response to the Senate Economics References Committee report: </w:t>
      </w:r>
      <w:r w:rsidRPr="00D704E6">
        <w:rPr>
          <w:b/>
          <w:i/>
        </w:rPr>
        <w:t>Australia’s general insurance industry: sapping consumers of the will to compare</w:t>
      </w:r>
    </w:p>
    <w:p w14:paraId="21D461C1" w14:textId="77777777" w:rsidR="002F7407" w:rsidRDefault="002F7407" w:rsidP="002F7407">
      <w:pPr>
        <w:pStyle w:val="Heading1NewTemplate"/>
        <w:jc w:val="right"/>
      </w:pPr>
    </w:p>
    <w:tbl>
      <w:tblPr>
        <w:tblStyle w:val="LightShading-Accent1"/>
        <w:tblW w:w="0" w:type="auto"/>
        <w:tblLook w:val="04A0" w:firstRow="1" w:lastRow="0" w:firstColumn="1" w:lastColumn="0" w:noHBand="0" w:noVBand="1"/>
      </w:tblPr>
      <w:tblGrid>
        <w:gridCol w:w="4649"/>
        <w:gridCol w:w="4593"/>
      </w:tblGrid>
      <w:tr w:rsidR="002F7407" w:rsidRPr="00CC7E05" w14:paraId="295B0101" w14:textId="77777777" w:rsidTr="00DA1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6BB6F3AA" w14:textId="77777777" w:rsidR="002F7407" w:rsidRPr="0011580B" w:rsidRDefault="002F7407" w:rsidP="00DA1BAF">
            <w:pPr>
              <w:jc w:val="center"/>
              <w:rPr>
                <w:color w:val="auto"/>
              </w:rPr>
            </w:pPr>
            <w:r w:rsidRPr="0011580B">
              <w:rPr>
                <w:color w:val="auto"/>
              </w:rPr>
              <w:t>Recommendations</w:t>
            </w:r>
          </w:p>
        </w:tc>
        <w:tc>
          <w:tcPr>
            <w:tcW w:w="4593" w:type="dxa"/>
          </w:tcPr>
          <w:p w14:paraId="64AEB6B1" w14:textId="77777777" w:rsidR="002F7407" w:rsidRPr="0011580B" w:rsidRDefault="002F7407" w:rsidP="00DA1BAF">
            <w:pPr>
              <w:jc w:val="center"/>
              <w:cnfStyle w:val="100000000000" w:firstRow="1" w:lastRow="0" w:firstColumn="0" w:lastColumn="0" w:oddVBand="0" w:evenVBand="0" w:oddHBand="0" w:evenHBand="0" w:firstRowFirstColumn="0" w:firstRowLastColumn="0" w:lastRowFirstColumn="0" w:lastRowLastColumn="0"/>
              <w:rPr>
                <w:color w:val="auto"/>
              </w:rPr>
            </w:pPr>
            <w:r w:rsidRPr="0011580B">
              <w:rPr>
                <w:color w:val="auto"/>
              </w:rPr>
              <w:t>Government response</w:t>
            </w:r>
          </w:p>
          <w:p w14:paraId="1DA3A0C2" w14:textId="77777777" w:rsidR="002F7407" w:rsidRPr="0011580B" w:rsidRDefault="002F7407" w:rsidP="00DA1BAF">
            <w:pPr>
              <w:jc w:val="center"/>
              <w:cnfStyle w:val="100000000000" w:firstRow="1" w:lastRow="0" w:firstColumn="0" w:lastColumn="0" w:oddVBand="0" w:evenVBand="0" w:oddHBand="0" w:evenHBand="0" w:firstRowFirstColumn="0" w:firstRowLastColumn="0" w:lastRowFirstColumn="0" w:lastRowLastColumn="0"/>
              <w:rPr>
                <w:color w:val="auto"/>
              </w:rPr>
            </w:pPr>
          </w:p>
        </w:tc>
      </w:tr>
      <w:tr w:rsidR="002F7407" w14:paraId="1A6CB706" w14:textId="77777777" w:rsidTr="00DA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234244A1" w14:textId="77777777" w:rsidR="002F7407" w:rsidRDefault="002F7407" w:rsidP="00DA1BAF">
            <w:pPr>
              <w:rPr>
                <w:b w:val="0"/>
                <w:sz w:val="20"/>
                <w:szCs w:val="20"/>
              </w:rPr>
            </w:pPr>
            <w:r w:rsidRPr="00A44FE1">
              <w:rPr>
                <w:sz w:val="20"/>
                <w:szCs w:val="20"/>
              </w:rPr>
              <w:t>Recommendation 1</w:t>
            </w:r>
          </w:p>
          <w:p w14:paraId="404F8FFB" w14:textId="77777777" w:rsidR="002F7407" w:rsidRPr="00A44FE1" w:rsidRDefault="002F7407" w:rsidP="00DA1BAF">
            <w:pPr>
              <w:rPr>
                <w:b w:val="0"/>
                <w:sz w:val="20"/>
                <w:szCs w:val="20"/>
              </w:rPr>
            </w:pPr>
          </w:p>
          <w:p w14:paraId="47537290" w14:textId="77777777" w:rsidR="002F7407" w:rsidRPr="00923256" w:rsidRDefault="002F7407" w:rsidP="00DA1BAF">
            <w:pPr>
              <w:rPr>
                <w:b w:val="0"/>
                <w:i/>
                <w:sz w:val="20"/>
                <w:szCs w:val="20"/>
              </w:rPr>
            </w:pPr>
            <w:r w:rsidRPr="00923256">
              <w:rPr>
                <w:b w:val="0"/>
                <w:i/>
                <w:sz w:val="20"/>
                <w:szCs w:val="20"/>
              </w:rPr>
              <w:t>The committee recommends that the government release its response to the final report of the Northern Australia Insurance Premiums Taskforce.</w:t>
            </w:r>
          </w:p>
          <w:p w14:paraId="675EEB1B" w14:textId="77777777" w:rsidR="002F7407" w:rsidRDefault="002F7407" w:rsidP="00DA1BAF"/>
        </w:tc>
        <w:tc>
          <w:tcPr>
            <w:tcW w:w="4593" w:type="dxa"/>
          </w:tcPr>
          <w:p w14:paraId="3F6E611F"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Agree</w:t>
            </w:r>
          </w:p>
          <w:p w14:paraId="0890B4D6"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b/>
                <w:sz w:val="20"/>
                <w:szCs w:val="20"/>
              </w:rPr>
            </w:pPr>
          </w:p>
          <w:p w14:paraId="32762FAA"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r w:rsidRPr="00C51BE8">
              <w:rPr>
                <w:sz w:val="20"/>
                <w:szCs w:val="20"/>
              </w:rPr>
              <w:t>The Government has been carefully considering the findings of the Northern Australia Insurance Premiums Taskforce</w:t>
            </w:r>
            <w:r>
              <w:rPr>
                <w:sz w:val="20"/>
                <w:szCs w:val="20"/>
              </w:rPr>
              <w:t xml:space="preserve"> (the Taskforce)</w:t>
            </w:r>
            <w:r w:rsidRPr="00C51BE8">
              <w:rPr>
                <w:sz w:val="20"/>
                <w:szCs w:val="20"/>
              </w:rPr>
              <w:t xml:space="preserve"> and all options available in detail</w:t>
            </w:r>
            <w:r>
              <w:rPr>
                <w:sz w:val="20"/>
                <w:szCs w:val="20"/>
              </w:rPr>
              <w:t>. The Government released its response to the Taskforce on 18 December 2017.</w:t>
            </w:r>
          </w:p>
          <w:p w14:paraId="7B0F4FE4" w14:textId="77777777" w:rsidR="002F7407" w:rsidRPr="00C51BE8"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r w:rsidRPr="002F7407">
              <w:rPr>
                <w:sz w:val="20"/>
                <w:szCs w:val="20"/>
              </w:rPr>
              <w:t>In its assessment of policy options, the Taskforce found that mitigation activities to reduce the risk of damage from cyclones are the only way to reduce premiums on a sustainable basis. The Government accepts this finding, and will not intervene directly in the insurance market.</w:t>
            </w:r>
          </w:p>
          <w:p w14:paraId="1578D471"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issues raised are complex and t</w:t>
            </w:r>
            <w:r w:rsidRPr="00A5002B">
              <w:rPr>
                <w:sz w:val="20"/>
                <w:szCs w:val="20"/>
              </w:rPr>
              <w:t>he Government remains committed to working with all stakeholders to develop solutions that will lead to sustainable reductions in premium levels, promote a competitive insurance market and make a recognisable difference for consumers in northern Australia.</w:t>
            </w:r>
            <w:r>
              <w:rPr>
                <w:sz w:val="20"/>
                <w:szCs w:val="20"/>
              </w:rPr>
              <w:t xml:space="preserve"> </w:t>
            </w:r>
          </w:p>
          <w:p w14:paraId="577ABB35" w14:textId="77777777" w:rsidR="002F7407" w:rsidRDefault="002F7407" w:rsidP="002F7407">
            <w:pPr>
              <w:cnfStyle w:val="000000100000" w:firstRow="0" w:lastRow="0" w:firstColumn="0" w:lastColumn="0" w:oddVBand="0" w:evenVBand="0" w:oddHBand="1" w:evenHBand="0" w:firstRowFirstColumn="0" w:firstRowLastColumn="0" w:lastRowFirstColumn="0" w:lastRowLastColumn="0"/>
            </w:pPr>
          </w:p>
        </w:tc>
        <w:bookmarkStart w:id="1" w:name="_GoBack"/>
        <w:bookmarkEnd w:id="1"/>
      </w:tr>
      <w:tr w:rsidR="002F7407" w14:paraId="3BFA9272" w14:textId="77777777" w:rsidTr="00DA1BAF">
        <w:tc>
          <w:tcPr>
            <w:cnfStyle w:val="001000000000" w:firstRow="0" w:lastRow="0" w:firstColumn="1" w:lastColumn="0" w:oddVBand="0" w:evenVBand="0" w:oddHBand="0" w:evenHBand="0" w:firstRowFirstColumn="0" w:firstRowLastColumn="0" w:lastRowFirstColumn="0" w:lastRowLastColumn="0"/>
            <w:tcW w:w="4649" w:type="dxa"/>
          </w:tcPr>
          <w:p w14:paraId="57B621B1" w14:textId="77777777" w:rsidR="002F7407" w:rsidRDefault="002F7407" w:rsidP="00DA1BAF">
            <w:pPr>
              <w:rPr>
                <w:b w:val="0"/>
                <w:sz w:val="20"/>
                <w:szCs w:val="20"/>
              </w:rPr>
            </w:pPr>
            <w:r w:rsidRPr="00A44FE1">
              <w:rPr>
                <w:sz w:val="20"/>
                <w:szCs w:val="20"/>
              </w:rPr>
              <w:t>Recommendation 2</w:t>
            </w:r>
          </w:p>
          <w:p w14:paraId="01376C34" w14:textId="77777777" w:rsidR="002F7407" w:rsidRPr="00A44FE1" w:rsidRDefault="002F7407" w:rsidP="00DA1BAF">
            <w:pPr>
              <w:rPr>
                <w:b w:val="0"/>
                <w:sz w:val="20"/>
                <w:szCs w:val="20"/>
              </w:rPr>
            </w:pPr>
          </w:p>
          <w:p w14:paraId="463EC5C1" w14:textId="77777777" w:rsidR="002F7407" w:rsidRPr="00923256" w:rsidRDefault="002F7407" w:rsidP="00DA1BAF">
            <w:pPr>
              <w:rPr>
                <w:b w:val="0"/>
                <w:i/>
                <w:sz w:val="20"/>
                <w:szCs w:val="20"/>
              </w:rPr>
            </w:pPr>
            <w:r w:rsidRPr="00923256">
              <w:rPr>
                <w:b w:val="0"/>
                <w:i/>
                <w:sz w:val="20"/>
                <w:szCs w:val="20"/>
              </w:rPr>
              <w:t>The committee recommends that the government conduct a review into competition in the strata insurance market in North Queensland to establish a fact base and explore avenues to improve insurer participation in this region.</w:t>
            </w:r>
          </w:p>
          <w:p w14:paraId="71356629" w14:textId="77777777" w:rsidR="002F7407" w:rsidRDefault="002F7407" w:rsidP="00DA1BAF"/>
        </w:tc>
        <w:tc>
          <w:tcPr>
            <w:tcW w:w="4593" w:type="dxa"/>
          </w:tcPr>
          <w:p w14:paraId="289D3186"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rPr>
                <w:b/>
                <w:sz w:val="20"/>
                <w:szCs w:val="20"/>
              </w:rPr>
            </w:pPr>
            <w:r w:rsidRPr="00A44FE1">
              <w:rPr>
                <w:b/>
                <w:sz w:val="20"/>
                <w:szCs w:val="20"/>
              </w:rPr>
              <w:t>Agree</w:t>
            </w:r>
          </w:p>
          <w:p w14:paraId="3181BA79"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rPr>
                <w:b/>
                <w:sz w:val="20"/>
                <w:szCs w:val="20"/>
              </w:rPr>
            </w:pPr>
          </w:p>
          <w:p w14:paraId="58DB70CC" w14:textId="77777777" w:rsidR="002F7407" w:rsidRPr="00C51BE8" w:rsidRDefault="002F7407" w:rsidP="00DA1BAF">
            <w:pPr>
              <w:cnfStyle w:val="000000000000" w:firstRow="0" w:lastRow="0" w:firstColumn="0" w:lastColumn="0" w:oddVBand="0" w:evenVBand="0" w:oddHBand="0" w:evenHBand="0" w:firstRowFirstColumn="0" w:firstRowLastColumn="0" w:lastRowFirstColumn="0" w:lastRowLastColumn="0"/>
              <w:rPr>
                <w:sz w:val="20"/>
                <w:szCs w:val="20"/>
              </w:rPr>
            </w:pPr>
            <w:r w:rsidRPr="00C51BE8">
              <w:rPr>
                <w:sz w:val="20"/>
                <w:szCs w:val="20"/>
              </w:rPr>
              <w:t xml:space="preserve">The </w:t>
            </w:r>
            <w:r>
              <w:rPr>
                <w:sz w:val="20"/>
                <w:szCs w:val="20"/>
              </w:rPr>
              <w:t>G</w:t>
            </w:r>
            <w:r w:rsidRPr="00C51BE8">
              <w:rPr>
                <w:sz w:val="20"/>
                <w:szCs w:val="20"/>
              </w:rPr>
              <w:t>overnment has directed the Australian Competition and Consumer Commission (ACCC) to monitor prices, costs and profits in the insurance market in northern Australia in relation to home, contents and strata insurance. The inquiry commenced on</w:t>
            </w:r>
            <w:r>
              <w:rPr>
                <w:sz w:val="20"/>
                <w:szCs w:val="20"/>
              </w:rPr>
              <w:t xml:space="preserve"> </w:t>
            </w:r>
            <w:r w:rsidRPr="00C51BE8">
              <w:rPr>
                <w:sz w:val="20"/>
                <w:szCs w:val="20"/>
              </w:rPr>
              <w:t>1 July 2017 and will continue for three years. The Government will provide the ACCC with $7.9 million to ensure it has the resources to conduct this inquiry.</w:t>
            </w:r>
          </w:p>
          <w:p w14:paraId="75832ED4" w14:textId="77777777" w:rsidR="002F7407" w:rsidRPr="00C51BE8" w:rsidRDefault="002F7407" w:rsidP="00DA1BAF">
            <w:pPr>
              <w:cnfStyle w:val="000000000000" w:firstRow="0" w:lastRow="0" w:firstColumn="0" w:lastColumn="0" w:oddVBand="0" w:evenVBand="0" w:oddHBand="0" w:evenHBand="0" w:firstRowFirstColumn="0" w:firstRowLastColumn="0" w:lastRowFirstColumn="0" w:lastRowLastColumn="0"/>
              <w:rPr>
                <w:sz w:val="20"/>
                <w:szCs w:val="20"/>
              </w:rPr>
            </w:pPr>
          </w:p>
          <w:p w14:paraId="44A86A5C" w14:textId="77777777" w:rsidR="002F7407" w:rsidRPr="00C51BE8" w:rsidRDefault="002F7407" w:rsidP="00DA1BAF">
            <w:pPr>
              <w:cnfStyle w:val="000000000000" w:firstRow="0" w:lastRow="0" w:firstColumn="0" w:lastColumn="0" w:oddVBand="0" w:evenVBand="0" w:oddHBand="0" w:evenHBand="0" w:firstRowFirstColumn="0" w:firstRowLastColumn="0" w:lastRowFirstColumn="0" w:lastRowLastColumn="0"/>
              <w:rPr>
                <w:sz w:val="20"/>
                <w:szCs w:val="20"/>
              </w:rPr>
            </w:pPr>
            <w:r w:rsidRPr="00C51BE8">
              <w:rPr>
                <w:sz w:val="20"/>
                <w:szCs w:val="20"/>
              </w:rPr>
              <w:t>The Government will closely monitor the findings of the ACCC inquiry</w:t>
            </w:r>
            <w:r>
              <w:rPr>
                <w:sz w:val="20"/>
                <w:szCs w:val="20"/>
              </w:rPr>
              <w:t xml:space="preserve">, which is </w:t>
            </w:r>
            <w:r w:rsidRPr="00A5002B">
              <w:rPr>
                <w:sz w:val="20"/>
                <w:szCs w:val="20"/>
              </w:rPr>
              <w:t>an important step in ensuring that all relevant factors impacting affordability including federal and state regulations can be considered.</w:t>
            </w:r>
          </w:p>
          <w:p w14:paraId="0C05221E"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pPr>
          </w:p>
        </w:tc>
      </w:tr>
      <w:tr w:rsidR="002F7407" w14:paraId="182B919A" w14:textId="77777777" w:rsidTr="00DA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16D0E613" w14:textId="77777777" w:rsidR="002F7407" w:rsidRPr="006F6ECB" w:rsidRDefault="002F7407" w:rsidP="00DA1BAF">
            <w:pPr>
              <w:rPr>
                <w:sz w:val="20"/>
                <w:szCs w:val="20"/>
              </w:rPr>
            </w:pPr>
            <w:r w:rsidRPr="006F6ECB">
              <w:rPr>
                <w:sz w:val="20"/>
                <w:szCs w:val="20"/>
              </w:rPr>
              <w:lastRenderedPageBreak/>
              <w:t>Recommendation 3</w:t>
            </w:r>
          </w:p>
          <w:p w14:paraId="67172564" w14:textId="77777777" w:rsidR="002F7407" w:rsidRDefault="002F7407" w:rsidP="00DA1BAF">
            <w:pPr>
              <w:rPr>
                <w:i/>
                <w:sz w:val="20"/>
                <w:szCs w:val="20"/>
              </w:rPr>
            </w:pPr>
          </w:p>
          <w:p w14:paraId="7E0259E5" w14:textId="77777777" w:rsidR="002F7407" w:rsidRPr="00923256" w:rsidRDefault="002F7407" w:rsidP="00DA1BAF">
            <w:pPr>
              <w:rPr>
                <w:b w:val="0"/>
                <w:i/>
                <w:sz w:val="20"/>
                <w:szCs w:val="20"/>
              </w:rPr>
            </w:pPr>
            <w:r w:rsidRPr="00923256">
              <w:rPr>
                <w:b w:val="0"/>
                <w:i/>
                <w:sz w:val="20"/>
                <w:szCs w:val="20"/>
              </w:rPr>
              <w:t>The committee recommends that the government strengthen the transparency of general insurance pricing by amending the product disclosure regime in the Corporations Act 2001 to require insurers to:</w:t>
            </w:r>
          </w:p>
          <w:p w14:paraId="3B3FADF6" w14:textId="77777777" w:rsidR="002F7407" w:rsidRPr="00B66960" w:rsidRDefault="002F7407" w:rsidP="00DA1BAF">
            <w:pPr>
              <w:rPr>
                <w:b w:val="0"/>
                <w:i/>
                <w:sz w:val="20"/>
                <w:szCs w:val="20"/>
              </w:rPr>
            </w:pPr>
          </w:p>
          <w:p w14:paraId="1501954E" w14:textId="77777777" w:rsidR="002F7407" w:rsidRPr="004C21E2" w:rsidRDefault="002F7407" w:rsidP="002F7407">
            <w:pPr>
              <w:pStyle w:val="Bullet"/>
              <w:numPr>
                <w:ilvl w:val="0"/>
                <w:numId w:val="3"/>
              </w:numPr>
              <w:spacing w:after="0"/>
              <w:rPr>
                <w:b w:val="0"/>
                <w:i/>
              </w:rPr>
            </w:pPr>
            <w:r w:rsidRPr="004C21E2">
              <w:rPr>
                <w:i/>
              </w:rPr>
              <w:t>disclose the previous year's premium on insurance renewal notices; and</w:t>
            </w:r>
          </w:p>
          <w:p w14:paraId="78C98A21" w14:textId="77777777" w:rsidR="002F7407" w:rsidRPr="00B66960" w:rsidRDefault="002F7407" w:rsidP="002F7407">
            <w:pPr>
              <w:pStyle w:val="Bullet"/>
              <w:numPr>
                <w:ilvl w:val="0"/>
                <w:numId w:val="3"/>
              </w:numPr>
              <w:spacing w:after="0"/>
              <w:rPr>
                <w:b w:val="0"/>
                <w:i/>
              </w:rPr>
            </w:pPr>
            <w:r w:rsidRPr="004C21E2">
              <w:rPr>
                <w:i/>
              </w:rPr>
              <w:t xml:space="preserve">explain </w:t>
            </w:r>
            <w:r w:rsidRPr="002C2230">
              <w:rPr>
                <w:i/>
              </w:rPr>
              <w:t>premium</w:t>
            </w:r>
            <w:r w:rsidRPr="0014378E">
              <w:rPr>
                <w:i/>
              </w:rPr>
              <w:t xml:space="preserve"> increases when a request is received from a policyholder.</w:t>
            </w:r>
            <w:r w:rsidRPr="00B66960">
              <w:rPr>
                <w:i/>
              </w:rPr>
              <w:t xml:space="preserve"> </w:t>
            </w:r>
          </w:p>
        </w:tc>
        <w:tc>
          <w:tcPr>
            <w:tcW w:w="4593" w:type="dxa"/>
          </w:tcPr>
          <w:p w14:paraId="66C5080D"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Agree</w:t>
            </w:r>
          </w:p>
          <w:p w14:paraId="2FD2C280"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b/>
                <w:sz w:val="20"/>
                <w:szCs w:val="20"/>
              </w:rPr>
            </w:pPr>
          </w:p>
          <w:p w14:paraId="437C71EE" w14:textId="77777777" w:rsidR="002F7407" w:rsidRPr="00B66960" w:rsidRDefault="002F7407" w:rsidP="00DA1BAF">
            <w:pPr>
              <w:cnfStyle w:val="000000100000" w:firstRow="0" w:lastRow="0" w:firstColumn="0" w:lastColumn="0" w:oddVBand="0" w:evenVBand="0" w:oddHBand="1" w:evenHBand="0" w:firstRowFirstColumn="0" w:firstRowLastColumn="0" w:lastRowFirstColumn="0" w:lastRowLastColumn="0"/>
            </w:pPr>
            <w:r w:rsidRPr="00B66960">
              <w:rPr>
                <w:sz w:val="20"/>
                <w:szCs w:val="20"/>
              </w:rPr>
              <w:t xml:space="preserve">The Government agrees there is merit in further reviewing this recommendation and will task the Commonwealth Treasury with </w:t>
            </w:r>
            <w:r>
              <w:rPr>
                <w:sz w:val="20"/>
                <w:szCs w:val="20"/>
              </w:rPr>
              <w:t>assessing</w:t>
            </w:r>
            <w:r w:rsidRPr="00B66960">
              <w:rPr>
                <w:sz w:val="20"/>
                <w:szCs w:val="20"/>
              </w:rPr>
              <w:t xml:space="preserve"> this proposal.</w:t>
            </w:r>
          </w:p>
        </w:tc>
      </w:tr>
      <w:tr w:rsidR="002F7407" w14:paraId="1C42B50B" w14:textId="77777777" w:rsidTr="00DA1BAF">
        <w:tc>
          <w:tcPr>
            <w:cnfStyle w:val="001000000000" w:firstRow="0" w:lastRow="0" w:firstColumn="1" w:lastColumn="0" w:oddVBand="0" w:evenVBand="0" w:oddHBand="0" w:evenHBand="0" w:firstRowFirstColumn="0" w:firstRowLastColumn="0" w:lastRowFirstColumn="0" w:lastRowLastColumn="0"/>
            <w:tcW w:w="4649" w:type="dxa"/>
          </w:tcPr>
          <w:p w14:paraId="5A7D8820" w14:textId="77777777" w:rsidR="002F7407" w:rsidRDefault="002F7407" w:rsidP="00DA1BAF">
            <w:pPr>
              <w:rPr>
                <w:b w:val="0"/>
                <w:sz w:val="20"/>
                <w:szCs w:val="20"/>
              </w:rPr>
            </w:pPr>
            <w:r w:rsidRPr="00A44FE1">
              <w:rPr>
                <w:sz w:val="20"/>
                <w:szCs w:val="20"/>
              </w:rPr>
              <w:t>Recommendation 4</w:t>
            </w:r>
          </w:p>
          <w:p w14:paraId="1CDC22E5" w14:textId="77777777" w:rsidR="002F7407" w:rsidRPr="00A44FE1" w:rsidRDefault="002F7407" w:rsidP="00DA1BAF">
            <w:pPr>
              <w:rPr>
                <w:b w:val="0"/>
                <w:sz w:val="20"/>
                <w:szCs w:val="20"/>
              </w:rPr>
            </w:pPr>
          </w:p>
          <w:p w14:paraId="44337AEA" w14:textId="77777777" w:rsidR="002F7407" w:rsidRPr="001C0124" w:rsidRDefault="002F7407" w:rsidP="00DA1BAF">
            <w:pPr>
              <w:rPr>
                <w:b w:val="0"/>
                <w:i/>
                <w:sz w:val="20"/>
                <w:szCs w:val="20"/>
              </w:rPr>
            </w:pPr>
            <w:r w:rsidRPr="00923256">
              <w:rPr>
                <w:b w:val="0"/>
                <w:i/>
                <w:sz w:val="20"/>
                <w:szCs w:val="20"/>
              </w:rPr>
              <w:t xml:space="preserve">The committee recommends that the government initiate a review of component pricing to establish a framework for amending the Corporations Act 2001 to provide component pricing of premiums to policyholders upon them taking out or renewing an insurance policy, as well as an assessment of the benefits and risks to making such a change. </w:t>
            </w:r>
          </w:p>
        </w:tc>
        <w:tc>
          <w:tcPr>
            <w:tcW w:w="4593" w:type="dxa"/>
          </w:tcPr>
          <w:p w14:paraId="05FF470A"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Agree</w:t>
            </w:r>
          </w:p>
          <w:p w14:paraId="2D5510EB"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rPr>
                <w:b/>
                <w:sz w:val="20"/>
                <w:szCs w:val="20"/>
              </w:rPr>
            </w:pPr>
          </w:p>
          <w:p w14:paraId="3376C962" w14:textId="77777777" w:rsidR="002F7407" w:rsidRPr="00C51BE8" w:rsidRDefault="002F7407" w:rsidP="00DA1BAF">
            <w:pPr>
              <w:cnfStyle w:val="000000000000" w:firstRow="0" w:lastRow="0" w:firstColumn="0" w:lastColumn="0" w:oddVBand="0" w:evenVBand="0" w:oddHBand="0" w:evenHBand="0" w:firstRowFirstColumn="0" w:firstRowLastColumn="0" w:lastRowFirstColumn="0" w:lastRowLastColumn="0"/>
              <w:rPr>
                <w:sz w:val="20"/>
                <w:szCs w:val="20"/>
              </w:rPr>
            </w:pPr>
            <w:r w:rsidRPr="00C51BE8">
              <w:rPr>
                <w:sz w:val="20"/>
                <w:szCs w:val="20"/>
              </w:rPr>
              <w:t>As for recommendation 3.</w:t>
            </w:r>
          </w:p>
          <w:p w14:paraId="6F188F69"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pPr>
          </w:p>
        </w:tc>
      </w:tr>
      <w:tr w:rsidR="002F7407" w14:paraId="3047B557" w14:textId="77777777" w:rsidTr="00DA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46283140" w14:textId="77777777" w:rsidR="002F7407" w:rsidRDefault="002F7407" w:rsidP="00DA1BAF">
            <w:pPr>
              <w:rPr>
                <w:sz w:val="20"/>
                <w:szCs w:val="20"/>
              </w:rPr>
            </w:pPr>
            <w:r>
              <w:rPr>
                <w:sz w:val="20"/>
                <w:szCs w:val="20"/>
              </w:rPr>
              <w:t>Recommendation 5</w:t>
            </w:r>
          </w:p>
          <w:p w14:paraId="0EF63E51" w14:textId="77777777" w:rsidR="002F7407" w:rsidRPr="00A44FE1" w:rsidRDefault="002F7407" w:rsidP="00DA1BAF">
            <w:pPr>
              <w:rPr>
                <w:b w:val="0"/>
                <w:sz w:val="20"/>
                <w:szCs w:val="20"/>
              </w:rPr>
            </w:pPr>
          </w:p>
          <w:p w14:paraId="17C169A4" w14:textId="77777777" w:rsidR="002F7407" w:rsidRPr="00923256" w:rsidRDefault="002F7407" w:rsidP="00DA1BAF">
            <w:pPr>
              <w:rPr>
                <w:b w:val="0"/>
                <w:i/>
                <w:sz w:val="20"/>
                <w:szCs w:val="20"/>
              </w:rPr>
            </w:pPr>
            <w:r w:rsidRPr="00923256">
              <w:rPr>
                <w:b w:val="0"/>
                <w:i/>
                <w:sz w:val="20"/>
                <w:szCs w:val="20"/>
              </w:rPr>
              <w:t xml:space="preserve">The committee recommends that the government initiate an independent review of the current standard cover regime with particular regard to the efficacy of current disclosure requirements. </w:t>
            </w:r>
          </w:p>
          <w:p w14:paraId="71FE859A" w14:textId="77777777" w:rsidR="002F7407" w:rsidRDefault="002F7407" w:rsidP="00DA1BAF"/>
        </w:tc>
        <w:tc>
          <w:tcPr>
            <w:tcW w:w="4593" w:type="dxa"/>
          </w:tcPr>
          <w:p w14:paraId="4C585AA8"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Agree</w:t>
            </w:r>
          </w:p>
          <w:p w14:paraId="749AC6A7"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b/>
                <w:sz w:val="20"/>
                <w:szCs w:val="20"/>
              </w:rPr>
            </w:pPr>
          </w:p>
          <w:p w14:paraId="70C3FCE3" w14:textId="77777777" w:rsidR="002F7407" w:rsidRPr="00C51BE8"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r w:rsidRPr="00C51BE8">
              <w:rPr>
                <w:sz w:val="20"/>
                <w:szCs w:val="20"/>
              </w:rPr>
              <w:t>As for recommendation 3.</w:t>
            </w:r>
          </w:p>
          <w:p w14:paraId="29C972D9"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pPr>
          </w:p>
        </w:tc>
      </w:tr>
      <w:tr w:rsidR="002F7407" w14:paraId="2FD5153F" w14:textId="77777777" w:rsidTr="00DA1BAF">
        <w:tc>
          <w:tcPr>
            <w:cnfStyle w:val="001000000000" w:firstRow="0" w:lastRow="0" w:firstColumn="1" w:lastColumn="0" w:oddVBand="0" w:evenVBand="0" w:oddHBand="0" w:evenHBand="0" w:firstRowFirstColumn="0" w:firstRowLastColumn="0" w:lastRowFirstColumn="0" w:lastRowLastColumn="0"/>
            <w:tcW w:w="4649" w:type="dxa"/>
          </w:tcPr>
          <w:p w14:paraId="4A04A186" w14:textId="77777777" w:rsidR="002F7407" w:rsidRDefault="002F7407" w:rsidP="00DA1BAF">
            <w:pPr>
              <w:rPr>
                <w:sz w:val="20"/>
                <w:szCs w:val="20"/>
              </w:rPr>
            </w:pPr>
            <w:r>
              <w:rPr>
                <w:sz w:val="20"/>
                <w:szCs w:val="20"/>
              </w:rPr>
              <w:t>Recommendation 6</w:t>
            </w:r>
          </w:p>
          <w:p w14:paraId="2EB56022" w14:textId="77777777" w:rsidR="002F7407" w:rsidRPr="00A44FE1" w:rsidRDefault="002F7407" w:rsidP="00DA1BAF">
            <w:pPr>
              <w:rPr>
                <w:b w:val="0"/>
                <w:sz w:val="20"/>
                <w:szCs w:val="20"/>
              </w:rPr>
            </w:pPr>
          </w:p>
          <w:p w14:paraId="7F35B2A4" w14:textId="77777777" w:rsidR="002F7407" w:rsidRPr="00923256" w:rsidRDefault="002F7407" w:rsidP="00DA1BAF">
            <w:pPr>
              <w:rPr>
                <w:b w:val="0"/>
                <w:i/>
                <w:sz w:val="20"/>
                <w:szCs w:val="20"/>
              </w:rPr>
            </w:pPr>
            <w:r w:rsidRPr="00923256">
              <w:rPr>
                <w:b w:val="0"/>
                <w:i/>
                <w:sz w:val="20"/>
                <w:szCs w:val="20"/>
              </w:rPr>
              <w:t>The committee recommends that the government work closely with industry and consumer groups to develop and implement standardised definitions of key terms for general insurance.</w:t>
            </w:r>
          </w:p>
          <w:p w14:paraId="4A1349EB" w14:textId="77777777" w:rsidR="002F7407" w:rsidRDefault="002F7407" w:rsidP="00DA1BAF"/>
        </w:tc>
        <w:tc>
          <w:tcPr>
            <w:tcW w:w="4593" w:type="dxa"/>
          </w:tcPr>
          <w:p w14:paraId="61079E73"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Agree</w:t>
            </w:r>
          </w:p>
          <w:p w14:paraId="7C56990F"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rPr>
                <w:b/>
                <w:sz w:val="20"/>
                <w:szCs w:val="20"/>
              </w:rPr>
            </w:pPr>
          </w:p>
          <w:p w14:paraId="213ADB3F" w14:textId="77777777" w:rsidR="002F7407" w:rsidRPr="00C51BE8" w:rsidRDefault="002F7407" w:rsidP="00DA1BAF">
            <w:pPr>
              <w:cnfStyle w:val="000000000000" w:firstRow="0" w:lastRow="0" w:firstColumn="0" w:lastColumn="0" w:oddVBand="0" w:evenVBand="0" w:oddHBand="0" w:evenHBand="0" w:firstRowFirstColumn="0" w:firstRowLastColumn="0" w:lastRowFirstColumn="0" w:lastRowLastColumn="0"/>
              <w:rPr>
                <w:sz w:val="20"/>
                <w:szCs w:val="20"/>
              </w:rPr>
            </w:pPr>
            <w:r w:rsidRPr="00C51BE8">
              <w:rPr>
                <w:sz w:val="20"/>
                <w:szCs w:val="20"/>
              </w:rPr>
              <w:t>As for recommendation 3.</w:t>
            </w:r>
          </w:p>
          <w:p w14:paraId="69F9D108"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pPr>
          </w:p>
        </w:tc>
      </w:tr>
      <w:tr w:rsidR="002F7407" w14:paraId="4AA17C65" w14:textId="77777777" w:rsidTr="00DA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1C9CD699" w14:textId="77777777" w:rsidR="002F7407" w:rsidRDefault="002F7407" w:rsidP="00DA1BAF">
            <w:pPr>
              <w:rPr>
                <w:sz w:val="20"/>
                <w:szCs w:val="20"/>
              </w:rPr>
            </w:pPr>
            <w:r>
              <w:rPr>
                <w:sz w:val="20"/>
                <w:szCs w:val="20"/>
              </w:rPr>
              <w:t>Recommendation 7</w:t>
            </w:r>
          </w:p>
          <w:p w14:paraId="47E174B6" w14:textId="77777777" w:rsidR="002F7407" w:rsidRPr="00A44FE1" w:rsidRDefault="002F7407" w:rsidP="00DA1BAF">
            <w:pPr>
              <w:rPr>
                <w:b w:val="0"/>
                <w:sz w:val="20"/>
                <w:szCs w:val="20"/>
              </w:rPr>
            </w:pPr>
          </w:p>
          <w:p w14:paraId="2F474EBF" w14:textId="77777777" w:rsidR="002F7407" w:rsidRPr="00923256" w:rsidRDefault="002F7407" w:rsidP="00DA1BAF">
            <w:pPr>
              <w:rPr>
                <w:b w:val="0"/>
                <w:i/>
                <w:sz w:val="20"/>
                <w:szCs w:val="20"/>
              </w:rPr>
            </w:pPr>
            <w:r w:rsidRPr="00923256">
              <w:rPr>
                <w:b w:val="0"/>
                <w:i/>
                <w:sz w:val="20"/>
                <w:szCs w:val="20"/>
              </w:rPr>
              <w:t xml:space="preserve">The committee recommends that the government undertake a review of the utility of Key Facts Sheets as a means of product disclosure, with particular regard to the: </w:t>
            </w:r>
          </w:p>
          <w:p w14:paraId="5DA4CD0D" w14:textId="77777777" w:rsidR="002F7407" w:rsidRPr="00923256" w:rsidRDefault="002F7407" w:rsidP="002F7407">
            <w:pPr>
              <w:pStyle w:val="Bullet"/>
              <w:numPr>
                <w:ilvl w:val="0"/>
                <w:numId w:val="3"/>
              </w:numPr>
              <w:spacing w:after="0"/>
              <w:rPr>
                <w:i/>
              </w:rPr>
            </w:pPr>
            <w:r w:rsidRPr="00923256">
              <w:rPr>
                <w:i/>
              </w:rPr>
              <w:t xml:space="preserve">effectiveness of Key Facts Sheets in improving consumer understanding of home building and contents policies; and </w:t>
            </w:r>
          </w:p>
          <w:p w14:paraId="165B597F" w14:textId="77777777" w:rsidR="002F7407" w:rsidRPr="00923256" w:rsidRDefault="002F7407" w:rsidP="002F7407">
            <w:pPr>
              <w:pStyle w:val="Bullet"/>
              <w:numPr>
                <w:ilvl w:val="0"/>
                <w:numId w:val="3"/>
              </w:numPr>
              <w:spacing w:after="0"/>
              <w:rPr>
                <w:i/>
              </w:rPr>
            </w:pPr>
            <w:r w:rsidRPr="00923256">
              <w:rPr>
                <w:i/>
              </w:rPr>
              <w:t>merit of extending the use of Key Facts Sheets to other forms of general insurance</w:t>
            </w:r>
          </w:p>
          <w:p w14:paraId="49851495" w14:textId="77777777" w:rsidR="002F7407" w:rsidRDefault="002F7407" w:rsidP="00DA1BAF"/>
        </w:tc>
        <w:tc>
          <w:tcPr>
            <w:tcW w:w="4593" w:type="dxa"/>
          </w:tcPr>
          <w:p w14:paraId="117381DB"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Agree</w:t>
            </w:r>
          </w:p>
          <w:p w14:paraId="17496D5A"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b/>
                <w:sz w:val="20"/>
                <w:szCs w:val="20"/>
              </w:rPr>
            </w:pPr>
          </w:p>
          <w:p w14:paraId="76F4D169" w14:textId="77777777" w:rsidR="002F7407" w:rsidRPr="00C51BE8"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r w:rsidRPr="00C51BE8">
              <w:rPr>
                <w:sz w:val="20"/>
                <w:szCs w:val="20"/>
              </w:rPr>
              <w:t>As for recommendation 3.</w:t>
            </w:r>
          </w:p>
          <w:p w14:paraId="2912A06F"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pPr>
          </w:p>
        </w:tc>
      </w:tr>
      <w:tr w:rsidR="002F7407" w14:paraId="2FE634E7" w14:textId="77777777" w:rsidTr="00DA1BAF">
        <w:tc>
          <w:tcPr>
            <w:cnfStyle w:val="001000000000" w:firstRow="0" w:lastRow="0" w:firstColumn="1" w:lastColumn="0" w:oddVBand="0" w:evenVBand="0" w:oddHBand="0" w:evenHBand="0" w:firstRowFirstColumn="0" w:firstRowLastColumn="0" w:lastRowFirstColumn="0" w:lastRowLastColumn="0"/>
            <w:tcW w:w="4649" w:type="dxa"/>
          </w:tcPr>
          <w:p w14:paraId="302DFFC4" w14:textId="77777777" w:rsidR="002F7407" w:rsidRDefault="002F7407" w:rsidP="00DA1BAF">
            <w:pPr>
              <w:rPr>
                <w:sz w:val="20"/>
                <w:szCs w:val="20"/>
              </w:rPr>
            </w:pPr>
            <w:r>
              <w:rPr>
                <w:sz w:val="20"/>
                <w:szCs w:val="20"/>
              </w:rPr>
              <w:t>Recommendation 8</w:t>
            </w:r>
          </w:p>
          <w:p w14:paraId="6FB9CA35" w14:textId="77777777" w:rsidR="002F7407" w:rsidRPr="00A44FE1" w:rsidRDefault="002F7407" w:rsidP="00DA1BAF">
            <w:pPr>
              <w:rPr>
                <w:b w:val="0"/>
                <w:sz w:val="20"/>
                <w:szCs w:val="20"/>
              </w:rPr>
            </w:pPr>
          </w:p>
          <w:p w14:paraId="458F4273" w14:textId="77777777" w:rsidR="002F7407" w:rsidRPr="00C51BE8" w:rsidRDefault="002F7407" w:rsidP="00DA1BAF">
            <w:pPr>
              <w:rPr>
                <w:b w:val="0"/>
                <w:i/>
                <w:sz w:val="20"/>
                <w:szCs w:val="20"/>
              </w:rPr>
            </w:pPr>
            <w:r w:rsidRPr="00923256">
              <w:rPr>
                <w:b w:val="0"/>
                <w:i/>
                <w:sz w:val="20"/>
                <w:szCs w:val="20"/>
              </w:rPr>
              <w:t>The committee recommends that the government complete a detailed proposal for a comparison tool for home and car insurance, consistent with the proposal made in the FSI Interim Report and similar to the structure of the Irish model. The proposal should include a detailed evaluation of the international evidence base of the costs and benefits of comparison services on consumer outcomes, as well as the likely benefits in the Australian context.</w:t>
            </w:r>
          </w:p>
          <w:p w14:paraId="23F4FE89" w14:textId="77777777" w:rsidR="002F7407" w:rsidRDefault="002F7407" w:rsidP="00DA1BAF"/>
        </w:tc>
        <w:tc>
          <w:tcPr>
            <w:tcW w:w="4593" w:type="dxa"/>
          </w:tcPr>
          <w:p w14:paraId="08D58F8F"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Not agree</w:t>
            </w:r>
          </w:p>
          <w:p w14:paraId="03F126DC"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rPr>
                <w:b/>
                <w:sz w:val="20"/>
                <w:szCs w:val="20"/>
              </w:rPr>
            </w:pPr>
          </w:p>
          <w:p w14:paraId="556C8B74"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rPr>
                <w:sz w:val="20"/>
                <w:szCs w:val="20"/>
              </w:rPr>
            </w:pPr>
            <w:r w:rsidRPr="00C51BE8">
              <w:rPr>
                <w:sz w:val="20"/>
                <w:szCs w:val="20"/>
              </w:rPr>
              <w:t xml:space="preserve">The </w:t>
            </w:r>
            <w:r>
              <w:rPr>
                <w:sz w:val="20"/>
                <w:szCs w:val="20"/>
              </w:rPr>
              <w:t>G</w:t>
            </w:r>
            <w:r w:rsidRPr="00C51BE8">
              <w:rPr>
                <w:sz w:val="20"/>
                <w:szCs w:val="20"/>
              </w:rPr>
              <w:t>overnment notes that the Committee</w:t>
            </w:r>
            <w:r>
              <w:rPr>
                <w:sz w:val="20"/>
                <w:szCs w:val="20"/>
              </w:rPr>
              <w:t>’s report provides</w:t>
            </w:r>
            <w:r w:rsidRPr="00C51BE8">
              <w:rPr>
                <w:sz w:val="20"/>
                <w:szCs w:val="20"/>
              </w:rPr>
              <w:t xml:space="preserve"> limi</w:t>
            </w:r>
            <w:r>
              <w:rPr>
                <w:sz w:val="20"/>
                <w:szCs w:val="20"/>
              </w:rPr>
              <w:t xml:space="preserve">ted evidence on the benefits that would be generated by a government-funded </w:t>
            </w:r>
            <w:r w:rsidRPr="00C51BE8">
              <w:rPr>
                <w:sz w:val="20"/>
                <w:szCs w:val="20"/>
              </w:rPr>
              <w:t xml:space="preserve">comparison </w:t>
            </w:r>
            <w:r>
              <w:rPr>
                <w:sz w:val="20"/>
                <w:szCs w:val="20"/>
              </w:rPr>
              <w:t>website</w:t>
            </w:r>
            <w:r w:rsidRPr="00C51BE8">
              <w:rPr>
                <w:sz w:val="20"/>
                <w:szCs w:val="20"/>
              </w:rPr>
              <w:t>.</w:t>
            </w:r>
          </w:p>
          <w:p w14:paraId="402ED08F"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rPr>
                <w:sz w:val="20"/>
                <w:szCs w:val="20"/>
              </w:rPr>
            </w:pPr>
          </w:p>
          <w:p w14:paraId="5F03DB9C" w14:textId="77777777" w:rsidR="002F7407" w:rsidRPr="00B66960" w:rsidRDefault="002F7407" w:rsidP="00DA1BAF">
            <w:pPr>
              <w:cnfStyle w:val="000000000000" w:firstRow="0" w:lastRow="0" w:firstColumn="0" w:lastColumn="0" w:oddVBand="0" w:evenVBand="0" w:oddHBand="0" w:evenHBand="0" w:firstRowFirstColumn="0" w:firstRowLastColumn="0" w:lastRowFirstColumn="0" w:lastRowLastColumn="0"/>
              <w:rPr>
                <w:sz w:val="20"/>
                <w:szCs w:val="20"/>
              </w:rPr>
            </w:pPr>
            <w:r w:rsidRPr="00B66960">
              <w:rPr>
                <w:sz w:val="20"/>
                <w:szCs w:val="20"/>
              </w:rPr>
              <w:t>There are already a number of private sector companies providing these services for insurance products in Australia and there is no clear evidence of market failure in either the insurance industry or comparison website market to suggest that government intervention is warranted.</w:t>
            </w:r>
          </w:p>
          <w:p w14:paraId="320CCB76" w14:textId="77777777" w:rsidR="002F7407" w:rsidRPr="00C51BE8" w:rsidRDefault="002F7407" w:rsidP="00DA1BAF">
            <w:pPr>
              <w:cnfStyle w:val="000000000000" w:firstRow="0" w:lastRow="0" w:firstColumn="0" w:lastColumn="0" w:oddVBand="0" w:evenVBand="0" w:oddHBand="0" w:evenHBand="0" w:firstRowFirstColumn="0" w:firstRowLastColumn="0" w:lastRowFirstColumn="0" w:lastRowLastColumn="0"/>
            </w:pPr>
          </w:p>
        </w:tc>
      </w:tr>
      <w:tr w:rsidR="002F7407" w14:paraId="0B36D4E1" w14:textId="77777777" w:rsidTr="00DA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2D883CE3" w14:textId="77777777" w:rsidR="002F7407" w:rsidRDefault="002F7407" w:rsidP="00DA1BAF">
            <w:pPr>
              <w:rPr>
                <w:sz w:val="20"/>
                <w:szCs w:val="20"/>
              </w:rPr>
            </w:pPr>
            <w:r w:rsidRPr="00A44FE1">
              <w:rPr>
                <w:sz w:val="20"/>
                <w:szCs w:val="20"/>
              </w:rPr>
              <w:t>Recommendation 9</w:t>
            </w:r>
          </w:p>
          <w:p w14:paraId="5E94A86E" w14:textId="77777777" w:rsidR="002F7407" w:rsidRPr="00A44FE1" w:rsidRDefault="002F7407" w:rsidP="00DA1BAF">
            <w:pPr>
              <w:rPr>
                <w:b w:val="0"/>
                <w:sz w:val="20"/>
                <w:szCs w:val="20"/>
              </w:rPr>
            </w:pPr>
          </w:p>
          <w:p w14:paraId="080E673F" w14:textId="77777777" w:rsidR="002F7407" w:rsidRPr="00923256" w:rsidRDefault="002F7407" w:rsidP="00DA1BAF">
            <w:pPr>
              <w:rPr>
                <w:b w:val="0"/>
                <w:i/>
                <w:sz w:val="20"/>
                <w:szCs w:val="20"/>
              </w:rPr>
            </w:pPr>
            <w:r w:rsidRPr="00923256">
              <w:rPr>
                <w:b w:val="0"/>
                <w:i/>
                <w:sz w:val="20"/>
                <w:szCs w:val="20"/>
              </w:rPr>
              <w:t>The committee recommends that ASIC undertake a comprehensive review of the efficacy of the North Queensland home insurance (NQHI) website.</w:t>
            </w:r>
          </w:p>
          <w:p w14:paraId="2B9B82DA" w14:textId="77777777" w:rsidR="002F7407" w:rsidRDefault="002F7407" w:rsidP="00DA1BAF"/>
        </w:tc>
        <w:tc>
          <w:tcPr>
            <w:tcW w:w="4593" w:type="dxa"/>
          </w:tcPr>
          <w:p w14:paraId="07F7AA0F"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Noted</w:t>
            </w:r>
          </w:p>
          <w:p w14:paraId="4343B227"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b/>
                <w:sz w:val="20"/>
                <w:szCs w:val="20"/>
              </w:rPr>
            </w:pPr>
          </w:p>
          <w:p w14:paraId="17165E8F"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r w:rsidRPr="00C51BE8">
              <w:rPr>
                <w:sz w:val="20"/>
                <w:szCs w:val="20"/>
              </w:rPr>
              <w:t xml:space="preserve">The Government </w:t>
            </w:r>
            <w:r>
              <w:rPr>
                <w:sz w:val="20"/>
                <w:szCs w:val="20"/>
              </w:rPr>
              <w:t>notes that a number of initiatives have been proposed that may impact the insurance market in northern Australia. This includes the ACCC inquiry into the provision of insurance in northern Australia which is also examining the competitiveness of the insurance market in northern Australia.</w:t>
            </w:r>
          </w:p>
          <w:p w14:paraId="50364600"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p>
          <w:p w14:paraId="4D2854BA" w14:textId="77777777" w:rsidR="002F7407" w:rsidRPr="00C51BE8"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On this basis, the Government’s view is that ASIC should consider a review of the NQHI website once the final report of the ACCC inquiry is released in order to better understand the issues facing consumers in northern Australia. </w:t>
            </w:r>
          </w:p>
          <w:p w14:paraId="1F473E89"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pPr>
          </w:p>
        </w:tc>
      </w:tr>
      <w:tr w:rsidR="002F7407" w14:paraId="4050D79B" w14:textId="77777777" w:rsidTr="00DA1BAF">
        <w:tc>
          <w:tcPr>
            <w:cnfStyle w:val="001000000000" w:firstRow="0" w:lastRow="0" w:firstColumn="1" w:lastColumn="0" w:oddVBand="0" w:evenVBand="0" w:oddHBand="0" w:evenHBand="0" w:firstRowFirstColumn="0" w:firstRowLastColumn="0" w:lastRowFirstColumn="0" w:lastRowLastColumn="0"/>
            <w:tcW w:w="4649" w:type="dxa"/>
          </w:tcPr>
          <w:p w14:paraId="51917DAD" w14:textId="77777777" w:rsidR="002F7407" w:rsidRDefault="002F7407" w:rsidP="00DA1BAF">
            <w:pPr>
              <w:rPr>
                <w:sz w:val="20"/>
                <w:szCs w:val="20"/>
              </w:rPr>
            </w:pPr>
            <w:r>
              <w:rPr>
                <w:sz w:val="20"/>
                <w:szCs w:val="20"/>
              </w:rPr>
              <w:t>Recommendation 10</w:t>
            </w:r>
          </w:p>
          <w:p w14:paraId="558F29B1" w14:textId="77777777" w:rsidR="002F7407" w:rsidRPr="00A44FE1" w:rsidRDefault="002F7407" w:rsidP="00DA1BAF">
            <w:pPr>
              <w:rPr>
                <w:b w:val="0"/>
                <w:sz w:val="20"/>
                <w:szCs w:val="20"/>
              </w:rPr>
            </w:pPr>
          </w:p>
          <w:p w14:paraId="703F4EF4" w14:textId="77777777" w:rsidR="002F7407" w:rsidRPr="00923256" w:rsidRDefault="002F7407" w:rsidP="00DA1BAF">
            <w:pPr>
              <w:rPr>
                <w:b w:val="0"/>
                <w:i/>
                <w:sz w:val="20"/>
                <w:szCs w:val="20"/>
              </w:rPr>
            </w:pPr>
            <w:r w:rsidRPr="00923256">
              <w:rPr>
                <w:b w:val="0"/>
                <w:i/>
                <w:sz w:val="20"/>
                <w:szCs w:val="20"/>
              </w:rPr>
              <w:t>The committee recommends that the government consider introducing legislation to mandate compliance with the ACCC's good practice guidance for comparison website operators and suppliers.</w:t>
            </w:r>
          </w:p>
          <w:p w14:paraId="47C4D6CF" w14:textId="77777777" w:rsidR="002F7407" w:rsidRDefault="002F7407" w:rsidP="00DA1BAF"/>
        </w:tc>
        <w:tc>
          <w:tcPr>
            <w:tcW w:w="4593" w:type="dxa"/>
          </w:tcPr>
          <w:p w14:paraId="657199E4" w14:textId="77777777" w:rsidR="002F7407" w:rsidRPr="007831DD" w:rsidRDefault="002F7407" w:rsidP="00DA1BAF">
            <w:pPr>
              <w:cnfStyle w:val="000000000000" w:firstRow="0" w:lastRow="0" w:firstColumn="0" w:lastColumn="0" w:oddVBand="0" w:evenVBand="0" w:oddHBand="0" w:evenHBand="0" w:firstRowFirstColumn="0" w:firstRowLastColumn="0" w:lastRowFirstColumn="0" w:lastRowLastColumn="0"/>
              <w:rPr>
                <w:b/>
                <w:bCs/>
                <w:sz w:val="20"/>
                <w:szCs w:val="20"/>
              </w:rPr>
            </w:pPr>
            <w:r w:rsidRPr="007831DD">
              <w:rPr>
                <w:b/>
                <w:bCs/>
                <w:sz w:val="20"/>
                <w:szCs w:val="20"/>
              </w:rPr>
              <w:t>Noted</w:t>
            </w:r>
          </w:p>
          <w:p w14:paraId="52299FBC" w14:textId="77777777" w:rsidR="002F7407" w:rsidRPr="007831DD" w:rsidRDefault="002F7407" w:rsidP="00DA1BAF">
            <w:pPr>
              <w:cnfStyle w:val="000000000000" w:firstRow="0" w:lastRow="0" w:firstColumn="0" w:lastColumn="0" w:oddVBand="0" w:evenVBand="0" w:oddHBand="0" w:evenHBand="0" w:firstRowFirstColumn="0" w:firstRowLastColumn="0" w:lastRowFirstColumn="0" w:lastRowLastColumn="0"/>
              <w:rPr>
                <w:bCs/>
                <w:sz w:val="20"/>
                <w:szCs w:val="20"/>
              </w:rPr>
            </w:pPr>
          </w:p>
          <w:p w14:paraId="21E1DC52"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rPr>
                <w:bCs/>
                <w:sz w:val="20"/>
                <w:szCs w:val="20"/>
              </w:rPr>
            </w:pPr>
            <w:r w:rsidRPr="007831DD">
              <w:rPr>
                <w:bCs/>
                <w:sz w:val="20"/>
                <w:szCs w:val="20"/>
              </w:rPr>
              <w:t xml:space="preserve">The Government notes that the ACCC has a wide range of powers under the </w:t>
            </w:r>
            <w:r w:rsidRPr="007831DD">
              <w:rPr>
                <w:bCs/>
                <w:i/>
                <w:sz w:val="20"/>
                <w:szCs w:val="20"/>
              </w:rPr>
              <w:t>Competition and Consumer Act 2010</w:t>
            </w:r>
            <w:r w:rsidRPr="007831DD">
              <w:rPr>
                <w:bCs/>
                <w:sz w:val="20"/>
                <w:szCs w:val="20"/>
              </w:rPr>
              <w:t xml:space="preserve"> to take action where it finds evidence of misleading or deceptive conduct.</w:t>
            </w:r>
          </w:p>
          <w:p w14:paraId="70CDF447"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rPr>
                <w:bCs/>
                <w:sz w:val="20"/>
                <w:szCs w:val="20"/>
              </w:rPr>
            </w:pPr>
          </w:p>
          <w:p w14:paraId="2821345E" w14:textId="77777777" w:rsidR="002F7407" w:rsidRPr="007831DD" w:rsidRDefault="002F7407" w:rsidP="00DA1BAF">
            <w:pPr>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The Government notes that ASIC also provides guidance on financial services comparison websites.</w:t>
            </w:r>
          </w:p>
          <w:p w14:paraId="1CE2B545"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pPr>
          </w:p>
        </w:tc>
      </w:tr>
      <w:tr w:rsidR="002F7407" w14:paraId="0D8C2378" w14:textId="77777777" w:rsidTr="00DA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786C3058" w14:textId="77777777" w:rsidR="002F7407" w:rsidRDefault="002F7407" w:rsidP="00DA1BAF">
            <w:pPr>
              <w:rPr>
                <w:sz w:val="20"/>
                <w:szCs w:val="20"/>
              </w:rPr>
            </w:pPr>
            <w:r>
              <w:rPr>
                <w:sz w:val="20"/>
                <w:szCs w:val="20"/>
              </w:rPr>
              <w:t>Recommendation 11</w:t>
            </w:r>
          </w:p>
          <w:p w14:paraId="69879468" w14:textId="77777777" w:rsidR="002F7407" w:rsidRPr="00A44FE1" w:rsidRDefault="002F7407" w:rsidP="00DA1BAF">
            <w:pPr>
              <w:rPr>
                <w:b w:val="0"/>
                <w:sz w:val="20"/>
                <w:szCs w:val="20"/>
              </w:rPr>
            </w:pPr>
          </w:p>
          <w:p w14:paraId="11553DF7" w14:textId="77777777" w:rsidR="002F7407" w:rsidRPr="00B66960" w:rsidRDefault="002F7407" w:rsidP="00DA1BAF">
            <w:pPr>
              <w:rPr>
                <w:b w:val="0"/>
                <w:i/>
                <w:sz w:val="20"/>
                <w:szCs w:val="20"/>
              </w:rPr>
            </w:pPr>
            <w:r w:rsidRPr="00923256">
              <w:rPr>
                <w:b w:val="0"/>
                <w:i/>
                <w:sz w:val="20"/>
                <w:szCs w:val="20"/>
              </w:rPr>
              <w:t>The committee recommends that the government introduce the legislative changes required to remove the exemption for general insurers to unfair contract terms laws.</w:t>
            </w:r>
          </w:p>
          <w:p w14:paraId="0E36DA97" w14:textId="77777777" w:rsidR="002F7407" w:rsidRDefault="002F7407" w:rsidP="00DA1BAF"/>
        </w:tc>
        <w:tc>
          <w:tcPr>
            <w:tcW w:w="4593" w:type="dxa"/>
          </w:tcPr>
          <w:p w14:paraId="696C8C9F"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Agree</w:t>
            </w:r>
          </w:p>
          <w:p w14:paraId="045BB1B1"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b/>
                <w:sz w:val="20"/>
                <w:szCs w:val="20"/>
              </w:rPr>
            </w:pPr>
          </w:p>
          <w:p w14:paraId="4CBC856D"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r w:rsidRPr="00C51BE8">
              <w:rPr>
                <w:sz w:val="20"/>
                <w:szCs w:val="20"/>
              </w:rPr>
              <w:t xml:space="preserve">The Government notes that the </w:t>
            </w:r>
            <w:r>
              <w:rPr>
                <w:sz w:val="20"/>
                <w:szCs w:val="20"/>
              </w:rPr>
              <w:t xml:space="preserve">final report of the </w:t>
            </w:r>
            <w:r w:rsidRPr="00C51BE8">
              <w:rPr>
                <w:sz w:val="20"/>
                <w:szCs w:val="20"/>
              </w:rPr>
              <w:t>Australian Consumer Law Review</w:t>
            </w:r>
            <w:r>
              <w:rPr>
                <w:sz w:val="20"/>
                <w:szCs w:val="20"/>
              </w:rPr>
              <w:t xml:space="preserve"> included a proposal to a</w:t>
            </w:r>
            <w:r w:rsidRPr="00B66960">
              <w:rPr>
                <w:sz w:val="20"/>
                <w:szCs w:val="20"/>
              </w:rPr>
              <w:t xml:space="preserve">pply unfair contract terms protections to </w:t>
            </w:r>
            <w:r>
              <w:rPr>
                <w:sz w:val="20"/>
                <w:szCs w:val="20"/>
              </w:rPr>
              <w:t xml:space="preserve">all </w:t>
            </w:r>
            <w:r w:rsidRPr="00B66960">
              <w:rPr>
                <w:sz w:val="20"/>
                <w:szCs w:val="20"/>
              </w:rPr>
              <w:t>contracts regulated</w:t>
            </w:r>
            <w:r>
              <w:rPr>
                <w:sz w:val="20"/>
                <w:szCs w:val="20"/>
              </w:rPr>
              <w:t xml:space="preserve"> by the </w:t>
            </w:r>
            <w:r w:rsidRPr="00DE6F20">
              <w:rPr>
                <w:i/>
                <w:sz w:val="20"/>
                <w:szCs w:val="20"/>
              </w:rPr>
              <w:t>Insurance Contracts Act 1984</w:t>
            </w:r>
            <w:r>
              <w:rPr>
                <w:sz w:val="20"/>
                <w:szCs w:val="20"/>
              </w:rPr>
              <w:t>.</w:t>
            </w:r>
          </w:p>
          <w:p w14:paraId="7757944A"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p>
          <w:p w14:paraId="75E0D816"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Government anticipates releasing proposals in early 2018 for removing this exemption for all insurance contracts.</w:t>
            </w:r>
          </w:p>
          <w:p w14:paraId="4DCEB1E9" w14:textId="77777777" w:rsidR="002F7407" w:rsidRPr="00DE6F20"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p>
        </w:tc>
      </w:tr>
      <w:tr w:rsidR="002F7407" w14:paraId="10BAA89F" w14:textId="77777777" w:rsidTr="00DA1BAF">
        <w:tc>
          <w:tcPr>
            <w:cnfStyle w:val="001000000000" w:firstRow="0" w:lastRow="0" w:firstColumn="1" w:lastColumn="0" w:oddVBand="0" w:evenVBand="0" w:oddHBand="0" w:evenHBand="0" w:firstRowFirstColumn="0" w:firstRowLastColumn="0" w:lastRowFirstColumn="0" w:lastRowLastColumn="0"/>
            <w:tcW w:w="4649" w:type="dxa"/>
          </w:tcPr>
          <w:p w14:paraId="543974AE" w14:textId="77777777" w:rsidR="002F7407" w:rsidRDefault="002F7407" w:rsidP="00DA1BAF">
            <w:pPr>
              <w:rPr>
                <w:sz w:val="20"/>
                <w:szCs w:val="20"/>
              </w:rPr>
            </w:pPr>
            <w:r w:rsidRPr="00A44FE1">
              <w:rPr>
                <w:sz w:val="20"/>
                <w:szCs w:val="20"/>
              </w:rPr>
              <w:t>Recommendation 12</w:t>
            </w:r>
          </w:p>
          <w:p w14:paraId="3B3E18FE" w14:textId="77777777" w:rsidR="002F7407" w:rsidRPr="00A44FE1" w:rsidRDefault="002F7407" w:rsidP="00DA1BAF">
            <w:pPr>
              <w:rPr>
                <w:b w:val="0"/>
                <w:sz w:val="20"/>
                <w:szCs w:val="20"/>
              </w:rPr>
            </w:pPr>
          </w:p>
          <w:p w14:paraId="5851A3AF" w14:textId="77777777" w:rsidR="002F7407" w:rsidRPr="00B66960" w:rsidRDefault="002F7407" w:rsidP="00DA1BAF">
            <w:pPr>
              <w:rPr>
                <w:b w:val="0"/>
                <w:i/>
                <w:sz w:val="20"/>
                <w:szCs w:val="20"/>
              </w:rPr>
            </w:pPr>
            <w:r w:rsidRPr="00923256">
              <w:rPr>
                <w:b w:val="0"/>
                <w:i/>
                <w:sz w:val="20"/>
                <w:szCs w:val="20"/>
              </w:rPr>
              <w:t>The committee recommends that the government strongly consider introducing legislation to require all insurance intermediaries disclose component pricing, including commissions payable to strata managers, on strata insurance quotations.</w:t>
            </w:r>
          </w:p>
          <w:p w14:paraId="4F01617E" w14:textId="77777777" w:rsidR="002F7407" w:rsidRDefault="002F7407" w:rsidP="00DA1BAF"/>
        </w:tc>
        <w:tc>
          <w:tcPr>
            <w:tcW w:w="4593" w:type="dxa"/>
          </w:tcPr>
          <w:p w14:paraId="0305EE5A"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Noted</w:t>
            </w:r>
          </w:p>
          <w:p w14:paraId="1595A26D" w14:textId="77777777" w:rsidR="002F7407" w:rsidRPr="00B66960" w:rsidRDefault="002F7407" w:rsidP="00DA1BAF">
            <w:pPr>
              <w:cnfStyle w:val="000000000000" w:firstRow="0" w:lastRow="0" w:firstColumn="0" w:lastColumn="0" w:oddVBand="0" w:evenVBand="0" w:oddHBand="0" w:evenHBand="0" w:firstRowFirstColumn="0" w:firstRowLastColumn="0" w:lastRowFirstColumn="0" w:lastRowLastColumn="0"/>
              <w:rPr>
                <w:sz w:val="20"/>
                <w:szCs w:val="20"/>
              </w:rPr>
            </w:pPr>
          </w:p>
          <w:p w14:paraId="2884FE20" w14:textId="77777777" w:rsidR="002F7407" w:rsidRPr="00B66960" w:rsidRDefault="002F7407" w:rsidP="00DA1BAF">
            <w:pPr>
              <w:cnfStyle w:val="000000000000" w:firstRow="0" w:lastRow="0" w:firstColumn="0" w:lastColumn="0" w:oddVBand="0" w:evenVBand="0" w:oddHBand="0" w:evenHBand="0" w:firstRowFirstColumn="0" w:firstRowLastColumn="0" w:lastRowFirstColumn="0" w:lastRowLastColumn="0"/>
              <w:rPr>
                <w:sz w:val="20"/>
                <w:szCs w:val="20"/>
              </w:rPr>
            </w:pPr>
            <w:r w:rsidRPr="00592779">
              <w:rPr>
                <w:sz w:val="20"/>
                <w:szCs w:val="20"/>
              </w:rPr>
              <w:t xml:space="preserve">The Government </w:t>
            </w:r>
            <w:r>
              <w:rPr>
                <w:sz w:val="20"/>
                <w:szCs w:val="20"/>
              </w:rPr>
              <w:t>will bring the recommendation to the attention of state and territory governments who are best placed to consider the merits of this proposal given their overall responsibility for legislation regulating strata managers.</w:t>
            </w:r>
          </w:p>
          <w:p w14:paraId="1115E9E5"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pPr>
          </w:p>
        </w:tc>
      </w:tr>
      <w:tr w:rsidR="002F7407" w14:paraId="55948697" w14:textId="77777777" w:rsidTr="00DA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63E3989A" w14:textId="77777777" w:rsidR="002F7407" w:rsidRDefault="002F7407" w:rsidP="00DA1BAF">
            <w:pPr>
              <w:rPr>
                <w:sz w:val="20"/>
                <w:szCs w:val="20"/>
              </w:rPr>
            </w:pPr>
            <w:r>
              <w:rPr>
                <w:sz w:val="20"/>
                <w:szCs w:val="20"/>
              </w:rPr>
              <w:t>Recommendation 13</w:t>
            </w:r>
          </w:p>
          <w:p w14:paraId="2D6238AB" w14:textId="77777777" w:rsidR="002F7407" w:rsidRPr="00A44FE1" w:rsidRDefault="002F7407" w:rsidP="00DA1BAF">
            <w:pPr>
              <w:rPr>
                <w:b w:val="0"/>
                <w:sz w:val="20"/>
                <w:szCs w:val="20"/>
              </w:rPr>
            </w:pPr>
          </w:p>
          <w:p w14:paraId="2C24C11A" w14:textId="77777777" w:rsidR="002F7407" w:rsidRPr="00923256" w:rsidRDefault="002F7407" w:rsidP="00DA1BAF">
            <w:pPr>
              <w:rPr>
                <w:b w:val="0"/>
                <w:i/>
                <w:sz w:val="20"/>
                <w:szCs w:val="20"/>
              </w:rPr>
            </w:pPr>
            <w:r w:rsidRPr="00923256">
              <w:rPr>
                <w:b w:val="0"/>
                <w:i/>
                <w:sz w:val="20"/>
                <w:szCs w:val="20"/>
              </w:rPr>
              <w:t>The committee recommends that state and territory governments strengthen disclosure requirements in relation to the payment of commissions to strata managers.</w:t>
            </w:r>
          </w:p>
          <w:p w14:paraId="1910D924" w14:textId="77777777" w:rsidR="002F7407" w:rsidRDefault="002F7407" w:rsidP="00DA1BAF"/>
        </w:tc>
        <w:tc>
          <w:tcPr>
            <w:tcW w:w="4593" w:type="dxa"/>
          </w:tcPr>
          <w:p w14:paraId="3666F3A0"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Noted</w:t>
            </w:r>
          </w:p>
          <w:p w14:paraId="269D07C9"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b/>
                <w:sz w:val="20"/>
                <w:szCs w:val="20"/>
              </w:rPr>
            </w:pPr>
          </w:p>
          <w:p w14:paraId="71406882" w14:textId="77777777" w:rsidR="002F7407" w:rsidRPr="00C51BE8"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r w:rsidRPr="00C51BE8">
              <w:rPr>
                <w:sz w:val="20"/>
                <w:szCs w:val="20"/>
              </w:rPr>
              <w:t xml:space="preserve">The Government notes </w:t>
            </w:r>
            <w:r>
              <w:rPr>
                <w:sz w:val="20"/>
                <w:szCs w:val="20"/>
              </w:rPr>
              <w:t xml:space="preserve">this recommendation and that responsibility for regulating strata managers </w:t>
            </w:r>
            <w:r w:rsidRPr="00C51BE8">
              <w:rPr>
                <w:sz w:val="20"/>
                <w:szCs w:val="20"/>
              </w:rPr>
              <w:t>rests with state and territory governments.</w:t>
            </w:r>
          </w:p>
          <w:p w14:paraId="4EF62FCC"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pPr>
          </w:p>
        </w:tc>
      </w:tr>
      <w:tr w:rsidR="002F7407" w14:paraId="28CCA34B" w14:textId="77777777" w:rsidTr="00DA1BAF">
        <w:tc>
          <w:tcPr>
            <w:cnfStyle w:val="001000000000" w:firstRow="0" w:lastRow="0" w:firstColumn="1" w:lastColumn="0" w:oddVBand="0" w:evenVBand="0" w:oddHBand="0" w:evenHBand="0" w:firstRowFirstColumn="0" w:firstRowLastColumn="0" w:lastRowFirstColumn="0" w:lastRowLastColumn="0"/>
            <w:tcW w:w="4649" w:type="dxa"/>
          </w:tcPr>
          <w:p w14:paraId="3DFC34C2" w14:textId="77777777" w:rsidR="002F7407" w:rsidRDefault="002F7407" w:rsidP="00DA1BAF">
            <w:pPr>
              <w:rPr>
                <w:sz w:val="20"/>
                <w:szCs w:val="20"/>
              </w:rPr>
            </w:pPr>
            <w:r w:rsidRPr="00A44FE1">
              <w:rPr>
                <w:sz w:val="20"/>
                <w:szCs w:val="20"/>
              </w:rPr>
              <w:t>Recommendation 14</w:t>
            </w:r>
          </w:p>
          <w:p w14:paraId="0F80D185" w14:textId="77777777" w:rsidR="002F7407" w:rsidRPr="00A44FE1" w:rsidRDefault="002F7407" w:rsidP="00DA1BAF">
            <w:pPr>
              <w:rPr>
                <w:sz w:val="20"/>
                <w:szCs w:val="20"/>
              </w:rPr>
            </w:pPr>
          </w:p>
          <w:p w14:paraId="5BF28307" w14:textId="77777777" w:rsidR="002F7407" w:rsidRPr="006F6ECB" w:rsidRDefault="002F7407" w:rsidP="00DA1BAF">
            <w:pPr>
              <w:rPr>
                <w:b w:val="0"/>
                <w:i/>
                <w:sz w:val="20"/>
                <w:szCs w:val="20"/>
              </w:rPr>
            </w:pPr>
            <w:r w:rsidRPr="00923256">
              <w:rPr>
                <w:b w:val="0"/>
                <w:i/>
                <w:sz w:val="20"/>
                <w:szCs w:val="20"/>
              </w:rPr>
              <w:t xml:space="preserve">The committee recommends that the Australian Government reconsider its response to the Productivity Commission's inquiry on National Disaster Funding Arrangements. </w:t>
            </w:r>
          </w:p>
          <w:p w14:paraId="019987BA" w14:textId="77777777" w:rsidR="002F7407" w:rsidRDefault="002F7407" w:rsidP="00DA1BAF"/>
        </w:tc>
        <w:tc>
          <w:tcPr>
            <w:tcW w:w="4593" w:type="dxa"/>
          </w:tcPr>
          <w:p w14:paraId="79F8986C" w14:textId="77777777" w:rsidR="002F7407" w:rsidRPr="0002643B" w:rsidRDefault="002F7407" w:rsidP="00DA1BAF">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Noted</w:t>
            </w:r>
          </w:p>
          <w:p w14:paraId="50FC6DBB" w14:textId="77777777" w:rsidR="002F7407" w:rsidRPr="0002643B" w:rsidRDefault="002F7407" w:rsidP="00DA1BAF">
            <w:pPr>
              <w:cnfStyle w:val="000000000000" w:firstRow="0" w:lastRow="0" w:firstColumn="0" w:lastColumn="0" w:oddVBand="0" w:evenVBand="0" w:oddHBand="0" w:evenHBand="0" w:firstRowFirstColumn="0" w:firstRowLastColumn="0" w:lastRowFirstColumn="0" w:lastRowLastColumn="0"/>
              <w:rPr>
                <w:sz w:val="20"/>
                <w:szCs w:val="20"/>
              </w:rPr>
            </w:pPr>
          </w:p>
          <w:p w14:paraId="7F0A85F5" w14:textId="77777777" w:rsidR="002F7407" w:rsidRPr="0002643B" w:rsidRDefault="002F7407" w:rsidP="00DA1BAF">
            <w:pPr>
              <w:cnfStyle w:val="000000000000" w:firstRow="0" w:lastRow="0" w:firstColumn="0" w:lastColumn="0" w:oddVBand="0" w:evenVBand="0" w:oddHBand="0" w:evenHBand="0" w:firstRowFirstColumn="0" w:firstRowLastColumn="0" w:lastRowFirstColumn="0" w:lastRowLastColumn="0"/>
              <w:rPr>
                <w:sz w:val="20"/>
                <w:szCs w:val="20"/>
              </w:rPr>
            </w:pPr>
            <w:r w:rsidRPr="0002643B">
              <w:rPr>
                <w:sz w:val="20"/>
                <w:szCs w:val="20"/>
              </w:rPr>
              <w:t>The Government does not propose to reconsider the Productivity Commission’s recommendation to reduce disaster recovery spending to fund increased investment in mitigation. However, the Government is looking at what more can be done within existing resources. For example, as part of the development of new disaster recovery funding arrangements (see response to Recommendation 15, below), the Australian Government has proposed that the states and territories be able to retain and redirect efficiencies realised (where estimated reconstruction costs are higher than actual reconstruction costs) towards future disaster resilience and mitigation activities.</w:t>
            </w:r>
          </w:p>
          <w:p w14:paraId="51C1FED7" w14:textId="77777777" w:rsidR="002F7407" w:rsidRPr="0002643B" w:rsidRDefault="002F7407" w:rsidP="00DA1BAF">
            <w:pPr>
              <w:cnfStyle w:val="000000000000" w:firstRow="0" w:lastRow="0" w:firstColumn="0" w:lastColumn="0" w:oddVBand="0" w:evenVBand="0" w:oddHBand="0" w:evenHBand="0" w:firstRowFirstColumn="0" w:firstRowLastColumn="0" w:lastRowFirstColumn="0" w:lastRowLastColumn="0"/>
              <w:rPr>
                <w:sz w:val="20"/>
                <w:szCs w:val="20"/>
              </w:rPr>
            </w:pPr>
          </w:p>
          <w:p w14:paraId="1A5A5B18"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rPr>
                <w:b/>
                <w:sz w:val="20"/>
                <w:szCs w:val="20"/>
              </w:rPr>
            </w:pPr>
            <w:r w:rsidRPr="0002643B">
              <w:rPr>
                <w:sz w:val="20"/>
                <w:szCs w:val="20"/>
              </w:rPr>
              <w:t>In addition to the Australian Government’s $26.1 million per year contribution to state and territory disaster mitigation priorities through the National Partnership Agreement on Natural Disaster Resilience 2015-18, the Government also invests in disaster mitigation through other major programmes. For example, the Government’s investment of $75 billion over 10 years in infrastructure includes significant investment in projects that mitigate against natural hazard risks to public assets and infrastructure.</w:t>
            </w:r>
            <w:r w:rsidRPr="0002643B">
              <w:rPr>
                <w:b/>
                <w:sz w:val="20"/>
                <w:szCs w:val="20"/>
              </w:rPr>
              <w:t xml:space="preserve"> </w:t>
            </w:r>
          </w:p>
          <w:p w14:paraId="17656B28" w14:textId="77777777" w:rsidR="002F7407" w:rsidRDefault="002F7407" w:rsidP="00DA1BAF">
            <w:pPr>
              <w:cnfStyle w:val="000000000000" w:firstRow="0" w:lastRow="0" w:firstColumn="0" w:lastColumn="0" w:oddVBand="0" w:evenVBand="0" w:oddHBand="0" w:evenHBand="0" w:firstRowFirstColumn="0" w:firstRowLastColumn="0" w:lastRowFirstColumn="0" w:lastRowLastColumn="0"/>
            </w:pPr>
          </w:p>
        </w:tc>
      </w:tr>
      <w:tr w:rsidR="002F7407" w14:paraId="2D5EE8C2" w14:textId="77777777" w:rsidTr="00DA1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4DA12BD8" w14:textId="77777777" w:rsidR="002F7407" w:rsidRDefault="002F7407" w:rsidP="00DA1BAF">
            <w:pPr>
              <w:rPr>
                <w:sz w:val="20"/>
                <w:szCs w:val="20"/>
              </w:rPr>
            </w:pPr>
            <w:r>
              <w:rPr>
                <w:sz w:val="20"/>
                <w:szCs w:val="20"/>
              </w:rPr>
              <w:t>Recommendation 15</w:t>
            </w:r>
          </w:p>
          <w:p w14:paraId="3B1BCEC4" w14:textId="77777777" w:rsidR="002F7407" w:rsidRPr="00A44FE1" w:rsidRDefault="002F7407" w:rsidP="00DA1BAF">
            <w:pPr>
              <w:rPr>
                <w:b w:val="0"/>
                <w:sz w:val="20"/>
                <w:szCs w:val="20"/>
              </w:rPr>
            </w:pPr>
          </w:p>
          <w:p w14:paraId="34D8121D" w14:textId="77777777" w:rsidR="002F7407" w:rsidRPr="00F4001A" w:rsidRDefault="002F7407" w:rsidP="00DA1BAF">
            <w:pPr>
              <w:rPr>
                <w:b w:val="0"/>
                <w:i/>
                <w:sz w:val="20"/>
                <w:szCs w:val="20"/>
              </w:rPr>
            </w:pPr>
            <w:r w:rsidRPr="00923256">
              <w:rPr>
                <w:b w:val="0"/>
                <w:i/>
                <w:sz w:val="20"/>
                <w:szCs w:val="20"/>
              </w:rPr>
              <w:t>The committee recommends that, as a matter of urgency, the Australian Government work with states and territories through the Council of Australian Governments to reform national disaster funding arrangements.</w:t>
            </w:r>
          </w:p>
        </w:tc>
        <w:tc>
          <w:tcPr>
            <w:tcW w:w="4593" w:type="dxa"/>
          </w:tcPr>
          <w:p w14:paraId="603BC55D" w14:textId="77777777" w:rsidR="002F7407" w:rsidRPr="00275B86" w:rsidRDefault="002F7407" w:rsidP="00DA1BAF">
            <w:pPr>
              <w:cnfStyle w:val="000000100000" w:firstRow="0" w:lastRow="0" w:firstColumn="0" w:lastColumn="0" w:oddVBand="0" w:evenVBand="0" w:oddHBand="1" w:evenHBand="0" w:firstRowFirstColumn="0" w:firstRowLastColumn="0" w:lastRowFirstColumn="0" w:lastRowLastColumn="0"/>
              <w:rPr>
                <w:b/>
              </w:rPr>
            </w:pPr>
            <w:r w:rsidRPr="00275B86">
              <w:rPr>
                <w:b/>
                <w:bCs/>
                <w:color w:val="1F497D"/>
              </w:rPr>
              <w:t>Noted</w:t>
            </w:r>
          </w:p>
          <w:p w14:paraId="700F7106" w14:textId="77777777" w:rsidR="002F7407" w:rsidRDefault="002F7407" w:rsidP="00DA1BAF">
            <w:pPr>
              <w:cnfStyle w:val="000000100000" w:firstRow="0" w:lastRow="0" w:firstColumn="0" w:lastColumn="0" w:oddVBand="0" w:evenVBand="0" w:oddHBand="1" w:evenHBand="0" w:firstRowFirstColumn="0" w:firstRowLastColumn="0" w:lastRowFirstColumn="0" w:lastRowLastColumn="0"/>
              <w:rPr>
                <w:b/>
                <w:bCs/>
                <w:color w:val="1F497D"/>
              </w:rPr>
            </w:pPr>
          </w:p>
          <w:p w14:paraId="1B6FF722" w14:textId="77777777" w:rsidR="002F7407" w:rsidRPr="00275B86"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r w:rsidRPr="00275B86">
              <w:rPr>
                <w:sz w:val="20"/>
                <w:szCs w:val="20"/>
              </w:rPr>
              <w:t>In November 2015, the Council of Australian Governments’ Law, Crime and Community Safety Council agreed to investigate new disaster recovery funding arrangements. Under the proposed new arrangements, Australian Government funding for the reconstruction of disaster damaged public infrastructure would be based on upfront damage assessments and estimated reconstruction costs (upfront approach)—rather than on a reimbursement of actual costs basis (often occurring years after the disaster) under the current Natural Disaster Relief and Recovery Arrangements.</w:t>
            </w:r>
          </w:p>
          <w:p w14:paraId="316881E2" w14:textId="77777777" w:rsidR="002F7407" w:rsidRPr="00275B86"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p>
          <w:p w14:paraId="114B8D3A" w14:textId="77777777" w:rsidR="002F7407" w:rsidRPr="00275B86"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r w:rsidRPr="00275B86">
              <w:rPr>
                <w:sz w:val="20"/>
                <w:szCs w:val="20"/>
              </w:rPr>
              <w:t xml:space="preserve">The upfront approach would afford the states greater autonomy to deliver practical reconstruction solutions, reduce red tape, streamline administration and achieve a more efficient and effective spending of public funds. </w:t>
            </w:r>
          </w:p>
          <w:p w14:paraId="1A75A08C" w14:textId="77777777" w:rsidR="002F7407" w:rsidRPr="00275B86"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p>
          <w:p w14:paraId="2D9CD05C" w14:textId="77777777" w:rsidR="002F7407" w:rsidRPr="00275B86"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r w:rsidRPr="00275B86">
              <w:rPr>
                <w:sz w:val="20"/>
                <w:szCs w:val="20"/>
              </w:rPr>
              <w:t>The Australian Government has consulted extensively with representatives from state, territory and local government to develop new and improved national arrangements based on the upfront approach. Since December 2016, the states and territories have been working through, testing and refining proposed new disaster recovery arrangements that include the upfront approach, to ensure the proposed arrangements meet the needs of all levels of government.  This testing phase will continue throughout 2017, and over the 2017-18 summer season.</w:t>
            </w:r>
          </w:p>
          <w:p w14:paraId="73F2276B" w14:textId="77777777" w:rsidR="002F7407" w:rsidRPr="00275B86"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p>
          <w:p w14:paraId="2BDF3772" w14:textId="77777777" w:rsidR="002F7407" w:rsidRPr="00275B86" w:rsidRDefault="002F7407" w:rsidP="00DA1BAF">
            <w:pPr>
              <w:cnfStyle w:val="000000100000" w:firstRow="0" w:lastRow="0" w:firstColumn="0" w:lastColumn="0" w:oddVBand="0" w:evenVBand="0" w:oddHBand="1" w:evenHBand="0" w:firstRowFirstColumn="0" w:firstRowLastColumn="0" w:lastRowFirstColumn="0" w:lastRowLastColumn="0"/>
              <w:rPr>
                <w:sz w:val="20"/>
                <w:szCs w:val="20"/>
              </w:rPr>
            </w:pPr>
            <w:r w:rsidRPr="00275B86">
              <w:rPr>
                <w:sz w:val="20"/>
                <w:szCs w:val="20"/>
              </w:rPr>
              <w:t>Following final consideration by the Australian Government, it is anticipated that new national disaster recovery funding arrangements take effect from 1 July 2018.</w:t>
            </w:r>
          </w:p>
        </w:tc>
      </w:tr>
    </w:tbl>
    <w:p w14:paraId="2D1413E0" w14:textId="77777777" w:rsidR="00E66B9E" w:rsidRDefault="00DC723A"/>
    <w:sectPr w:rsidR="00E66B9E">
      <w:headerReference w:type="even" r:id="rId15"/>
      <w:footerReference w:type="even"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2B582" w14:textId="77777777" w:rsidR="006E1C41" w:rsidRDefault="006E1C41" w:rsidP="006E1C41">
      <w:pPr>
        <w:spacing w:before="0" w:after="0"/>
      </w:pPr>
      <w:r>
        <w:separator/>
      </w:r>
    </w:p>
  </w:endnote>
  <w:endnote w:type="continuationSeparator" w:id="0">
    <w:p w14:paraId="74B9FB58" w14:textId="77777777" w:rsidR="006E1C41" w:rsidRDefault="006E1C41" w:rsidP="006E1C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BAE" w14:textId="77777777" w:rsidR="006E1C41" w:rsidRDefault="00D778B3" w:rsidP="000E1EB5">
    <w:pPr>
      <w:pStyle w:val="SecurityClassificationFooter"/>
    </w:pPr>
    <w:fldSimple w:instr=" DOCPROPERTY SecurityClassification \* MERGEFORMAT ">
      <w:r>
        <w:t>Protected</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F058D" w14:textId="77777777" w:rsidR="006E1C41" w:rsidRDefault="00D778B3" w:rsidP="000E1EB5">
    <w:pPr>
      <w:pStyle w:val="SecurityClassificationFooter"/>
    </w:pPr>
    <w:fldSimple w:instr=" DOCPROPERTY SecurityClassification \* MERGEFORMAT ">
      <w:r>
        <w:t>Protected</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B3118" w14:textId="77777777" w:rsidR="006E1C41" w:rsidRDefault="006E1C41" w:rsidP="006E1C41">
      <w:pPr>
        <w:spacing w:before="0" w:after="0"/>
      </w:pPr>
      <w:r>
        <w:separator/>
      </w:r>
    </w:p>
  </w:footnote>
  <w:footnote w:type="continuationSeparator" w:id="0">
    <w:p w14:paraId="5720E162" w14:textId="77777777" w:rsidR="006E1C41" w:rsidRDefault="006E1C41" w:rsidP="006E1C4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21E61" w14:textId="77777777" w:rsidR="006E1C41" w:rsidRDefault="00D778B3" w:rsidP="000E1EB5">
    <w:pPr>
      <w:pStyle w:val="SecurityClassificationHeader"/>
    </w:pPr>
    <w:fldSimple w:instr=" DOCPROPERTY SecurityClassification \* MERGEFORMAT ">
      <w:r>
        <w:t>Protected</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2928F" w14:textId="77777777" w:rsidR="006E1C41" w:rsidRDefault="00D778B3" w:rsidP="000E1EB5">
    <w:pPr>
      <w:pStyle w:val="SecurityClassificationHeader"/>
    </w:pPr>
    <w:fldSimple w:instr=" DOCPROPERTY SecurityClassification \* MERGEFORMAT ">
      <w:r>
        <w:t>Protected</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214EE"/>
    <w:multiLevelType w:val="multilevel"/>
    <w:tmpl w:val="C6FAFD14"/>
    <w:styleLink w:val="Bulletlist"/>
    <w:lvl w:ilvl="0">
      <w:start w:val="1"/>
      <w:numFmt w:val="bullet"/>
      <w:pStyle w:val="Bullet"/>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Calibri" w:hAnsi="Calibri" w:hint="default"/>
      </w:rPr>
    </w:lvl>
    <w:lvl w:ilvl="2">
      <w:start w:val="1"/>
      <w:numFmt w:val="bullet"/>
      <w:lvlRestart w:val="0"/>
      <w:pStyle w:val="Bullet3"/>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
    <w:nsid w:val="5DF71FF7"/>
    <w:multiLevelType w:val="multilevel"/>
    <w:tmpl w:val="C6FAFD14"/>
    <w:numStyleLink w:val="Bulletlist"/>
  </w:abstractNum>
  <w:abstractNum w:abstractNumId="2">
    <w:nsid w:val="5FE1033E"/>
    <w:multiLevelType w:val="multilevel"/>
    <w:tmpl w:val="A6907400"/>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True"/>
  </w:docVars>
  <w:rsids>
    <w:rsidRoot w:val="002F7407"/>
    <w:rsid w:val="000E1EB5"/>
    <w:rsid w:val="002F7407"/>
    <w:rsid w:val="0036620A"/>
    <w:rsid w:val="0046311D"/>
    <w:rsid w:val="006E1C41"/>
    <w:rsid w:val="00840F7E"/>
    <w:rsid w:val="00862B85"/>
    <w:rsid w:val="0090066A"/>
    <w:rsid w:val="00B93F55"/>
    <w:rsid w:val="00D778B3"/>
    <w:rsid w:val="00DC7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8"/>
    <w:rsid w:val="002F7407"/>
    <w:pPr>
      <w:spacing w:before="120" w:after="12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ewTemplate">
    <w:name w:val="Heading 1 New Template"/>
    <w:basedOn w:val="Normal"/>
    <w:link w:val="Heading1NewTemplateChar"/>
    <w:uiPriority w:val="98"/>
    <w:qFormat/>
    <w:rsid w:val="002F7407"/>
    <w:pPr>
      <w:keepNext/>
      <w:keepLines/>
      <w:tabs>
        <w:tab w:val="left" w:pos="567"/>
      </w:tabs>
      <w:spacing w:before="240" w:after="200"/>
      <w:outlineLvl w:val="0"/>
    </w:pPr>
    <w:rPr>
      <w:rFonts w:eastAsiaTheme="majorEastAsia" w:cstheme="majorBidi"/>
      <w:b/>
      <w:bCs/>
      <w:color w:val="003865"/>
      <w:sz w:val="24"/>
      <w:szCs w:val="28"/>
    </w:rPr>
  </w:style>
  <w:style w:type="character" w:customStyle="1" w:styleId="Heading1NewTemplateChar">
    <w:name w:val="Heading 1 New Template Char"/>
    <w:basedOn w:val="DefaultParagraphFont"/>
    <w:link w:val="Heading1NewTemplate"/>
    <w:uiPriority w:val="98"/>
    <w:rsid w:val="002F7407"/>
    <w:rPr>
      <w:rFonts w:ascii="Arial" w:eastAsiaTheme="majorEastAsia" w:hAnsi="Arial" w:cstheme="majorBidi"/>
      <w:b/>
      <w:bCs/>
      <w:color w:val="003865"/>
      <w:sz w:val="24"/>
      <w:szCs w:val="28"/>
    </w:rPr>
  </w:style>
  <w:style w:type="numbering" w:customStyle="1" w:styleId="Bulletlist">
    <w:name w:val="Bullet list"/>
    <w:uiPriority w:val="99"/>
    <w:rsid w:val="002F7407"/>
    <w:pPr>
      <w:numPr>
        <w:numId w:val="1"/>
      </w:numPr>
    </w:pPr>
  </w:style>
  <w:style w:type="paragraph" w:customStyle="1" w:styleId="Bullet">
    <w:name w:val="Bullet"/>
    <w:basedOn w:val="Normal"/>
    <w:link w:val="BulletChar"/>
    <w:qFormat/>
    <w:rsid w:val="002F7407"/>
    <w:pPr>
      <w:numPr>
        <w:numId w:val="2"/>
      </w:numPr>
      <w:spacing w:before="0"/>
    </w:pPr>
    <w:rPr>
      <w:rFonts w:ascii="Calibri" w:eastAsia="Calibri" w:hAnsi="Calibri" w:cs="Times New Roman"/>
    </w:rPr>
  </w:style>
  <w:style w:type="paragraph" w:customStyle="1" w:styleId="Bullet2">
    <w:name w:val="Bullet 2"/>
    <w:basedOn w:val="Normal"/>
    <w:qFormat/>
    <w:rsid w:val="002F7407"/>
    <w:pPr>
      <w:numPr>
        <w:ilvl w:val="1"/>
        <w:numId w:val="2"/>
      </w:numPr>
      <w:tabs>
        <w:tab w:val="left" w:pos="284"/>
      </w:tabs>
      <w:spacing w:before="0"/>
    </w:pPr>
    <w:rPr>
      <w:rFonts w:ascii="Calibri" w:eastAsia="Calibri" w:hAnsi="Calibri" w:cs="Times New Roman"/>
    </w:rPr>
  </w:style>
  <w:style w:type="character" w:customStyle="1" w:styleId="BulletChar">
    <w:name w:val="Bullet Char"/>
    <w:basedOn w:val="DefaultParagraphFont"/>
    <w:link w:val="Bullet"/>
    <w:rsid w:val="002F7407"/>
    <w:rPr>
      <w:rFonts w:ascii="Calibri" w:eastAsia="Calibri" w:hAnsi="Calibri" w:cs="Times New Roman"/>
    </w:rPr>
  </w:style>
  <w:style w:type="paragraph" w:customStyle="1" w:styleId="Bullet3">
    <w:name w:val="Bullet 3"/>
    <w:basedOn w:val="Normal"/>
    <w:qFormat/>
    <w:rsid w:val="002F7407"/>
    <w:pPr>
      <w:numPr>
        <w:ilvl w:val="2"/>
        <w:numId w:val="2"/>
      </w:numPr>
      <w:tabs>
        <w:tab w:val="left" w:pos="284"/>
      </w:tabs>
      <w:spacing w:before="0"/>
    </w:pPr>
    <w:rPr>
      <w:rFonts w:ascii="Calibri" w:eastAsia="Calibri" w:hAnsi="Calibri" w:cs="Times New Roman"/>
    </w:rPr>
  </w:style>
  <w:style w:type="paragraph" w:customStyle="1" w:styleId="TOCLevel2">
    <w:name w:val="TOCLevel2"/>
    <w:basedOn w:val="Normal"/>
    <w:link w:val="TOCLevel2Char"/>
    <w:uiPriority w:val="98"/>
    <w:qFormat/>
    <w:rsid w:val="002F7407"/>
    <w:pPr>
      <w:keepNext/>
      <w:keepLines/>
      <w:tabs>
        <w:tab w:val="left" w:pos="567"/>
      </w:tabs>
      <w:spacing w:before="240" w:after="200"/>
      <w:jc w:val="center"/>
      <w:outlineLvl w:val="0"/>
    </w:pPr>
    <w:rPr>
      <w:rFonts w:eastAsiaTheme="majorEastAsia" w:cstheme="majorBidi"/>
      <w:b/>
      <w:bCs/>
      <w:color w:val="003865"/>
      <w:sz w:val="24"/>
      <w:szCs w:val="28"/>
    </w:rPr>
  </w:style>
  <w:style w:type="character" w:customStyle="1" w:styleId="TOCLevel2Char">
    <w:name w:val="TOCLevel2 Char"/>
    <w:basedOn w:val="DefaultParagraphFont"/>
    <w:link w:val="TOCLevel2"/>
    <w:uiPriority w:val="98"/>
    <w:rsid w:val="002F7407"/>
    <w:rPr>
      <w:rFonts w:ascii="Arial" w:eastAsiaTheme="majorEastAsia" w:hAnsi="Arial" w:cstheme="majorBidi"/>
      <w:b/>
      <w:bCs/>
      <w:color w:val="003865"/>
      <w:sz w:val="24"/>
      <w:szCs w:val="28"/>
    </w:rPr>
  </w:style>
  <w:style w:type="table" w:styleId="LightShading-Accent1">
    <w:name w:val="Light Shading Accent 1"/>
    <w:basedOn w:val="TableNormal"/>
    <w:uiPriority w:val="60"/>
    <w:rsid w:val="002F740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2F740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407"/>
    <w:rPr>
      <w:rFonts w:ascii="Tahoma" w:hAnsi="Tahoma" w:cs="Tahoma"/>
      <w:sz w:val="16"/>
      <w:szCs w:val="16"/>
    </w:rPr>
  </w:style>
  <w:style w:type="paragraph" w:styleId="Header">
    <w:name w:val="header"/>
    <w:basedOn w:val="Normal"/>
    <w:link w:val="HeaderChar"/>
    <w:uiPriority w:val="99"/>
    <w:unhideWhenUsed/>
    <w:rsid w:val="006E1C41"/>
    <w:pPr>
      <w:tabs>
        <w:tab w:val="center" w:pos="4513"/>
        <w:tab w:val="right" w:pos="9026"/>
      </w:tabs>
      <w:spacing w:before="0" w:after="0"/>
    </w:pPr>
  </w:style>
  <w:style w:type="character" w:customStyle="1" w:styleId="HeaderChar">
    <w:name w:val="Header Char"/>
    <w:basedOn w:val="DefaultParagraphFont"/>
    <w:link w:val="Header"/>
    <w:uiPriority w:val="99"/>
    <w:rsid w:val="006E1C41"/>
    <w:rPr>
      <w:rFonts w:ascii="Arial" w:hAnsi="Arial"/>
    </w:rPr>
  </w:style>
  <w:style w:type="paragraph" w:styleId="Footer">
    <w:name w:val="footer"/>
    <w:basedOn w:val="Normal"/>
    <w:link w:val="FooterChar"/>
    <w:uiPriority w:val="99"/>
    <w:unhideWhenUsed/>
    <w:rsid w:val="006E1C41"/>
    <w:pPr>
      <w:tabs>
        <w:tab w:val="center" w:pos="4513"/>
        <w:tab w:val="right" w:pos="9026"/>
      </w:tabs>
      <w:spacing w:before="0" w:after="0"/>
    </w:pPr>
  </w:style>
  <w:style w:type="character" w:customStyle="1" w:styleId="FooterChar">
    <w:name w:val="Footer Char"/>
    <w:basedOn w:val="DefaultParagraphFont"/>
    <w:link w:val="Footer"/>
    <w:uiPriority w:val="99"/>
    <w:rsid w:val="006E1C41"/>
    <w:rPr>
      <w:rFonts w:ascii="Arial" w:hAnsi="Arial"/>
    </w:rPr>
  </w:style>
  <w:style w:type="paragraph" w:customStyle="1" w:styleId="SecurityClassificationHeader">
    <w:name w:val="Security Classification Header"/>
    <w:link w:val="SecurityClassificationHeaderChar"/>
    <w:rsid w:val="006E1C41"/>
    <w:pPr>
      <w:spacing w:before="240" w:after="60"/>
      <w:jc w:val="center"/>
    </w:pPr>
    <w:rPr>
      <w:rFonts w:ascii="Calibri" w:hAnsi="Calibri"/>
      <w:b/>
      <w:caps/>
      <w:sz w:val="24"/>
    </w:rPr>
  </w:style>
  <w:style w:type="character" w:customStyle="1" w:styleId="SecurityClassificationHeaderChar">
    <w:name w:val="Security Classification Header Char"/>
    <w:basedOn w:val="HeaderChar"/>
    <w:link w:val="SecurityClassificationHeader"/>
    <w:rsid w:val="006E1C41"/>
    <w:rPr>
      <w:rFonts w:ascii="Calibri" w:hAnsi="Calibri"/>
      <w:b/>
      <w:caps/>
      <w:sz w:val="24"/>
    </w:rPr>
  </w:style>
  <w:style w:type="paragraph" w:customStyle="1" w:styleId="SecurityClassificationFooter">
    <w:name w:val="Security Classification Footer"/>
    <w:link w:val="SecurityClassificationFooterChar"/>
    <w:rsid w:val="006E1C41"/>
    <w:pPr>
      <w:spacing w:before="60" w:after="240"/>
      <w:jc w:val="center"/>
    </w:pPr>
    <w:rPr>
      <w:rFonts w:ascii="Calibri" w:hAnsi="Calibri"/>
      <w:b/>
      <w:caps/>
      <w:sz w:val="24"/>
    </w:rPr>
  </w:style>
  <w:style w:type="character" w:customStyle="1" w:styleId="SecurityClassificationFooterChar">
    <w:name w:val="Security Classification Footer Char"/>
    <w:basedOn w:val="HeaderChar"/>
    <w:link w:val="SecurityClassificationFooter"/>
    <w:rsid w:val="006E1C41"/>
    <w:rPr>
      <w:rFonts w:ascii="Calibri" w:hAnsi="Calibri"/>
      <w:b/>
      <w:caps/>
      <w:sz w:val="24"/>
    </w:rPr>
  </w:style>
  <w:style w:type="paragraph" w:customStyle="1" w:styleId="DLMSecurityHeader">
    <w:name w:val="DLM Security Header"/>
    <w:link w:val="DLMSecurityHeaderChar"/>
    <w:rsid w:val="006E1C41"/>
    <w:pPr>
      <w:spacing w:before="60" w:after="240"/>
      <w:jc w:val="center"/>
    </w:pPr>
    <w:rPr>
      <w:rFonts w:ascii="Calibri" w:hAnsi="Calibri"/>
      <w:b/>
      <w:caps/>
      <w:sz w:val="24"/>
    </w:rPr>
  </w:style>
  <w:style w:type="character" w:customStyle="1" w:styleId="DLMSecurityHeaderChar">
    <w:name w:val="DLM Security Header Char"/>
    <w:basedOn w:val="HeaderChar"/>
    <w:link w:val="DLMSecurityHeader"/>
    <w:rsid w:val="006E1C41"/>
    <w:rPr>
      <w:rFonts w:ascii="Calibri" w:hAnsi="Calibri"/>
      <w:b/>
      <w:caps/>
      <w:sz w:val="24"/>
    </w:rPr>
  </w:style>
  <w:style w:type="paragraph" w:customStyle="1" w:styleId="DLMSecurityFooter">
    <w:name w:val="DLM Security Footer"/>
    <w:link w:val="DLMSecurityFooterChar"/>
    <w:rsid w:val="006E1C41"/>
    <w:pPr>
      <w:spacing w:before="240" w:after="60"/>
      <w:jc w:val="center"/>
    </w:pPr>
    <w:rPr>
      <w:rFonts w:ascii="Calibri" w:hAnsi="Calibri"/>
      <w:b/>
      <w:caps/>
      <w:sz w:val="24"/>
    </w:rPr>
  </w:style>
  <w:style w:type="character" w:customStyle="1" w:styleId="DLMSecurityFooterChar">
    <w:name w:val="DLM Security Footer Char"/>
    <w:basedOn w:val="HeaderChar"/>
    <w:link w:val="DLMSecurityFooter"/>
    <w:rsid w:val="006E1C41"/>
    <w:rPr>
      <w:rFonts w:ascii="Calibri" w:hAnsi="Calibri"/>
      <w:b/>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8"/>
    <w:rsid w:val="002F7407"/>
    <w:pPr>
      <w:spacing w:before="120" w:after="12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ewTemplate">
    <w:name w:val="Heading 1 New Template"/>
    <w:basedOn w:val="Normal"/>
    <w:link w:val="Heading1NewTemplateChar"/>
    <w:uiPriority w:val="98"/>
    <w:qFormat/>
    <w:rsid w:val="002F7407"/>
    <w:pPr>
      <w:keepNext/>
      <w:keepLines/>
      <w:tabs>
        <w:tab w:val="left" w:pos="567"/>
      </w:tabs>
      <w:spacing w:before="240" w:after="200"/>
      <w:outlineLvl w:val="0"/>
    </w:pPr>
    <w:rPr>
      <w:rFonts w:eastAsiaTheme="majorEastAsia" w:cstheme="majorBidi"/>
      <w:b/>
      <w:bCs/>
      <w:color w:val="003865"/>
      <w:sz w:val="24"/>
      <w:szCs w:val="28"/>
    </w:rPr>
  </w:style>
  <w:style w:type="character" w:customStyle="1" w:styleId="Heading1NewTemplateChar">
    <w:name w:val="Heading 1 New Template Char"/>
    <w:basedOn w:val="DefaultParagraphFont"/>
    <w:link w:val="Heading1NewTemplate"/>
    <w:uiPriority w:val="98"/>
    <w:rsid w:val="002F7407"/>
    <w:rPr>
      <w:rFonts w:ascii="Arial" w:eastAsiaTheme="majorEastAsia" w:hAnsi="Arial" w:cstheme="majorBidi"/>
      <w:b/>
      <w:bCs/>
      <w:color w:val="003865"/>
      <w:sz w:val="24"/>
      <w:szCs w:val="28"/>
    </w:rPr>
  </w:style>
  <w:style w:type="numbering" w:customStyle="1" w:styleId="Bulletlist">
    <w:name w:val="Bullet list"/>
    <w:uiPriority w:val="99"/>
    <w:rsid w:val="002F7407"/>
    <w:pPr>
      <w:numPr>
        <w:numId w:val="1"/>
      </w:numPr>
    </w:pPr>
  </w:style>
  <w:style w:type="paragraph" w:customStyle="1" w:styleId="Bullet">
    <w:name w:val="Bullet"/>
    <w:basedOn w:val="Normal"/>
    <w:link w:val="BulletChar"/>
    <w:qFormat/>
    <w:rsid w:val="002F7407"/>
    <w:pPr>
      <w:numPr>
        <w:numId w:val="2"/>
      </w:numPr>
      <w:spacing w:before="0"/>
    </w:pPr>
    <w:rPr>
      <w:rFonts w:ascii="Calibri" w:eastAsia="Calibri" w:hAnsi="Calibri" w:cs="Times New Roman"/>
    </w:rPr>
  </w:style>
  <w:style w:type="paragraph" w:customStyle="1" w:styleId="Bullet2">
    <w:name w:val="Bullet 2"/>
    <w:basedOn w:val="Normal"/>
    <w:qFormat/>
    <w:rsid w:val="002F7407"/>
    <w:pPr>
      <w:numPr>
        <w:ilvl w:val="1"/>
        <w:numId w:val="2"/>
      </w:numPr>
      <w:tabs>
        <w:tab w:val="left" w:pos="284"/>
      </w:tabs>
      <w:spacing w:before="0"/>
    </w:pPr>
    <w:rPr>
      <w:rFonts w:ascii="Calibri" w:eastAsia="Calibri" w:hAnsi="Calibri" w:cs="Times New Roman"/>
    </w:rPr>
  </w:style>
  <w:style w:type="character" w:customStyle="1" w:styleId="BulletChar">
    <w:name w:val="Bullet Char"/>
    <w:basedOn w:val="DefaultParagraphFont"/>
    <w:link w:val="Bullet"/>
    <w:rsid w:val="002F7407"/>
    <w:rPr>
      <w:rFonts w:ascii="Calibri" w:eastAsia="Calibri" w:hAnsi="Calibri" w:cs="Times New Roman"/>
    </w:rPr>
  </w:style>
  <w:style w:type="paragraph" w:customStyle="1" w:styleId="Bullet3">
    <w:name w:val="Bullet 3"/>
    <w:basedOn w:val="Normal"/>
    <w:qFormat/>
    <w:rsid w:val="002F7407"/>
    <w:pPr>
      <w:numPr>
        <w:ilvl w:val="2"/>
        <w:numId w:val="2"/>
      </w:numPr>
      <w:tabs>
        <w:tab w:val="left" w:pos="284"/>
      </w:tabs>
      <w:spacing w:before="0"/>
    </w:pPr>
    <w:rPr>
      <w:rFonts w:ascii="Calibri" w:eastAsia="Calibri" w:hAnsi="Calibri" w:cs="Times New Roman"/>
    </w:rPr>
  </w:style>
  <w:style w:type="paragraph" w:customStyle="1" w:styleId="TOCLevel2">
    <w:name w:val="TOCLevel2"/>
    <w:basedOn w:val="Normal"/>
    <w:link w:val="TOCLevel2Char"/>
    <w:uiPriority w:val="98"/>
    <w:qFormat/>
    <w:rsid w:val="002F7407"/>
    <w:pPr>
      <w:keepNext/>
      <w:keepLines/>
      <w:tabs>
        <w:tab w:val="left" w:pos="567"/>
      </w:tabs>
      <w:spacing w:before="240" w:after="200"/>
      <w:jc w:val="center"/>
      <w:outlineLvl w:val="0"/>
    </w:pPr>
    <w:rPr>
      <w:rFonts w:eastAsiaTheme="majorEastAsia" w:cstheme="majorBidi"/>
      <w:b/>
      <w:bCs/>
      <w:color w:val="003865"/>
      <w:sz w:val="24"/>
      <w:szCs w:val="28"/>
    </w:rPr>
  </w:style>
  <w:style w:type="character" w:customStyle="1" w:styleId="TOCLevel2Char">
    <w:name w:val="TOCLevel2 Char"/>
    <w:basedOn w:val="DefaultParagraphFont"/>
    <w:link w:val="TOCLevel2"/>
    <w:uiPriority w:val="98"/>
    <w:rsid w:val="002F7407"/>
    <w:rPr>
      <w:rFonts w:ascii="Arial" w:eastAsiaTheme="majorEastAsia" w:hAnsi="Arial" w:cstheme="majorBidi"/>
      <w:b/>
      <w:bCs/>
      <w:color w:val="003865"/>
      <w:sz w:val="24"/>
      <w:szCs w:val="28"/>
    </w:rPr>
  </w:style>
  <w:style w:type="table" w:styleId="LightShading-Accent1">
    <w:name w:val="Light Shading Accent 1"/>
    <w:basedOn w:val="TableNormal"/>
    <w:uiPriority w:val="60"/>
    <w:rsid w:val="002F740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2F740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407"/>
    <w:rPr>
      <w:rFonts w:ascii="Tahoma" w:hAnsi="Tahoma" w:cs="Tahoma"/>
      <w:sz w:val="16"/>
      <w:szCs w:val="16"/>
    </w:rPr>
  </w:style>
  <w:style w:type="paragraph" w:styleId="Header">
    <w:name w:val="header"/>
    <w:basedOn w:val="Normal"/>
    <w:link w:val="HeaderChar"/>
    <w:uiPriority w:val="99"/>
    <w:unhideWhenUsed/>
    <w:rsid w:val="006E1C41"/>
    <w:pPr>
      <w:tabs>
        <w:tab w:val="center" w:pos="4513"/>
        <w:tab w:val="right" w:pos="9026"/>
      </w:tabs>
      <w:spacing w:before="0" w:after="0"/>
    </w:pPr>
  </w:style>
  <w:style w:type="character" w:customStyle="1" w:styleId="HeaderChar">
    <w:name w:val="Header Char"/>
    <w:basedOn w:val="DefaultParagraphFont"/>
    <w:link w:val="Header"/>
    <w:uiPriority w:val="99"/>
    <w:rsid w:val="006E1C41"/>
    <w:rPr>
      <w:rFonts w:ascii="Arial" w:hAnsi="Arial"/>
    </w:rPr>
  </w:style>
  <w:style w:type="paragraph" w:styleId="Footer">
    <w:name w:val="footer"/>
    <w:basedOn w:val="Normal"/>
    <w:link w:val="FooterChar"/>
    <w:uiPriority w:val="99"/>
    <w:unhideWhenUsed/>
    <w:rsid w:val="006E1C41"/>
    <w:pPr>
      <w:tabs>
        <w:tab w:val="center" w:pos="4513"/>
        <w:tab w:val="right" w:pos="9026"/>
      </w:tabs>
      <w:spacing w:before="0" w:after="0"/>
    </w:pPr>
  </w:style>
  <w:style w:type="character" w:customStyle="1" w:styleId="FooterChar">
    <w:name w:val="Footer Char"/>
    <w:basedOn w:val="DefaultParagraphFont"/>
    <w:link w:val="Footer"/>
    <w:uiPriority w:val="99"/>
    <w:rsid w:val="006E1C41"/>
    <w:rPr>
      <w:rFonts w:ascii="Arial" w:hAnsi="Arial"/>
    </w:rPr>
  </w:style>
  <w:style w:type="paragraph" w:customStyle="1" w:styleId="SecurityClassificationHeader">
    <w:name w:val="Security Classification Header"/>
    <w:link w:val="SecurityClassificationHeaderChar"/>
    <w:rsid w:val="006E1C41"/>
    <w:pPr>
      <w:spacing w:before="240" w:after="60"/>
      <w:jc w:val="center"/>
    </w:pPr>
    <w:rPr>
      <w:rFonts w:ascii="Calibri" w:hAnsi="Calibri"/>
      <w:b/>
      <w:caps/>
      <w:sz w:val="24"/>
    </w:rPr>
  </w:style>
  <w:style w:type="character" w:customStyle="1" w:styleId="SecurityClassificationHeaderChar">
    <w:name w:val="Security Classification Header Char"/>
    <w:basedOn w:val="HeaderChar"/>
    <w:link w:val="SecurityClassificationHeader"/>
    <w:rsid w:val="006E1C41"/>
    <w:rPr>
      <w:rFonts w:ascii="Calibri" w:hAnsi="Calibri"/>
      <w:b/>
      <w:caps/>
      <w:sz w:val="24"/>
    </w:rPr>
  </w:style>
  <w:style w:type="paragraph" w:customStyle="1" w:styleId="SecurityClassificationFooter">
    <w:name w:val="Security Classification Footer"/>
    <w:link w:val="SecurityClassificationFooterChar"/>
    <w:rsid w:val="006E1C41"/>
    <w:pPr>
      <w:spacing w:before="60" w:after="240"/>
      <w:jc w:val="center"/>
    </w:pPr>
    <w:rPr>
      <w:rFonts w:ascii="Calibri" w:hAnsi="Calibri"/>
      <w:b/>
      <w:caps/>
      <w:sz w:val="24"/>
    </w:rPr>
  </w:style>
  <w:style w:type="character" w:customStyle="1" w:styleId="SecurityClassificationFooterChar">
    <w:name w:val="Security Classification Footer Char"/>
    <w:basedOn w:val="HeaderChar"/>
    <w:link w:val="SecurityClassificationFooter"/>
    <w:rsid w:val="006E1C41"/>
    <w:rPr>
      <w:rFonts w:ascii="Calibri" w:hAnsi="Calibri"/>
      <w:b/>
      <w:caps/>
      <w:sz w:val="24"/>
    </w:rPr>
  </w:style>
  <w:style w:type="paragraph" w:customStyle="1" w:styleId="DLMSecurityHeader">
    <w:name w:val="DLM Security Header"/>
    <w:link w:val="DLMSecurityHeaderChar"/>
    <w:rsid w:val="006E1C41"/>
    <w:pPr>
      <w:spacing w:before="60" w:after="240"/>
      <w:jc w:val="center"/>
    </w:pPr>
    <w:rPr>
      <w:rFonts w:ascii="Calibri" w:hAnsi="Calibri"/>
      <w:b/>
      <w:caps/>
      <w:sz w:val="24"/>
    </w:rPr>
  </w:style>
  <w:style w:type="character" w:customStyle="1" w:styleId="DLMSecurityHeaderChar">
    <w:name w:val="DLM Security Header Char"/>
    <w:basedOn w:val="HeaderChar"/>
    <w:link w:val="DLMSecurityHeader"/>
    <w:rsid w:val="006E1C41"/>
    <w:rPr>
      <w:rFonts w:ascii="Calibri" w:hAnsi="Calibri"/>
      <w:b/>
      <w:caps/>
      <w:sz w:val="24"/>
    </w:rPr>
  </w:style>
  <w:style w:type="paragraph" w:customStyle="1" w:styleId="DLMSecurityFooter">
    <w:name w:val="DLM Security Footer"/>
    <w:link w:val="DLMSecurityFooterChar"/>
    <w:rsid w:val="006E1C41"/>
    <w:pPr>
      <w:spacing w:before="240" w:after="60"/>
      <w:jc w:val="center"/>
    </w:pPr>
    <w:rPr>
      <w:rFonts w:ascii="Calibri" w:hAnsi="Calibri"/>
      <w:b/>
      <w:caps/>
      <w:sz w:val="24"/>
    </w:rPr>
  </w:style>
  <w:style w:type="character" w:customStyle="1" w:styleId="DLMSecurityFooterChar">
    <w:name w:val="DLM Security Footer Char"/>
    <w:basedOn w:val="HeaderChar"/>
    <w:link w:val="DLMSecurityFooter"/>
    <w:rsid w:val="006E1C41"/>
    <w:rPr>
      <w:rFonts w:ascii="Calibri" w:hAnsi="Calibri"/>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BFDF0D6C871D7942A562434B13DA708E" ma:contentTypeVersion="7722" ma:contentTypeDescription=" " ma:contentTypeScope="" ma:versionID="33f91c5c0e01a2b662230f2df2073804">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307904a9029a7c43d18332237b344f87"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4dd4adf-ddb3-46a3-8d7c-fab3fb2a6bc7">
      <Value>2</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2017MG-92-66375</_dlc_DocId>
    <_dlc_DocIdUrl xmlns="d4dd4adf-ddb3-46a3-8d7c-fab3fb2a6bc7">
      <Url>http://tweb/sites/mg/fsd/_layouts/15/DocIdRedir.aspx?ID=2017MG-92-66375</Url>
      <Description>2017MG-92-66375</Description>
    </_dlc_DocIdUrl>
  </documentManagement>
</p:properties>
</file>

<file path=customXml/itemProps1.xml><?xml version="1.0" encoding="utf-8"?>
<ds:datastoreItem xmlns:ds="http://schemas.openxmlformats.org/officeDocument/2006/customXml" ds:itemID="{CF84CF8B-3F30-49DD-B6D4-9B05E283D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5FD34-FF16-4C8B-8516-F9F7F3F606D9}">
  <ds:schemaRefs>
    <ds:schemaRef ds:uri="http://schemas.microsoft.com/sharepoint/events"/>
  </ds:schemaRefs>
</ds:datastoreItem>
</file>

<file path=customXml/itemProps3.xml><?xml version="1.0" encoding="utf-8"?>
<ds:datastoreItem xmlns:ds="http://schemas.openxmlformats.org/officeDocument/2006/customXml" ds:itemID="{5181A704-681A-4669-B0FB-452847775747}">
  <ds:schemaRefs>
    <ds:schemaRef ds:uri="http://schemas.microsoft.com/sharepoint/events"/>
  </ds:schemaRefs>
</ds:datastoreItem>
</file>

<file path=customXml/itemProps4.xml><?xml version="1.0" encoding="utf-8"?>
<ds:datastoreItem xmlns:ds="http://schemas.openxmlformats.org/officeDocument/2006/customXml" ds:itemID="{AB6004CA-17D3-4CCB-B2D9-255A77D79A5A}">
  <ds:schemaRefs>
    <ds:schemaRef ds:uri="office.server.policy"/>
  </ds:schemaRefs>
</ds:datastoreItem>
</file>

<file path=customXml/itemProps5.xml><?xml version="1.0" encoding="utf-8"?>
<ds:datastoreItem xmlns:ds="http://schemas.openxmlformats.org/officeDocument/2006/customXml" ds:itemID="{9B797EA3-6D3A-447B-A445-477B534F6B43}">
  <ds:schemaRefs>
    <ds:schemaRef ds:uri="http://schemas.microsoft.com/sharepoint/v3/contenttype/forms"/>
  </ds:schemaRefs>
</ds:datastoreItem>
</file>

<file path=customXml/itemProps6.xml><?xml version="1.0" encoding="utf-8"?>
<ds:datastoreItem xmlns:ds="http://schemas.openxmlformats.org/officeDocument/2006/customXml" ds:itemID="{A6F96122-978D-47A1-8D7A-ADC404E42DA7}">
  <ds:schemaRefs>
    <ds:schemaRef ds:uri="http://schemas.microsoft.com/office/2006/documentManagement/types"/>
    <ds:schemaRef ds:uri="http://purl.org/dc/terms/"/>
    <ds:schemaRef ds:uri="http://www.w3.org/XML/1998/namespace"/>
    <ds:schemaRef ds:uri="d4dd4adf-ddb3-46a3-8d7c-fab3fb2a6bc7"/>
    <ds:schemaRef ds:uri="http://schemas.microsoft.com/sharepoint/v3"/>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1527</Words>
  <Characters>9132</Characters>
  <Application>Microsoft Office Word</Application>
  <DocSecurity>0</DocSecurity>
  <Lines>365</Lines>
  <Paragraphs>96</Paragraphs>
  <ScaleCrop>false</ScaleCrop>
  <HeadingPairs>
    <vt:vector size="2" baseType="variant">
      <vt:variant>
        <vt:lpstr>Title</vt:lpstr>
      </vt:variant>
      <vt:variant>
        <vt:i4>1</vt:i4>
      </vt:variant>
    </vt:vector>
  </HeadingPairs>
  <TitlesOfParts>
    <vt:vector size="1" baseType="lpstr">
      <vt:lpstr>Australian Government Response to the Senate report on Australia 's General Insurance Industry</vt:lpstr>
    </vt:vector>
  </TitlesOfParts>
  <Company>Australian Government - The Treasury</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report on Australia 's General Insurance Industry</dc:title>
  <dc:creator>Treasury</dc:creator>
  <cp:lastModifiedBy>Hill, Christine</cp:lastModifiedBy>
  <cp:revision>4</cp:revision>
  <cp:lastPrinted>2017-12-19T05:48:00Z</cp:lastPrinted>
  <dcterms:created xsi:type="dcterms:W3CDTF">2017-12-19T05:48:00Z</dcterms:created>
  <dcterms:modified xsi:type="dcterms:W3CDTF">2017-12-19T06:22:00Z</dcterms:modified>
</cp:coreProperties>
</file>