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6F59A" w14:textId="77777777" w:rsidR="00A02DE9" w:rsidRDefault="00A02DE9" w:rsidP="00B44EEE">
      <w:pPr>
        <w:pStyle w:val="ListParagraph"/>
        <w:rPr>
          <w:bdr w:val="nil"/>
        </w:rPr>
      </w:pPr>
      <w:bookmarkStart w:id="0" w:name="_GoBack"/>
      <w:bookmarkEnd w:id="0"/>
    </w:p>
    <w:p w14:paraId="7D18D694" w14:textId="77777777" w:rsidR="00050D12" w:rsidRPr="00050D12" w:rsidRDefault="00050D12" w:rsidP="00050D12">
      <w:pPr>
        <w:ind w:left="851" w:hanging="425"/>
        <w:rPr>
          <w:rFonts w:cs="Arial"/>
          <w:b/>
          <w:caps/>
          <w:bdr w:val="nil"/>
        </w:rPr>
      </w:pPr>
    </w:p>
    <w:p w14:paraId="3CECF077" w14:textId="77777777" w:rsidR="00050D12" w:rsidRDefault="00050D12" w:rsidP="00050D12">
      <w:pPr>
        <w:jc w:val="center"/>
      </w:pPr>
    </w:p>
    <w:p w14:paraId="68D1D314" w14:textId="77777777" w:rsidR="00050D12" w:rsidRPr="00D63A15" w:rsidRDefault="00050D12" w:rsidP="00050D12">
      <w:pPr>
        <w:jc w:val="center"/>
        <w:rPr>
          <w:caps/>
        </w:rPr>
      </w:pPr>
      <w:r>
        <w:rPr>
          <w:caps/>
          <w:noProof/>
          <w:lang w:eastAsia="en-AU"/>
        </w:rPr>
        <w:drawing>
          <wp:inline distT="0" distB="0" distL="0" distR="0" wp14:anchorId="2FF57B6B" wp14:editId="778C80D9">
            <wp:extent cx="24669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549B9BE7" w14:textId="77777777" w:rsidR="00050D12" w:rsidRDefault="00050D12" w:rsidP="00050D12">
      <w:pPr>
        <w:spacing w:after="0"/>
        <w:jc w:val="center"/>
      </w:pPr>
    </w:p>
    <w:p w14:paraId="70B8CD7F" w14:textId="77777777" w:rsidR="00050D12" w:rsidRDefault="00050D12" w:rsidP="00050D12">
      <w:pPr>
        <w:spacing w:after="0"/>
      </w:pPr>
    </w:p>
    <w:p w14:paraId="7CB08681" w14:textId="77777777" w:rsidR="00050D12" w:rsidRDefault="00050D12" w:rsidP="00050D12">
      <w:pPr>
        <w:spacing w:after="0"/>
      </w:pPr>
    </w:p>
    <w:p w14:paraId="1B250F5B" w14:textId="22D2AD28" w:rsidR="00050D12" w:rsidRPr="00050D12" w:rsidRDefault="00050D12" w:rsidP="00050D12">
      <w:pPr>
        <w:jc w:val="center"/>
        <w:rPr>
          <w:rFonts w:ascii="Times New Roman" w:hAnsi="Times New Roman"/>
          <w:sz w:val="36"/>
          <w:szCs w:val="36"/>
        </w:rPr>
      </w:pPr>
      <w:r w:rsidRPr="00050D12">
        <w:rPr>
          <w:rFonts w:ascii="Times New Roman" w:hAnsi="Times New Roman"/>
          <w:sz w:val="36"/>
          <w:szCs w:val="36"/>
        </w:rPr>
        <w:t xml:space="preserve">Australian Government response to the </w:t>
      </w:r>
      <w:r w:rsidRPr="00050D12">
        <w:rPr>
          <w:rFonts w:ascii="Times New Roman" w:hAnsi="Times New Roman"/>
          <w:sz w:val="36"/>
          <w:szCs w:val="36"/>
        </w:rPr>
        <w:br/>
        <w:t xml:space="preserve">Senate </w:t>
      </w:r>
      <w:r w:rsidR="00F9071A">
        <w:rPr>
          <w:rFonts w:ascii="Times New Roman" w:hAnsi="Times New Roman"/>
          <w:sz w:val="36"/>
          <w:szCs w:val="36"/>
        </w:rPr>
        <w:t>Economics Legislation Committee</w:t>
      </w:r>
      <w:r w:rsidRPr="00050D12">
        <w:rPr>
          <w:rFonts w:ascii="Times New Roman" w:hAnsi="Times New Roman"/>
          <w:sz w:val="36"/>
          <w:szCs w:val="36"/>
        </w:rPr>
        <w:t xml:space="preserve"> report:</w:t>
      </w:r>
    </w:p>
    <w:p w14:paraId="77CADFB6" w14:textId="77777777" w:rsidR="00050D12" w:rsidRPr="00050D12" w:rsidRDefault="00050D12" w:rsidP="00050D12">
      <w:pPr>
        <w:jc w:val="center"/>
        <w:rPr>
          <w:rFonts w:ascii="Times New Roman" w:hAnsi="Times New Roman"/>
          <w:szCs w:val="24"/>
        </w:rPr>
      </w:pPr>
    </w:p>
    <w:p w14:paraId="4C56ACF9" w14:textId="77777777" w:rsidR="00CD1681" w:rsidRDefault="00050D12" w:rsidP="00CD1681">
      <w:pPr>
        <w:spacing w:after="0"/>
        <w:jc w:val="center"/>
        <w:rPr>
          <w:rFonts w:ascii="Times New Roman" w:hAnsi="Times New Roman"/>
          <w:sz w:val="36"/>
          <w:szCs w:val="36"/>
        </w:rPr>
      </w:pPr>
      <w:r w:rsidRPr="00CD1681">
        <w:rPr>
          <w:rFonts w:ascii="Times New Roman" w:hAnsi="Times New Roman"/>
          <w:sz w:val="36"/>
          <w:szCs w:val="36"/>
        </w:rPr>
        <w:t xml:space="preserve">Reserve Bank Amendment </w:t>
      </w:r>
    </w:p>
    <w:p w14:paraId="3CF53829" w14:textId="3436AEEA" w:rsidR="00050D12" w:rsidRPr="00CD1681" w:rsidRDefault="00050D12" w:rsidP="00CD1681">
      <w:pPr>
        <w:jc w:val="center"/>
        <w:rPr>
          <w:rFonts w:ascii="Times New Roman" w:hAnsi="Times New Roman"/>
          <w:sz w:val="36"/>
          <w:szCs w:val="36"/>
        </w:rPr>
      </w:pPr>
      <w:r w:rsidRPr="00CD1681">
        <w:rPr>
          <w:rFonts w:ascii="Times New Roman" w:hAnsi="Times New Roman"/>
          <w:sz w:val="36"/>
          <w:szCs w:val="36"/>
        </w:rPr>
        <w:t>(Australian Reconstruction and Development Board) Bill 2013</w:t>
      </w:r>
    </w:p>
    <w:p w14:paraId="26785E14" w14:textId="77777777" w:rsidR="00050D12" w:rsidRDefault="00050D12" w:rsidP="00050D12">
      <w:pPr>
        <w:spacing w:after="0"/>
        <w:jc w:val="center"/>
        <w:rPr>
          <w:sz w:val="36"/>
          <w:szCs w:val="36"/>
        </w:rPr>
      </w:pPr>
    </w:p>
    <w:p w14:paraId="72BDEF4B" w14:textId="77777777" w:rsidR="00050D12" w:rsidRDefault="00050D12" w:rsidP="00050D12">
      <w:pPr>
        <w:spacing w:after="0"/>
        <w:jc w:val="center"/>
        <w:rPr>
          <w:sz w:val="36"/>
          <w:szCs w:val="36"/>
        </w:rPr>
      </w:pPr>
    </w:p>
    <w:p w14:paraId="7B91FBC4" w14:textId="77777777" w:rsidR="00050D12" w:rsidRDefault="00050D12" w:rsidP="00050D12">
      <w:pPr>
        <w:spacing w:after="0"/>
        <w:jc w:val="center"/>
        <w:rPr>
          <w:sz w:val="36"/>
          <w:szCs w:val="36"/>
        </w:rPr>
      </w:pPr>
    </w:p>
    <w:p w14:paraId="2A748138" w14:textId="77777777" w:rsidR="00050D12" w:rsidRDefault="00050D12" w:rsidP="00050D12">
      <w:pPr>
        <w:spacing w:after="0"/>
        <w:jc w:val="center"/>
        <w:rPr>
          <w:sz w:val="36"/>
          <w:szCs w:val="36"/>
        </w:rPr>
      </w:pPr>
    </w:p>
    <w:p w14:paraId="233C89D6" w14:textId="77777777" w:rsidR="00050D12" w:rsidRDefault="00050D12" w:rsidP="00B44EEE">
      <w:pPr>
        <w:pStyle w:val="ListParagraph"/>
        <w:rPr>
          <w:bdr w:val="nil"/>
        </w:rPr>
      </w:pPr>
    </w:p>
    <w:p w14:paraId="6480A8DD" w14:textId="77777777" w:rsidR="00050D12" w:rsidRDefault="00050D12" w:rsidP="00B44EEE">
      <w:pPr>
        <w:pStyle w:val="ListParagraph"/>
        <w:rPr>
          <w:bdr w:val="nil"/>
        </w:rPr>
      </w:pPr>
    </w:p>
    <w:p w14:paraId="36DB031F" w14:textId="77777777" w:rsidR="00050D12" w:rsidRDefault="00050D12" w:rsidP="00B44EEE">
      <w:pPr>
        <w:pStyle w:val="ListParagraph"/>
        <w:rPr>
          <w:bdr w:val="nil"/>
        </w:rPr>
      </w:pPr>
    </w:p>
    <w:p w14:paraId="0B139821" w14:textId="77777777" w:rsidR="00050D12" w:rsidRDefault="00050D12" w:rsidP="005A6730">
      <w:pPr>
        <w:rPr>
          <w:rFonts w:cs="Arial"/>
          <w:b/>
          <w:caps/>
          <w:bdr w:val="nil"/>
        </w:rPr>
      </w:pPr>
    </w:p>
    <w:p w14:paraId="09BFD1A1" w14:textId="77777777" w:rsidR="005A6730" w:rsidRPr="005A6730" w:rsidRDefault="005A6730" w:rsidP="005A6730">
      <w:pPr>
        <w:rPr>
          <w:rFonts w:cs="Arial"/>
          <w:b/>
          <w:caps/>
          <w:bdr w:val="nil"/>
        </w:rPr>
      </w:pPr>
    </w:p>
    <w:p w14:paraId="1ED9C457" w14:textId="77777777" w:rsidR="00050D12" w:rsidRDefault="00050D12" w:rsidP="00B44EEE">
      <w:pPr>
        <w:pStyle w:val="ListParagraph"/>
        <w:rPr>
          <w:bdr w:val="nil"/>
        </w:rPr>
      </w:pPr>
    </w:p>
    <w:p w14:paraId="234DEF96" w14:textId="77777777" w:rsidR="00050D12" w:rsidRDefault="00050D12" w:rsidP="00B44EEE">
      <w:pPr>
        <w:pStyle w:val="ListParagraph"/>
        <w:rPr>
          <w:bdr w:val="nil"/>
        </w:rPr>
      </w:pPr>
    </w:p>
    <w:p w14:paraId="432E118D" w14:textId="06028D88" w:rsidR="00050D12" w:rsidRPr="00B44EEE" w:rsidRDefault="00B44EEE" w:rsidP="00B44EEE">
      <w:pPr>
        <w:pStyle w:val="ListParagraph"/>
      </w:pPr>
      <w:r w:rsidRPr="00B44EEE">
        <w:t>August 2018</w:t>
      </w:r>
    </w:p>
    <w:p w14:paraId="2ADF6117" w14:textId="77777777" w:rsidR="00CD1681" w:rsidRDefault="00CD1681">
      <w:pPr>
        <w:spacing w:after="160" w:line="259" w:lineRule="auto"/>
        <w:rPr>
          <w:rFonts w:ascii="Times New Roman" w:eastAsia="Times New Roman" w:hAnsi="Times New Roman"/>
          <w:b/>
          <w:szCs w:val="20"/>
          <w:lang w:eastAsia="en-AU"/>
        </w:rPr>
      </w:pPr>
      <w:r>
        <w:rPr>
          <w:rFonts w:ascii="Times New Roman" w:eastAsia="Times New Roman" w:hAnsi="Times New Roman"/>
          <w:b/>
          <w:szCs w:val="20"/>
          <w:lang w:eastAsia="en-AU"/>
        </w:rPr>
        <w:br w:type="page"/>
      </w:r>
    </w:p>
    <w:p w14:paraId="59641507" w14:textId="07499AE5" w:rsidR="00050D12" w:rsidRPr="00050D12" w:rsidRDefault="00050D12" w:rsidP="00050D12">
      <w:pPr>
        <w:spacing w:after="240"/>
        <w:jc w:val="center"/>
        <w:rPr>
          <w:rFonts w:ascii="Times New Roman" w:eastAsia="Times New Roman" w:hAnsi="Times New Roman"/>
          <w:b/>
          <w:szCs w:val="20"/>
          <w:lang w:eastAsia="en-AU"/>
        </w:rPr>
      </w:pPr>
      <w:r w:rsidRPr="00050D12">
        <w:rPr>
          <w:rFonts w:ascii="Times New Roman" w:eastAsia="Times New Roman" w:hAnsi="Times New Roman"/>
          <w:b/>
          <w:szCs w:val="20"/>
          <w:lang w:eastAsia="en-AU"/>
        </w:rPr>
        <w:lastRenderedPageBreak/>
        <w:t>Senate Economics</w:t>
      </w:r>
      <w:r w:rsidR="00F9071A">
        <w:rPr>
          <w:rFonts w:ascii="Times New Roman" w:eastAsia="Times New Roman" w:hAnsi="Times New Roman"/>
          <w:b/>
          <w:szCs w:val="20"/>
          <w:lang w:eastAsia="en-AU"/>
        </w:rPr>
        <w:t xml:space="preserve"> Legislation Committee</w:t>
      </w:r>
    </w:p>
    <w:p w14:paraId="6F87A055" w14:textId="77777777" w:rsidR="00050D12" w:rsidRPr="00050D12" w:rsidRDefault="00050D12" w:rsidP="00050D12">
      <w:pPr>
        <w:spacing w:after="240"/>
        <w:jc w:val="center"/>
        <w:rPr>
          <w:rFonts w:ascii="Times New Roman" w:eastAsia="Times New Roman" w:hAnsi="Times New Roman"/>
          <w:b/>
          <w:szCs w:val="20"/>
          <w:lang w:eastAsia="en-AU"/>
        </w:rPr>
      </w:pPr>
      <w:r w:rsidRPr="00050D12">
        <w:rPr>
          <w:rFonts w:ascii="Times New Roman" w:eastAsia="Times New Roman" w:hAnsi="Times New Roman"/>
          <w:b/>
          <w:szCs w:val="20"/>
          <w:lang w:eastAsia="en-AU"/>
        </w:rPr>
        <w:t>Reserve Bank Amendment (Australian Reconstruction and Development Board) Bill 2013</w:t>
      </w:r>
    </w:p>
    <w:p w14:paraId="411EC135" w14:textId="77777777" w:rsidR="00050D12" w:rsidRPr="00B67C8A" w:rsidRDefault="00050D12" w:rsidP="00050D12">
      <w:pPr>
        <w:spacing w:after="240"/>
        <w:jc w:val="center"/>
        <w:rPr>
          <w:rFonts w:ascii="Times New Roman" w:eastAsia="Times New Roman" w:hAnsi="Times New Roman"/>
          <w:szCs w:val="20"/>
          <w:u w:val="single"/>
          <w:lang w:eastAsia="en-AU"/>
        </w:rPr>
      </w:pPr>
      <w:r w:rsidRPr="00B67C8A">
        <w:rPr>
          <w:rFonts w:ascii="Times New Roman" w:eastAsia="Times New Roman" w:hAnsi="Times New Roman"/>
          <w:szCs w:val="20"/>
          <w:u w:val="single"/>
          <w:lang w:eastAsia="en-AU"/>
        </w:rPr>
        <w:t>Government Response</w:t>
      </w:r>
    </w:p>
    <w:p w14:paraId="53E6F07C" w14:textId="77777777" w:rsidR="00050D12" w:rsidRPr="00050D12" w:rsidRDefault="00050D12" w:rsidP="00050D12">
      <w:pPr>
        <w:pBdr>
          <w:top w:val="single" w:sz="4" w:space="2" w:color="auto"/>
          <w:left w:val="single" w:sz="4" w:space="4" w:color="auto"/>
          <w:bottom w:val="single" w:sz="4" w:space="1" w:color="auto"/>
          <w:right w:val="single" w:sz="4" w:space="4" w:color="auto"/>
        </w:pBdr>
        <w:rPr>
          <w:rFonts w:ascii="Times New Roman" w:eastAsiaTheme="minorHAnsi" w:hAnsi="Times New Roman"/>
          <w:b/>
          <w:bCs/>
          <w:color w:val="000000"/>
          <w:szCs w:val="24"/>
        </w:rPr>
      </w:pPr>
      <w:r w:rsidRPr="00050D12">
        <w:rPr>
          <w:rFonts w:ascii="Times New Roman" w:eastAsiaTheme="minorHAnsi" w:hAnsi="Times New Roman"/>
          <w:b/>
          <w:bCs/>
          <w:color w:val="000000"/>
          <w:szCs w:val="24"/>
        </w:rPr>
        <w:t>Recommendation 1</w:t>
      </w:r>
    </w:p>
    <w:p w14:paraId="5DA4A3E8" w14:textId="77777777" w:rsidR="00050D12" w:rsidRPr="00050D12" w:rsidRDefault="00050D12" w:rsidP="00050D12">
      <w:pPr>
        <w:pBdr>
          <w:top w:val="single" w:sz="4" w:space="2" w:color="auto"/>
          <w:left w:val="single" w:sz="4" w:space="4" w:color="auto"/>
          <w:bottom w:val="single" w:sz="4" w:space="1" w:color="auto"/>
          <w:right w:val="single" w:sz="4" w:space="4" w:color="auto"/>
        </w:pBdr>
        <w:rPr>
          <w:rFonts w:eastAsiaTheme="minorHAnsi"/>
          <w:b/>
          <w:bCs/>
          <w:color w:val="000000"/>
          <w:szCs w:val="24"/>
        </w:rPr>
      </w:pPr>
      <w:bookmarkStart w:id="1" w:name="tempbookmark"/>
      <w:r w:rsidRPr="00050D12">
        <w:rPr>
          <w:rFonts w:ascii="Times New Roman" w:hAnsi="Times New Roman"/>
        </w:rPr>
        <w:t>The Committee recommends that the Department of Agriculture and Treasury consult with the banking sector and relevant bodies who have identified deficiencies in the current information available on rural debt. The purpose of the consultation would be to progress a suitable data collection method to ensure that the quality of data available to government on rural debt would provide the information needed for decision makers to make timely and well-informed decisions</w:t>
      </w:r>
    </w:p>
    <w:bookmarkEnd w:id="1"/>
    <w:p w14:paraId="1030D37A" w14:textId="77777777" w:rsidR="00D4496C" w:rsidRPr="00050D12" w:rsidRDefault="00D4496C" w:rsidP="00D4496C">
      <w:pPr>
        <w:pStyle w:val="NoSpacing"/>
        <w:spacing w:after="200"/>
        <w:rPr>
          <w:rFonts w:ascii="Times New Roman" w:hAnsi="Times New Roman"/>
          <w:sz w:val="24"/>
        </w:rPr>
      </w:pPr>
      <w:r w:rsidRPr="00050D12">
        <w:rPr>
          <w:rFonts w:ascii="Times New Roman" w:hAnsi="Times New Roman"/>
          <w:sz w:val="24"/>
        </w:rPr>
        <w:t xml:space="preserve">The Australian Government </w:t>
      </w:r>
      <w:r w:rsidRPr="00050D12">
        <w:rPr>
          <w:rFonts w:ascii="Times New Roman" w:hAnsi="Times New Roman"/>
          <w:sz w:val="24"/>
          <w:u w:val="single"/>
        </w:rPr>
        <w:t>agrees</w:t>
      </w:r>
      <w:r w:rsidRPr="00050D12">
        <w:rPr>
          <w:rFonts w:ascii="Times New Roman" w:hAnsi="Times New Roman"/>
          <w:sz w:val="24"/>
        </w:rPr>
        <w:t xml:space="preserve"> with the recommendation.</w:t>
      </w:r>
    </w:p>
    <w:p w14:paraId="3C2D9AC7" w14:textId="77777777" w:rsidR="00D4496C" w:rsidRPr="00050D12" w:rsidRDefault="00D4496C" w:rsidP="00D4496C">
      <w:pPr>
        <w:spacing w:after="120"/>
        <w:rPr>
          <w:rFonts w:ascii="Times New Roman" w:hAnsi="Times New Roman"/>
        </w:rPr>
      </w:pPr>
      <w:r w:rsidRPr="00050D12">
        <w:rPr>
          <w:rFonts w:ascii="Times New Roman" w:hAnsi="Times New Roman"/>
        </w:rPr>
        <w:t>At a meeting of the Agricultural Finance Forum on 23 September 2014, the</w:t>
      </w:r>
      <w:r w:rsidR="001923F8" w:rsidRPr="00050D12">
        <w:rPr>
          <w:rFonts w:ascii="Times New Roman" w:hAnsi="Times New Roman"/>
        </w:rPr>
        <w:t xml:space="preserve"> </w:t>
      </w:r>
      <w:r w:rsidR="001923F8" w:rsidRPr="001923F8">
        <w:rPr>
          <w:rFonts w:ascii="Times New Roman" w:hAnsi="Times New Roman"/>
        </w:rPr>
        <w:t>then</w:t>
      </w:r>
      <w:r w:rsidR="0028095B" w:rsidRPr="00050D12">
        <w:rPr>
          <w:rFonts w:ascii="Times New Roman" w:hAnsi="Times New Roman"/>
        </w:rPr>
        <w:t xml:space="preserve"> </w:t>
      </w:r>
      <w:r w:rsidRPr="00050D12">
        <w:rPr>
          <w:rFonts w:ascii="Times New Roman" w:hAnsi="Times New Roman"/>
        </w:rPr>
        <w:t xml:space="preserve">Minister for Agriculture, the Hon. Barnaby Joyce MP, met with senior lenders, finance representatives, industry bodies, farmer organisations and other rural stakeholders to discuss the extent of the rural debt situation, its causes and possible solutions. </w:t>
      </w:r>
    </w:p>
    <w:p w14:paraId="3C97AB9F" w14:textId="77777777" w:rsidR="00D4496C" w:rsidRPr="00050D12" w:rsidRDefault="00D4496C" w:rsidP="00D4496C">
      <w:pPr>
        <w:spacing w:after="120"/>
        <w:rPr>
          <w:rFonts w:ascii="Times New Roman" w:hAnsi="Times New Roman"/>
        </w:rPr>
      </w:pPr>
      <w:r w:rsidRPr="00050D12">
        <w:rPr>
          <w:rFonts w:ascii="Times New Roman" w:hAnsi="Times New Roman"/>
        </w:rPr>
        <w:t>There was general consensus that there was a lack of transparent information on debt held by the agricultural sector</w:t>
      </w:r>
      <w:r w:rsidRPr="001923F8">
        <w:rPr>
          <w:rFonts w:ascii="Times New Roman" w:hAnsi="Times New Roman"/>
        </w:rPr>
        <w:t xml:space="preserve">, </w:t>
      </w:r>
      <w:r w:rsidR="001923F8" w:rsidRPr="001923F8">
        <w:rPr>
          <w:rFonts w:ascii="Times New Roman" w:hAnsi="Times New Roman"/>
        </w:rPr>
        <w:t>and a need to</w:t>
      </w:r>
      <w:r w:rsidR="001923F8" w:rsidRPr="00050D12">
        <w:rPr>
          <w:rFonts w:ascii="Times New Roman" w:hAnsi="Times New Roman"/>
        </w:rPr>
        <w:t xml:space="preserve"> </w:t>
      </w:r>
      <w:r w:rsidRPr="00050D12">
        <w:rPr>
          <w:rFonts w:ascii="Times New Roman" w:hAnsi="Times New Roman"/>
        </w:rPr>
        <w:t xml:space="preserve">systematically collect data to increase the volume, detail and accuracy of information on debts held by farmers. </w:t>
      </w:r>
    </w:p>
    <w:p w14:paraId="219FB8BF" w14:textId="77777777" w:rsidR="00D4496C" w:rsidRPr="00050D12" w:rsidRDefault="00D4496C" w:rsidP="00D4496C">
      <w:pPr>
        <w:spacing w:after="120"/>
        <w:rPr>
          <w:rFonts w:ascii="Times New Roman" w:hAnsi="Times New Roman"/>
        </w:rPr>
      </w:pPr>
      <w:r w:rsidRPr="00050D12">
        <w:rPr>
          <w:rFonts w:ascii="Times New Roman" w:hAnsi="Times New Roman"/>
        </w:rPr>
        <w:t xml:space="preserve">The Department of Agriculture and Water Resources, </w:t>
      </w:r>
      <w:r w:rsidR="001923F8" w:rsidRPr="001923F8">
        <w:rPr>
          <w:rFonts w:ascii="Times New Roman" w:hAnsi="Times New Roman"/>
        </w:rPr>
        <w:t>the Treasury</w:t>
      </w:r>
      <w:r w:rsidR="001923F8" w:rsidRPr="00050D12">
        <w:rPr>
          <w:rFonts w:ascii="Times New Roman" w:hAnsi="Times New Roman"/>
        </w:rPr>
        <w:t xml:space="preserve"> </w:t>
      </w:r>
      <w:r w:rsidRPr="00050D12">
        <w:rPr>
          <w:rFonts w:ascii="Times New Roman" w:hAnsi="Times New Roman"/>
        </w:rPr>
        <w:t>and the Australian Prudential Regulation Authority (APRA) are working together to establish an ongoing data collection. This information should assist the government to target its assistance measures for farmers, their businesses and communities more effectively.</w:t>
      </w:r>
    </w:p>
    <w:p w14:paraId="077F43E4" w14:textId="3DE5043B" w:rsidR="00D4496C" w:rsidRPr="00050D12" w:rsidRDefault="00D4496C" w:rsidP="00D4496C">
      <w:pPr>
        <w:spacing w:after="120"/>
        <w:rPr>
          <w:rFonts w:ascii="Times New Roman" w:hAnsi="Times New Roman"/>
        </w:rPr>
      </w:pPr>
      <w:r w:rsidRPr="00050D12">
        <w:rPr>
          <w:rFonts w:ascii="Times New Roman" w:hAnsi="Times New Roman"/>
        </w:rPr>
        <w:t>Publication of high level debt data will also allow state</w:t>
      </w:r>
      <w:r w:rsidR="00144263">
        <w:rPr>
          <w:rFonts w:ascii="Times New Roman" w:hAnsi="Times New Roman"/>
        </w:rPr>
        <w:t>/</w:t>
      </w:r>
      <w:r w:rsidRPr="00050D12">
        <w:rPr>
          <w:rFonts w:ascii="Times New Roman" w:hAnsi="Times New Roman"/>
        </w:rPr>
        <w:t>territory governments, financial institutions, peak industry and farming organisations to better understand the extent of debt stress, and how their actions can be best targeted to assist farmers.</w:t>
      </w:r>
    </w:p>
    <w:p w14:paraId="385C46C3" w14:textId="77777777" w:rsidR="00D4496C" w:rsidRPr="00AE45F6" w:rsidRDefault="00D4496C" w:rsidP="00D4496C">
      <w:pPr>
        <w:spacing w:after="120"/>
        <w:rPr>
          <w:rFonts w:ascii="Times New Roman" w:hAnsi="Times New Roman"/>
        </w:rPr>
      </w:pPr>
      <w:r w:rsidRPr="00050D12">
        <w:rPr>
          <w:rFonts w:ascii="Times New Roman" w:hAnsi="Times New Roman"/>
        </w:rPr>
        <w:t xml:space="preserve">On 28 March 2017, APRA released a consultation paper on the proposed collection of data on lending to the agricultural sector. </w:t>
      </w:r>
      <w:r w:rsidR="001923F8" w:rsidRPr="001923F8">
        <w:rPr>
          <w:rFonts w:ascii="Times New Roman" w:hAnsi="Times New Roman"/>
        </w:rPr>
        <w:t xml:space="preserve">The proposed collection </w:t>
      </w:r>
      <w:r w:rsidRPr="001923F8">
        <w:rPr>
          <w:rFonts w:ascii="Times New Roman" w:hAnsi="Times New Roman"/>
        </w:rPr>
        <w:t>w</w:t>
      </w:r>
      <w:r w:rsidR="0028095B" w:rsidRPr="001923F8">
        <w:rPr>
          <w:rFonts w:ascii="Times New Roman" w:hAnsi="Times New Roman"/>
        </w:rPr>
        <w:t xml:space="preserve">ill </w:t>
      </w:r>
      <w:r w:rsidRPr="001923F8">
        <w:rPr>
          <w:rFonts w:ascii="Times New Roman" w:hAnsi="Times New Roman"/>
        </w:rPr>
        <w:t xml:space="preserve">be </w:t>
      </w:r>
      <w:r w:rsidR="00A02DE9" w:rsidRPr="001923F8">
        <w:rPr>
          <w:rFonts w:ascii="Times New Roman" w:hAnsi="Times New Roman"/>
        </w:rPr>
        <w:t xml:space="preserve">undertaken </w:t>
      </w:r>
      <w:r w:rsidRPr="001923F8">
        <w:rPr>
          <w:rFonts w:ascii="Times New Roman" w:hAnsi="Times New Roman"/>
        </w:rPr>
        <w:t>on behalf of the Department of Agriculture and Water Resources, and be administered by A</w:t>
      </w:r>
      <w:r w:rsidRPr="00AE45F6">
        <w:rPr>
          <w:rFonts w:ascii="Times New Roman" w:hAnsi="Times New Roman"/>
        </w:rPr>
        <w:t>PRA on an annual basis.</w:t>
      </w:r>
    </w:p>
    <w:p w14:paraId="471384E0" w14:textId="033FD2A2" w:rsidR="0028095B" w:rsidRPr="00050D12" w:rsidRDefault="001923F8" w:rsidP="0028095B">
      <w:pPr>
        <w:spacing w:after="120"/>
        <w:rPr>
          <w:rFonts w:ascii="Times New Roman" w:hAnsi="Times New Roman"/>
        </w:rPr>
      </w:pPr>
      <w:r w:rsidRPr="001923F8">
        <w:rPr>
          <w:rFonts w:ascii="Times New Roman" w:hAnsi="Times New Roman"/>
        </w:rPr>
        <w:t>On 28 April 2017, the formal consultation package on the proposed collection concluded. In total 12 submissions were received, comprising Authorised Deposit-taking Institutions, Registered Financial Corporations and peak industry bodies.</w:t>
      </w:r>
    </w:p>
    <w:p w14:paraId="52DD5DA4" w14:textId="317C0003" w:rsidR="0028095B" w:rsidRPr="001923F8" w:rsidRDefault="0028095B" w:rsidP="0028095B">
      <w:pPr>
        <w:spacing w:after="120"/>
        <w:rPr>
          <w:rFonts w:ascii="Times New Roman" w:hAnsi="Times New Roman"/>
        </w:rPr>
      </w:pPr>
      <w:r w:rsidRPr="00050D12">
        <w:rPr>
          <w:rFonts w:ascii="Times New Roman" w:hAnsi="Times New Roman"/>
        </w:rPr>
        <w:t xml:space="preserve">On 16 August 2017, APRA released a response to submissions and a finalised reporting standard for the data collection. The first formal collection of data </w:t>
      </w:r>
      <w:r w:rsidR="00A02DE9" w:rsidRPr="00050D12">
        <w:rPr>
          <w:rFonts w:ascii="Times New Roman" w:hAnsi="Times New Roman"/>
        </w:rPr>
        <w:t>(</w:t>
      </w:r>
      <w:r w:rsidRPr="00050D12">
        <w:rPr>
          <w:rFonts w:ascii="Times New Roman" w:hAnsi="Times New Roman"/>
        </w:rPr>
        <w:t xml:space="preserve">for the </w:t>
      </w:r>
      <w:r w:rsidR="001923F8" w:rsidRPr="001923F8">
        <w:rPr>
          <w:rFonts w:ascii="Times New Roman" w:hAnsi="Times New Roman"/>
        </w:rPr>
        <w:t>annual period ending 30</w:t>
      </w:r>
      <w:r w:rsidR="00EC7245">
        <w:rPr>
          <w:rFonts w:ascii="Times New Roman" w:hAnsi="Times New Roman"/>
        </w:rPr>
        <w:t> </w:t>
      </w:r>
      <w:r w:rsidR="001923F8" w:rsidRPr="001923F8">
        <w:rPr>
          <w:rFonts w:ascii="Times New Roman" w:hAnsi="Times New Roman"/>
        </w:rPr>
        <w:t>June</w:t>
      </w:r>
      <w:r w:rsidR="00EC7245">
        <w:rPr>
          <w:rFonts w:ascii="Times New Roman" w:hAnsi="Times New Roman"/>
        </w:rPr>
        <w:t> </w:t>
      </w:r>
      <w:r w:rsidR="001923F8" w:rsidRPr="001923F8">
        <w:rPr>
          <w:rFonts w:ascii="Times New Roman" w:hAnsi="Times New Roman"/>
        </w:rPr>
        <w:t xml:space="preserve">2017) </w:t>
      </w:r>
      <w:r w:rsidR="000A563E">
        <w:rPr>
          <w:rFonts w:ascii="Times New Roman" w:hAnsi="Times New Roman"/>
        </w:rPr>
        <w:t>was received on 12 March</w:t>
      </w:r>
      <w:r w:rsidR="001923F8" w:rsidRPr="001923F8">
        <w:rPr>
          <w:rFonts w:ascii="Times New Roman" w:hAnsi="Times New Roman"/>
        </w:rPr>
        <w:t xml:space="preserve"> 2018.</w:t>
      </w:r>
    </w:p>
    <w:p w14:paraId="115E355F" w14:textId="6D9C8E8D" w:rsidR="001923F8" w:rsidRPr="00B67C8A" w:rsidRDefault="001923F8" w:rsidP="001923F8">
      <w:pPr>
        <w:spacing w:after="120"/>
        <w:rPr>
          <w:rFonts w:ascii="Times New Roman" w:hAnsi="Times New Roman"/>
          <w:lang w:eastAsia="en-AU"/>
        </w:rPr>
      </w:pPr>
      <w:r w:rsidRPr="001923F8">
        <w:rPr>
          <w:rFonts w:ascii="Times New Roman" w:hAnsi="Times New Roman"/>
        </w:rPr>
        <w:t>In addition, APRA has received data on farm debt from entities on a voluntary basis for the annual period ending 30 June 2016. Going forward, annual collections will fall due on 30 September</w:t>
      </w:r>
      <w:r w:rsidRPr="001923F8">
        <w:rPr>
          <w:rFonts w:ascii="Times New Roman" w:hAnsi="Times New Roman"/>
          <w:lang w:eastAsia="en-AU"/>
        </w:rPr>
        <w:t>.</w:t>
      </w:r>
    </w:p>
    <w:p w14:paraId="66323A5A" w14:textId="77777777" w:rsidR="00D4496C" w:rsidRDefault="00D4496C" w:rsidP="00D4496C">
      <w:pPr>
        <w:pStyle w:val="Bullet"/>
        <w:numPr>
          <w:ilvl w:val="0"/>
          <w:numId w:val="0"/>
        </w:numPr>
      </w:pPr>
    </w:p>
    <w:sectPr w:rsidR="00D4496C" w:rsidSect="00B47A30">
      <w:headerReference w:type="even" r:id="rId13"/>
      <w:headerReference w:type="default" r:id="rId14"/>
      <w:footerReference w:type="even" r:id="rId15"/>
      <w:footerReference w:type="default" r:id="rId16"/>
      <w:headerReference w:type="first" r:id="rId17"/>
      <w:footerReference w:type="first" r:id="rId1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29685" w14:textId="77777777" w:rsidR="00144263" w:rsidRDefault="00144263" w:rsidP="00AB485F">
      <w:pPr>
        <w:spacing w:after="0"/>
      </w:pPr>
      <w:r>
        <w:separator/>
      </w:r>
    </w:p>
  </w:endnote>
  <w:endnote w:type="continuationSeparator" w:id="0">
    <w:p w14:paraId="55E6ED64" w14:textId="77777777" w:rsidR="00144263" w:rsidRDefault="00144263" w:rsidP="00AB485F">
      <w:pPr>
        <w:spacing w:after="0"/>
      </w:pPr>
      <w:r>
        <w:continuationSeparator/>
      </w:r>
    </w:p>
  </w:endnote>
  <w:endnote w:type="continuationNotice" w:id="1">
    <w:p w14:paraId="585F94BD" w14:textId="77777777" w:rsidR="00144263" w:rsidRDefault="001442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DBA4" w14:textId="77777777" w:rsidR="00144263" w:rsidRDefault="00144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AF14" w14:textId="77777777" w:rsidR="00144263" w:rsidRDefault="00144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8F83C" w14:textId="77777777" w:rsidR="00144263" w:rsidRDefault="00144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1B048" w14:textId="77777777" w:rsidR="00144263" w:rsidRDefault="00144263" w:rsidP="00AB485F">
      <w:pPr>
        <w:spacing w:after="0"/>
      </w:pPr>
      <w:r>
        <w:separator/>
      </w:r>
    </w:p>
  </w:footnote>
  <w:footnote w:type="continuationSeparator" w:id="0">
    <w:p w14:paraId="02D97451" w14:textId="77777777" w:rsidR="00144263" w:rsidRDefault="00144263" w:rsidP="00AB485F">
      <w:pPr>
        <w:spacing w:after="0"/>
      </w:pPr>
      <w:r>
        <w:continuationSeparator/>
      </w:r>
    </w:p>
  </w:footnote>
  <w:footnote w:type="continuationNotice" w:id="1">
    <w:p w14:paraId="75AFA938" w14:textId="77777777" w:rsidR="00144263" w:rsidRDefault="001442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8807F" w14:textId="77777777" w:rsidR="00144263" w:rsidRDefault="00144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18BF" w14:textId="77777777" w:rsidR="00144263" w:rsidRDefault="00144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144F" w14:textId="77777777" w:rsidR="00144263" w:rsidRDefault="00144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058E728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8225392"/>
    <w:multiLevelType w:val="hybridMultilevel"/>
    <w:tmpl w:val="1C9C09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3363C3"/>
    <w:multiLevelType w:val="hybridMultilevel"/>
    <w:tmpl w:val="A77E33BC"/>
    <w:lvl w:ilvl="0" w:tplc="1B4C7CCE">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73782167"/>
    <w:multiLevelType w:val="hybridMultilevel"/>
    <w:tmpl w:val="E76E0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6C"/>
    <w:rsid w:val="00004C21"/>
    <w:rsid w:val="00050D12"/>
    <w:rsid w:val="000A563E"/>
    <w:rsid w:val="000A5B0E"/>
    <w:rsid w:val="000B612F"/>
    <w:rsid w:val="00100047"/>
    <w:rsid w:val="001319FA"/>
    <w:rsid w:val="00144263"/>
    <w:rsid w:val="001923F8"/>
    <w:rsid w:val="0028095B"/>
    <w:rsid w:val="002E3907"/>
    <w:rsid w:val="00487F00"/>
    <w:rsid w:val="004E4CDE"/>
    <w:rsid w:val="00525FC0"/>
    <w:rsid w:val="005A5C51"/>
    <w:rsid w:val="005A6730"/>
    <w:rsid w:val="0064395C"/>
    <w:rsid w:val="00712E37"/>
    <w:rsid w:val="00786488"/>
    <w:rsid w:val="0097412C"/>
    <w:rsid w:val="009D25E2"/>
    <w:rsid w:val="00A02DE9"/>
    <w:rsid w:val="00AB485F"/>
    <w:rsid w:val="00AE45F6"/>
    <w:rsid w:val="00B44EEE"/>
    <w:rsid w:val="00B47A30"/>
    <w:rsid w:val="00B67C8A"/>
    <w:rsid w:val="00C94FC6"/>
    <w:rsid w:val="00CD1681"/>
    <w:rsid w:val="00D4496C"/>
    <w:rsid w:val="00D80A81"/>
    <w:rsid w:val="00E70594"/>
    <w:rsid w:val="00EC7245"/>
    <w:rsid w:val="00F310C1"/>
    <w:rsid w:val="00F90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6C"/>
    <w:pPr>
      <w:spacing w:after="20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NFP GP Bulleted List,Bulletr List Paragraph,FooterText,L,List Paragraph2,List Paragraph21,Listeafsnit1,Paragraphe de liste1,Parágrafo da Lista1,Párrafo de lista1,numbered,リスト段落1,列出段落,列出段落1"/>
    <w:basedOn w:val="Normal"/>
    <w:link w:val="ListParagraphChar"/>
    <w:autoRedefine/>
    <w:uiPriority w:val="34"/>
    <w:qFormat/>
    <w:rsid w:val="00B44EEE"/>
    <w:pPr>
      <w:ind w:left="360"/>
      <w:jc w:val="right"/>
    </w:pPr>
    <w:rPr>
      <w:rFonts w:ascii="Times New Roman" w:hAnsi="Times New Roman"/>
      <w:sz w:val="32"/>
      <w:szCs w:val="36"/>
    </w:rPr>
  </w:style>
  <w:style w:type="character" w:customStyle="1" w:styleId="ListParagraphChar">
    <w:name w:val="List Paragraph Char"/>
    <w:aliases w:val="List Paragraph1 Char,Recommendation Char,List Paragraph11 Char,NFP GP Bulleted List Char,Bulletr List Paragraph Char,FooterText Char,L Char,List Paragraph2 Char,List Paragraph21 Char,Listeafsnit1 Char,Paragraphe de liste1 Char"/>
    <w:basedOn w:val="DefaultParagraphFont"/>
    <w:link w:val="ListParagraph"/>
    <w:uiPriority w:val="34"/>
    <w:locked/>
    <w:rsid w:val="00B44EEE"/>
    <w:rPr>
      <w:rFonts w:ascii="Times New Roman" w:eastAsia="Calibri" w:hAnsi="Times New Roman" w:cs="Times New Roman"/>
      <w:sz w:val="32"/>
      <w:szCs w:val="36"/>
    </w:rPr>
  </w:style>
  <w:style w:type="paragraph" w:customStyle="1" w:styleId="Bullet">
    <w:name w:val="Bullet"/>
    <w:basedOn w:val="Normal"/>
    <w:link w:val="BulletChar"/>
    <w:rsid w:val="00D4496C"/>
    <w:pPr>
      <w:numPr>
        <w:numId w:val="2"/>
      </w:numPr>
      <w:spacing w:after="240"/>
    </w:pPr>
    <w:rPr>
      <w:rFonts w:ascii="Times New Roman" w:eastAsia="Times New Roman" w:hAnsi="Times New Roman"/>
      <w:szCs w:val="20"/>
      <w:lang w:eastAsia="en-AU"/>
    </w:rPr>
  </w:style>
  <w:style w:type="paragraph" w:customStyle="1" w:styleId="Dash">
    <w:name w:val="Dash"/>
    <w:basedOn w:val="Normal"/>
    <w:rsid w:val="00D4496C"/>
    <w:pPr>
      <w:numPr>
        <w:ilvl w:val="1"/>
        <w:numId w:val="2"/>
      </w:numPr>
      <w:spacing w:after="240"/>
    </w:pPr>
    <w:rPr>
      <w:rFonts w:ascii="Times New Roman" w:eastAsia="Times New Roman" w:hAnsi="Times New Roman"/>
      <w:szCs w:val="20"/>
      <w:lang w:eastAsia="en-AU"/>
    </w:rPr>
  </w:style>
  <w:style w:type="paragraph" w:customStyle="1" w:styleId="DoubleDot">
    <w:name w:val="Double Dot"/>
    <w:basedOn w:val="Normal"/>
    <w:rsid w:val="00D4496C"/>
    <w:pPr>
      <w:numPr>
        <w:ilvl w:val="2"/>
        <w:numId w:val="2"/>
      </w:numPr>
      <w:spacing w:after="240"/>
    </w:pPr>
    <w:rPr>
      <w:rFonts w:ascii="Times New Roman" w:eastAsia="Times New Roman" w:hAnsi="Times New Roman"/>
      <w:szCs w:val="20"/>
      <w:lang w:eastAsia="en-AU"/>
    </w:rPr>
  </w:style>
  <w:style w:type="character" w:customStyle="1" w:styleId="BulletChar">
    <w:name w:val="Bullet Char"/>
    <w:basedOn w:val="DefaultParagraphFont"/>
    <w:link w:val="Bullet"/>
    <w:rsid w:val="00D4496C"/>
    <w:rPr>
      <w:rFonts w:ascii="Times New Roman" w:eastAsia="Times New Roman" w:hAnsi="Times New Roman" w:cs="Times New Roman"/>
      <w:sz w:val="24"/>
      <w:szCs w:val="20"/>
      <w:lang w:eastAsia="en-AU"/>
    </w:rPr>
  </w:style>
  <w:style w:type="paragraph" w:styleId="NoSpacing">
    <w:name w:val="No Spacing"/>
    <w:uiPriority w:val="1"/>
    <w:qFormat/>
    <w:rsid w:val="00D4496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B485F"/>
    <w:pPr>
      <w:tabs>
        <w:tab w:val="center" w:pos="4513"/>
        <w:tab w:val="right" w:pos="9026"/>
      </w:tabs>
      <w:spacing w:after="0"/>
    </w:pPr>
  </w:style>
  <w:style w:type="character" w:customStyle="1" w:styleId="HeaderChar">
    <w:name w:val="Header Char"/>
    <w:basedOn w:val="DefaultParagraphFont"/>
    <w:link w:val="Header"/>
    <w:uiPriority w:val="99"/>
    <w:rsid w:val="00AB485F"/>
    <w:rPr>
      <w:rFonts w:ascii="Calibri" w:eastAsia="Calibri" w:hAnsi="Calibri" w:cs="Times New Roman"/>
      <w:sz w:val="24"/>
    </w:rPr>
  </w:style>
  <w:style w:type="paragraph" w:styleId="Footer">
    <w:name w:val="footer"/>
    <w:basedOn w:val="Normal"/>
    <w:link w:val="FooterChar"/>
    <w:uiPriority w:val="99"/>
    <w:unhideWhenUsed/>
    <w:rsid w:val="00AB485F"/>
    <w:pPr>
      <w:tabs>
        <w:tab w:val="center" w:pos="4513"/>
        <w:tab w:val="right" w:pos="9026"/>
      </w:tabs>
      <w:spacing w:after="0"/>
    </w:pPr>
  </w:style>
  <w:style w:type="character" w:customStyle="1" w:styleId="FooterChar">
    <w:name w:val="Footer Char"/>
    <w:basedOn w:val="DefaultParagraphFont"/>
    <w:link w:val="Footer"/>
    <w:uiPriority w:val="99"/>
    <w:rsid w:val="00AB485F"/>
    <w:rPr>
      <w:rFonts w:ascii="Calibri" w:eastAsia="Calibri" w:hAnsi="Calibri" w:cs="Times New Roman"/>
      <w:sz w:val="24"/>
    </w:rPr>
  </w:style>
  <w:style w:type="paragraph" w:styleId="BalloonText">
    <w:name w:val="Balloon Text"/>
    <w:basedOn w:val="Normal"/>
    <w:link w:val="BalloonTextChar"/>
    <w:uiPriority w:val="99"/>
    <w:semiHidden/>
    <w:unhideWhenUsed/>
    <w:rsid w:val="00050D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6C"/>
    <w:pPr>
      <w:spacing w:after="20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NFP GP Bulleted List,Bulletr List Paragraph,FooterText,L,List Paragraph2,List Paragraph21,Listeafsnit1,Paragraphe de liste1,Parágrafo da Lista1,Párrafo de lista1,numbered,リスト段落1,列出段落,列出段落1"/>
    <w:basedOn w:val="Normal"/>
    <w:link w:val="ListParagraphChar"/>
    <w:autoRedefine/>
    <w:uiPriority w:val="34"/>
    <w:qFormat/>
    <w:rsid w:val="00B44EEE"/>
    <w:pPr>
      <w:ind w:left="360"/>
      <w:jc w:val="right"/>
    </w:pPr>
    <w:rPr>
      <w:rFonts w:ascii="Times New Roman" w:hAnsi="Times New Roman"/>
      <w:sz w:val="32"/>
      <w:szCs w:val="36"/>
    </w:rPr>
  </w:style>
  <w:style w:type="character" w:customStyle="1" w:styleId="ListParagraphChar">
    <w:name w:val="List Paragraph Char"/>
    <w:aliases w:val="List Paragraph1 Char,Recommendation Char,List Paragraph11 Char,NFP GP Bulleted List Char,Bulletr List Paragraph Char,FooterText Char,L Char,List Paragraph2 Char,List Paragraph21 Char,Listeafsnit1 Char,Paragraphe de liste1 Char"/>
    <w:basedOn w:val="DefaultParagraphFont"/>
    <w:link w:val="ListParagraph"/>
    <w:uiPriority w:val="34"/>
    <w:locked/>
    <w:rsid w:val="00B44EEE"/>
    <w:rPr>
      <w:rFonts w:ascii="Times New Roman" w:eastAsia="Calibri" w:hAnsi="Times New Roman" w:cs="Times New Roman"/>
      <w:sz w:val="32"/>
      <w:szCs w:val="36"/>
    </w:rPr>
  </w:style>
  <w:style w:type="paragraph" w:customStyle="1" w:styleId="Bullet">
    <w:name w:val="Bullet"/>
    <w:basedOn w:val="Normal"/>
    <w:link w:val="BulletChar"/>
    <w:rsid w:val="00D4496C"/>
    <w:pPr>
      <w:numPr>
        <w:numId w:val="2"/>
      </w:numPr>
      <w:spacing w:after="240"/>
    </w:pPr>
    <w:rPr>
      <w:rFonts w:ascii="Times New Roman" w:eastAsia="Times New Roman" w:hAnsi="Times New Roman"/>
      <w:szCs w:val="20"/>
      <w:lang w:eastAsia="en-AU"/>
    </w:rPr>
  </w:style>
  <w:style w:type="paragraph" w:customStyle="1" w:styleId="Dash">
    <w:name w:val="Dash"/>
    <w:basedOn w:val="Normal"/>
    <w:rsid w:val="00D4496C"/>
    <w:pPr>
      <w:numPr>
        <w:ilvl w:val="1"/>
        <w:numId w:val="2"/>
      </w:numPr>
      <w:spacing w:after="240"/>
    </w:pPr>
    <w:rPr>
      <w:rFonts w:ascii="Times New Roman" w:eastAsia="Times New Roman" w:hAnsi="Times New Roman"/>
      <w:szCs w:val="20"/>
      <w:lang w:eastAsia="en-AU"/>
    </w:rPr>
  </w:style>
  <w:style w:type="paragraph" w:customStyle="1" w:styleId="DoubleDot">
    <w:name w:val="Double Dot"/>
    <w:basedOn w:val="Normal"/>
    <w:rsid w:val="00D4496C"/>
    <w:pPr>
      <w:numPr>
        <w:ilvl w:val="2"/>
        <w:numId w:val="2"/>
      </w:numPr>
      <w:spacing w:after="240"/>
    </w:pPr>
    <w:rPr>
      <w:rFonts w:ascii="Times New Roman" w:eastAsia="Times New Roman" w:hAnsi="Times New Roman"/>
      <w:szCs w:val="20"/>
      <w:lang w:eastAsia="en-AU"/>
    </w:rPr>
  </w:style>
  <w:style w:type="character" w:customStyle="1" w:styleId="BulletChar">
    <w:name w:val="Bullet Char"/>
    <w:basedOn w:val="DefaultParagraphFont"/>
    <w:link w:val="Bullet"/>
    <w:rsid w:val="00D4496C"/>
    <w:rPr>
      <w:rFonts w:ascii="Times New Roman" w:eastAsia="Times New Roman" w:hAnsi="Times New Roman" w:cs="Times New Roman"/>
      <w:sz w:val="24"/>
      <w:szCs w:val="20"/>
      <w:lang w:eastAsia="en-AU"/>
    </w:rPr>
  </w:style>
  <w:style w:type="paragraph" w:styleId="NoSpacing">
    <w:name w:val="No Spacing"/>
    <w:uiPriority w:val="1"/>
    <w:qFormat/>
    <w:rsid w:val="00D4496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B485F"/>
    <w:pPr>
      <w:tabs>
        <w:tab w:val="center" w:pos="4513"/>
        <w:tab w:val="right" w:pos="9026"/>
      </w:tabs>
      <w:spacing w:after="0"/>
    </w:pPr>
  </w:style>
  <w:style w:type="character" w:customStyle="1" w:styleId="HeaderChar">
    <w:name w:val="Header Char"/>
    <w:basedOn w:val="DefaultParagraphFont"/>
    <w:link w:val="Header"/>
    <w:uiPriority w:val="99"/>
    <w:rsid w:val="00AB485F"/>
    <w:rPr>
      <w:rFonts w:ascii="Calibri" w:eastAsia="Calibri" w:hAnsi="Calibri" w:cs="Times New Roman"/>
      <w:sz w:val="24"/>
    </w:rPr>
  </w:style>
  <w:style w:type="paragraph" w:styleId="Footer">
    <w:name w:val="footer"/>
    <w:basedOn w:val="Normal"/>
    <w:link w:val="FooterChar"/>
    <w:uiPriority w:val="99"/>
    <w:unhideWhenUsed/>
    <w:rsid w:val="00AB485F"/>
    <w:pPr>
      <w:tabs>
        <w:tab w:val="center" w:pos="4513"/>
        <w:tab w:val="right" w:pos="9026"/>
      </w:tabs>
      <w:spacing w:after="0"/>
    </w:pPr>
  </w:style>
  <w:style w:type="character" w:customStyle="1" w:styleId="FooterChar">
    <w:name w:val="Footer Char"/>
    <w:basedOn w:val="DefaultParagraphFont"/>
    <w:link w:val="Footer"/>
    <w:uiPriority w:val="99"/>
    <w:rsid w:val="00AB485F"/>
    <w:rPr>
      <w:rFonts w:ascii="Calibri" w:eastAsia="Calibri" w:hAnsi="Calibri" w:cs="Times New Roman"/>
      <w:sz w:val="24"/>
    </w:rPr>
  </w:style>
  <w:style w:type="paragraph" w:styleId="BalloonText">
    <w:name w:val="Balloon Text"/>
    <w:basedOn w:val="Normal"/>
    <w:link w:val="BalloonTextChar"/>
    <w:uiPriority w:val="99"/>
    <w:semiHidden/>
    <w:unhideWhenUsed/>
    <w:rsid w:val="00050D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8FA9B76332A751488A4F118C1079A7B4" ma:contentTypeVersion="13248" ma:contentTypeDescription=" " ma:contentTypeScope="" ma:versionID="65528a3fe20cff2ea8da6d0a4c736e33">
  <xsd:schema xmlns:xsd="http://www.w3.org/2001/XMLSchema" xmlns:xs="http://www.w3.org/2001/XMLSchema" xmlns:p="http://schemas.microsoft.com/office/2006/metadata/properties" xmlns:ns1="http://schemas.microsoft.com/sharepoint/v3" xmlns:ns2="0f563589-9cf9-4143-b1eb-fb0534803d38" xmlns:ns3="eb47d8b7-fefc-4923-b53c-9685ba6b7210" xmlns:ns5="http://schemas.microsoft.com/sharepoint/v4" targetNamespace="http://schemas.microsoft.com/office/2006/metadata/properties" ma:root="true" ma:fieldsID="822e673ea46f170519be842bb42e9e95" ns1:_="" ns2:_="" ns3:_="" ns5:_="">
    <xsd:import namespace="http://schemas.microsoft.com/sharepoint/v3"/>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80;#AE-20270-Destroy 10 years after action completed|1abfcffb-6564-46dc-9a41-fba39b005b0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80</Value>
    </TaxCatchAll>
    <_dlc_DocId xmlns="0f563589-9cf9-4143-b1eb-fb0534803d38">2018CSSG-468-57294</_dlc_DocId>
    <_dlc_DocIdUrl xmlns="0f563589-9cf9-4143-b1eb-fb0534803d38">
      <Url>http://tweb/sites/cssg/mcd/psu/_layouts/15/DocIdRedir.aspx?ID=2018CSSG-468-57294</Url>
      <Description>2018CSSG-468-57294</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AE-20270-Destroy 10 years after action completed</TermName>
          <TermId xmlns="http://schemas.microsoft.com/office/infopath/2007/PartnerControls">1abfcffb-6564-46dc-9a41-fba39b005b0c</TermId>
        </TermInfo>
      </Terms>
    </lb508a4dc5e84436a0fe496b536466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9C721207-E70E-4D16-9329-BE49792C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05D7F-1A0A-42D1-BC54-A59CDEBE9425}">
  <ds:schemaRefs>
    <ds:schemaRef ds:uri="http://purl.org/dc/dcmitype/"/>
    <ds:schemaRef ds:uri="http://www.w3.org/XML/1998/namespace"/>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http://schemas.microsoft.com/sharepoint/v4"/>
    <ds:schemaRef ds:uri="0f563589-9cf9-4143-b1eb-fb0534803d38"/>
    <ds:schemaRef ds:uri="http://purl.org/dc/elements/1.1/"/>
    <ds:schemaRef ds:uri="eb47d8b7-fefc-4923-b53c-9685ba6b721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922CAE0-B131-41AE-83BC-650BDB3117D0}">
  <ds:schemaRefs>
    <ds:schemaRef ds:uri="http://schemas.microsoft.com/sharepoint/v3/contenttype/forms"/>
  </ds:schemaRefs>
</ds:datastoreItem>
</file>

<file path=customXml/itemProps4.xml><?xml version="1.0" encoding="utf-8"?>
<ds:datastoreItem xmlns:ds="http://schemas.openxmlformats.org/officeDocument/2006/customXml" ds:itemID="{C3B01B5A-2BDA-4C32-88DC-AC9A450CBE0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2534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Senate Economics Legislation Committee report:  Reserve Bank Amendment  (Australian Reconstruction and Development Board) Bill 2013</dc:title>
  <dc:creator/>
  <cp:lastModifiedBy/>
  <cp:revision>1</cp:revision>
  <dcterms:created xsi:type="dcterms:W3CDTF">2018-08-06T06:44:00Z</dcterms:created>
  <dcterms:modified xsi:type="dcterms:W3CDTF">2018-08-10T00:20:00Z</dcterms:modified>
</cp:coreProperties>
</file>