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A61D0" w14:textId="77777777" w:rsidR="00ED5F55" w:rsidRPr="00620D25" w:rsidRDefault="00B02986" w:rsidP="00ED5F55">
      <w:pPr>
        <w:pStyle w:val="Title"/>
        <w:jc w:val="both"/>
        <w:rPr>
          <w:b/>
          <w:color w:val="auto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07FC001F" wp14:editId="699D6B2B">
            <wp:simplePos x="0" y="0"/>
            <wp:positionH relativeFrom="column">
              <wp:posOffset>-431800</wp:posOffset>
            </wp:positionH>
            <wp:positionV relativeFrom="paragraph">
              <wp:posOffset>-453390</wp:posOffset>
            </wp:positionV>
            <wp:extent cx="1382400" cy="853200"/>
            <wp:effectExtent l="0" t="0" r="825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8532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F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253C84" wp14:editId="4A8F835F">
                <wp:simplePos x="0" y="0"/>
                <wp:positionH relativeFrom="column">
                  <wp:posOffset>-443230</wp:posOffset>
                </wp:positionH>
                <wp:positionV relativeFrom="paragraph">
                  <wp:posOffset>-683260</wp:posOffset>
                </wp:positionV>
                <wp:extent cx="1400175" cy="9334500"/>
                <wp:effectExtent l="0" t="0" r="9525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9334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0000">
                              <a:srgbClr val="0000FF"/>
                            </a:gs>
                            <a:gs pos="0">
                              <a:sysClr val="windowText" lastClr="000000">
                                <a:lumMod val="75000"/>
                                <a:lumOff val="2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34.9pt;margin-top:-53.8pt;width:110.25pt;height:7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" fillcolor="#404040" stroked="f" strokeweight="2pt">
                <v:fill color2="blue" rotate="t" angle="180" colors="0 #404040;26214f blue" focus="100%" type="gradient"/>
                <v:path arrowok="t"/>
              </v:rect>
            </w:pict>
          </mc:Fallback>
        </mc:AlternateContent>
      </w:r>
    </w:p>
    <w:p w14:paraId="3B475B94" w14:textId="77777777" w:rsidR="00ED5F55" w:rsidRPr="00965416" w:rsidRDefault="00ED5F55" w:rsidP="00ED5F55">
      <w:pPr>
        <w:spacing w:line="600" w:lineRule="exact"/>
        <w:jc w:val="left"/>
        <w:rPr>
          <w:rFonts w:ascii="Tahoma" w:hAnsi="Tahoma" w:cs="Tahoma"/>
          <w:color w:val="0000FF"/>
          <w:sz w:val="60"/>
          <w:szCs w:val="60"/>
        </w:rPr>
      </w:pPr>
    </w:p>
    <w:p w14:paraId="3B910FA3" w14:textId="77777777" w:rsidR="00ED5F55" w:rsidRPr="00965416" w:rsidRDefault="00ED5F55" w:rsidP="00ED5F55">
      <w:pPr>
        <w:spacing w:line="600" w:lineRule="exact"/>
        <w:jc w:val="left"/>
        <w:rPr>
          <w:rFonts w:ascii="Tahoma" w:hAnsi="Tahoma" w:cs="Tahoma"/>
          <w:color w:val="0000FF"/>
          <w:sz w:val="60"/>
          <w:szCs w:val="60"/>
        </w:rPr>
      </w:pPr>
    </w:p>
    <w:p w14:paraId="4711B602" w14:textId="77777777" w:rsidR="00ED5F55" w:rsidRDefault="00ED5F55" w:rsidP="00ED5F55">
      <w:pPr>
        <w:spacing w:line="600" w:lineRule="exact"/>
        <w:ind w:left="2127"/>
        <w:jc w:val="left"/>
        <w:rPr>
          <w:rFonts w:ascii="Tahoma" w:hAnsi="Tahoma" w:cs="Tahoma"/>
          <w:color w:val="0000FF"/>
          <w:sz w:val="60"/>
          <w:szCs w:val="60"/>
        </w:rPr>
      </w:pPr>
    </w:p>
    <w:p w14:paraId="0D8043BF" w14:textId="77777777" w:rsidR="00ED5F55" w:rsidRDefault="00ED5F55" w:rsidP="00ED5F55">
      <w:pPr>
        <w:spacing w:line="600" w:lineRule="exact"/>
        <w:ind w:left="2127"/>
        <w:jc w:val="left"/>
        <w:rPr>
          <w:rFonts w:ascii="Tahoma" w:hAnsi="Tahoma" w:cs="Tahoma"/>
          <w:color w:val="0000FF"/>
          <w:sz w:val="60"/>
          <w:szCs w:val="60"/>
        </w:rPr>
      </w:pPr>
    </w:p>
    <w:p w14:paraId="0CB3A1C6" w14:textId="77777777" w:rsidR="00ED5F55" w:rsidRPr="00965416" w:rsidRDefault="00ED5F55" w:rsidP="00ED5F55">
      <w:pPr>
        <w:spacing w:line="600" w:lineRule="exact"/>
        <w:ind w:left="2127"/>
        <w:jc w:val="left"/>
        <w:rPr>
          <w:rFonts w:ascii="Tahoma" w:hAnsi="Tahoma" w:cs="Tahoma"/>
          <w:color w:val="0000FF"/>
          <w:sz w:val="60"/>
          <w:szCs w:val="60"/>
        </w:rPr>
      </w:pPr>
      <w:r w:rsidRPr="00965416">
        <w:rPr>
          <w:rFonts w:ascii="Tahoma" w:hAnsi="Tahoma" w:cs="Tahoma"/>
          <w:color w:val="0000FF"/>
          <w:sz w:val="60"/>
          <w:szCs w:val="60"/>
        </w:rPr>
        <w:t>JOINT ECONOMIC FORECASTING GROUP REPORT</w:t>
      </w:r>
    </w:p>
    <w:p w14:paraId="6251E2EC" w14:textId="77777777" w:rsidR="00ED5F55" w:rsidRPr="008302A5" w:rsidRDefault="00ED5F55" w:rsidP="00ED5F55">
      <w:pPr>
        <w:ind w:left="2127"/>
        <w:jc w:val="right"/>
        <w:rPr>
          <w:rFonts w:ascii="Calibri" w:hAnsi="Calibri" w:cs="Arial"/>
          <w:b/>
          <w:color w:val="0000FF"/>
          <w:sz w:val="22"/>
          <w:szCs w:val="22"/>
        </w:rPr>
      </w:pPr>
    </w:p>
    <w:p w14:paraId="7A7B6833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6B595F04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5E9F0B45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  <w:r w:rsidRPr="008302A5">
        <w:rPr>
          <w:rFonts w:ascii="Calibri" w:hAnsi="Calibri" w:cs="Arial"/>
          <w:color w:val="0000FF"/>
          <w:sz w:val="40"/>
          <w:szCs w:val="40"/>
        </w:rPr>
        <w:t xml:space="preserve">ECONOMIC OUTLOOK FOR </w:t>
      </w:r>
      <w:r w:rsidRPr="008302A5">
        <w:rPr>
          <w:rFonts w:ascii="Calibri" w:hAnsi="Calibri" w:cs="Arial"/>
          <w:color w:val="0000FF"/>
          <w:sz w:val="40"/>
          <w:szCs w:val="40"/>
        </w:rPr>
        <w:br/>
      </w:r>
      <w:r>
        <w:rPr>
          <w:rFonts w:ascii="Calibri" w:hAnsi="Calibri" w:cs="Arial"/>
          <w:color w:val="0000FF"/>
          <w:sz w:val="40"/>
          <w:szCs w:val="40"/>
        </w:rPr>
        <w:t>2015-16,</w:t>
      </w:r>
      <w:r w:rsidRPr="008302A5">
        <w:rPr>
          <w:rFonts w:ascii="Calibri" w:hAnsi="Calibri" w:cs="Arial"/>
          <w:color w:val="0000FF"/>
          <w:sz w:val="40"/>
          <w:szCs w:val="40"/>
        </w:rPr>
        <w:t xml:space="preserve"> 2016-17</w:t>
      </w:r>
      <w:r>
        <w:rPr>
          <w:rFonts w:ascii="Calibri" w:hAnsi="Calibri" w:cs="Arial"/>
          <w:color w:val="0000FF"/>
          <w:sz w:val="40"/>
          <w:szCs w:val="40"/>
        </w:rPr>
        <w:t xml:space="preserve"> and 2017-18</w:t>
      </w:r>
    </w:p>
    <w:p w14:paraId="168048C9" w14:textId="77777777" w:rsidR="00ED5F55" w:rsidRPr="008302A5" w:rsidRDefault="000103D8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  <w:r>
        <w:rPr>
          <w:rFonts w:ascii="Calibri" w:hAnsi="Calibri" w:cs="Arial"/>
          <w:color w:val="0000FF"/>
          <w:sz w:val="40"/>
          <w:szCs w:val="40"/>
        </w:rPr>
        <w:t>March 2016</w:t>
      </w:r>
    </w:p>
    <w:p w14:paraId="5274FE04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6D41C5BA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0F4B6E74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5BD9119C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318573BA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404040"/>
          <w:sz w:val="16"/>
          <w:szCs w:val="16"/>
        </w:rPr>
      </w:pPr>
      <w:r w:rsidRPr="008302A5">
        <w:rPr>
          <w:rFonts w:ascii="Calibri" w:hAnsi="Calibri" w:cs="Arial"/>
          <w:color w:val="404040"/>
          <w:sz w:val="16"/>
          <w:szCs w:val="16"/>
        </w:rPr>
        <w:t xml:space="preserve">This report incorporates domestic and international data released up to </w:t>
      </w:r>
      <w:r w:rsidR="00C55D50">
        <w:rPr>
          <w:rFonts w:ascii="Calibri" w:hAnsi="Calibri" w:cs="Arial"/>
          <w:color w:val="404040"/>
          <w:sz w:val="16"/>
          <w:szCs w:val="16"/>
        </w:rPr>
        <w:t>23</w:t>
      </w:r>
      <w:r w:rsidR="000103D8">
        <w:rPr>
          <w:rFonts w:ascii="Calibri" w:hAnsi="Calibri" w:cs="Arial"/>
          <w:color w:val="404040"/>
          <w:sz w:val="16"/>
          <w:szCs w:val="16"/>
        </w:rPr>
        <w:t xml:space="preserve"> March</w:t>
      </w:r>
      <w:r w:rsidRPr="008302A5">
        <w:rPr>
          <w:rFonts w:ascii="Calibri" w:hAnsi="Calibri" w:cs="Arial"/>
          <w:color w:val="404040"/>
          <w:sz w:val="16"/>
          <w:szCs w:val="16"/>
        </w:rPr>
        <w:t xml:space="preserve"> </w:t>
      </w:r>
      <w:r>
        <w:rPr>
          <w:rFonts w:ascii="Calibri" w:hAnsi="Calibri" w:cs="Arial"/>
          <w:color w:val="404040"/>
          <w:sz w:val="16"/>
          <w:szCs w:val="16"/>
        </w:rPr>
        <w:t>2016</w:t>
      </w:r>
      <w:r w:rsidRPr="008302A5">
        <w:rPr>
          <w:rFonts w:ascii="Calibri" w:hAnsi="Calibri" w:cs="Arial"/>
          <w:color w:val="404040"/>
          <w:sz w:val="16"/>
          <w:szCs w:val="16"/>
        </w:rPr>
        <w:t>.</w:t>
      </w:r>
    </w:p>
    <w:p w14:paraId="67B5692E" w14:textId="77777777" w:rsidR="00ED5F55" w:rsidRDefault="00ED5F55" w:rsidP="00ED5F55">
      <w:pPr>
        <w:rPr>
          <w:highlight w:val="yellow"/>
        </w:rPr>
      </w:pPr>
    </w:p>
    <w:p w14:paraId="3590F5E9" w14:textId="77777777" w:rsidR="00ED5F55" w:rsidRPr="00E03CF2" w:rsidRDefault="00ED5F55" w:rsidP="00ED5F55">
      <w:pPr>
        <w:rPr>
          <w:highlight w:val="yellow"/>
        </w:rPr>
        <w:sectPr w:rsidR="00ED5F55" w:rsidRPr="00E03CF2" w:rsidSect="00843281">
          <w:headerReference w:type="default" r:id="rId15"/>
          <w:footerReference w:type="even" r:id="rId16"/>
          <w:footerReference w:type="default" r:id="rId17"/>
          <w:pgSz w:w="11907" w:h="16840" w:code="9"/>
          <w:pgMar w:top="1961" w:right="1418" w:bottom="1276" w:left="1418" w:header="170" w:footer="170" w:gutter="0"/>
          <w:cols w:space="720"/>
          <w:titlePg/>
          <w:docGrid w:linePitch="272"/>
        </w:sectPr>
      </w:pPr>
    </w:p>
    <w:p w14:paraId="1536AA36" w14:textId="77777777" w:rsidR="0050033C" w:rsidRPr="00876B3E" w:rsidRDefault="00BD0CC9" w:rsidP="00876B3E">
      <w:pPr>
        <w:pStyle w:val="OutlineNumbered1"/>
        <w:rPr>
          <w:rFonts w:asciiTheme="minorHAnsi" w:hAnsiTheme="minorHAnsi"/>
          <w:sz w:val="22"/>
          <w:szCs w:val="22"/>
        </w:rPr>
      </w:pPr>
      <w:r w:rsidRPr="00876B3E">
        <w:rPr>
          <w:rFonts w:asciiTheme="minorHAnsi" w:hAnsiTheme="minorHAnsi"/>
          <w:sz w:val="22"/>
          <w:szCs w:val="22"/>
        </w:rPr>
        <w:lastRenderedPageBreak/>
        <w:t xml:space="preserve">The economic outlook </w:t>
      </w:r>
      <w:r>
        <w:rPr>
          <w:rFonts w:asciiTheme="minorHAnsi" w:hAnsiTheme="minorHAnsi"/>
          <w:sz w:val="22"/>
          <w:szCs w:val="22"/>
        </w:rPr>
        <w:t>remains broadly in line with the December 2015 JEFG</w:t>
      </w:r>
      <w:r w:rsidR="003B16AB">
        <w:rPr>
          <w:rFonts w:asciiTheme="minorHAnsi" w:hAnsiTheme="minorHAnsi"/>
          <w:sz w:val="22"/>
          <w:szCs w:val="22"/>
        </w:rPr>
        <w:t>.</w:t>
      </w:r>
      <w:r w:rsidRPr="00876B3E">
        <w:rPr>
          <w:rFonts w:asciiTheme="minorHAnsi" w:hAnsiTheme="minorHAnsi"/>
          <w:sz w:val="22"/>
          <w:szCs w:val="22"/>
        </w:rPr>
        <w:t xml:space="preserve"> </w:t>
      </w:r>
      <w:r w:rsidRPr="00876B3E" w:rsidDel="00F21B0B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December </w:t>
      </w:r>
      <w:r w:rsidR="003B16AB">
        <w:rPr>
          <w:rFonts w:asciiTheme="minorHAnsi" w:hAnsiTheme="minorHAnsi"/>
          <w:sz w:val="22"/>
          <w:szCs w:val="22"/>
        </w:rPr>
        <w:t xml:space="preserve">quarter </w:t>
      </w:r>
      <w:r>
        <w:rPr>
          <w:rFonts w:asciiTheme="minorHAnsi" w:hAnsiTheme="minorHAnsi"/>
          <w:sz w:val="22"/>
          <w:szCs w:val="22"/>
        </w:rPr>
        <w:t xml:space="preserve">2015 </w:t>
      </w:r>
      <w:r w:rsidR="003B16AB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ational </w:t>
      </w:r>
      <w:r w:rsidR="003B16AB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ccounts confirmed the economy is </w:t>
      </w:r>
      <w:r w:rsidRPr="00876B3E" w:rsidDel="00F21B0B">
        <w:rPr>
          <w:rFonts w:asciiTheme="minorHAnsi" w:hAnsiTheme="minorHAnsi"/>
          <w:sz w:val="22"/>
          <w:szCs w:val="22"/>
        </w:rPr>
        <w:t>transition</w:t>
      </w:r>
      <w:r>
        <w:rPr>
          <w:rFonts w:asciiTheme="minorHAnsi" w:hAnsiTheme="minorHAnsi"/>
          <w:sz w:val="22"/>
          <w:szCs w:val="22"/>
        </w:rPr>
        <w:t>ing</w:t>
      </w:r>
      <w:r w:rsidRPr="00876B3E" w:rsidDel="00F21B0B">
        <w:rPr>
          <w:rFonts w:asciiTheme="minorHAnsi" w:hAnsiTheme="minorHAnsi"/>
          <w:sz w:val="22"/>
          <w:szCs w:val="22"/>
        </w:rPr>
        <w:t xml:space="preserve"> to broader-based growth, with household consumption, dwelling investment and exports support</w:t>
      </w:r>
      <w:r>
        <w:rPr>
          <w:rFonts w:asciiTheme="minorHAnsi" w:hAnsiTheme="minorHAnsi"/>
          <w:sz w:val="22"/>
          <w:szCs w:val="22"/>
        </w:rPr>
        <w:t>ing</w:t>
      </w:r>
      <w:r w:rsidRPr="00876B3E" w:rsidDel="00F21B0B">
        <w:rPr>
          <w:rFonts w:asciiTheme="minorHAnsi" w:hAnsiTheme="minorHAnsi"/>
          <w:sz w:val="22"/>
          <w:szCs w:val="22"/>
        </w:rPr>
        <w:t xml:space="preserve"> </w:t>
      </w:r>
      <w:r w:rsidDel="00F21B0B">
        <w:rPr>
          <w:rFonts w:asciiTheme="minorHAnsi" w:hAnsiTheme="minorHAnsi"/>
          <w:sz w:val="22"/>
          <w:szCs w:val="22"/>
        </w:rPr>
        <w:t>economic activity</w:t>
      </w:r>
      <w:r w:rsidRPr="00876B3E" w:rsidDel="00F21B0B">
        <w:rPr>
          <w:rFonts w:asciiTheme="minorHAnsi" w:hAnsiTheme="minorHAnsi"/>
          <w:sz w:val="22"/>
          <w:szCs w:val="22"/>
        </w:rPr>
        <w:t xml:space="preserve">. </w:t>
      </w:r>
      <w:r w:rsidR="00876B3E" w:rsidRPr="00876B3E">
        <w:rPr>
          <w:rFonts w:asciiTheme="minorHAnsi" w:hAnsiTheme="minorHAnsi"/>
          <w:sz w:val="22"/>
          <w:szCs w:val="22"/>
        </w:rPr>
        <w:t>Real GDP is forecast to grow by 2</w:t>
      </w:r>
      <w:r w:rsidR="000103D8">
        <w:rPr>
          <w:rFonts w:asciiTheme="minorHAnsi" w:hAnsiTheme="minorHAnsi"/>
          <w:sz w:val="22"/>
          <w:szCs w:val="22"/>
        </w:rPr>
        <w:t xml:space="preserve">¾ </w:t>
      </w:r>
      <w:r w:rsidR="00876B3E" w:rsidRPr="00876B3E">
        <w:rPr>
          <w:rFonts w:asciiTheme="minorHAnsi" w:hAnsiTheme="minorHAnsi"/>
          <w:sz w:val="22"/>
          <w:szCs w:val="22"/>
        </w:rPr>
        <w:t>per cent in</w:t>
      </w:r>
      <w:r w:rsidR="008E4765">
        <w:rPr>
          <w:rFonts w:asciiTheme="minorHAnsi" w:hAnsiTheme="minorHAnsi"/>
          <w:sz w:val="22"/>
          <w:szCs w:val="22"/>
        </w:rPr>
        <w:t xml:space="preserve"> </w:t>
      </w:r>
      <w:r w:rsidR="00876B3E" w:rsidRPr="00876B3E">
        <w:rPr>
          <w:rFonts w:asciiTheme="minorHAnsi" w:hAnsiTheme="minorHAnsi"/>
          <w:sz w:val="22"/>
          <w:szCs w:val="22"/>
        </w:rPr>
        <w:t>2015-16</w:t>
      </w:r>
      <w:r w:rsidR="00976C95">
        <w:rPr>
          <w:rFonts w:asciiTheme="minorHAnsi" w:hAnsiTheme="minorHAnsi"/>
          <w:sz w:val="22"/>
          <w:szCs w:val="22"/>
        </w:rPr>
        <w:t xml:space="preserve">, up from 2½ </w:t>
      </w:r>
      <w:r w:rsidR="003B16AB">
        <w:rPr>
          <w:rFonts w:asciiTheme="minorHAnsi" w:hAnsiTheme="minorHAnsi"/>
          <w:sz w:val="22"/>
          <w:szCs w:val="22"/>
        </w:rPr>
        <w:t xml:space="preserve">per cent </w:t>
      </w:r>
      <w:r>
        <w:rPr>
          <w:rFonts w:asciiTheme="minorHAnsi" w:hAnsiTheme="minorHAnsi"/>
          <w:sz w:val="22"/>
          <w:szCs w:val="22"/>
        </w:rPr>
        <w:t xml:space="preserve">in the </w:t>
      </w:r>
      <w:r w:rsidR="00976C95">
        <w:rPr>
          <w:rFonts w:asciiTheme="minorHAnsi" w:hAnsiTheme="minorHAnsi"/>
          <w:sz w:val="22"/>
          <w:szCs w:val="22"/>
        </w:rPr>
        <w:t>December JEFG</w:t>
      </w:r>
      <w:r>
        <w:rPr>
          <w:rFonts w:asciiTheme="minorHAnsi" w:hAnsiTheme="minorHAnsi"/>
          <w:sz w:val="22"/>
          <w:szCs w:val="22"/>
        </w:rPr>
        <w:t xml:space="preserve"> report, </w:t>
      </w:r>
      <w:r w:rsidR="003B16AB">
        <w:rPr>
          <w:rFonts w:asciiTheme="minorHAnsi" w:hAnsiTheme="minorHAnsi"/>
          <w:sz w:val="22"/>
          <w:szCs w:val="22"/>
        </w:rPr>
        <w:t xml:space="preserve">due </w:t>
      </w:r>
      <w:r>
        <w:rPr>
          <w:rFonts w:asciiTheme="minorHAnsi" w:hAnsiTheme="minorHAnsi"/>
          <w:sz w:val="22"/>
          <w:szCs w:val="22"/>
        </w:rPr>
        <w:t xml:space="preserve">to </w:t>
      </w:r>
      <w:r w:rsidR="003B16AB">
        <w:rPr>
          <w:rFonts w:asciiTheme="minorHAnsi" w:hAnsiTheme="minorHAnsi"/>
          <w:sz w:val="22"/>
          <w:szCs w:val="22"/>
        </w:rPr>
        <w:t xml:space="preserve">somewhat </w:t>
      </w:r>
      <w:r>
        <w:rPr>
          <w:rFonts w:asciiTheme="minorHAnsi" w:hAnsiTheme="minorHAnsi"/>
          <w:sz w:val="22"/>
          <w:szCs w:val="22"/>
        </w:rPr>
        <w:t xml:space="preserve">stronger-than-expected </w:t>
      </w:r>
      <w:r w:rsidR="003B16AB">
        <w:rPr>
          <w:rFonts w:asciiTheme="minorHAnsi" w:hAnsiTheme="minorHAnsi"/>
          <w:sz w:val="22"/>
          <w:szCs w:val="22"/>
        </w:rPr>
        <w:t xml:space="preserve">growth in both </w:t>
      </w:r>
      <w:r>
        <w:rPr>
          <w:rFonts w:asciiTheme="minorHAnsi" w:hAnsiTheme="minorHAnsi"/>
          <w:sz w:val="22"/>
          <w:szCs w:val="22"/>
        </w:rPr>
        <w:t xml:space="preserve">consumption and export </w:t>
      </w:r>
      <w:r w:rsidR="003B16AB">
        <w:rPr>
          <w:rFonts w:asciiTheme="minorHAnsi" w:hAnsiTheme="minorHAnsi"/>
          <w:sz w:val="22"/>
          <w:szCs w:val="22"/>
        </w:rPr>
        <w:t xml:space="preserve">volumes </w:t>
      </w:r>
      <w:r>
        <w:rPr>
          <w:rFonts w:asciiTheme="minorHAnsi" w:hAnsiTheme="minorHAnsi"/>
          <w:sz w:val="22"/>
          <w:szCs w:val="22"/>
        </w:rPr>
        <w:t xml:space="preserve">in the second half of 2015. Real GDP growth is forecast to be </w:t>
      </w:r>
      <w:r w:rsidR="00976C95">
        <w:rPr>
          <w:rFonts w:asciiTheme="minorHAnsi" w:hAnsiTheme="minorHAnsi"/>
          <w:sz w:val="22"/>
          <w:szCs w:val="22"/>
        </w:rPr>
        <w:t xml:space="preserve">2¾ </w:t>
      </w:r>
      <w:r w:rsidR="00C55D50">
        <w:rPr>
          <w:rFonts w:asciiTheme="minorHAnsi" w:hAnsiTheme="minorHAnsi"/>
          <w:sz w:val="22"/>
          <w:szCs w:val="22"/>
        </w:rPr>
        <w:t xml:space="preserve">per cent </w:t>
      </w:r>
      <w:r w:rsidR="00976C95">
        <w:rPr>
          <w:rFonts w:asciiTheme="minorHAnsi" w:hAnsiTheme="minorHAnsi"/>
          <w:sz w:val="22"/>
          <w:szCs w:val="22"/>
        </w:rPr>
        <w:t>in</w:t>
      </w:r>
      <w:r w:rsidR="0050033C" w:rsidRPr="00876B3E">
        <w:rPr>
          <w:rFonts w:asciiTheme="minorHAnsi" w:hAnsiTheme="minorHAnsi"/>
          <w:sz w:val="22"/>
          <w:szCs w:val="22"/>
        </w:rPr>
        <w:t xml:space="preserve"> 2016-17</w:t>
      </w:r>
      <w:r>
        <w:rPr>
          <w:rFonts w:asciiTheme="minorHAnsi" w:hAnsiTheme="minorHAnsi"/>
          <w:sz w:val="22"/>
          <w:szCs w:val="22"/>
        </w:rPr>
        <w:t xml:space="preserve"> and 3 per cent in 2017-18</w:t>
      </w:r>
      <w:r w:rsidR="00976C95">
        <w:rPr>
          <w:rFonts w:asciiTheme="minorHAnsi" w:hAnsiTheme="minorHAnsi"/>
          <w:sz w:val="22"/>
          <w:szCs w:val="22"/>
        </w:rPr>
        <w:t xml:space="preserve">, unchanged from </w:t>
      </w:r>
      <w:r>
        <w:rPr>
          <w:rFonts w:asciiTheme="minorHAnsi" w:hAnsiTheme="minorHAnsi"/>
          <w:sz w:val="22"/>
          <w:szCs w:val="22"/>
        </w:rPr>
        <w:t xml:space="preserve">the December </w:t>
      </w:r>
      <w:r w:rsidR="00976C95">
        <w:rPr>
          <w:rFonts w:asciiTheme="minorHAnsi" w:hAnsiTheme="minorHAnsi"/>
          <w:sz w:val="22"/>
          <w:szCs w:val="22"/>
        </w:rPr>
        <w:t>JEFG</w:t>
      </w:r>
      <w:r w:rsidR="00F409D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report </w:t>
      </w:r>
      <w:r w:rsidR="001D48D5">
        <w:rPr>
          <w:rFonts w:asciiTheme="minorHAnsi" w:hAnsiTheme="minorHAnsi"/>
          <w:sz w:val="22"/>
          <w:szCs w:val="22"/>
        </w:rPr>
        <w:t>(see Table 1)</w:t>
      </w:r>
      <w:r w:rsidR="008D2701">
        <w:rPr>
          <w:rFonts w:asciiTheme="minorHAnsi" w:hAnsiTheme="minorHAnsi"/>
          <w:sz w:val="22"/>
          <w:szCs w:val="22"/>
        </w:rPr>
        <w:t>.</w:t>
      </w:r>
    </w:p>
    <w:p w14:paraId="6D2CA6CA" w14:textId="77777777" w:rsidR="0066070D" w:rsidRDefault="003B16AB" w:rsidP="00ED5F55">
      <w:pPr>
        <w:pStyle w:val="OutlineNumbere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5D0F2B">
        <w:rPr>
          <w:rFonts w:asciiTheme="minorHAnsi" w:hAnsiTheme="minorHAnsi"/>
          <w:sz w:val="22"/>
          <w:szCs w:val="22"/>
        </w:rPr>
        <w:t xml:space="preserve">ajor trading partner growth </w:t>
      </w:r>
      <w:r>
        <w:rPr>
          <w:rFonts w:asciiTheme="minorHAnsi" w:hAnsiTheme="minorHAnsi"/>
          <w:sz w:val="22"/>
          <w:szCs w:val="22"/>
        </w:rPr>
        <w:t xml:space="preserve">continues to be forecast to be </w:t>
      </w:r>
      <w:r w:rsidR="005D0F2B">
        <w:rPr>
          <w:rFonts w:asciiTheme="minorHAnsi" w:hAnsiTheme="minorHAnsi"/>
          <w:sz w:val="22"/>
          <w:szCs w:val="22"/>
        </w:rPr>
        <w:t xml:space="preserve">4 per cent </w:t>
      </w:r>
      <w:r w:rsidR="00572CDD">
        <w:rPr>
          <w:rFonts w:asciiTheme="minorHAnsi" w:hAnsiTheme="minorHAnsi"/>
          <w:sz w:val="22"/>
          <w:szCs w:val="22"/>
        </w:rPr>
        <w:t>per year over the forecast horizon</w:t>
      </w:r>
      <w:r w:rsidR="00381C01">
        <w:rPr>
          <w:rFonts w:asciiTheme="minorHAnsi" w:hAnsiTheme="minorHAnsi"/>
          <w:sz w:val="22"/>
          <w:szCs w:val="22"/>
        </w:rPr>
        <w:t>.</w:t>
      </w:r>
      <w:r w:rsidR="00876B3E" w:rsidRPr="00876B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</w:t>
      </w:r>
      <w:r w:rsidR="00074F0F">
        <w:rPr>
          <w:rFonts w:asciiTheme="minorHAnsi" w:hAnsiTheme="minorHAnsi"/>
          <w:sz w:val="22"/>
          <w:szCs w:val="22"/>
        </w:rPr>
        <w:t>here remain</w:t>
      </w:r>
      <w:r w:rsidR="005D0F2B">
        <w:rPr>
          <w:rFonts w:asciiTheme="minorHAnsi" w:hAnsiTheme="minorHAnsi"/>
          <w:sz w:val="22"/>
          <w:szCs w:val="22"/>
        </w:rPr>
        <w:t xml:space="preserve"> </w:t>
      </w:r>
      <w:r w:rsidR="00876B3E" w:rsidRPr="00876B3E">
        <w:rPr>
          <w:rFonts w:asciiTheme="minorHAnsi" w:hAnsiTheme="minorHAnsi"/>
          <w:sz w:val="22"/>
          <w:szCs w:val="22"/>
        </w:rPr>
        <w:t xml:space="preserve">downside risks to the international outlook, with </w:t>
      </w:r>
      <w:r w:rsidR="0066070D">
        <w:rPr>
          <w:rFonts w:asciiTheme="minorHAnsi" w:hAnsiTheme="minorHAnsi"/>
          <w:sz w:val="22"/>
          <w:szCs w:val="22"/>
        </w:rPr>
        <w:t xml:space="preserve">the world economy continuing to struggle to regain sustained momentum. China is expected to support near-term growth, but still has a rebalancing task ahead. In addition, any heightened uncertainty about China’s growth prospects would be expected to weigh on global sentiment. </w:t>
      </w:r>
    </w:p>
    <w:p w14:paraId="65079708" w14:textId="77777777" w:rsidR="00C6738F" w:rsidRDefault="001D48D5" w:rsidP="00D216D1">
      <w:pPr>
        <w:pStyle w:val="OutlineNumbere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315523" w:rsidRPr="0039266D">
        <w:rPr>
          <w:rFonts w:asciiTheme="minorHAnsi" w:hAnsiTheme="minorHAnsi"/>
          <w:sz w:val="22"/>
          <w:szCs w:val="22"/>
        </w:rPr>
        <w:t xml:space="preserve">he forecasts </w:t>
      </w:r>
      <w:r w:rsidR="002F2244" w:rsidRPr="0039266D">
        <w:rPr>
          <w:rFonts w:asciiTheme="minorHAnsi" w:hAnsiTheme="minorHAnsi"/>
          <w:sz w:val="22"/>
          <w:szCs w:val="22"/>
        </w:rPr>
        <w:t>have been updated to reflect</w:t>
      </w:r>
      <w:r w:rsidR="00F409DE">
        <w:rPr>
          <w:rFonts w:asciiTheme="minorHAnsi" w:hAnsiTheme="minorHAnsi"/>
          <w:sz w:val="22"/>
          <w:szCs w:val="22"/>
        </w:rPr>
        <w:t xml:space="preserve"> </w:t>
      </w:r>
      <w:r w:rsidR="007872B9">
        <w:rPr>
          <w:rFonts w:asciiTheme="minorHAnsi" w:hAnsiTheme="minorHAnsi"/>
          <w:sz w:val="22"/>
          <w:szCs w:val="22"/>
        </w:rPr>
        <w:t>higher commodity</w:t>
      </w:r>
      <w:r w:rsidR="00315523" w:rsidRPr="0039266D">
        <w:rPr>
          <w:rFonts w:asciiTheme="minorHAnsi" w:hAnsiTheme="minorHAnsi"/>
          <w:sz w:val="22"/>
          <w:szCs w:val="22"/>
        </w:rPr>
        <w:t xml:space="preserve"> price</w:t>
      </w:r>
      <w:r w:rsidR="007872B9">
        <w:rPr>
          <w:rFonts w:asciiTheme="minorHAnsi" w:hAnsiTheme="minorHAnsi"/>
          <w:sz w:val="22"/>
          <w:szCs w:val="22"/>
        </w:rPr>
        <w:t>s</w:t>
      </w:r>
      <w:r w:rsidR="00315523" w:rsidRPr="0039266D">
        <w:rPr>
          <w:rFonts w:asciiTheme="minorHAnsi" w:hAnsiTheme="minorHAnsi"/>
          <w:sz w:val="22"/>
          <w:szCs w:val="22"/>
        </w:rPr>
        <w:t xml:space="preserve"> </w:t>
      </w:r>
      <w:r w:rsidR="002F2244" w:rsidRPr="0039266D">
        <w:rPr>
          <w:rFonts w:asciiTheme="minorHAnsi" w:hAnsiTheme="minorHAnsi"/>
          <w:sz w:val="22"/>
          <w:szCs w:val="22"/>
        </w:rPr>
        <w:t xml:space="preserve">than </w:t>
      </w:r>
      <w:r w:rsidR="007872B9">
        <w:rPr>
          <w:rFonts w:asciiTheme="minorHAnsi" w:hAnsiTheme="minorHAnsi"/>
          <w:sz w:val="22"/>
          <w:szCs w:val="22"/>
        </w:rPr>
        <w:t>were</w:t>
      </w:r>
      <w:r w:rsidR="00505065" w:rsidRPr="0039266D">
        <w:rPr>
          <w:rFonts w:asciiTheme="minorHAnsi" w:hAnsiTheme="minorHAnsi"/>
          <w:sz w:val="22"/>
          <w:szCs w:val="22"/>
        </w:rPr>
        <w:t xml:space="preserve"> </w:t>
      </w:r>
      <w:r w:rsidR="002F2244" w:rsidRPr="0039266D">
        <w:rPr>
          <w:rFonts w:asciiTheme="minorHAnsi" w:hAnsiTheme="minorHAnsi"/>
          <w:sz w:val="22"/>
          <w:szCs w:val="22"/>
        </w:rPr>
        <w:t xml:space="preserve">assumed </w:t>
      </w:r>
      <w:r w:rsidR="00F21B0B">
        <w:rPr>
          <w:rFonts w:asciiTheme="minorHAnsi" w:hAnsiTheme="minorHAnsi"/>
          <w:sz w:val="22"/>
          <w:szCs w:val="22"/>
        </w:rPr>
        <w:t>in</w:t>
      </w:r>
      <w:r w:rsidR="00F21B0B" w:rsidRPr="0039266D">
        <w:rPr>
          <w:rFonts w:asciiTheme="minorHAnsi" w:hAnsiTheme="minorHAnsi"/>
          <w:sz w:val="22"/>
          <w:szCs w:val="22"/>
        </w:rPr>
        <w:t xml:space="preserve"> </w:t>
      </w:r>
      <w:r w:rsidR="00F21B0B">
        <w:rPr>
          <w:rFonts w:asciiTheme="minorHAnsi" w:hAnsiTheme="minorHAnsi"/>
          <w:sz w:val="22"/>
          <w:szCs w:val="22"/>
        </w:rPr>
        <w:t xml:space="preserve">the </w:t>
      </w:r>
      <w:r w:rsidR="00400A18">
        <w:rPr>
          <w:rFonts w:asciiTheme="minorHAnsi" w:hAnsiTheme="minorHAnsi"/>
          <w:sz w:val="22"/>
          <w:szCs w:val="22"/>
        </w:rPr>
        <w:t>December JE</w:t>
      </w:r>
      <w:r w:rsidR="00F21B0B">
        <w:rPr>
          <w:rFonts w:asciiTheme="minorHAnsi" w:hAnsiTheme="minorHAnsi"/>
          <w:sz w:val="22"/>
          <w:szCs w:val="22"/>
        </w:rPr>
        <w:t>F</w:t>
      </w:r>
      <w:r w:rsidR="00400A18">
        <w:rPr>
          <w:rFonts w:asciiTheme="minorHAnsi" w:hAnsiTheme="minorHAnsi"/>
          <w:sz w:val="22"/>
          <w:szCs w:val="22"/>
        </w:rPr>
        <w:t>G</w:t>
      </w:r>
      <w:r w:rsidR="00F21B0B">
        <w:rPr>
          <w:rFonts w:asciiTheme="minorHAnsi" w:hAnsiTheme="minorHAnsi"/>
          <w:sz w:val="22"/>
          <w:szCs w:val="22"/>
        </w:rPr>
        <w:t xml:space="preserve"> report</w:t>
      </w:r>
      <w:r w:rsidR="00D42573" w:rsidRPr="0039266D">
        <w:rPr>
          <w:rFonts w:asciiTheme="minorHAnsi" w:hAnsiTheme="minorHAnsi"/>
          <w:sz w:val="22"/>
          <w:szCs w:val="22"/>
        </w:rPr>
        <w:t>.</w:t>
      </w:r>
      <w:r w:rsidR="0039266D" w:rsidRPr="0039266D">
        <w:rPr>
          <w:rFonts w:asciiTheme="minorHAnsi" w:hAnsiTheme="minorHAnsi"/>
          <w:sz w:val="22"/>
          <w:szCs w:val="22"/>
        </w:rPr>
        <w:t xml:space="preserve"> </w:t>
      </w:r>
      <w:r w:rsidR="00403D1C">
        <w:rPr>
          <w:rFonts w:asciiTheme="minorHAnsi" w:hAnsiTheme="minorHAnsi"/>
          <w:sz w:val="22"/>
          <w:szCs w:val="22"/>
        </w:rPr>
        <w:t>The price of iron ore</w:t>
      </w:r>
      <w:r w:rsidR="00403D1C" w:rsidRPr="0039266D">
        <w:rPr>
          <w:rFonts w:asciiTheme="minorHAnsi" w:hAnsiTheme="minorHAnsi"/>
          <w:sz w:val="22"/>
          <w:szCs w:val="22"/>
        </w:rPr>
        <w:t>,</w:t>
      </w:r>
      <w:r w:rsidR="00403D1C">
        <w:rPr>
          <w:rFonts w:asciiTheme="minorHAnsi" w:hAnsiTheme="minorHAnsi"/>
          <w:sz w:val="22"/>
          <w:szCs w:val="22"/>
        </w:rPr>
        <w:t xml:space="preserve"> which increased by around 40 per cent from January to March, is assumed to be </w:t>
      </w:r>
      <w:r w:rsidR="007872B9">
        <w:rPr>
          <w:rFonts w:asciiTheme="minorHAnsi" w:hAnsiTheme="minorHAnsi"/>
          <w:sz w:val="22"/>
          <w:szCs w:val="22"/>
        </w:rPr>
        <w:t>$US49 per tonne, up from $US39 per tonne</w:t>
      </w:r>
      <w:r w:rsidR="00E52B9D">
        <w:rPr>
          <w:rFonts w:asciiTheme="minorHAnsi" w:hAnsiTheme="minorHAnsi"/>
          <w:sz w:val="22"/>
          <w:szCs w:val="22"/>
        </w:rPr>
        <w:t xml:space="preserve"> </w:t>
      </w:r>
      <w:r w:rsidR="00403D1C">
        <w:rPr>
          <w:rFonts w:asciiTheme="minorHAnsi" w:hAnsiTheme="minorHAnsi"/>
          <w:sz w:val="22"/>
          <w:szCs w:val="22"/>
        </w:rPr>
        <w:t xml:space="preserve">in the </w:t>
      </w:r>
      <w:r w:rsidR="00E52B9D">
        <w:rPr>
          <w:rFonts w:asciiTheme="minorHAnsi" w:hAnsiTheme="minorHAnsi"/>
          <w:sz w:val="22"/>
          <w:szCs w:val="22"/>
        </w:rPr>
        <w:t>December JE</w:t>
      </w:r>
      <w:r w:rsidR="00403D1C">
        <w:rPr>
          <w:rFonts w:asciiTheme="minorHAnsi" w:hAnsiTheme="minorHAnsi"/>
          <w:sz w:val="22"/>
          <w:szCs w:val="22"/>
        </w:rPr>
        <w:t>F</w:t>
      </w:r>
      <w:r w:rsidR="00E52B9D">
        <w:rPr>
          <w:rFonts w:asciiTheme="minorHAnsi" w:hAnsiTheme="minorHAnsi"/>
          <w:sz w:val="22"/>
          <w:szCs w:val="22"/>
        </w:rPr>
        <w:t>G</w:t>
      </w:r>
      <w:r w:rsidR="00403D1C">
        <w:rPr>
          <w:rFonts w:asciiTheme="minorHAnsi" w:hAnsiTheme="minorHAnsi"/>
          <w:sz w:val="22"/>
          <w:szCs w:val="22"/>
        </w:rPr>
        <w:t xml:space="preserve"> report</w:t>
      </w:r>
      <w:r w:rsidR="007872B9">
        <w:rPr>
          <w:rFonts w:asciiTheme="minorHAnsi" w:hAnsiTheme="minorHAnsi"/>
          <w:sz w:val="22"/>
          <w:szCs w:val="22"/>
        </w:rPr>
        <w:t xml:space="preserve">. </w:t>
      </w:r>
      <w:r w:rsidR="00BD0CC9">
        <w:rPr>
          <w:rFonts w:asciiTheme="minorHAnsi" w:hAnsiTheme="minorHAnsi"/>
          <w:sz w:val="22"/>
          <w:szCs w:val="22"/>
        </w:rPr>
        <w:t>The price of oil (Malaysian Tapis) is</w:t>
      </w:r>
      <w:r w:rsidR="00BD0CC9" w:rsidRPr="0039266D">
        <w:rPr>
          <w:rFonts w:asciiTheme="minorHAnsi" w:hAnsiTheme="minorHAnsi"/>
          <w:sz w:val="22"/>
          <w:szCs w:val="22"/>
        </w:rPr>
        <w:t xml:space="preserve"> now assumed to remain at $US</w:t>
      </w:r>
      <w:r w:rsidR="00BD0CC9">
        <w:rPr>
          <w:rFonts w:asciiTheme="minorHAnsi" w:hAnsiTheme="minorHAnsi"/>
          <w:sz w:val="22"/>
          <w:szCs w:val="22"/>
        </w:rPr>
        <w:t>35</w:t>
      </w:r>
      <w:r w:rsidR="00BD0CC9" w:rsidRPr="0039266D">
        <w:rPr>
          <w:rFonts w:asciiTheme="minorHAnsi" w:hAnsiTheme="minorHAnsi"/>
          <w:sz w:val="22"/>
          <w:szCs w:val="22"/>
        </w:rPr>
        <w:t xml:space="preserve"> a barrel,</w:t>
      </w:r>
      <w:r w:rsidR="00BD0CC9">
        <w:rPr>
          <w:rFonts w:asciiTheme="minorHAnsi" w:hAnsiTheme="minorHAnsi"/>
          <w:sz w:val="22"/>
          <w:szCs w:val="22"/>
        </w:rPr>
        <w:t xml:space="preserve"> up from $US32 in the December JEFG report. </w:t>
      </w:r>
      <w:r w:rsidR="00036D08">
        <w:rPr>
          <w:rFonts w:asciiTheme="minorHAnsi" w:hAnsiTheme="minorHAnsi"/>
          <w:sz w:val="22"/>
          <w:szCs w:val="22"/>
        </w:rPr>
        <w:t xml:space="preserve">The </w:t>
      </w:r>
      <w:r w:rsidR="0033398E">
        <w:rPr>
          <w:rFonts w:asciiTheme="minorHAnsi" w:hAnsiTheme="minorHAnsi"/>
          <w:sz w:val="22"/>
          <w:szCs w:val="22"/>
        </w:rPr>
        <w:t xml:space="preserve">Australian </w:t>
      </w:r>
      <w:r w:rsidR="00F21B0B">
        <w:rPr>
          <w:rFonts w:asciiTheme="minorHAnsi" w:hAnsiTheme="minorHAnsi"/>
          <w:sz w:val="22"/>
          <w:szCs w:val="22"/>
        </w:rPr>
        <w:t xml:space="preserve">dollar </w:t>
      </w:r>
      <w:r w:rsidR="00403D1C">
        <w:rPr>
          <w:rFonts w:asciiTheme="minorHAnsi" w:hAnsiTheme="minorHAnsi"/>
          <w:sz w:val="22"/>
          <w:szCs w:val="22"/>
        </w:rPr>
        <w:t xml:space="preserve">is assumed to be </w:t>
      </w:r>
      <w:r w:rsidR="00F21B0B">
        <w:rPr>
          <w:rFonts w:asciiTheme="minorHAnsi" w:hAnsiTheme="minorHAnsi"/>
          <w:sz w:val="22"/>
          <w:szCs w:val="22"/>
        </w:rPr>
        <w:t xml:space="preserve">US </w:t>
      </w:r>
      <w:r w:rsidR="00036D08">
        <w:rPr>
          <w:rFonts w:asciiTheme="minorHAnsi" w:hAnsiTheme="minorHAnsi"/>
          <w:sz w:val="22"/>
          <w:szCs w:val="22"/>
        </w:rPr>
        <w:t>7</w:t>
      </w:r>
      <w:r w:rsidR="00400A18">
        <w:rPr>
          <w:rFonts w:asciiTheme="minorHAnsi" w:hAnsiTheme="minorHAnsi"/>
          <w:sz w:val="22"/>
          <w:szCs w:val="22"/>
        </w:rPr>
        <w:t>1</w:t>
      </w:r>
      <w:r w:rsidR="00036D08">
        <w:rPr>
          <w:rFonts w:asciiTheme="minorHAnsi" w:hAnsiTheme="minorHAnsi"/>
          <w:sz w:val="22"/>
          <w:szCs w:val="22"/>
        </w:rPr>
        <w:t xml:space="preserve"> cents</w:t>
      </w:r>
      <w:r w:rsidR="00F21B0B">
        <w:rPr>
          <w:rFonts w:asciiTheme="minorHAnsi" w:hAnsiTheme="minorHAnsi"/>
          <w:sz w:val="22"/>
          <w:szCs w:val="22"/>
        </w:rPr>
        <w:t xml:space="preserve">, up </w:t>
      </w:r>
      <w:r w:rsidR="00036D08">
        <w:rPr>
          <w:rFonts w:asciiTheme="minorHAnsi" w:hAnsiTheme="minorHAnsi"/>
          <w:sz w:val="22"/>
          <w:szCs w:val="22"/>
        </w:rPr>
        <w:t xml:space="preserve">from </w:t>
      </w:r>
      <w:r w:rsidR="00F21B0B">
        <w:rPr>
          <w:rFonts w:asciiTheme="minorHAnsi" w:hAnsiTheme="minorHAnsi"/>
          <w:sz w:val="22"/>
          <w:szCs w:val="22"/>
        </w:rPr>
        <w:t xml:space="preserve">US </w:t>
      </w:r>
      <w:r w:rsidR="00036D08">
        <w:rPr>
          <w:rFonts w:asciiTheme="minorHAnsi" w:hAnsiTheme="minorHAnsi"/>
          <w:sz w:val="22"/>
          <w:szCs w:val="22"/>
        </w:rPr>
        <w:t>7</w:t>
      </w:r>
      <w:r w:rsidR="00400A18">
        <w:rPr>
          <w:rFonts w:asciiTheme="minorHAnsi" w:hAnsiTheme="minorHAnsi"/>
          <w:sz w:val="22"/>
          <w:szCs w:val="22"/>
        </w:rPr>
        <w:t>0</w:t>
      </w:r>
      <w:r w:rsidR="00036D08">
        <w:rPr>
          <w:rFonts w:asciiTheme="minorHAnsi" w:hAnsiTheme="minorHAnsi"/>
          <w:sz w:val="22"/>
          <w:szCs w:val="22"/>
        </w:rPr>
        <w:t xml:space="preserve"> cents </w:t>
      </w:r>
      <w:r w:rsidR="00BD0CC9">
        <w:rPr>
          <w:rFonts w:asciiTheme="minorHAnsi" w:hAnsiTheme="minorHAnsi"/>
          <w:sz w:val="22"/>
          <w:szCs w:val="22"/>
        </w:rPr>
        <w:t xml:space="preserve">in the </w:t>
      </w:r>
      <w:r w:rsidR="00400A18">
        <w:rPr>
          <w:rFonts w:asciiTheme="minorHAnsi" w:hAnsiTheme="minorHAnsi"/>
          <w:sz w:val="22"/>
          <w:szCs w:val="22"/>
        </w:rPr>
        <w:t>December JE</w:t>
      </w:r>
      <w:r w:rsidR="00F21B0B">
        <w:rPr>
          <w:rFonts w:asciiTheme="minorHAnsi" w:hAnsiTheme="minorHAnsi"/>
          <w:sz w:val="22"/>
          <w:szCs w:val="22"/>
        </w:rPr>
        <w:t>F</w:t>
      </w:r>
      <w:r w:rsidR="00400A18">
        <w:rPr>
          <w:rFonts w:asciiTheme="minorHAnsi" w:hAnsiTheme="minorHAnsi"/>
          <w:sz w:val="22"/>
          <w:szCs w:val="22"/>
        </w:rPr>
        <w:t>G</w:t>
      </w:r>
      <w:r w:rsidR="00BD0CC9">
        <w:rPr>
          <w:rFonts w:asciiTheme="minorHAnsi" w:hAnsiTheme="minorHAnsi"/>
          <w:sz w:val="22"/>
          <w:szCs w:val="22"/>
        </w:rPr>
        <w:t xml:space="preserve"> report</w:t>
      </w:r>
      <w:r w:rsidR="00036D08">
        <w:rPr>
          <w:rFonts w:asciiTheme="minorHAnsi" w:hAnsiTheme="minorHAnsi"/>
          <w:sz w:val="22"/>
          <w:szCs w:val="22"/>
        </w:rPr>
        <w:t>.</w:t>
      </w:r>
    </w:p>
    <w:p w14:paraId="6F39ED4A" w14:textId="77777777" w:rsidR="00846DCF" w:rsidRDefault="00403D1C" w:rsidP="00E52B9D">
      <w:pPr>
        <w:pStyle w:val="OutlineNumbered1"/>
        <w:rPr>
          <w:rFonts w:asciiTheme="minorHAnsi" w:hAnsiTheme="minorHAnsi"/>
          <w:sz w:val="22"/>
          <w:szCs w:val="22"/>
        </w:rPr>
      </w:pPr>
      <w:r w:rsidRPr="00846DCF">
        <w:rPr>
          <w:rFonts w:asciiTheme="minorHAnsi" w:hAnsiTheme="minorHAnsi"/>
          <w:sz w:val="22"/>
          <w:szCs w:val="22"/>
        </w:rPr>
        <w:t xml:space="preserve">While </w:t>
      </w:r>
      <w:r w:rsidRPr="00A31213">
        <w:rPr>
          <w:rFonts w:asciiTheme="minorHAnsi" w:hAnsiTheme="minorHAnsi"/>
          <w:sz w:val="22"/>
          <w:szCs w:val="22"/>
        </w:rPr>
        <w:t>the price of o</w:t>
      </w:r>
      <w:r w:rsidRPr="00783D34">
        <w:rPr>
          <w:rFonts w:asciiTheme="minorHAnsi" w:hAnsiTheme="minorHAnsi"/>
          <w:sz w:val="22"/>
          <w:szCs w:val="22"/>
        </w:rPr>
        <w:t xml:space="preserve">il stabilised </w:t>
      </w:r>
      <w:r w:rsidR="00BD0CC9">
        <w:rPr>
          <w:rFonts w:asciiTheme="minorHAnsi" w:hAnsiTheme="minorHAnsi"/>
          <w:sz w:val="22"/>
          <w:szCs w:val="22"/>
        </w:rPr>
        <w:t>from its lows at the start of the 2016</w:t>
      </w:r>
      <w:r w:rsidRPr="00783D34">
        <w:rPr>
          <w:rFonts w:asciiTheme="minorHAnsi" w:hAnsiTheme="minorHAnsi"/>
          <w:sz w:val="22"/>
          <w:szCs w:val="22"/>
        </w:rPr>
        <w:t xml:space="preserve">, it remains well below its average </w:t>
      </w:r>
      <w:r w:rsidRPr="00085336">
        <w:rPr>
          <w:rFonts w:asciiTheme="minorHAnsi" w:hAnsiTheme="minorHAnsi"/>
          <w:sz w:val="22"/>
          <w:szCs w:val="22"/>
        </w:rPr>
        <w:t>level over</w:t>
      </w:r>
      <w:r w:rsidRPr="00C2347C">
        <w:rPr>
          <w:rFonts w:asciiTheme="minorHAnsi" w:hAnsiTheme="minorHAnsi"/>
          <w:sz w:val="22"/>
          <w:szCs w:val="22"/>
        </w:rPr>
        <w:t xml:space="preserve"> the past few years. </w:t>
      </w:r>
      <w:r w:rsidR="003A67CF" w:rsidRPr="00C2347C">
        <w:rPr>
          <w:rFonts w:asciiTheme="minorHAnsi" w:hAnsiTheme="minorHAnsi"/>
          <w:sz w:val="22"/>
          <w:szCs w:val="22"/>
        </w:rPr>
        <w:t>Australia is currently a net importe</w:t>
      </w:r>
      <w:r w:rsidR="003A67CF">
        <w:rPr>
          <w:rFonts w:asciiTheme="minorHAnsi" w:hAnsiTheme="minorHAnsi"/>
          <w:sz w:val="22"/>
          <w:szCs w:val="22"/>
        </w:rPr>
        <w:t>r of oil and petroleum products and l</w:t>
      </w:r>
      <w:r w:rsidR="008E4765" w:rsidRPr="00C2347C">
        <w:rPr>
          <w:rFonts w:asciiTheme="minorHAnsi" w:hAnsiTheme="minorHAnsi"/>
          <w:sz w:val="22"/>
          <w:szCs w:val="22"/>
        </w:rPr>
        <w:t>ow</w:t>
      </w:r>
      <w:r w:rsidR="003B5AEF" w:rsidRPr="00C2347C">
        <w:rPr>
          <w:rFonts w:asciiTheme="minorHAnsi" w:hAnsiTheme="minorHAnsi"/>
          <w:sz w:val="22"/>
          <w:szCs w:val="22"/>
        </w:rPr>
        <w:t xml:space="preserve"> oil prices </w:t>
      </w:r>
      <w:r w:rsidR="008E4765" w:rsidRPr="00C2347C">
        <w:rPr>
          <w:rFonts w:asciiTheme="minorHAnsi" w:hAnsiTheme="minorHAnsi"/>
          <w:sz w:val="22"/>
          <w:szCs w:val="22"/>
        </w:rPr>
        <w:t>are</w:t>
      </w:r>
      <w:r w:rsidR="003B5AEF" w:rsidRPr="00C2347C">
        <w:rPr>
          <w:rFonts w:asciiTheme="minorHAnsi" w:hAnsiTheme="minorHAnsi"/>
          <w:sz w:val="22"/>
          <w:szCs w:val="22"/>
        </w:rPr>
        <w:t xml:space="preserve"> expected to support </w:t>
      </w:r>
      <w:r w:rsidR="00E21EED" w:rsidRPr="00C2347C">
        <w:rPr>
          <w:rFonts w:asciiTheme="minorHAnsi" w:hAnsiTheme="minorHAnsi"/>
          <w:sz w:val="22"/>
          <w:szCs w:val="22"/>
        </w:rPr>
        <w:t>domestic economic growth</w:t>
      </w:r>
      <w:r w:rsidR="00976C95" w:rsidRPr="00C2347C">
        <w:rPr>
          <w:rFonts w:asciiTheme="minorHAnsi" w:hAnsiTheme="minorHAnsi"/>
          <w:sz w:val="22"/>
          <w:szCs w:val="22"/>
        </w:rPr>
        <w:t xml:space="preserve"> in the near term</w:t>
      </w:r>
      <w:r w:rsidR="003A67CF">
        <w:rPr>
          <w:rFonts w:asciiTheme="minorHAnsi" w:hAnsiTheme="minorHAnsi"/>
          <w:sz w:val="22"/>
          <w:szCs w:val="22"/>
        </w:rPr>
        <w:t xml:space="preserve"> as</w:t>
      </w:r>
      <w:r w:rsidR="00E21EED" w:rsidRPr="00C2347C">
        <w:rPr>
          <w:rFonts w:asciiTheme="minorHAnsi" w:hAnsiTheme="minorHAnsi"/>
          <w:sz w:val="22"/>
          <w:szCs w:val="22"/>
        </w:rPr>
        <w:t xml:space="preserve"> Australian households and bu</w:t>
      </w:r>
      <w:r w:rsidR="008E4765" w:rsidRPr="00C2347C">
        <w:rPr>
          <w:rFonts w:asciiTheme="minorHAnsi" w:hAnsiTheme="minorHAnsi"/>
          <w:sz w:val="22"/>
          <w:szCs w:val="22"/>
        </w:rPr>
        <w:t>sinesses benefit from low</w:t>
      </w:r>
      <w:r w:rsidR="00E21EED" w:rsidRPr="00C2347C">
        <w:rPr>
          <w:rFonts w:asciiTheme="minorHAnsi" w:hAnsiTheme="minorHAnsi"/>
          <w:sz w:val="22"/>
          <w:szCs w:val="22"/>
        </w:rPr>
        <w:t xml:space="preserve"> fuel prices. </w:t>
      </w:r>
      <w:r w:rsidR="00E52B9D" w:rsidRPr="00C2347C">
        <w:rPr>
          <w:rFonts w:asciiTheme="minorHAnsi" w:hAnsiTheme="minorHAnsi"/>
          <w:sz w:val="22"/>
          <w:szCs w:val="22"/>
        </w:rPr>
        <w:t>However, a</w:t>
      </w:r>
      <w:r w:rsidR="00E11E84" w:rsidRPr="00C2347C">
        <w:rPr>
          <w:rFonts w:asciiTheme="minorHAnsi" w:hAnsiTheme="minorHAnsi"/>
          <w:sz w:val="22"/>
          <w:szCs w:val="22"/>
        </w:rPr>
        <w:t>s Australia’s production of liquefied natural gas</w:t>
      </w:r>
      <w:r w:rsidR="00E95F9D" w:rsidRPr="00C2347C">
        <w:rPr>
          <w:rFonts w:asciiTheme="minorHAnsi" w:hAnsiTheme="minorHAnsi"/>
          <w:sz w:val="22"/>
          <w:szCs w:val="22"/>
        </w:rPr>
        <w:t xml:space="preserve"> (LNG)</w:t>
      </w:r>
      <w:r w:rsidR="00E11E84" w:rsidRPr="00C2347C">
        <w:rPr>
          <w:rFonts w:asciiTheme="minorHAnsi" w:hAnsiTheme="minorHAnsi"/>
          <w:sz w:val="22"/>
          <w:szCs w:val="22"/>
        </w:rPr>
        <w:t xml:space="preserve"> increase</w:t>
      </w:r>
      <w:r w:rsidR="00E95F9D" w:rsidRPr="00C2347C">
        <w:rPr>
          <w:rFonts w:asciiTheme="minorHAnsi" w:hAnsiTheme="minorHAnsi"/>
          <w:sz w:val="22"/>
          <w:szCs w:val="22"/>
        </w:rPr>
        <w:t>s</w:t>
      </w:r>
      <w:r w:rsidR="00E11E84" w:rsidRPr="00846DCF">
        <w:rPr>
          <w:rFonts w:asciiTheme="minorHAnsi" w:hAnsiTheme="minorHAnsi"/>
          <w:sz w:val="22"/>
          <w:szCs w:val="22"/>
        </w:rPr>
        <w:t xml:space="preserve">, </w:t>
      </w:r>
      <w:r w:rsidR="00E52B9D" w:rsidRPr="00A31213">
        <w:rPr>
          <w:rFonts w:asciiTheme="minorHAnsi" w:hAnsiTheme="minorHAnsi"/>
          <w:sz w:val="22"/>
          <w:szCs w:val="22"/>
        </w:rPr>
        <w:t>low</w:t>
      </w:r>
      <w:r w:rsidR="005F4C37" w:rsidRPr="00A31213">
        <w:rPr>
          <w:rFonts w:asciiTheme="minorHAnsi" w:hAnsiTheme="minorHAnsi"/>
          <w:sz w:val="22"/>
          <w:szCs w:val="22"/>
        </w:rPr>
        <w:t xml:space="preserve"> oil price</w:t>
      </w:r>
      <w:r w:rsidR="005F4C37" w:rsidRPr="00846DCF">
        <w:rPr>
          <w:rFonts w:asciiTheme="minorHAnsi" w:hAnsiTheme="minorHAnsi"/>
          <w:sz w:val="22"/>
          <w:szCs w:val="22"/>
        </w:rPr>
        <w:t>s</w:t>
      </w:r>
      <w:r w:rsidR="005F4C37" w:rsidRPr="00A31213">
        <w:rPr>
          <w:rFonts w:asciiTheme="minorHAnsi" w:hAnsiTheme="minorHAnsi"/>
          <w:sz w:val="22"/>
          <w:szCs w:val="22"/>
        </w:rPr>
        <w:t xml:space="preserve"> </w:t>
      </w:r>
      <w:r w:rsidR="005F4C37" w:rsidRPr="00E52B9D">
        <w:rPr>
          <w:rFonts w:asciiTheme="minorHAnsi" w:hAnsiTheme="minorHAnsi"/>
          <w:sz w:val="22"/>
          <w:szCs w:val="22"/>
        </w:rPr>
        <w:t xml:space="preserve">are forecast to weigh on aggregate export prices. </w:t>
      </w:r>
    </w:p>
    <w:p w14:paraId="1C51127E" w14:textId="77777777" w:rsidR="005F4C37" w:rsidRPr="00A31213" w:rsidRDefault="00A31213" w:rsidP="00E52B9D">
      <w:pPr>
        <w:pStyle w:val="OutlineNumbere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fall in the terms of trade over the forecast period is expected to be less steep than in the December JEFG report, largely due to the higher assumption</w:t>
      </w:r>
      <w:r w:rsidR="0066070D">
        <w:rPr>
          <w:rFonts w:asciiTheme="minorHAnsi" w:hAnsiTheme="minorHAnsi"/>
          <w:sz w:val="22"/>
          <w:szCs w:val="22"/>
        </w:rPr>
        <w:t>s for bulk commodity prices</w:t>
      </w:r>
      <w:r>
        <w:rPr>
          <w:rFonts w:asciiTheme="minorHAnsi" w:hAnsiTheme="minorHAnsi"/>
          <w:sz w:val="22"/>
          <w:szCs w:val="22"/>
        </w:rPr>
        <w:t xml:space="preserve">. </w:t>
      </w:r>
      <w:r w:rsidR="00846DCF">
        <w:rPr>
          <w:rFonts w:asciiTheme="minorHAnsi" w:hAnsiTheme="minorHAnsi"/>
          <w:sz w:val="22"/>
          <w:szCs w:val="22"/>
        </w:rPr>
        <w:t>The terms of trade are forecast to fall by 8½ per cent in 2015-16</w:t>
      </w:r>
      <w:r w:rsidRPr="00A3121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and rise </w:t>
      </w:r>
      <w:r w:rsidRPr="00084F1A">
        <w:rPr>
          <w:rFonts w:asciiTheme="minorHAnsi" w:hAnsiTheme="minorHAnsi"/>
          <w:sz w:val="22"/>
          <w:szCs w:val="22"/>
        </w:rPr>
        <w:t>by ¼ per cent in 2016-17</w:t>
      </w:r>
      <w:r w:rsidR="00846DCF">
        <w:rPr>
          <w:rFonts w:asciiTheme="minorHAnsi" w:hAnsiTheme="minorHAnsi"/>
          <w:sz w:val="22"/>
          <w:szCs w:val="22"/>
        </w:rPr>
        <w:t xml:space="preserve">, compared with </w:t>
      </w:r>
      <w:r w:rsidR="0066070D">
        <w:rPr>
          <w:rFonts w:asciiTheme="minorHAnsi" w:hAnsiTheme="minorHAnsi"/>
          <w:sz w:val="22"/>
          <w:szCs w:val="22"/>
        </w:rPr>
        <w:t xml:space="preserve">falls </w:t>
      </w:r>
      <w:r w:rsidR="00846DCF">
        <w:rPr>
          <w:rFonts w:asciiTheme="minorHAnsi" w:hAnsiTheme="minorHAnsi"/>
          <w:sz w:val="22"/>
          <w:szCs w:val="22"/>
        </w:rPr>
        <w:t xml:space="preserve">of 10½ per cent </w:t>
      </w:r>
      <w:r>
        <w:rPr>
          <w:rFonts w:asciiTheme="minorHAnsi" w:hAnsiTheme="minorHAnsi"/>
          <w:sz w:val="22"/>
          <w:szCs w:val="22"/>
        </w:rPr>
        <w:t xml:space="preserve">in 2015-16 and </w:t>
      </w:r>
      <w:r w:rsidR="00C3766E" w:rsidRPr="00A31213">
        <w:rPr>
          <w:rFonts w:asciiTheme="minorHAnsi" w:hAnsiTheme="minorHAnsi"/>
          <w:sz w:val="22"/>
          <w:szCs w:val="22"/>
        </w:rPr>
        <w:t>3</w:t>
      </w:r>
      <w:r w:rsidR="005F4C37" w:rsidRPr="00A31213">
        <w:rPr>
          <w:rFonts w:asciiTheme="minorHAnsi" w:hAnsiTheme="minorHAnsi"/>
          <w:sz w:val="22"/>
          <w:szCs w:val="22"/>
        </w:rPr>
        <w:t xml:space="preserve"> per cent</w:t>
      </w:r>
      <w:r w:rsidR="002C2E2B">
        <w:rPr>
          <w:rFonts w:asciiTheme="minorHAnsi" w:hAnsiTheme="minorHAnsi"/>
          <w:sz w:val="22"/>
          <w:szCs w:val="22"/>
        </w:rPr>
        <w:t xml:space="preserve"> in 2016-17</w:t>
      </w:r>
      <w:r w:rsidR="005F4C37" w:rsidRPr="00A3121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 the </w:t>
      </w:r>
      <w:r w:rsidR="00C3766E" w:rsidRPr="00A31213">
        <w:rPr>
          <w:rFonts w:asciiTheme="minorHAnsi" w:hAnsiTheme="minorHAnsi"/>
          <w:sz w:val="22"/>
          <w:szCs w:val="22"/>
        </w:rPr>
        <w:t>December JE</w:t>
      </w:r>
      <w:r>
        <w:rPr>
          <w:rFonts w:asciiTheme="minorHAnsi" w:hAnsiTheme="minorHAnsi"/>
          <w:sz w:val="22"/>
          <w:szCs w:val="22"/>
        </w:rPr>
        <w:t>F</w:t>
      </w:r>
      <w:r w:rsidR="00C3766E" w:rsidRPr="00A31213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 xml:space="preserve"> report</w:t>
      </w:r>
      <w:r w:rsidR="005F4C37" w:rsidRPr="00A31213">
        <w:rPr>
          <w:rFonts w:asciiTheme="minorHAnsi" w:hAnsiTheme="minorHAnsi"/>
          <w:sz w:val="22"/>
          <w:szCs w:val="22"/>
        </w:rPr>
        <w:t xml:space="preserve">. </w:t>
      </w:r>
    </w:p>
    <w:p w14:paraId="6D3F20BF" w14:textId="77777777" w:rsidR="00A61787" w:rsidRPr="003E0FCB" w:rsidRDefault="001E3D36" w:rsidP="00ED5F55">
      <w:pPr>
        <w:pStyle w:val="OutlineNumbere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Real </w:t>
      </w:r>
      <w:r w:rsidR="0066070D">
        <w:rPr>
          <w:rFonts w:asciiTheme="minorHAnsi" w:hAnsiTheme="minorHAnsi"/>
          <w:sz w:val="22"/>
          <w:szCs w:val="22"/>
        </w:rPr>
        <w:t xml:space="preserve">household </w:t>
      </w:r>
      <w:r>
        <w:rPr>
          <w:rFonts w:asciiTheme="minorHAnsi" w:hAnsiTheme="minorHAnsi"/>
          <w:sz w:val="22"/>
          <w:szCs w:val="22"/>
        </w:rPr>
        <w:t xml:space="preserve">consumption is expected to grow at a solid pace over the forecast horizon, supported by a gradual </w:t>
      </w:r>
      <w:r w:rsidR="005F35C0">
        <w:rPr>
          <w:rFonts w:asciiTheme="minorHAnsi" w:hAnsiTheme="minorHAnsi"/>
          <w:sz w:val="22"/>
          <w:szCs w:val="22"/>
        </w:rPr>
        <w:t>decline in the household saving</w:t>
      </w:r>
      <w:r w:rsidR="00E1426C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ratio. </w:t>
      </w:r>
      <w:r w:rsidR="00EE150C">
        <w:rPr>
          <w:rFonts w:asciiTheme="minorHAnsi" w:hAnsiTheme="minorHAnsi"/>
          <w:sz w:val="22"/>
          <w:szCs w:val="22"/>
        </w:rPr>
        <w:t>In the near term, consumption is forecast to increase by</w:t>
      </w:r>
      <w:r>
        <w:rPr>
          <w:rFonts w:asciiTheme="minorHAnsi" w:hAnsiTheme="minorHAnsi"/>
          <w:sz w:val="22"/>
          <w:szCs w:val="22"/>
        </w:rPr>
        <w:t xml:space="preserve"> 3 per cent in 2015-16</w:t>
      </w:r>
      <w:r w:rsidR="00EE150C">
        <w:rPr>
          <w:rFonts w:asciiTheme="minorHAnsi" w:hAnsiTheme="minorHAnsi"/>
          <w:sz w:val="22"/>
          <w:szCs w:val="22"/>
        </w:rPr>
        <w:t xml:space="preserve">, up from 2¾ </w:t>
      </w:r>
      <w:r w:rsidR="00C55D50">
        <w:rPr>
          <w:rFonts w:asciiTheme="minorHAnsi" w:hAnsiTheme="minorHAnsi"/>
          <w:sz w:val="22"/>
          <w:szCs w:val="22"/>
        </w:rPr>
        <w:t xml:space="preserve">per cent </w:t>
      </w:r>
      <w:r w:rsidR="00EE150C">
        <w:rPr>
          <w:rFonts w:asciiTheme="minorHAnsi" w:hAnsiTheme="minorHAnsi"/>
          <w:sz w:val="22"/>
          <w:szCs w:val="22"/>
        </w:rPr>
        <w:t>in the December JE</w:t>
      </w:r>
      <w:r w:rsidR="005F35C0">
        <w:rPr>
          <w:rFonts w:asciiTheme="minorHAnsi" w:hAnsiTheme="minorHAnsi"/>
          <w:sz w:val="22"/>
          <w:szCs w:val="22"/>
        </w:rPr>
        <w:t>F</w:t>
      </w:r>
      <w:r w:rsidR="00EE150C">
        <w:rPr>
          <w:rFonts w:asciiTheme="minorHAnsi" w:hAnsiTheme="minorHAnsi"/>
          <w:sz w:val="22"/>
          <w:szCs w:val="22"/>
        </w:rPr>
        <w:t>G report</w:t>
      </w:r>
      <w:r>
        <w:rPr>
          <w:rFonts w:asciiTheme="minorHAnsi" w:hAnsiTheme="minorHAnsi"/>
          <w:sz w:val="22"/>
          <w:szCs w:val="22"/>
        </w:rPr>
        <w:t>.</w:t>
      </w:r>
      <w:r w:rsidR="00EE150C">
        <w:rPr>
          <w:rFonts w:asciiTheme="minorHAnsi" w:hAnsiTheme="minorHAnsi"/>
          <w:sz w:val="22"/>
          <w:szCs w:val="22"/>
        </w:rPr>
        <w:t xml:space="preserve"> In contrast, the near term forecasts for business investment have been downgraded slightly since the December JE</w:t>
      </w:r>
      <w:r w:rsidR="005F35C0">
        <w:rPr>
          <w:rFonts w:asciiTheme="minorHAnsi" w:hAnsiTheme="minorHAnsi"/>
          <w:sz w:val="22"/>
          <w:szCs w:val="22"/>
        </w:rPr>
        <w:t>F</w:t>
      </w:r>
      <w:r w:rsidR="00EE150C">
        <w:rPr>
          <w:rFonts w:asciiTheme="minorHAnsi" w:hAnsiTheme="minorHAnsi"/>
          <w:sz w:val="22"/>
          <w:szCs w:val="22"/>
        </w:rPr>
        <w:t xml:space="preserve">G report following weaker </w:t>
      </w:r>
      <w:r w:rsidR="002A5450">
        <w:rPr>
          <w:rFonts w:asciiTheme="minorHAnsi" w:hAnsiTheme="minorHAnsi"/>
          <w:sz w:val="22"/>
          <w:szCs w:val="22"/>
        </w:rPr>
        <w:t xml:space="preserve">capital expenditure </w:t>
      </w:r>
      <w:r w:rsidR="00EE150C">
        <w:rPr>
          <w:rFonts w:asciiTheme="minorHAnsi" w:hAnsiTheme="minorHAnsi"/>
          <w:sz w:val="22"/>
          <w:szCs w:val="22"/>
        </w:rPr>
        <w:t xml:space="preserve">projections </w:t>
      </w:r>
      <w:r w:rsidR="002A5450">
        <w:rPr>
          <w:rFonts w:asciiTheme="minorHAnsi" w:hAnsiTheme="minorHAnsi"/>
          <w:sz w:val="22"/>
          <w:szCs w:val="22"/>
        </w:rPr>
        <w:t>by</w:t>
      </w:r>
      <w:r w:rsidR="00EE150C">
        <w:rPr>
          <w:rFonts w:asciiTheme="minorHAnsi" w:hAnsiTheme="minorHAnsi"/>
          <w:sz w:val="22"/>
          <w:szCs w:val="22"/>
        </w:rPr>
        <w:t xml:space="preserve"> non-mining firms.</w:t>
      </w:r>
      <w:r w:rsidR="00F61090">
        <w:rPr>
          <w:rFonts w:asciiTheme="minorHAnsi" w:hAnsiTheme="minorHAnsi"/>
          <w:sz w:val="22"/>
          <w:szCs w:val="22"/>
        </w:rPr>
        <w:t xml:space="preserve"> </w:t>
      </w:r>
      <w:r w:rsidR="00005063">
        <w:rPr>
          <w:rFonts w:asciiTheme="minorHAnsi" w:hAnsiTheme="minorHAnsi"/>
          <w:sz w:val="22"/>
          <w:szCs w:val="22"/>
        </w:rPr>
        <w:t>As previously forecast, d</w:t>
      </w:r>
      <w:r w:rsidR="00F61090">
        <w:rPr>
          <w:rFonts w:asciiTheme="minorHAnsi" w:hAnsiTheme="minorHAnsi"/>
          <w:sz w:val="22"/>
          <w:szCs w:val="22"/>
        </w:rPr>
        <w:t xml:space="preserve">welling investment </w:t>
      </w:r>
      <w:r w:rsidR="002A5450">
        <w:rPr>
          <w:rFonts w:asciiTheme="minorHAnsi" w:hAnsiTheme="minorHAnsi"/>
          <w:sz w:val="22"/>
          <w:szCs w:val="22"/>
        </w:rPr>
        <w:t xml:space="preserve">growth </w:t>
      </w:r>
      <w:r w:rsidR="00F61090">
        <w:rPr>
          <w:rFonts w:asciiTheme="minorHAnsi" w:hAnsiTheme="minorHAnsi"/>
          <w:sz w:val="22"/>
          <w:szCs w:val="22"/>
        </w:rPr>
        <w:t>is expected to ease in 2016-17 and 2017-18 after strong expected growth in 2015</w:t>
      </w:r>
      <w:r w:rsidR="00F61090">
        <w:rPr>
          <w:rFonts w:asciiTheme="minorHAnsi" w:hAnsiTheme="minorHAnsi"/>
          <w:sz w:val="22"/>
          <w:szCs w:val="22"/>
        </w:rPr>
        <w:noBreakHyphen/>
        <w:t>16</w:t>
      </w:r>
      <w:r w:rsidR="003A67CF">
        <w:rPr>
          <w:rFonts w:asciiTheme="minorHAnsi" w:hAnsiTheme="minorHAnsi"/>
          <w:sz w:val="22"/>
          <w:szCs w:val="22"/>
        </w:rPr>
        <w:t xml:space="preserve">. </w:t>
      </w:r>
      <w:r w:rsidR="003F7515" w:rsidRPr="00FB0F7A">
        <w:rPr>
          <w:rFonts w:asciiTheme="minorHAnsi" w:hAnsiTheme="minorHAnsi"/>
          <w:sz w:val="22"/>
          <w:szCs w:val="22"/>
        </w:rPr>
        <w:t xml:space="preserve">LNG production is </w:t>
      </w:r>
      <w:r w:rsidR="00EE150C">
        <w:rPr>
          <w:rFonts w:asciiTheme="minorHAnsi" w:hAnsiTheme="minorHAnsi"/>
          <w:sz w:val="22"/>
          <w:szCs w:val="22"/>
        </w:rPr>
        <w:t xml:space="preserve">expected </w:t>
      </w:r>
      <w:r w:rsidR="003F7515" w:rsidRPr="00C73D0C">
        <w:rPr>
          <w:rFonts w:asciiTheme="minorHAnsi" w:hAnsiTheme="minorHAnsi"/>
          <w:sz w:val="22"/>
          <w:szCs w:val="22"/>
        </w:rPr>
        <w:t xml:space="preserve">to ramp up </w:t>
      </w:r>
      <w:r w:rsidR="002A5450">
        <w:rPr>
          <w:rFonts w:asciiTheme="minorHAnsi" w:hAnsiTheme="minorHAnsi"/>
          <w:sz w:val="22"/>
          <w:szCs w:val="22"/>
        </w:rPr>
        <w:t>across the forecast horizon</w:t>
      </w:r>
      <w:r w:rsidR="003F7515" w:rsidRPr="00C73D0C">
        <w:rPr>
          <w:rFonts w:asciiTheme="minorHAnsi" w:hAnsiTheme="minorHAnsi"/>
          <w:sz w:val="22"/>
          <w:szCs w:val="22"/>
        </w:rPr>
        <w:t xml:space="preserve">, </w:t>
      </w:r>
      <w:r w:rsidR="003F7515">
        <w:rPr>
          <w:rFonts w:asciiTheme="minorHAnsi" w:hAnsiTheme="minorHAnsi"/>
          <w:sz w:val="22"/>
          <w:szCs w:val="22"/>
        </w:rPr>
        <w:t>fuelling</w:t>
      </w:r>
      <w:r w:rsidR="003F7515" w:rsidRPr="00C73D0C">
        <w:rPr>
          <w:rFonts w:asciiTheme="minorHAnsi" w:hAnsiTheme="minorHAnsi"/>
          <w:sz w:val="22"/>
          <w:szCs w:val="22"/>
        </w:rPr>
        <w:t xml:space="preserve"> continued strength in exports</w:t>
      </w:r>
      <w:r w:rsidR="00F61090">
        <w:rPr>
          <w:rFonts w:asciiTheme="minorHAnsi" w:hAnsiTheme="minorHAnsi"/>
          <w:sz w:val="22"/>
          <w:szCs w:val="22"/>
        </w:rPr>
        <w:t>.</w:t>
      </w:r>
    </w:p>
    <w:p w14:paraId="29D82956" w14:textId="77777777" w:rsidR="00D216D1" w:rsidRPr="008E4765" w:rsidRDefault="008E4765" w:rsidP="00ED5F55">
      <w:pPr>
        <w:pStyle w:val="OutlineNumbere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Continued</w:t>
      </w:r>
      <w:r w:rsidR="00D216D1">
        <w:rPr>
          <w:rFonts w:asciiTheme="minorHAnsi" w:hAnsiTheme="minorHAnsi"/>
          <w:sz w:val="22"/>
          <w:szCs w:val="22"/>
        </w:rPr>
        <w:t xml:space="preserve"> moderate growth in labour costs is expected to support solid employment growth </w:t>
      </w:r>
      <w:r w:rsidR="000B383F">
        <w:rPr>
          <w:rFonts w:asciiTheme="minorHAnsi" w:hAnsiTheme="minorHAnsi"/>
          <w:sz w:val="22"/>
          <w:szCs w:val="22"/>
        </w:rPr>
        <w:t>over the forecast years</w:t>
      </w:r>
      <w:r w:rsidR="00FB0F7A">
        <w:rPr>
          <w:rFonts w:asciiTheme="minorHAnsi" w:hAnsiTheme="minorHAnsi"/>
          <w:sz w:val="22"/>
          <w:szCs w:val="22"/>
        </w:rPr>
        <w:t>, reducing</w:t>
      </w:r>
      <w:r w:rsidR="00FE6B92">
        <w:rPr>
          <w:rFonts w:asciiTheme="minorHAnsi" w:hAnsiTheme="minorHAnsi"/>
          <w:sz w:val="22"/>
          <w:szCs w:val="22"/>
        </w:rPr>
        <w:t xml:space="preserve"> </w:t>
      </w:r>
      <w:r w:rsidR="00D216D1">
        <w:rPr>
          <w:rFonts w:asciiTheme="minorHAnsi" w:hAnsiTheme="minorHAnsi"/>
          <w:sz w:val="22"/>
          <w:szCs w:val="22"/>
        </w:rPr>
        <w:t>the unemployment rate to 5¾ per cent by the June quarter of 2018.</w:t>
      </w:r>
      <w:r w:rsidR="000B383F">
        <w:rPr>
          <w:rFonts w:asciiTheme="minorHAnsi" w:hAnsiTheme="minorHAnsi"/>
          <w:sz w:val="22"/>
          <w:szCs w:val="22"/>
        </w:rPr>
        <w:t xml:space="preserve"> In </w:t>
      </w:r>
      <w:r w:rsidR="0065042D">
        <w:rPr>
          <w:rFonts w:asciiTheme="minorHAnsi" w:hAnsiTheme="minorHAnsi"/>
          <w:sz w:val="22"/>
          <w:szCs w:val="22"/>
        </w:rPr>
        <w:t>through-the-</w:t>
      </w:r>
      <w:r w:rsidR="008722D5">
        <w:rPr>
          <w:rFonts w:asciiTheme="minorHAnsi" w:hAnsiTheme="minorHAnsi"/>
          <w:sz w:val="22"/>
          <w:szCs w:val="22"/>
        </w:rPr>
        <w:t>year terms,</w:t>
      </w:r>
      <w:r w:rsidR="000B383F">
        <w:rPr>
          <w:rFonts w:asciiTheme="minorHAnsi" w:hAnsiTheme="minorHAnsi"/>
          <w:sz w:val="22"/>
          <w:szCs w:val="22"/>
        </w:rPr>
        <w:t xml:space="preserve"> wage growth</w:t>
      </w:r>
      <w:r w:rsidR="0065042D">
        <w:rPr>
          <w:rFonts w:asciiTheme="minorHAnsi" w:hAnsiTheme="minorHAnsi"/>
          <w:sz w:val="22"/>
          <w:szCs w:val="22"/>
        </w:rPr>
        <w:t xml:space="preserve"> (as measured by the Wage Price Index)</w:t>
      </w:r>
      <w:r w:rsidR="000B383F">
        <w:rPr>
          <w:rFonts w:asciiTheme="minorHAnsi" w:hAnsiTheme="minorHAnsi"/>
          <w:sz w:val="22"/>
          <w:szCs w:val="22"/>
        </w:rPr>
        <w:t xml:space="preserve"> has been downgraded from 2½ to 2¼ per cent </w:t>
      </w:r>
      <w:r w:rsidR="008722D5">
        <w:rPr>
          <w:rFonts w:asciiTheme="minorHAnsi" w:hAnsiTheme="minorHAnsi"/>
          <w:sz w:val="22"/>
          <w:szCs w:val="22"/>
        </w:rPr>
        <w:t xml:space="preserve">in the </w:t>
      </w:r>
      <w:r w:rsidR="000B383F">
        <w:rPr>
          <w:rFonts w:asciiTheme="minorHAnsi" w:hAnsiTheme="minorHAnsi"/>
          <w:sz w:val="22"/>
          <w:szCs w:val="22"/>
        </w:rPr>
        <w:t xml:space="preserve">June </w:t>
      </w:r>
      <w:r w:rsidR="008722D5">
        <w:rPr>
          <w:rFonts w:asciiTheme="minorHAnsi" w:hAnsiTheme="minorHAnsi"/>
          <w:sz w:val="22"/>
          <w:szCs w:val="22"/>
        </w:rPr>
        <w:t xml:space="preserve">quarter </w:t>
      </w:r>
      <w:r w:rsidR="000B383F">
        <w:rPr>
          <w:rFonts w:asciiTheme="minorHAnsi" w:hAnsiTheme="minorHAnsi"/>
          <w:sz w:val="22"/>
          <w:szCs w:val="22"/>
        </w:rPr>
        <w:t>2016</w:t>
      </w:r>
      <w:r w:rsidR="0065042D">
        <w:rPr>
          <w:rFonts w:asciiTheme="minorHAnsi" w:hAnsiTheme="minorHAnsi"/>
          <w:sz w:val="22"/>
          <w:szCs w:val="22"/>
        </w:rPr>
        <w:t xml:space="preserve"> and from 2¾ to 2½ per cent in the June quarter 2017.</w:t>
      </w:r>
      <w:r w:rsidR="000B383F">
        <w:rPr>
          <w:rFonts w:asciiTheme="minorHAnsi" w:hAnsiTheme="minorHAnsi"/>
          <w:sz w:val="22"/>
          <w:szCs w:val="22"/>
        </w:rPr>
        <w:t xml:space="preserve"> H</w:t>
      </w:r>
      <w:r w:rsidR="00E02438" w:rsidRPr="008E4765">
        <w:rPr>
          <w:rFonts w:asciiTheme="minorHAnsi" w:hAnsiTheme="minorHAnsi"/>
          <w:sz w:val="22"/>
          <w:szCs w:val="22"/>
        </w:rPr>
        <w:t xml:space="preserve">eadline consumer </w:t>
      </w:r>
      <w:r w:rsidR="0065042D">
        <w:rPr>
          <w:rFonts w:asciiTheme="minorHAnsi" w:hAnsiTheme="minorHAnsi"/>
          <w:sz w:val="22"/>
          <w:szCs w:val="22"/>
        </w:rPr>
        <w:t xml:space="preserve">price </w:t>
      </w:r>
      <w:r w:rsidR="00E02438" w:rsidRPr="008E4765">
        <w:rPr>
          <w:rFonts w:asciiTheme="minorHAnsi" w:hAnsiTheme="minorHAnsi"/>
          <w:sz w:val="22"/>
          <w:szCs w:val="22"/>
        </w:rPr>
        <w:t>inflation</w:t>
      </w:r>
      <w:r w:rsidR="008722D5">
        <w:rPr>
          <w:rFonts w:asciiTheme="minorHAnsi" w:hAnsiTheme="minorHAnsi"/>
          <w:sz w:val="22"/>
          <w:szCs w:val="22"/>
        </w:rPr>
        <w:t xml:space="preserve"> has also been downgraded slightly in the near term, but is </w:t>
      </w:r>
      <w:r w:rsidR="00E02438" w:rsidRPr="008E4765">
        <w:rPr>
          <w:rFonts w:asciiTheme="minorHAnsi" w:hAnsiTheme="minorHAnsi"/>
          <w:sz w:val="22"/>
          <w:szCs w:val="22"/>
        </w:rPr>
        <w:t>forecast</w:t>
      </w:r>
      <w:r w:rsidR="008722D5">
        <w:rPr>
          <w:rFonts w:asciiTheme="minorHAnsi" w:hAnsiTheme="minorHAnsi"/>
          <w:sz w:val="22"/>
          <w:szCs w:val="22"/>
        </w:rPr>
        <w:t xml:space="preserve"> to</w:t>
      </w:r>
      <w:r w:rsidR="00E02438" w:rsidRPr="008E4765">
        <w:rPr>
          <w:rFonts w:asciiTheme="minorHAnsi" w:hAnsiTheme="minorHAnsi"/>
          <w:sz w:val="22"/>
          <w:szCs w:val="22"/>
        </w:rPr>
        <w:t xml:space="preserve"> </w:t>
      </w:r>
      <w:r w:rsidR="008722D5">
        <w:rPr>
          <w:rFonts w:asciiTheme="minorHAnsi" w:hAnsiTheme="minorHAnsi"/>
          <w:sz w:val="22"/>
          <w:szCs w:val="22"/>
        </w:rPr>
        <w:t>return to</w:t>
      </w:r>
      <w:r w:rsidR="00E02438" w:rsidRPr="008E4765">
        <w:rPr>
          <w:rFonts w:asciiTheme="minorHAnsi" w:hAnsiTheme="minorHAnsi"/>
          <w:sz w:val="22"/>
          <w:szCs w:val="22"/>
        </w:rPr>
        <w:t xml:space="preserve"> 2½ per cent</w:t>
      </w:r>
      <w:r w:rsidR="008722D5">
        <w:rPr>
          <w:rFonts w:asciiTheme="minorHAnsi" w:hAnsiTheme="minorHAnsi"/>
          <w:sz w:val="22"/>
          <w:szCs w:val="22"/>
        </w:rPr>
        <w:t xml:space="preserve"> by the June quarter 2018</w:t>
      </w:r>
      <w:r w:rsidRPr="008E4765">
        <w:rPr>
          <w:rFonts w:asciiTheme="minorHAnsi" w:hAnsiTheme="minorHAnsi"/>
          <w:sz w:val="22"/>
          <w:szCs w:val="22"/>
        </w:rPr>
        <w:t>, unchanged from</w:t>
      </w:r>
      <w:r w:rsidR="00085336">
        <w:rPr>
          <w:rFonts w:asciiTheme="minorHAnsi" w:hAnsiTheme="minorHAnsi"/>
          <w:sz w:val="22"/>
          <w:szCs w:val="22"/>
        </w:rPr>
        <w:t xml:space="preserve"> the </w:t>
      </w:r>
      <w:r w:rsidRPr="008E4765">
        <w:rPr>
          <w:rFonts w:asciiTheme="minorHAnsi" w:hAnsiTheme="minorHAnsi"/>
          <w:sz w:val="22"/>
          <w:szCs w:val="22"/>
        </w:rPr>
        <w:t>December JE</w:t>
      </w:r>
      <w:r w:rsidR="00085336">
        <w:rPr>
          <w:rFonts w:asciiTheme="minorHAnsi" w:hAnsiTheme="minorHAnsi"/>
          <w:sz w:val="22"/>
          <w:szCs w:val="22"/>
        </w:rPr>
        <w:t>F</w:t>
      </w:r>
      <w:r w:rsidRPr="008E4765">
        <w:rPr>
          <w:rFonts w:asciiTheme="minorHAnsi" w:hAnsiTheme="minorHAnsi"/>
          <w:sz w:val="22"/>
          <w:szCs w:val="22"/>
        </w:rPr>
        <w:t>G</w:t>
      </w:r>
      <w:r w:rsidR="00085336">
        <w:rPr>
          <w:rFonts w:asciiTheme="minorHAnsi" w:hAnsiTheme="minorHAnsi"/>
          <w:sz w:val="22"/>
          <w:szCs w:val="22"/>
        </w:rPr>
        <w:t xml:space="preserve"> report</w:t>
      </w:r>
      <w:r w:rsidR="00E02438" w:rsidRPr="008E4765">
        <w:rPr>
          <w:rFonts w:asciiTheme="minorHAnsi" w:hAnsiTheme="minorHAnsi"/>
          <w:sz w:val="22"/>
          <w:szCs w:val="22"/>
        </w:rPr>
        <w:t>.</w:t>
      </w:r>
    </w:p>
    <w:p w14:paraId="64B69BEF" w14:textId="77777777" w:rsidR="002F2244" w:rsidRPr="00DC3DAF" w:rsidRDefault="00A207A0" w:rsidP="00ED5F55">
      <w:pPr>
        <w:pStyle w:val="OutlineNumbered1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783D34">
        <w:rPr>
          <w:rFonts w:asciiTheme="minorHAnsi" w:hAnsiTheme="minorHAnsi"/>
          <w:sz w:val="22"/>
          <w:szCs w:val="22"/>
        </w:rPr>
        <w:t xml:space="preserve">ominal GDP </w:t>
      </w:r>
      <w:r>
        <w:rPr>
          <w:rFonts w:asciiTheme="minorHAnsi" w:hAnsiTheme="minorHAnsi"/>
          <w:sz w:val="22"/>
          <w:szCs w:val="22"/>
        </w:rPr>
        <w:t xml:space="preserve">growth </w:t>
      </w:r>
      <w:r w:rsidRPr="00783D34">
        <w:rPr>
          <w:rFonts w:asciiTheme="minorHAnsi" w:hAnsiTheme="minorHAnsi"/>
          <w:sz w:val="22"/>
          <w:szCs w:val="22"/>
        </w:rPr>
        <w:t xml:space="preserve">is forecast to </w:t>
      </w:r>
      <w:r>
        <w:rPr>
          <w:rFonts w:asciiTheme="minorHAnsi" w:hAnsiTheme="minorHAnsi"/>
          <w:sz w:val="22"/>
          <w:szCs w:val="22"/>
        </w:rPr>
        <w:t xml:space="preserve">increase from 2¾ per cent in 2015-16 to </w:t>
      </w:r>
      <w:r w:rsidRPr="00A31213">
        <w:rPr>
          <w:rFonts w:asciiTheme="minorHAnsi" w:hAnsiTheme="minorHAnsi"/>
          <w:sz w:val="22"/>
          <w:szCs w:val="22"/>
        </w:rPr>
        <w:t>4½ per cent in 2016-17</w:t>
      </w:r>
      <w:r>
        <w:rPr>
          <w:rFonts w:asciiTheme="minorHAnsi" w:hAnsiTheme="minorHAnsi"/>
          <w:sz w:val="22"/>
          <w:szCs w:val="22"/>
        </w:rPr>
        <w:t xml:space="preserve">. </w:t>
      </w:r>
      <w:r w:rsidR="00C2347C" w:rsidRPr="008E4765">
        <w:rPr>
          <w:rFonts w:asciiTheme="minorHAnsi" w:hAnsiTheme="minorHAnsi"/>
          <w:sz w:val="22"/>
          <w:szCs w:val="22"/>
        </w:rPr>
        <w:t xml:space="preserve">Nominal GDP growth is expected to pick up to 5 per cent in 2017-18 as stronger </w:t>
      </w:r>
      <w:r w:rsidR="00C2347C" w:rsidRPr="008E4765">
        <w:rPr>
          <w:rFonts w:asciiTheme="minorHAnsi" w:hAnsiTheme="minorHAnsi"/>
          <w:sz w:val="22"/>
          <w:szCs w:val="22"/>
        </w:rPr>
        <w:lastRenderedPageBreak/>
        <w:t xml:space="preserve">growth in output </w:t>
      </w:r>
      <w:r w:rsidR="00C2347C">
        <w:rPr>
          <w:rFonts w:asciiTheme="minorHAnsi" w:hAnsiTheme="minorHAnsi"/>
          <w:sz w:val="22"/>
          <w:szCs w:val="22"/>
        </w:rPr>
        <w:t>volumes combines with faster domestic price growt</w:t>
      </w:r>
      <w:r w:rsidR="00C2347C" w:rsidRPr="008E4765">
        <w:rPr>
          <w:rFonts w:asciiTheme="minorHAnsi" w:hAnsiTheme="minorHAnsi"/>
          <w:sz w:val="22"/>
          <w:szCs w:val="22"/>
        </w:rPr>
        <w:t xml:space="preserve">h. </w:t>
      </w:r>
      <w:r>
        <w:rPr>
          <w:rFonts w:asciiTheme="minorHAnsi" w:hAnsiTheme="minorHAnsi"/>
          <w:sz w:val="22"/>
          <w:szCs w:val="22"/>
        </w:rPr>
        <w:t>Forecast nominal GDP growth is</w:t>
      </w:r>
      <w:r w:rsidRPr="00A3121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higher by </w:t>
      </w:r>
      <w:r w:rsidR="00C2347C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 xml:space="preserve">¼ percentage point in 2016-17 compared to the </w:t>
      </w:r>
      <w:r w:rsidRPr="00A31213">
        <w:rPr>
          <w:rFonts w:asciiTheme="minorHAnsi" w:hAnsiTheme="minorHAnsi"/>
          <w:sz w:val="22"/>
          <w:szCs w:val="22"/>
        </w:rPr>
        <w:t>December JE</w:t>
      </w:r>
      <w:r>
        <w:rPr>
          <w:rFonts w:asciiTheme="minorHAnsi" w:hAnsiTheme="minorHAnsi"/>
          <w:sz w:val="22"/>
          <w:szCs w:val="22"/>
        </w:rPr>
        <w:t>F</w:t>
      </w:r>
      <w:r w:rsidRPr="00A31213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 xml:space="preserve"> report</w:t>
      </w:r>
      <w:r w:rsidR="00C2347C">
        <w:rPr>
          <w:rFonts w:asciiTheme="minorHAnsi" w:hAnsiTheme="minorHAnsi"/>
          <w:sz w:val="22"/>
          <w:szCs w:val="22"/>
        </w:rPr>
        <w:t>, with</w:t>
      </w:r>
      <w:r w:rsidR="00D327CD">
        <w:rPr>
          <w:rFonts w:asciiTheme="minorHAnsi" w:hAnsiTheme="minorHAnsi"/>
          <w:sz w:val="22"/>
          <w:szCs w:val="22"/>
        </w:rPr>
        <w:t xml:space="preserve"> </w:t>
      </w:r>
      <w:r w:rsidR="0065042D">
        <w:rPr>
          <w:rFonts w:asciiTheme="minorHAnsi" w:hAnsiTheme="minorHAnsi"/>
          <w:sz w:val="22"/>
          <w:szCs w:val="22"/>
        </w:rPr>
        <w:t xml:space="preserve">the </w:t>
      </w:r>
      <w:r w:rsidR="00D327CD">
        <w:rPr>
          <w:rFonts w:asciiTheme="minorHAnsi" w:hAnsiTheme="minorHAnsi"/>
          <w:sz w:val="22"/>
          <w:szCs w:val="22"/>
        </w:rPr>
        <w:t>higher</w:t>
      </w:r>
      <w:r>
        <w:rPr>
          <w:rFonts w:asciiTheme="minorHAnsi" w:hAnsiTheme="minorHAnsi"/>
          <w:sz w:val="22"/>
          <w:szCs w:val="22"/>
        </w:rPr>
        <w:t xml:space="preserve"> terms of trade </w:t>
      </w:r>
      <w:r w:rsidR="0025357D">
        <w:rPr>
          <w:rFonts w:asciiTheme="minorHAnsi" w:hAnsiTheme="minorHAnsi"/>
          <w:sz w:val="22"/>
          <w:szCs w:val="22"/>
        </w:rPr>
        <w:t xml:space="preserve">more than </w:t>
      </w:r>
      <w:r>
        <w:rPr>
          <w:rFonts w:asciiTheme="minorHAnsi" w:hAnsiTheme="minorHAnsi"/>
          <w:sz w:val="22"/>
          <w:szCs w:val="22"/>
        </w:rPr>
        <w:t xml:space="preserve">offsetting weaker domestic price inflation. </w:t>
      </w:r>
    </w:p>
    <w:p w14:paraId="4C891BE8" w14:textId="77777777" w:rsidR="009E7768" w:rsidRPr="00DE0424" w:rsidRDefault="0039266D" w:rsidP="00DC5A62">
      <w:pPr>
        <w:pStyle w:val="OutlineNumbered1"/>
        <w:rPr>
          <w:rFonts w:asciiTheme="minorHAnsi" w:hAnsiTheme="minorHAnsi"/>
          <w:sz w:val="22"/>
          <w:szCs w:val="22"/>
        </w:rPr>
      </w:pPr>
      <w:r w:rsidRPr="00DE0424">
        <w:rPr>
          <w:rFonts w:asciiTheme="minorHAnsi" w:hAnsiTheme="minorHAnsi"/>
          <w:sz w:val="22"/>
          <w:szCs w:val="22"/>
        </w:rPr>
        <w:t xml:space="preserve">The key </w:t>
      </w:r>
      <w:r w:rsidR="001F0697">
        <w:rPr>
          <w:rFonts w:asciiTheme="minorHAnsi" w:hAnsiTheme="minorHAnsi"/>
          <w:sz w:val="22"/>
          <w:szCs w:val="22"/>
        </w:rPr>
        <w:t>risks</w:t>
      </w:r>
      <w:r w:rsidRPr="00DE0424">
        <w:rPr>
          <w:rFonts w:asciiTheme="minorHAnsi" w:hAnsiTheme="minorHAnsi"/>
          <w:sz w:val="22"/>
          <w:szCs w:val="22"/>
        </w:rPr>
        <w:t xml:space="preserve"> around the forecasts </w:t>
      </w:r>
      <w:r w:rsidR="00B32320">
        <w:rPr>
          <w:rFonts w:asciiTheme="minorHAnsi" w:hAnsiTheme="minorHAnsi"/>
          <w:sz w:val="22"/>
          <w:szCs w:val="22"/>
        </w:rPr>
        <w:t>remain similar to</w:t>
      </w:r>
      <w:r w:rsidRPr="00DE0424">
        <w:rPr>
          <w:rFonts w:asciiTheme="minorHAnsi" w:hAnsiTheme="minorHAnsi"/>
          <w:sz w:val="22"/>
          <w:szCs w:val="22"/>
        </w:rPr>
        <w:t xml:space="preserve"> </w:t>
      </w:r>
      <w:r w:rsidR="00BD6086">
        <w:rPr>
          <w:rFonts w:asciiTheme="minorHAnsi" w:hAnsiTheme="minorHAnsi"/>
          <w:sz w:val="22"/>
          <w:szCs w:val="22"/>
        </w:rPr>
        <w:t xml:space="preserve">those identified </w:t>
      </w:r>
      <w:r w:rsidR="00980E30">
        <w:rPr>
          <w:rFonts w:asciiTheme="minorHAnsi" w:hAnsiTheme="minorHAnsi"/>
          <w:sz w:val="22"/>
          <w:szCs w:val="22"/>
        </w:rPr>
        <w:t xml:space="preserve">in the </w:t>
      </w:r>
      <w:r w:rsidR="00B32320">
        <w:rPr>
          <w:rFonts w:asciiTheme="minorHAnsi" w:hAnsiTheme="minorHAnsi"/>
          <w:sz w:val="22"/>
          <w:szCs w:val="22"/>
        </w:rPr>
        <w:t>December JE</w:t>
      </w:r>
      <w:r w:rsidR="00783D34">
        <w:rPr>
          <w:rFonts w:asciiTheme="minorHAnsi" w:hAnsiTheme="minorHAnsi"/>
          <w:sz w:val="22"/>
          <w:szCs w:val="22"/>
        </w:rPr>
        <w:t>F</w:t>
      </w:r>
      <w:r w:rsidR="00B32320">
        <w:rPr>
          <w:rFonts w:asciiTheme="minorHAnsi" w:hAnsiTheme="minorHAnsi"/>
          <w:sz w:val="22"/>
          <w:szCs w:val="22"/>
        </w:rPr>
        <w:t>G</w:t>
      </w:r>
      <w:r w:rsidR="00980E30">
        <w:rPr>
          <w:rFonts w:asciiTheme="minorHAnsi" w:hAnsiTheme="minorHAnsi"/>
          <w:sz w:val="22"/>
          <w:szCs w:val="22"/>
        </w:rPr>
        <w:t xml:space="preserve"> report</w:t>
      </w:r>
      <w:r w:rsidR="00BD6086">
        <w:rPr>
          <w:rFonts w:asciiTheme="minorHAnsi" w:hAnsiTheme="minorHAnsi"/>
          <w:sz w:val="22"/>
          <w:szCs w:val="22"/>
        </w:rPr>
        <w:t>.</w:t>
      </w:r>
      <w:r w:rsidR="00DE0424" w:rsidRPr="00DE0424">
        <w:rPr>
          <w:rFonts w:asciiTheme="minorHAnsi" w:hAnsiTheme="minorHAnsi"/>
          <w:sz w:val="22"/>
          <w:szCs w:val="22"/>
        </w:rPr>
        <w:t xml:space="preserve"> </w:t>
      </w:r>
      <w:r w:rsidR="001F0697">
        <w:rPr>
          <w:rFonts w:asciiTheme="minorHAnsi" w:hAnsiTheme="minorHAnsi"/>
          <w:sz w:val="22"/>
          <w:szCs w:val="22"/>
        </w:rPr>
        <w:t xml:space="preserve">The </w:t>
      </w:r>
      <w:r w:rsidR="00E67A33">
        <w:rPr>
          <w:rFonts w:asciiTheme="minorHAnsi" w:hAnsiTheme="minorHAnsi"/>
          <w:sz w:val="22"/>
          <w:szCs w:val="22"/>
        </w:rPr>
        <w:t xml:space="preserve">international outlook and the </w:t>
      </w:r>
      <w:r w:rsidR="001F0697">
        <w:rPr>
          <w:rFonts w:asciiTheme="minorHAnsi" w:hAnsiTheme="minorHAnsi"/>
          <w:sz w:val="22"/>
          <w:szCs w:val="22"/>
        </w:rPr>
        <w:t xml:space="preserve">scale and timing of the pickup in non-mining investment </w:t>
      </w:r>
      <w:r w:rsidR="00E67A33">
        <w:rPr>
          <w:rFonts w:asciiTheme="minorHAnsi" w:hAnsiTheme="minorHAnsi"/>
          <w:sz w:val="22"/>
          <w:szCs w:val="22"/>
        </w:rPr>
        <w:t xml:space="preserve">are </w:t>
      </w:r>
      <w:r w:rsidR="00381C01">
        <w:rPr>
          <w:rFonts w:asciiTheme="minorHAnsi" w:hAnsiTheme="minorHAnsi"/>
          <w:sz w:val="22"/>
          <w:szCs w:val="22"/>
        </w:rPr>
        <w:t>still</w:t>
      </w:r>
      <w:r w:rsidR="00E67A33">
        <w:rPr>
          <w:rFonts w:asciiTheme="minorHAnsi" w:hAnsiTheme="minorHAnsi"/>
          <w:sz w:val="22"/>
          <w:szCs w:val="22"/>
        </w:rPr>
        <w:t xml:space="preserve"> </w:t>
      </w:r>
      <w:r w:rsidR="001F0697">
        <w:rPr>
          <w:rFonts w:asciiTheme="minorHAnsi" w:hAnsiTheme="minorHAnsi"/>
          <w:sz w:val="22"/>
          <w:szCs w:val="22"/>
        </w:rPr>
        <w:t>major s</w:t>
      </w:r>
      <w:r w:rsidR="00A5744F">
        <w:rPr>
          <w:rFonts w:asciiTheme="minorHAnsi" w:hAnsiTheme="minorHAnsi"/>
          <w:sz w:val="22"/>
          <w:szCs w:val="22"/>
        </w:rPr>
        <w:t>ource</w:t>
      </w:r>
      <w:r w:rsidR="00E67A33">
        <w:rPr>
          <w:rFonts w:asciiTheme="minorHAnsi" w:hAnsiTheme="minorHAnsi"/>
          <w:sz w:val="22"/>
          <w:szCs w:val="22"/>
        </w:rPr>
        <w:t>s</w:t>
      </w:r>
      <w:r w:rsidR="00A5744F">
        <w:rPr>
          <w:rFonts w:asciiTheme="minorHAnsi" w:hAnsiTheme="minorHAnsi"/>
          <w:sz w:val="22"/>
          <w:szCs w:val="22"/>
        </w:rPr>
        <w:t xml:space="preserve"> of uncertainty, </w:t>
      </w:r>
      <w:r w:rsidR="00A913A7">
        <w:rPr>
          <w:rFonts w:asciiTheme="minorHAnsi" w:hAnsiTheme="minorHAnsi"/>
          <w:sz w:val="22"/>
          <w:szCs w:val="22"/>
        </w:rPr>
        <w:t xml:space="preserve">and </w:t>
      </w:r>
      <w:r w:rsidR="00C5754B">
        <w:rPr>
          <w:rFonts w:asciiTheme="minorHAnsi" w:hAnsiTheme="minorHAnsi"/>
          <w:sz w:val="22"/>
          <w:szCs w:val="22"/>
        </w:rPr>
        <w:t>uncertainty around the pace of decline in the household saving</w:t>
      </w:r>
      <w:r w:rsidR="00E1426C">
        <w:rPr>
          <w:rFonts w:asciiTheme="minorHAnsi" w:hAnsiTheme="minorHAnsi"/>
          <w:sz w:val="22"/>
          <w:szCs w:val="22"/>
        </w:rPr>
        <w:t>s</w:t>
      </w:r>
      <w:r w:rsidR="00C5754B">
        <w:rPr>
          <w:rFonts w:asciiTheme="minorHAnsi" w:hAnsiTheme="minorHAnsi"/>
          <w:sz w:val="22"/>
          <w:szCs w:val="22"/>
        </w:rPr>
        <w:t xml:space="preserve"> rat</w:t>
      </w:r>
      <w:r w:rsidR="005F35C0">
        <w:rPr>
          <w:rFonts w:asciiTheme="minorHAnsi" w:hAnsiTheme="minorHAnsi"/>
          <w:sz w:val="22"/>
          <w:szCs w:val="22"/>
        </w:rPr>
        <w:t>io</w:t>
      </w:r>
      <w:r w:rsidR="00C5754B">
        <w:rPr>
          <w:rFonts w:asciiTheme="minorHAnsi" w:hAnsiTheme="minorHAnsi"/>
          <w:sz w:val="22"/>
          <w:szCs w:val="22"/>
        </w:rPr>
        <w:t xml:space="preserve"> poses a risk to the rate of consumption growth</w:t>
      </w:r>
      <w:r w:rsidR="001F0697">
        <w:rPr>
          <w:rFonts w:asciiTheme="minorHAnsi" w:hAnsiTheme="minorHAnsi"/>
          <w:sz w:val="22"/>
          <w:szCs w:val="22"/>
        </w:rPr>
        <w:t>.</w:t>
      </w:r>
      <w:r w:rsidR="005B4D6E">
        <w:rPr>
          <w:rFonts w:asciiTheme="minorHAnsi" w:hAnsiTheme="minorHAnsi"/>
          <w:sz w:val="22"/>
          <w:szCs w:val="22"/>
        </w:rPr>
        <w:t xml:space="preserve"> </w:t>
      </w:r>
      <w:r w:rsidR="00A5744F">
        <w:rPr>
          <w:rFonts w:asciiTheme="minorHAnsi" w:hAnsiTheme="minorHAnsi"/>
          <w:sz w:val="22"/>
          <w:szCs w:val="22"/>
        </w:rPr>
        <w:t xml:space="preserve">In addition, </w:t>
      </w:r>
      <w:r w:rsidR="005B4D6E">
        <w:rPr>
          <w:rFonts w:asciiTheme="minorHAnsi" w:hAnsiTheme="minorHAnsi"/>
          <w:sz w:val="22"/>
          <w:szCs w:val="22"/>
        </w:rPr>
        <w:t>there is a risk that the</w:t>
      </w:r>
      <w:r w:rsidR="00A5744F">
        <w:rPr>
          <w:rFonts w:asciiTheme="minorHAnsi" w:hAnsiTheme="minorHAnsi"/>
          <w:sz w:val="22"/>
          <w:szCs w:val="22"/>
        </w:rPr>
        <w:t xml:space="preserve"> exchange rate continues </w:t>
      </w:r>
      <w:r w:rsidR="005B4D6E">
        <w:rPr>
          <w:rFonts w:asciiTheme="minorHAnsi" w:hAnsiTheme="minorHAnsi"/>
          <w:sz w:val="22"/>
          <w:szCs w:val="22"/>
        </w:rPr>
        <w:t xml:space="preserve">to strengthen, weighing on </w:t>
      </w:r>
      <w:r w:rsidR="00E67A33">
        <w:rPr>
          <w:rFonts w:asciiTheme="minorHAnsi" w:hAnsiTheme="minorHAnsi"/>
          <w:sz w:val="22"/>
          <w:szCs w:val="22"/>
        </w:rPr>
        <w:t xml:space="preserve">the contribution to growth from </w:t>
      </w:r>
      <w:r w:rsidR="005B4D6E">
        <w:rPr>
          <w:rFonts w:asciiTheme="minorHAnsi" w:hAnsiTheme="minorHAnsi"/>
          <w:sz w:val="22"/>
          <w:szCs w:val="22"/>
        </w:rPr>
        <w:t xml:space="preserve">Australia’s net exports of goods and services. </w:t>
      </w:r>
      <w:r w:rsidR="00783D34">
        <w:rPr>
          <w:rFonts w:asciiTheme="minorHAnsi" w:hAnsiTheme="minorHAnsi"/>
          <w:sz w:val="22"/>
          <w:szCs w:val="22"/>
        </w:rPr>
        <w:t xml:space="preserve">Whether the </w:t>
      </w:r>
      <w:r w:rsidR="00085336">
        <w:rPr>
          <w:rFonts w:asciiTheme="minorHAnsi" w:hAnsiTheme="minorHAnsi"/>
          <w:sz w:val="22"/>
          <w:szCs w:val="22"/>
        </w:rPr>
        <w:t xml:space="preserve">recent </w:t>
      </w:r>
      <w:r w:rsidR="00783D34">
        <w:rPr>
          <w:rFonts w:asciiTheme="minorHAnsi" w:hAnsiTheme="minorHAnsi"/>
          <w:sz w:val="22"/>
          <w:szCs w:val="22"/>
        </w:rPr>
        <w:t xml:space="preserve">lift in commodity prices will be sustained </w:t>
      </w:r>
      <w:r w:rsidR="0065042D">
        <w:rPr>
          <w:rFonts w:asciiTheme="minorHAnsi" w:hAnsiTheme="minorHAnsi"/>
          <w:sz w:val="22"/>
          <w:szCs w:val="22"/>
        </w:rPr>
        <w:t xml:space="preserve">also </w:t>
      </w:r>
      <w:r w:rsidR="00783D34">
        <w:rPr>
          <w:rFonts w:asciiTheme="minorHAnsi" w:hAnsiTheme="minorHAnsi"/>
          <w:sz w:val="22"/>
          <w:szCs w:val="22"/>
        </w:rPr>
        <w:t xml:space="preserve">represents a key </w:t>
      </w:r>
      <w:r w:rsidR="00085336">
        <w:rPr>
          <w:rFonts w:asciiTheme="minorHAnsi" w:hAnsiTheme="minorHAnsi"/>
          <w:sz w:val="22"/>
          <w:szCs w:val="22"/>
        </w:rPr>
        <w:t>risk to nominal GDP growth.</w:t>
      </w:r>
      <w:r w:rsidR="0065042D">
        <w:rPr>
          <w:rFonts w:asciiTheme="minorHAnsi" w:hAnsiTheme="minorHAnsi"/>
          <w:sz w:val="22"/>
          <w:szCs w:val="22"/>
        </w:rPr>
        <w:t xml:space="preserve"> </w:t>
      </w:r>
      <w:r w:rsidR="009E7768" w:rsidRPr="00DE0424">
        <w:rPr>
          <w:rFonts w:asciiTheme="minorHAnsi" w:hAnsiTheme="minorHAnsi"/>
          <w:sz w:val="22"/>
          <w:szCs w:val="22"/>
        </w:rPr>
        <w:br w:type="page"/>
      </w:r>
    </w:p>
    <w:p w14:paraId="43006554" w14:textId="77777777" w:rsidR="00943678" w:rsidRDefault="00943678" w:rsidP="007A09F7">
      <w:pPr>
        <w:spacing w:after="200" w:line="276" w:lineRule="auto"/>
        <w:contextualSpacing/>
        <w:jc w:val="left"/>
        <w:rPr>
          <w:rFonts w:asciiTheme="minorHAnsi" w:hAnsiTheme="minorHAnsi"/>
          <w:b/>
          <w:sz w:val="22"/>
          <w:szCs w:val="22"/>
        </w:rPr>
      </w:pPr>
      <w:r w:rsidRPr="00943678">
        <w:rPr>
          <w:rFonts w:asciiTheme="minorHAnsi" w:hAnsiTheme="minorHAnsi"/>
          <w:b/>
          <w:sz w:val="22"/>
          <w:szCs w:val="22"/>
        </w:rPr>
        <w:t>Table 1: Domestic economy forecasts</w:t>
      </w:r>
    </w:p>
    <w:p w14:paraId="013C1D63" w14:textId="77777777" w:rsidR="009E7FE9" w:rsidRDefault="00FA3BAF" w:rsidP="007A09F7">
      <w:pPr>
        <w:spacing w:after="200" w:line="276" w:lineRule="auto"/>
        <w:contextualSpacing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en-AU"/>
        </w:rPr>
        <w:drawing>
          <wp:inline distT="0" distB="0" distL="0" distR="0" wp14:anchorId="7EAFB12B" wp14:editId="352CC0C6">
            <wp:extent cx="4876351" cy="7306574"/>
            <wp:effectExtent l="0" t="0" r="6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87" cy="730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1895" w14:textId="77777777" w:rsidR="00400A18" w:rsidRPr="00C41685" w:rsidRDefault="00360AA8" w:rsidP="00943678">
      <w:pPr>
        <w:spacing w:after="200" w:line="276" w:lineRule="auto"/>
        <w:contextualSpacing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en-AU"/>
        </w:rPr>
        <w:drawing>
          <wp:inline distT="0" distB="0" distL="0" distR="0" wp14:anchorId="10EC330A" wp14:editId="506EC892">
            <wp:extent cx="5731510" cy="994862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A18" w:rsidRPr="00C41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B41DE" w14:textId="77777777" w:rsidR="00FA6F27" w:rsidRDefault="00FA6F27" w:rsidP="00ED5F55">
      <w:pPr>
        <w:spacing w:after="0" w:line="240" w:lineRule="auto"/>
      </w:pPr>
      <w:r>
        <w:separator/>
      </w:r>
    </w:p>
  </w:endnote>
  <w:endnote w:type="continuationSeparator" w:id="0">
    <w:p w14:paraId="3F4573DD" w14:textId="77777777" w:rsidR="00FA6F27" w:rsidRDefault="00FA6F27" w:rsidP="00ED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B577E" w14:textId="77777777" w:rsidR="00FC79CC" w:rsidRDefault="00064C36" w:rsidP="00A377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3834BF" w14:textId="77777777" w:rsidR="00FC79CC" w:rsidRDefault="007524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28090" w14:textId="77777777" w:rsidR="00FC79CC" w:rsidRDefault="00064C36" w:rsidP="00BC45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41F">
      <w:rPr>
        <w:rStyle w:val="PageNumber"/>
        <w:noProof/>
      </w:rPr>
      <w:t>4</w:t>
    </w:r>
    <w:r>
      <w:rPr>
        <w:rStyle w:val="PageNumber"/>
      </w:rPr>
      <w:fldChar w:fldCharType="end"/>
    </w:r>
  </w:p>
  <w:p w14:paraId="4E9AF904" w14:textId="77777777" w:rsidR="00FC79CC" w:rsidRDefault="007524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15CE2" w14:textId="77777777" w:rsidR="00FA6F27" w:rsidRDefault="00FA6F27" w:rsidP="00ED5F55">
      <w:pPr>
        <w:spacing w:after="0" w:line="240" w:lineRule="auto"/>
      </w:pPr>
      <w:r>
        <w:separator/>
      </w:r>
    </w:p>
  </w:footnote>
  <w:footnote w:type="continuationSeparator" w:id="0">
    <w:p w14:paraId="1B593549" w14:textId="77777777" w:rsidR="00FA6F27" w:rsidRDefault="00FA6F27" w:rsidP="00ED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8FC1B" w14:textId="77777777" w:rsidR="00FC79CC" w:rsidRPr="00704E0D" w:rsidRDefault="009474F8" w:rsidP="00704E0D">
    <w:pPr>
      <w:pStyle w:val="StatementContentsHeading"/>
      <w:rPr>
        <w:sz w:val="20"/>
        <w:szCs w:val="20"/>
      </w:rPr>
    </w:pPr>
    <w:r>
      <w:rPr>
        <w:sz w:val="20"/>
        <w:szCs w:val="20"/>
      </w:rPr>
      <w:t xml:space="preserve"> </w:t>
    </w:r>
  </w:p>
  <w:p w14:paraId="070C4E83" w14:textId="77777777" w:rsidR="00FC79CC" w:rsidRDefault="007524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D44"/>
    <w:multiLevelType w:val="multilevel"/>
    <w:tmpl w:val="AFEED546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  <w:rPr>
        <w:color w:val="auto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F577F86"/>
    <w:multiLevelType w:val="hybridMultilevel"/>
    <w:tmpl w:val="062AF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55"/>
    <w:rsid w:val="00005063"/>
    <w:rsid w:val="000103D8"/>
    <w:rsid w:val="00036D08"/>
    <w:rsid w:val="00064C36"/>
    <w:rsid w:val="00074F0F"/>
    <w:rsid w:val="0007545C"/>
    <w:rsid w:val="00085336"/>
    <w:rsid w:val="000B383F"/>
    <w:rsid w:val="000B6359"/>
    <w:rsid w:val="000F26DB"/>
    <w:rsid w:val="00163DE8"/>
    <w:rsid w:val="001B1A45"/>
    <w:rsid w:val="001D48D5"/>
    <w:rsid w:val="001E3D36"/>
    <w:rsid w:val="001F0697"/>
    <w:rsid w:val="0025357D"/>
    <w:rsid w:val="00291816"/>
    <w:rsid w:val="002A5450"/>
    <w:rsid w:val="002C2E2B"/>
    <w:rsid w:val="002D77D8"/>
    <w:rsid w:val="002F2244"/>
    <w:rsid w:val="00315523"/>
    <w:rsid w:val="0033398E"/>
    <w:rsid w:val="003448C7"/>
    <w:rsid w:val="00360AA8"/>
    <w:rsid w:val="003611E0"/>
    <w:rsid w:val="00381C01"/>
    <w:rsid w:val="00383AFF"/>
    <w:rsid w:val="0039266D"/>
    <w:rsid w:val="003A25CE"/>
    <w:rsid w:val="003A67CF"/>
    <w:rsid w:val="003B16AB"/>
    <w:rsid w:val="003B5AEF"/>
    <w:rsid w:val="003B7D56"/>
    <w:rsid w:val="003E0FCB"/>
    <w:rsid w:val="003E73D5"/>
    <w:rsid w:val="003F1C61"/>
    <w:rsid w:val="003F710D"/>
    <w:rsid w:val="003F7515"/>
    <w:rsid w:val="00400A18"/>
    <w:rsid w:val="00403D1C"/>
    <w:rsid w:val="00427D83"/>
    <w:rsid w:val="00437F18"/>
    <w:rsid w:val="00484734"/>
    <w:rsid w:val="00486901"/>
    <w:rsid w:val="004C1577"/>
    <w:rsid w:val="0050033C"/>
    <w:rsid w:val="00505065"/>
    <w:rsid w:val="00510DCF"/>
    <w:rsid w:val="005341B8"/>
    <w:rsid w:val="0056591A"/>
    <w:rsid w:val="00572CDD"/>
    <w:rsid w:val="005B45A2"/>
    <w:rsid w:val="005B4D6E"/>
    <w:rsid w:val="005D0F2B"/>
    <w:rsid w:val="005F35C0"/>
    <w:rsid w:val="005F4C37"/>
    <w:rsid w:val="006144AB"/>
    <w:rsid w:val="006267DE"/>
    <w:rsid w:val="00631687"/>
    <w:rsid w:val="00641E27"/>
    <w:rsid w:val="0065042D"/>
    <w:rsid w:val="0066070D"/>
    <w:rsid w:val="00664E70"/>
    <w:rsid w:val="00690626"/>
    <w:rsid w:val="006A3282"/>
    <w:rsid w:val="00703D44"/>
    <w:rsid w:val="00717032"/>
    <w:rsid w:val="00721A63"/>
    <w:rsid w:val="007305EF"/>
    <w:rsid w:val="0075241F"/>
    <w:rsid w:val="007559E0"/>
    <w:rsid w:val="00783D34"/>
    <w:rsid w:val="007872B9"/>
    <w:rsid w:val="007A09F7"/>
    <w:rsid w:val="0080687F"/>
    <w:rsid w:val="00833833"/>
    <w:rsid w:val="00846DCF"/>
    <w:rsid w:val="00856CA3"/>
    <w:rsid w:val="008722D5"/>
    <w:rsid w:val="00875A42"/>
    <w:rsid w:val="00876B3E"/>
    <w:rsid w:val="00897820"/>
    <w:rsid w:val="008D17BE"/>
    <w:rsid w:val="008D2701"/>
    <w:rsid w:val="008E4765"/>
    <w:rsid w:val="00934E55"/>
    <w:rsid w:val="00943678"/>
    <w:rsid w:val="009474F8"/>
    <w:rsid w:val="00972E66"/>
    <w:rsid w:val="00976C95"/>
    <w:rsid w:val="00980E30"/>
    <w:rsid w:val="009E7768"/>
    <w:rsid w:val="009E7FE9"/>
    <w:rsid w:val="00A06434"/>
    <w:rsid w:val="00A102A2"/>
    <w:rsid w:val="00A207A0"/>
    <w:rsid w:val="00A31213"/>
    <w:rsid w:val="00A5744F"/>
    <w:rsid w:val="00A61787"/>
    <w:rsid w:val="00A913A7"/>
    <w:rsid w:val="00AC7BDF"/>
    <w:rsid w:val="00B02986"/>
    <w:rsid w:val="00B32320"/>
    <w:rsid w:val="00B7524A"/>
    <w:rsid w:val="00BD0CC9"/>
    <w:rsid w:val="00BD56A3"/>
    <w:rsid w:val="00BD6086"/>
    <w:rsid w:val="00C2347C"/>
    <w:rsid w:val="00C243AB"/>
    <w:rsid w:val="00C3766E"/>
    <w:rsid w:val="00C41685"/>
    <w:rsid w:val="00C41AC5"/>
    <w:rsid w:val="00C55D50"/>
    <w:rsid w:val="00C5754B"/>
    <w:rsid w:val="00C6738F"/>
    <w:rsid w:val="00C716C2"/>
    <w:rsid w:val="00C73D0C"/>
    <w:rsid w:val="00C8422F"/>
    <w:rsid w:val="00C85A60"/>
    <w:rsid w:val="00CA4545"/>
    <w:rsid w:val="00CC31BE"/>
    <w:rsid w:val="00CE686F"/>
    <w:rsid w:val="00CF5A45"/>
    <w:rsid w:val="00D216D1"/>
    <w:rsid w:val="00D327CD"/>
    <w:rsid w:val="00D42573"/>
    <w:rsid w:val="00D830A5"/>
    <w:rsid w:val="00DC3DAF"/>
    <w:rsid w:val="00DC5A62"/>
    <w:rsid w:val="00DC6CF9"/>
    <w:rsid w:val="00DE0424"/>
    <w:rsid w:val="00DE09B0"/>
    <w:rsid w:val="00E02438"/>
    <w:rsid w:val="00E05B69"/>
    <w:rsid w:val="00E11E84"/>
    <w:rsid w:val="00E1426C"/>
    <w:rsid w:val="00E20007"/>
    <w:rsid w:val="00E21EED"/>
    <w:rsid w:val="00E4101B"/>
    <w:rsid w:val="00E52B9D"/>
    <w:rsid w:val="00E67A33"/>
    <w:rsid w:val="00E80BAA"/>
    <w:rsid w:val="00E95F9D"/>
    <w:rsid w:val="00EC716D"/>
    <w:rsid w:val="00ED5F55"/>
    <w:rsid w:val="00EE150C"/>
    <w:rsid w:val="00F03121"/>
    <w:rsid w:val="00F21B0B"/>
    <w:rsid w:val="00F35F9B"/>
    <w:rsid w:val="00F409DE"/>
    <w:rsid w:val="00F61090"/>
    <w:rsid w:val="00F87BF6"/>
    <w:rsid w:val="00FA3BAF"/>
    <w:rsid w:val="00FA6F27"/>
    <w:rsid w:val="00FB0F7A"/>
    <w:rsid w:val="00FC70A0"/>
    <w:rsid w:val="00FE6B92"/>
    <w:rsid w:val="00FF50DD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1C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55"/>
    <w:pPr>
      <w:spacing w:after="240" w:line="260" w:lineRule="exact"/>
      <w:jc w:val="both"/>
    </w:pPr>
    <w:rPr>
      <w:rFonts w:ascii="Book Antiqua" w:eastAsia="SimSun" w:hAnsi="Book Antiqu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5F55"/>
    <w:pPr>
      <w:tabs>
        <w:tab w:val="center" w:pos="3856"/>
        <w:tab w:val="right" w:pos="7711"/>
      </w:tabs>
    </w:pPr>
    <w:rPr>
      <w:rFonts w:ascii="Tahoma" w:hAnsi="Tahoma"/>
      <w:sz w:val="18"/>
    </w:rPr>
  </w:style>
  <w:style w:type="character" w:customStyle="1" w:styleId="HeaderChar">
    <w:name w:val="Header Char"/>
    <w:basedOn w:val="DefaultParagraphFont"/>
    <w:link w:val="Header"/>
    <w:rsid w:val="00ED5F55"/>
    <w:rPr>
      <w:rFonts w:ascii="Tahoma" w:eastAsia="SimSun" w:hAnsi="Tahom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rsid w:val="00ED5F55"/>
    <w:pPr>
      <w:spacing w:after="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ED5F55"/>
    <w:rPr>
      <w:rFonts w:ascii="Tahoma" w:eastAsia="SimSun" w:hAnsi="Tahoma" w:cs="Times New Roman"/>
      <w:sz w:val="20"/>
      <w:szCs w:val="24"/>
    </w:rPr>
  </w:style>
  <w:style w:type="character" w:styleId="PageNumber">
    <w:name w:val="page number"/>
    <w:basedOn w:val="DefaultParagraphFont"/>
    <w:rsid w:val="00ED5F55"/>
  </w:style>
  <w:style w:type="paragraph" w:customStyle="1" w:styleId="StatementContentsHeading">
    <w:name w:val="StatementContentsHeading"/>
    <w:basedOn w:val="Heading1"/>
    <w:next w:val="Normal"/>
    <w:rsid w:val="00ED5F55"/>
    <w:pPr>
      <w:keepLines w:val="0"/>
      <w:spacing w:before="0" w:after="240"/>
      <w:jc w:val="center"/>
    </w:pPr>
    <w:rPr>
      <w:rFonts w:ascii="Tahoma" w:eastAsia="SimSun" w:hAnsi="Tahoma" w:cs="Times New Roman"/>
      <w:bCs w:val="0"/>
      <w:smallCaps/>
      <w:color w:val="auto"/>
      <w:kern w:val="28"/>
      <w:sz w:val="34"/>
      <w:szCs w:val="24"/>
    </w:rPr>
  </w:style>
  <w:style w:type="paragraph" w:styleId="Title">
    <w:name w:val="Title"/>
    <w:basedOn w:val="Normal"/>
    <w:link w:val="TitleChar"/>
    <w:uiPriority w:val="10"/>
    <w:qFormat/>
    <w:rsid w:val="00ED5F55"/>
    <w:pPr>
      <w:spacing w:line="240" w:lineRule="auto"/>
      <w:jc w:val="center"/>
    </w:pPr>
    <w:rPr>
      <w:rFonts w:ascii="Tahoma" w:hAnsi="Tahoma"/>
      <w:smallCaps/>
      <w:color w:val="000000"/>
      <w:sz w:val="3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D5F55"/>
    <w:rPr>
      <w:rFonts w:ascii="Tahoma" w:eastAsia="SimSun" w:hAnsi="Tahoma" w:cs="Times New Roman"/>
      <w:smallCaps/>
      <w:color w:val="000000"/>
      <w:sz w:val="3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F5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F55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ED5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utlineNumbered1">
    <w:name w:val="Outline Numbered 1"/>
    <w:basedOn w:val="Normal"/>
    <w:link w:val="OutlineNumbered1Char"/>
    <w:rsid w:val="00ED5F55"/>
    <w:pPr>
      <w:numPr>
        <w:numId w:val="1"/>
      </w:numPr>
    </w:pPr>
  </w:style>
  <w:style w:type="character" w:customStyle="1" w:styleId="OutlineNumbered1Char">
    <w:name w:val="Outline Numbered 1 Char"/>
    <w:basedOn w:val="DefaultParagraphFont"/>
    <w:link w:val="OutlineNumbered1"/>
    <w:rsid w:val="00ED5F55"/>
    <w:rPr>
      <w:rFonts w:ascii="Book Antiqua" w:eastAsia="SimSun" w:hAnsi="Book Antiqua" w:cs="Times New Roman"/>
      <w:sz w:val="20"/>
      <w:szCs w:val="24"/>
    </w:rPr>
  </w:style>
  <w:style w:type="paragraph" w:customStyle="1" w:styleId="OutlineNumbered2">
    <w:name w:val="Outline Numbered 2"/>
    <w:basedOn w:val="Normal"/>
    <w:link w:val="OutlineNumbered2Char"/>
    <w:rsid w:val="00ED5F55"/>
    <w:pPr>
      <w:numPr>
        <w:ilvl w:val="1"/>
        <w:numId w:val="1"/>
      </w:numPr>
    </w:pPr>
  </w:style>
  <w:style w:type="character" w:customStyle="1" w:styleId="OutlineNumbered2Char">
    <w:name w:val="Outline Numbered 2 Char"/>
    <w:basedOn w:val="DefaultParagraphFont"/>
    <w:link w:val="OutlineNumbered2"/>
    <w:rsid w:val="00ED5F55"/>
    <w:rPr>
      <w:rFonts w:ascii="Book Antiqua" w:eastAsia="SimSun" w:hAnsi="Book Antiqua" w:cs="Times New Roman"/>
      <w:sz w:val="20"/>
      <w:szCs w:val="24"/>
    </w:rPr>
  </w:style>
  <w:style w:type="paragraph" w:customStyle="1" w:styleId="OutlineNumbered3">
    <w:name w:val="Outline Numbered 3"/>
    <w:basedOn w:val="Normal"/>
    <w:link w:val="OutlineNumbered3Char"/>
    <w:rsid w:val="00ED5F55"/>
    <w:pPr>
      <w:numPr>
        <w:ilvl w:val="2"/>
        <w:numId w:val="1"/>
      </w:numPr>
    </w:pPr>
  </w:style>
  <w:style w:type="character" w:customStyle="1" w:styleId="OutlineNumbered3Char">
    <w:name w:val="Outline Numbered 3 Char"/>
    <w:basedOn w:val="DefaultParagraphFont"/>
    <w:link w:val="OutlineNumbered3"/>
    <w:rsid w:val="00ED5F55"/>
    <w:rPr>
      <w:rFonts w:ascii="Book Antiqua" w:eastAsia="SimSun" w:hAnsi="Book Antiqu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78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003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033C"/>
  </w:style>
  <w:style w:type="table" w:styleId="TableGrid">
    <w:name w:val="Table Grid"/>
    <w:basedOn w:val="TableNormal"/>
    <w:uiPriority w:val="59"/>
    <w:rsid w:val="007A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0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F2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F2B"/>
    <w:rPr>
      <w:rFonts w:ascii="Book Antiqua" w:eastAsia="SimSu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F2B"/>
    <w:rPr>
      <w:rFonts w:ascii="Book Antiqua" w:eastAsia="SimSun" w:hAnsi="Book Antiqu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347C"/>
    <w:pPr>
      <w:spacing w:after="0" w:line="240" w:lineRule="auto"/>
    </w:pPr>
    <w:rPr>
      <w:rFonts w:ascii="Book Antiqua" w:eastAsia="SimSun" w:hAnsi="Book Antiqu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55"/>
    <w:pPr>
      <w:spacing w:after="240" w:line="260" w:lineRule="exact"/>
      <w:jc w:val="both"/>
    </w:pPr>
    <w:rPr>
      <w:rFonts w:ascii="Book Antiqua" w:eastAsia="SimSun" w:hAnsi="Book Antiqu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5F55"/>
    <w:pPr>
      <w:tabs>
        <w:tab w:val="center" w:pos="3856"/>
        <w:tab w:val="right" w:pos="7711"/>
      </w:tabs>
    </w:pPr>
    <w:rPr>
      <w:rFonts w:ascii="Tahoma" w:hAnsi="Tahoma"/>
      <w:sz w:val="18"/>
    </w:rPr>
  </w:style>
  <w:style w:type="character" w:customStyle="1" w:styleId="HeaderChar">
    <w:name w:val="Header Char"/>
    <w:basedOn w:val="DefaultParagraphFont"/>
    <w:link w:val="Header"/>
    <w:rsid w:val="00ED5F55"/>
    <w:rPr>
      <w:rFonts w:ascii="Tahoma" w:eastAsia="SimSun" w:hAnsi="Tahom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rsid w:val="00ED5F55"/>
    <w:pPr>
      <w:spacing w:after="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ED5F55"/>
    <w:rPr>
      <w:rFonts w:ascii="Tahoma" w:eastAsia="SimSun" w:hAnsi="Tahoma" w:cs="Times New Roman"/>
      <w:sz w:val="20"/>
      <w:szCs w:val="24"/>
    </w:rPr>
  </w:style>
  <w:style w:type="character" w:styleId="PageNumber">
    <w:name w:val="page number"/>
    <w:basedOn w:val="DefaultParagraphFont"/>
    <w:rsid w:val="00ED5F55"/>
  </w:style>
  <w:style w:type="paragraph" w:customStyle="1" w:styleId="StatementContentsHeading">
    <w:name w:val="StatementContentsHeading"/>
    <w:basedOn w:val="Heading1"/>
    <w:next w:val="Normal"/>
    <w:rsid w:val="00ED5F55"/>
    <w:pPr>
      <w:keepLines w:val="0"/>
      <w:spacing w:before="0" w:after="240"/>
      <w:jc w:val="center"/>
    </w:pPr>
    <w:rPr>
      <w:rFonts w:ascii="Tahoma" w:eastAsia="SimSun" w:hAnsi="Tahoma" w:cs="Times New Roman"/>
      <w:bCs w:val="0"/>
      <w:smallCaps/>
      <w:color w:val="auto"/>
      <w:kern w:val="28"/>
      <w:sz w:val="34"/>
      <w:szCs w:val="24"/>
    </w:rPr>
  </w:style>
  <w:style w:type="paragraph" w:styleId="Title">
    <w:name w:val="Title"/>
    <w:basedOn w:val="Normal"/>
    <w:link w:val="TitleChar"/>
    <w:uiPriority w:val="10"/>
    <w:qFormat/>
    <w:rsid w:val="00ED5F55"/>
    <w:pPr>
      <w:spacing w:line="240" w:lineRule="auto"/>
      <w:jc w:val="center"/>
    </w:pPr>
    <w:rPr>
      <w:rFonts w:ascii="Tahoma" w:hAnsi="Tahoma"/>
      <w:smallCaps/>
      <w:color w:val="000000"/>
      <w:sz w:val="3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D5F55"/>
    <w:rPr>
      <w:rFonts w:ascii="Tahoma" w:eastAsia="SimSun" w:hAnsi="Tahoma" w:cs="Times New Roman"/>
      <w:smallCaps/>
      <w:color w:val="000000"/>
      <w:sz w:val="3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F5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F55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ED5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utlineNumbered1">
    <w:name w:val="Outline Numbered 1"/>
    <w:basedOn w:val="Normal"/>
    <w:link w:val="OutlineNumbered1Char"/>
    <w:rsid w:val="00ED5F55"/>
    <w:pPr>
      <w:numPr>
        <w:numId w:val="1"/>
      </w:numPr>
    </w:pPr>
  </w:style>
  <w:style w:type="character" w:customStyle="1" w:styleId="OutlineNumbered1Char">
    <w:name w:val="Outline Numbered 1 Char"/>
    <w:basedOn w:val="DefaultParagraphFont"/>
    <w:link w:val="OutlineNumbered1"/>
    <w:rsid w:val="00ED5F55"/>
    <w:rPr>
      <w:rFonts w:ascii="Book Antiqua" w:eastAsia="SimSun" w:hAnsi="Book Antiqua" w:cs="Times New Roman"/>
      <w:sz w:val="20"/>
      <w:szCs w:val="24"/>
    </w:rPr>
  </w:style>
  <w:style w:type="paragraph" w:customStyle="1" w:styleId="OutlineNumbered2">
    <w:name w:val="Outline Numbered 2"/>
    <w:basedOn w:val="Normal"/>
    <w:link w:val="OutlineNumbered2Char"/>
    <w:rsid w:val="00ED5F55"/>
    <w:pPr>
      <w:numPr>
        <w:ilvl w:val="1"/>
        <w:numId w:val="1"/>
      </w:numPr>
    </w:pPr>
  </w:style>
  <w:style w:type="character" w:customStyle="1" w:styleId="OutlineNumbered2Char">
    <w:name w:val="Outline Numbered 2 Char"/>
    <w:basedOn w:val="DefaultParagraphFont"/>
    <w:link w:val="OutlineNumbered2"/>
    <w:rsid w:val="00ED5F55"/>
    <w:rPr>
      <w:rFonts w:ascii="Book Antiqua" w:eastAsia="SimSun" w:hAnsi="Book Antiqua" w:cs="Times New Roman"/>
      <w:sz w:val="20"/>
      <w:szCs w:val="24"/>
    </w:rPr>
  </w:style>
  <w:style w:type="paragraph" w:customStyle="1" w:styleId="OutlineNumbered3">
    <w:name w:val="Outline Numbered 3"/>
    <w:basedOn w:val="Normal"/>
    <w:link w:val="OutlineNumbered3Char"/>
    <w:rsid w:val="00ED5F55"/>
    <w:pPr>
      <w:numPr>
        <w:ilvl w:val="2"/>
        <w:numId w:val="1"/>
      </w:numPr>
    </w:pPr>
  </w:style>
  <w:style w:type="character" w:customStyle="1" w:styleId="OutlineNumbered3Char">
    <w:name w:val="Outline Numbered 3 Char"/>
    <w:basedOn w:val="DefaultParagraphFont"/>
    <w:link w:val="OutlineNumbered3"/>
    <w:rsid w:val="00ED5F55"/>
    <w:rPr>
      <w:rFonts w:ascii="Book Antiqua" w:eastAsia="SimSun" w:hAnsi="Book Antiqu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78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003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033C"/>
  </w:style>
  <w:style w:type="table" w:styleId="TableGrid">
    <w:name w:val="Table Grid"/>
    <w:basedOn w:val="TableNormal"/>
    <w:uiPriority w:val="59"/>
    <w:rsid w:val="007A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0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F2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F2B"/>
    <w:rPr>
      <w:rFonts w:ascii="Book Antiqua" w:eastAsia="SimSu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F2B"/>
    <w:rPr>
      <w:rFonts w:ascii="Book Antiqua" w:eastAsia="SimSun" w:hAnsi="Book Antiqu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347C"/>
    <w:pPr>
      <w:spacing w:after="0" w:line="240" w:lineRule="auto"/>
    </w:pPr>
    <w:rPr>
      <w:rFonts w:ascii="Book Antiqua" w:eastAsia="SimSun" w:hAnsi="Book Antiqu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605AAC981168BE40A9BD548B81A50DF6|1757814118" UniqueId="5cc967dd-c912-4b3c-bade-a8b03f189c5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605AAC981168BE40A9BD548B81A50DF6006FAAEFECF4B76B4B9E1AE4C08850A518" ma:contentTypeVersion="16843" ma:contentTypeDescription="" ma:contentTypeScope="" ma:versionID="462df742b83266e91ef7b6f75a1185a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eb47d8b7-fefc-4923-b53c-9685ba6b7210" targetNamespace="http://schemas.microsoft.com/office/2006/metadata/properties" ma:root="true" ma:fieldsID="8164553c18adbe106330016efb7dab14" ns1:_="" ns2:_="" ns3:_="">
    <xsd:import namespace="http://schemas.microsoft.com/sharepoint/v3"/>
    <xsd:import namespace="0f563589-9cf9-4143-b1eb-fb0534803d38"/>
    <xsd:import namespace="eb47d8b7-fefc-4923-b53c-9685ba6b72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587f53-e282-4719-ab13-46559658bd12}" ma:internalName="TaxCatchAll" ma:showField="CatchAllData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587f53-e282-4719-ab13-46559658bd12}" ma:internalName="TaxCatchAllLabel" ma:readOnly="true" ma:showField="CatchAllDataLabel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d8b7-fefc-4923-b53c-9685ba6b7210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5;#AE-20337-Destroy 7 years after action completed|668ae28e-5138-4c7c-82db-1c8c6afc81a6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eb47d8b7-fefc-4923-b53c-9685ba6b72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AE-20337-Destroy 7 years after action completed</TermName>
          <TermId xmlns="http://schemas.microsoft.com/office/infopath/2007/PartnerControls">668ae28e-5138-4c7c-82db-1c8c6afc81a6</TermId>
        </TermInfo>
      </Terms>
    </lb508a4dc5e84436a0fe496b536466aa>
    <TaxCatchAll xmlns="0f563589-9cf9-4143-b1eb-fb0534803d38">
      <Value>75</Value>
    </TaxCatchAll>
    <_dlc_DocId xmlns="0f563589-9cf9-4143-b1eb-fb0534803d38">2019CSSG-835809292-11</_dlc_DocId>
    <_dlc_DocIdUrl xmlns="0f563589-9cf9-4143-b1eb-fb0534803d38">
      <Url>http://tweb/sites/cssg/ped/pu/pt/_layouts/15/DocIdRedir.aspx?ID=2019CSSG-835809292-11</Url>
      <Description>2019CSSG-835809292-11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31FB-D6DC-4817-A581-CE40B93E094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1975592-D4CA-4EDB-A42C-42A097CDCA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70433D-FCB7-4580-9FCB-43996230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eb47d8b7-fefc-4923-b53c-9685ba6b7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AD066-4D03-4793-B6F2-504EB11DBD31}">
  <ds:schemaRefs>
    <ds:schemaRef ds:uri="http://www.w3.org/XML/1998/namespace"/>
    <ds:schemaRef ds:uri="http://schemas.openxmlformats.org/package/2006/metadata/core-properties"/>
    <ds:schemaRef ds:uri="0f563589-9cf9-4143-b1eb-fb0534803d3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eb47d8b7-fefc-4923-b53c-9685ba6b7210"/>
    <ds:schemaRef ds:uri="http://schemas.microsoft.com/sharepoint/v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0E55A05-A8EC-4D55-A695-D89AC87188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ECFBC51-91D3-40DA-B283-8940B06B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859</Words>
  <Characters>4237</Characters>
  <Application>Microsoft Office Word</Application>
  <DocSecurity>0</DocSecurity>
  <Lines>81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Economic Forecasting Group Report - March 2016</vt:lpstr>
    </vt:vector>
  </TitlesOfParts>
  <Company>Australian Government - The Treasury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Economic Forecasting Group Report - March 2016</dc:title>
  <dc:creator>The Treasury</dc:creator>
  <cp:lastModifiedBy>Hill, Christine</cp:lastModifiedBy>
  <cp:revision>3</cp:revision>
  <cp:lastPrinted>2016-05-01T23:50:00Z</cp:lastPrinted>
  <dcterms:created xsi:type="dcterms:W3CDTF">2019-01-08T04:28:00Z</dcterms:created>
  <dcterms:modified xsi:type="dcterms:W3CDTF">2019-01-08T23:16:00Z</dcterms:modified>
</cp:coreProperties>
</file>