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B06E4B" w:rsidRPr="001625BF" w:rsidRDefault="00B06E4B" w:rsidP="00B06E4B">
      <w:pPr>
        <w:jc w:val="center"/>
        <w:rPr>
          <w:rFonts w:ascii="Arial" w:hAnsi="Arial" w:cs="Arial"/>
          <w:b/>
          <w:sz w:val="28"/>
          <w:szCs w:val="28"/>
        </w:rPr>
      </w:pPr>
      <w:r w:rsidRPr="001625BF">
        <w:rPr>
          <w:rFonts w:ascii="Arial" w:hAnsi="Arial" w:cs="Arial"/>
          <w:b/>
          <w:sz w:val="28"/>
          <w:szCs w:val="28"/>
        </w:rPr>
        <w:t>Projections of H</w:t>
      </w:r>
      <w:r w:rsidR="00817A03" w:rsidRPr="001625BF">
        <w:rPr>
          <w:rFonts w:ascii="Arial" w:hAnsi="Arial" w:cs="Arial"/>
          <w:b/>
          <w:sz w:val="28"/>
          <w:szCs w:val="28"/>
        </w:rPr>
        <w:t xml:space="preserve">ousing Demand in </w:t>
      </w:r>
      <w:smartTag w:uri="urn:schemas-microsoft-com:office:smarttags" w:element="place">
        <w:smartTag w:uri="urn:schemas-microsoft-com:office:smarttags" w:element="country-region">
          <w:r w:rsidR="00817A03" w:rsidRPr="001625BF">
            <w:rPr>
              <w:rFonts w:ascii="Arial" w:hAnsi="Arial" w:cs="Arial"/>
              <w:b/>
              <w:sz w:val="28"/>
              <w:szCs w:val="28"/>
            </w:rPr>
            <w:t>Australia</w:t>
          </w:r>
        </w:smartTag>
      </w:smartTag>
      <w:r w:rsidR="00EB7641">
        <w:rPr>
          <w:rFonts w:ascii="Arial" w:hAnsi="Arial" w:cs="Arial"/>
          <w:b/>
          <w:sz w:val="28"/>
          <w:szCs w:val="28"/>
        </w:rPr>
        <w:t>, 2009-2039</w:t>
      </w:r>
    </w:p>
    <w:p w:rsidR="00B06E4B" w:rsidRPr="001625BF" w:rsidRDefault="00B06E4B" w:rsidP="00B06E4B">
      <w:pPr>
        <w:jc w:val="center"/>
        <w:rPr>
          <w:rFonts w:ascii="Arial" w:hAnsi="Arial" w:cs="Arial"/>
          <w:b/>
          <w:sz w:val="28"/>
          <w:szCs w:val="28"/>
        </w:rPr>
      </w:pPr>
    </w:p>
    <w:p w:rsidR="00B06E4B" w:rsidRPr="001625BF" w:rsidRDefault="00B06E4B" w:rsidP="00B06E4B">
      <w:pPr>
        <w:jc w:val="center"/>
        <w:rPr>
          <w:rFonts w:ascii="Arial" w:hAnsi="Arial" w:cs="Arial"/>
          <w:b/>
          <w:sz w:val="28"/>
          <w:szCs w:val="28"/>
        </w:rPr>
      </w:pPr>
      <w:r w:rsidRPr="001625BF">
        <w:rPr>
          <w:rFonts w:ascii="Arial" w:hAnsi="Arial" w:cs="Arial"/>
          <w:b/>
          <w:sz w:val="28"/>
          <w:szCs w:val="28"/>
        </w:rPr>
        <w:t>Narrative Report</w:t>
      </w:r>
      <w:r w:rsidR="001625BF" w:rsidRPr="001625BF">
        <w:rPr>
          <w:rFonts w:ascii="Arial" w:hAnsi="Arial" w:cs="Arial"/>
          <w:b/>
          <w:sz w:val="28"/>
          <w:szCs w:val="28"/>
        </w:rPr>
        <w:t xml:space="preserve"> </w:t>
      </w:r>
    </w:p>
    <w:p w:rsidR="001625BF" w:rsidRPr="001625BF" w:rsidRDefault="001625BF" w:rsidP="00B06E4B">
      <w:pPr>
        <w:jc w:val="center"/>
        <w:rPr>
          <w:rFonts w:ascii="Arial" w:hAnsi="Arial" w:cs="Arial"/>
          <w:b/>
          <w:sz w:val="28"/>
          <w:szCs w:val="28"/>
        </w:rPr>
      </w:pPr>
    </w:p>
    <w:p w:rsidR="001625BF" w:rsidRPr="001625BF" w:rsidRDefault="001625BF" w:rsidP="00B06E4B">
      <w:pPr>
        <w:jc w:val="center"/>
        <w:rPr>
          <w:rFonts w:ascii="Arial" w:hAnsi="Arial" w:cs="Arial"/>
          <w:b/>
          <w:sz w:val="28"/>
          <w:szCs w:val="28"/>
        </w:rPr>
      </w:pPr>
    </w:p>
    <w:p w:rsidR="001625BF" w:rsidRPr="001625BF" w:rsidRDefault="001625BF" w:rsidP="00B06E4B">
      <w:pPr>
        <w:jc w:val="center"/>
        <w:rPr>
          <w:rFonts w:ascii="Arial" w:hAnsi="Arial" w:cs="Arial"/>
          <w:b/>
          <w:sz w:val="28"/>
          <w:szCs w:val="28"/>
        </w:rPr>
      </w:pPr>
    </w:p>
    <w:p w:rsidR="001625BF" w:rsidRPr="001625BF" w:rsidRDefault="001625BF" w:rsidP="00B06E4B">
      <w:pPr>
        <w:jc w:val="center"/>
        <w:rPr>
          <w:rFonts w:ascii="Arial" w:hAnsi="Arial" w:cs="Arial"/>
          <w:b/>
          <w:sz w:val="28"/>
          <w:szCs w:val="28"/>
        </w:rPr>
      </w:pPr>
    </w:p>
    <w:p w:rsidR="00B06E4B" w:rsidRPr="001625BF" w:rsidRDefault="00B06E4B" w:rsidP="00B06E4B">
      <w:pPr>
        <w:jc w:val="center"/>
        <w:rPr>
          <w:rFonts w:ascii="Arial" w:hAnsi="Arial" w:cs="Arial"/>
          <w:b/>
          <w:sz w:val="28"/>
          <w:szCs w:val="28"/>
        </w:rPr>
      </w:pPr>
      <w:r w:rsidRPr="001625BF">
        <w:rPr>
          <w:rFonts w:ascii="Arial" w:hAnsi="Arial" w:cs="Arial"/>
          <w:b/>
          <w:sz w:val="28"/>
          <w:szCs w:val="28"/>
        </w:rPr>
        <w:t>Peter McDonald</w:t>
      </w:r>
      <w:r w:rsidR="00237D6C" w:rsidRPr="001625BF">
        <w:rPr>
          <w:rFonts w:ascii="Arial" w:hAnsi="Arial" w:cs="Arial"/>
          <w:b/>
          <w:sz w:val="28"/>
          <w:szCs w:val="28"/>
        </w:rPr>
        <w:t xml:space="preserve"> and </w:t>
      </w:r>
      <w:proofErr w:type="spellStart"/>
      <w:smartTag w:uri="urn:schemas-microsoft-com:office:smarttags" w:element="place">
        <w:smartTag w:uri="urn:schemas-microsoft-com:office:smarttags" w:element="PlaceName">
          <w:r w:rsidR="00237D6C" w:rsidRPr="001625BF">
            <w:rPr>
              <w:rFonts w:ascii="Arial" w:hAnsi="Arial" w:cs="Arial"/>
              <w:b/>
              <w:sz w:val="28"/>
              <w:szCs w:val="28"/>
            </w:rPr>
            <w:t>Jeromey</w:t>
          </w:r>
        </w:smartTag>
        <w:proofErr w:type="spellEnd"/>
        <w:r w:rsidR="00237D6C" w:rsidRPr="001625BF">
          <w:rPr>
            <w:rFonts w:ascii="Arial" w:hAnsi="Arial" w:cs="Arial"/>
            <w:b/>
            <w:sz w:val="28"/>
            <w:szCs w:val="28"/>
          </w:rPr>
          <w:t xml:space="preserve"> </w:t>
        </w:r>
        <w:smartTag w:uri="urn:schemas-microsoft-com:office:smarttags" w:element="PlaceType">
          <w:r w:rsidR="00237D6C" w:rsidRPr="001625BF">
            <w:rPr>
              <w:rFonts w:ascii="Arial" w:hAnsi="Arial" w:cs="Arial"/>
              <w:b/>
              <w:sz w:val="28"/>
              <w:szCs w:val="28"/>
            </w:rPr>
            <w:t>Temple</w:t>
          </w:r>
        </w:smartTag>
      </w:smartTag>
    </w:p>
    <w:p w:rsidR="00B06E4B" w:rsidRPr="001625BF" w:rsidRDefault="00B06E4B" w:rsidP="00B06E4B">
      <w:pPr>
        <w:jc w:val="center"/>
        <w:rPr>
          <w:rFonts w:ascii="Arial" w:hAnsi="Arial" w:cs="Arial"/>
          <w:b/>
          <w:sz w:val="28"/>
          <w:szCs w:val="28"/>
        </w:rPr>
      </w:pPr>
      <w:r w:rsidRPr="001625BF">
        <w:rPr>
          <w:rFonts w:ascii="Arial" w:hAnsi="Arial" w:cs="Arial"/>
          <w:b/>
          <w:sz w:val="28"/>
          <w:szCs w:val="28"/>
        </w:rPr>
        <w:t>Australian Demographic and Social Research Institute</w:t>
      </w:r>
    </w:p>
    <w:p w:rsidR="00B06E4B" w:rsidRPr="001625BF" w:rsidRDefault="00B06E4B" w:rsidP="00B06E4B">
      <w:pPr>
        <w:jc w:val="center"/>
        <w:rPr>
          <w:rFonts w:ascii="Arial" w:hAnsi="Arial" w:cs="Arial"/>
          <w:b/>
          <w:sz w:val="28"/>
          <w:szCs w:val="28"/>
        </w:rPr>
      </w:pPr>
      <w:r w:rsidRPr="001625BF">
        <w:rPr>
          <w:rFonts w:ascii="Arial" w:hAnsi="Arial" w:cs="Arial"/>
          <w:b/>
          <w:sz w:val="28"/>
          <w:szCs w:val="28"/>
        </w:rPr>
        <w:t xml:space="preserve">The </w:t>
      </w:r>
      <w:smartTag w:uri="urn:schemas-microsoft-com:office:smarttags" w:element="place">
        <w:smartTag w:uri="urn:schemas-microsoft-com:office:smarttags" w:element="PlaceName">
          <w:r w:rsidRPr="001625BF">
            <w:rPr>
              <w:rFonts w:ascii="Arial" w:hAnsi="Arial" w:cs="Arial"/>
              <w:b/>
              <w:sz w:val="28"/>
              <w:szCs w:val="28"/>
            </w:rPr>
            <w:t>Australian</w:t>
          </w:r>
        </w:smartTag>
        <w:r w:rsidRPr="001625BF">
          <w:rPr>
            <w:rFonts w:ascii="Arial" w:hAnsi="Arial" w:cs="Arial"/>
            <w:b/>
            <w:sz w:val="28"/>
            <w:szCs w:val="28"/>
          </w:rPr>
          <w:t xml:space="preserve"> </w:t>
        </w:r>
        <w:smartTag w:uri="urn:schemas-microsoft-com:office:smarttags" w:element="PlaceName">
          <w:r w:rsidRPr="001625BF">
            <w:rPr>
              <w:rFonts w:ascii="Arial" w:hAnsi="Arial" w:cs="Arial"/>
              <w:b/>
              <w:sz w:val="28"/>
              <w:szCs w:val="28"/>
            </w:rPr>
            <w:t>National</w:t>
          </w:r>
        </w:smartTag>
        <w:r w:rsidRPr="001625BF">
          <w:rPr>
            <w:rFonts w:ascii="Arial" w:hAnsi="Arial" w:cs="Arial"/>
            <w:b/>
            <w:sz w:val="28"/>
            <w:szCs w:val="28"/>
          </w:rPr>
          <w:t xml:space="preserve"> </w:t>
        </w:r>
        <w:smartTag w:uri="urn:schemas-microsoft-com:office:smarttags" w:element="PlaceType">
          <w:r w:rsidRPr="001625BF">
            <w:rPr>
              <w:rFonts w:ascii="Arial" w:hAnsi="Arial" w:cs="Arial"/>
              <w:b/>
              <w:sz w:val="28"/>
              <w:szCs w:val="28"/>
            </w:rPr>
            <w:t>University</w:t>
          </w:r>
        </w:smartTag>
      </w:smartTag>
    </w:p>
    <w:p w:rsidR="001625BF" w:rsidRP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Default="001625BF" w:rsidP="00B06E4B">
      <w:pPr>
        <w:jc w:val="center"/>
        <w:rPr>
          <w:b/>
          <w:sz w:val="28"/>
          <w:szCs w:val="28"/>
        </w:rPr>
      </w:pPr>
    </w:p>
    <w:p w:rsidR="001625BF" w:rsidRPr="001625BF" w:rsidRDefault="001625BF" w:rsidP="00B06E4B">
      <w:pPr>
        <w:jc w:val="center"/>
        <w:rPr>
          <w:rFonts w:ascii="Arial" w:hAnsi="Arial" w:cs="Arial"/>
          <w:b/>
          <w:sz w:val="28"/>
          <w:szCs w:val="28"/>
        </w:rPr>
      </w:pPr>
      <w:r w:rsidRPr="001625BF">
        <w:rPr>
          <w:rFonts w:ascii="Arial" w:hAnsi="Arial" w:cs="Arial"/>
          <w:b/>
          <w:sz w:val="28"/>
          <w:szCs w:val="28"/>
        </w:rPr>
        <w:t>Prepared for the National Housing Supply Council</w:t>
      </w:r>
    </w:p>
    <w:p w:rsidR="00B06E4B" w:rsidRDefault="00B06E4B"/>
    <w:p w:rsidR="00B06E4B" w:rsidRDefault="00B06E4B"/>
    <w:p w:rsidR="001625BF" w:rsidRDefault="001625BF" w:rsidP="001625BF">
      <w:pPr>
        <w:jc w:val="center"/>
        <w:rPr>
          <w:b/>
        </w:rPr>
      </w:pPr>
      <w:r>
        <w:rPr>
          <w:b/>
        </w:rPr>
        <w:br w:type="page"/>
      </w:r>
    </w:p>
    <w:p w:rsidR="001625BF" w:rsidRDefault="001625BF" w:rsidP="001625BF">
      <w:pPr>
        <w:jc w:val="center"/>
        <w:rPr>
          <w:b/>
        </w:rPr>
      </w:pPr>
    </w:p>
    <w:p w:rsidR="00B06E4B" w:rsidRPr="00B06E4B" w:rsidRDefault="001625BF" w:rsidP="001625BF">
      <w:pPr>
        <w:jc w:val="center"/>
        <w:rPr>
          <w:b/>
        </w:rPr>
      </w:pPr>
      <w:r w:rsidRPr="00B06E4B">
        <w:rPr>
          <w:b/>
        </w:rPr>
        <w:t>BACKGROUND</w:t>
      </w:r>
    </w:p>
    <w:p w:rsidR="00B06E4B" w:rsidRDefault="00B06E4B"/>
    <w:p w:rsidR="00B06E4B" w:rsidRDefault="00B06E4B">
      <w:r>
        <w:t xml:space="preserve">This report provides a narrative description of results of the projection of future housing demand in </w:t>
      </w:r>
      <w:r w:rsidR="00237D6C">
        <w:t xml:space="preserve">the capital cities and balances of state for the eight States and Territories of Australia </w:t>
      </w:r>
      <w:r w:rsidR="003C16DB">
        <w:t>for the period, 2009-39</w:t>
      </w:r>
      <w:r>
        <w:t xml:space="preserve">. The baseline housing data for the projections is obtained from the 2006 Census of Population and Housing. The Estimated Resident </w:t>
      </w:r>
      <w:r w:rsidR="003C16DB">
        <w:t>Population data for 30 June 2009</w:t>
      </w:r>
      <w:r w:rsidR="00D64702">
        <w:t xml:space="preserve"> form the baseline population data.</w:t>
      </w:r>
    </w:p>
    <w:p w:rsidR="00BA2A0B" w:rsidRDefault="00BA2A0B"/>
    <w:p w:rsidR="001625BF" w:rsidRDefault="001625BF"/>
    <w:p w:rsidR="00BA2A0B" w:rsidRDefault="001625BF" w:rsidP="001625BF">
      <w:pPr>
        <w:pStyle w:val="Heading1"/>
        <w:jc w:val="center"/>
      </w:pPr>
      <w:r>
        <w:t>PROJECTION METHODOLOGY</w:t>
      </w:r>
    </w:p>
    <w:p w:rsidR="00BA2A0B" w:rsidRDefault="00BA2A0B" w:rsidP="00BA2A0B"/>
    <w:p w:rsidR="001625BF" w:rsidRDefault="00BA2A0B" w:rsidP="00BA2A0B">
      <w:r>
        <w:t xml:space="preserve">The projections employ an innovative approach to projection of housing demand at the sub-national level. The methodology is detailed in McDonald, </w:t>
      </w:r>
      <w:proofErr w:type="spellStart"/>
      <w:r>
        <w:t>Kippen</w:t>
      </w:r>
      <w:proofErr w:type="spellEnd"/>
      <w:r>
        <w:t xml:space="preserve"> and </w:t>
      </w:r>
      <w:smartTag w:uri="urn:schemas-microsoft-com:office:smarttags" w:element="place">
        <w:smartTag w:uri="urn:schemas-microsoft-com:office:smarttags" w:element="City">
          <w:r>
            <w:t>Temple</w:t>
          </w:r>
        </w:smartTag>
      </w:smartTag>
      <w:r w:rsidR="00BA23A8">
        <w:t xml:space="preserve"> (2006). A</w:t>
      </w:r>
      <w:r>
        <w:t xml:space="preserve"> </w:t>
      </w:r>
      <w:r w:rsidR="009572E2">
        <w:t>short overview of the approach</w:t>
      </w:r>
      <w:r w:rsidR="00BA23A8">
        <w:t xml:space="preserve"> was provided in a previous report (McDonald and Temple 2008)</w:t>
      </w:r>
      <w:r w:rsidR="009572E2">
        <w:t>.</w:t>
      </w:r>
      <w:r w:rsidR="003C16DB">
        <w:t xml:space="preserve"> That</w:t>
      </w:r>
      <w:r w:rsidR="00270D3C">
        <w:t xml:space="preserve"> previous report a</w:t>
      </w:r>
      <w:r w:rsidR="00F027E2">
        <w:t>lso contains an analysis of</w:t>
      </w:r>
      <w:r w:rsidR="00270D3C">
        <w:t xml:space="preserve"> changes in the household situation of Australians between the 1991, 1996, 2001 and 2006 Censuses of Australia. As there has been no further census, there are no new data available to update these trends. It is possible that the effects upon housing supply of the global financial crisis may have slowed the rate of formation of new households but this is not able to be investigated fully as yet.</w:t>
      </w:r>
    </w:p>
    <w:p w:rsidR="001F29BB" w:rsidRDefault="001F29BB" w:rsidP="00BA2A0B"/>
    <w:p w:rsidR="00BA2A0B" w:rsidRDefault="00BA2A0B" w:rsidP="00BA2A0B"/>
    <w:p w:rsidR="00BA2A0B" w:rsidRDefault="001625BF" w:rsidP="001625BF">
      <w:pPr>
        <w:pStyle w:val="Heading1"/>
        <w:jc w:val="center"/>
      </w:pPr>
      <w:r>
        <w:t>HOUSING SUPPLY AND DEMAND</w:t>
      </w:r>
    </w:p>
    <w:p w:rsidR="00BA2A0B" w:rsidRDefault="00BA2A0B" w:rsidP="00BA2A0B">
      <w:pPr>
        <w:pStyle w:val="BodyText"/>
        <w:widowControl w:val="0"/>
        <w:spacing w:line="240" w:lineRule="auto"/>
        <w:jc w:val="left"/>
        <w:rPr>
          <w:color w:val="000000"/>
          <w:lang w:val="en-US"/>
        </w:rPr>
      </w:pPr>
    </w:p>
    <w:p w:rsidR="00BA2A0B" w:rsidRDefault="00BE1110" w:rsidP="00BA2A0B">
      <w:pPr>
        <w:pStyle w:val="BodyText"/>
        <w:widowControl w:val="0"/>
        <w:spacing w:line="240" w:lineRule="auto"/>
        <w:jc w:val="left"/>
        <w:rPr>
          <w:color w:val="000000"/>
          <w:lang w:val="en-US"/>
        </w:rPr>
      </w:pPr>
      <w:r>
        <w:rPr>
          <w:color w:val="000000"/>
          <w:lang w:val="en-US"/>
        </w:rPr>
        <w:t>The</w:t>
      </w:r>
      <w:r w:rsidR="00BA2A0B">
        <w:rPr>
          <w:color w:val="000000"/>
          <w:lang w:val="en-US"/>
        </w:rPr>
        <w:t xml:space="preserve"> projections provide the housing demand for occupied dwellings (by structure and tenure type) that would result from changing demographic and social trends (population size, births, deaths, international migration, internal migration, age structure changes and family and household formation and dissolution). These are all demand-side factors. The pr</w:t>
      </w:r>
      <w:r w:rsidR="00644817">
        <w:rPr>
          <w:color w:val="000000"/>
          <w:lang w:val="en-US"/>
        </w:rPr>
        <w:t>ojections are not constrained by any supply-side factors</w:t>
      </w:r>
      <w:r w:rsidR="00BA2A0B">
        <w:rPr>
          <w:color w:val="000000"/>
          <w:lang w:val="en-US"/>
        </w:rPr>
        <w:t xml:space="preserve"> such as availability of land, the number of vacant dwellings, construction of new dwellings and affordability. </w:t>
      </w:r>
      <w:r w:rsidR="00BA2A0B">
        <w:rPr>
          <w:color w:val="000000"/>
          <w:szCs w:val="23"/>
          <w:lang w:val="en-US"/>
        </w:rPr>
        <w:t xml:space="preserve">Our approach is to project housing demand on the basis of current and recent trends </w:t>
      </w:r>
      <w:r>
        <w:rPr>
          <w:color w:val="000000"/>
          <w:szCs w:val="23"/>
          <w:lang w:val="en-US"/>
        </w:rPr>
        <w:t>in demand inpu</w:t>
      </w:r>
      <w:r w:rsidR="00644817">
        <w:rPr>
          <w:color w:val="000000"/>
          <w:szCs w:val="23"/>
          <w:lang w:val="en-US"/>
        </w:rPr>
        <w:t>ts. These demand projections should</w:t>
      </w:r>
      <w:r>
        <w:rPr>
          <w:color w:val="000000"/>
          <w:szCs w:val="23"/>
          <w:lang w:val="en-US"/>
        </w:rPr>
        <w:t xml:space="preserve"> then be assessed in supply terms</w:t>
      </w:r>
      <w:r w:rsidR="00C51A86">
        <w:rPr>
          <w:color w:val="000000"/>
          <w:szCs w:val="23"/>
          <w:lang w:val="en-US"/>
        </w:rPr>
        <w:t>, that is, t</w:t>
      </w:r>
      <w:r w:rsidR="00BA2A0B">
        <w:rPr>
          <w:color w:val="000000"/>
          <w:lang w:val="en-US"/>
        </w:rPr>
        <w:t>he results from the p</w:t>
      </w:r>
      <w:r w:rsidR="00C51A86">
        <w:rPr>
          <w:color w:val="000000"/>
          <w:lang w:val="en-US"/>
        </w:rPr>
        <w:t xml:space="preserve">rojections of demand </w:t>
      </w:r>
      <w:r w:rsidR="00D64702">
        <w:rPr>
          <w:color w:val="000000"/>
          <w:lang w:val="en-US"/>
        </w:rPr>
        <w:t xml:space="preserve">for housing </w:t>
      </w:r>
      <w:r w:rsidR="00644817">
        <w:rPr>
          <w:color w:val="000000"/>
          <w:lang w:val="en-US"/>
        </w:rPr>
        <w:t xml:space="preserve">can </w:t>
      </w:r>
      <w:r w:rsidR="00BA2A0B">
        <w:rPr>
          <w:color w:val="000000"/>
          <w:lang w:val="en-US"/>
        </w:rPr>
        <w:t xml:space="preserve">be compared </w:t>
      </w:r>
      <w:r w:rsidR="00C51A86">
        <w:rPr>
          <w:color w:val="000000"/>
          <w:lang w:val="en-US"/>
        </w:rPr>
        <w:t xml:space="preserve">with existing and planned supply </w:t>
      </w:r>
      <w:r w:rsidR="00D64702">
        <w:rPr>
          <w:color w:val="000000"/>
          <w:lang w:val="en-US"/>
        </w:rPr>
        <w:t xml:space="preserve">of housing </w:t>
      </w:r>
      <w:r w:rsidR="00BA2A0B">
        <w:rPr>
          <w:color w:val="000000"/>
          <w:lang w:val="en-US"/>
        </w:rPr>
        <w:t>and assessments made of what corrections for demand-supp</w:t>
      </w:r>
      <w:r w:rsidR="00644817">
        <w:rPr>
          <w:color w:val="000000"/>
          <w:lang w:val="en-US"/>
        </w:rPr>
        <w:t xml:space="preserve">ly discrepancies need to be made. </w:t>
      </w:r>
      <w:r w:rsidR="00237D6C">
        <w:rPr>
          <w:color w:val="000000"/>
          <w:lang w:val="en-US"/>
        </w:rPr>
        <w:t xml:space="preserve">Where meeting demand would create supply difficulties, </w:t>
      </w:r>
      <w:r w:rsidR="00644817">
        <w:rPr>
          <w:color w:val="000000"/>
          <w:lang w:val="en-US"/>
        </w:rPr>
        <w:t>consideration would need to be given to how this</w:t>
      </w:r>
      <w:r w:rsidR="00237D6C">
        <w:rPr>
          <w:color w:val="000000"/>
          <w:lang w:val="en-US"/>
        </w:rPr>
        <w:t xml:space="preserve"> demand is re-directed. Do the</w:t>
      </w:r>
      <w:r w:rsidR="00644817">
        <w:rPr>
          <w:color w:val="000000"/>
          <w:lang w:val="en-US"/>
        </w:rPr>
        <w:t xml:space="preserve"> projected households maintain their dwelling pref</w:t>
      </w:r>
      <w:r w:rsidR="00237D6C">
        <w:rPr>
          <w:color w:val="000000"/>
          <w:lang w:val="en-US"/>
        </w:rPr>
        <w:t>erence but change their location</w:t>
      </w:r>
      <w:r w:rsidR="00644817">
        <w:rPr>
          <w:color w:val="000000"/>
          <w:lang w:val="en-US"/>
        </w:rPr>
        <w:t xml:space="preserve"> or do they change their dwellin</w:t>
      </w:r>
      <w:r w:rsidR="00237D6C">
        <w:rPr>
          <w:color w:val="000000"/>
          <w:lang w:val="en-US"/>
        </w:rPr>
        <w:t>g preference within the location. T</w:t>
      </w:r>
      <w:r w:rsidR="00644817">
        <w:rPr>
          <w:color w:val="000000"/>
          <w:lang w:val="en-US"/>
        </w:rPr>
        <w:t>he fac</w:t>
      </w:r>
      <w:r w:rsidR="00BD1D45">
        <w:rPr>
          <w:color w:val="000000"/>
          <w:lang w:val="en-US"/>
        </w:rPr>
        <w:t>t that supply cannot meet housing preference</w:t>
      </w:r>
      <w:r w:rsidR="00237D6C">
        <w:rPr>
          <w:color w:val="000000"/>
          <w:lang w:val="en-US"/>
        </w:rPr>
        <w:t>s could also conceivably</w:t>
      </w:r>
      <w:r w:rsidR="00644817">
        <w:rPr>
          <w:color w:val="000000"/>
          <w:lang w:val="en-US"/>
        </w:rPr>
        <w:t xml:space="preserve"> lead to the household not being formed at all.</w:t>
      </w:r>
    </w:p>
    <w:p w:rsidR="006D28AC" w:rsidRDefault="006D28AC" w:rsidP="00BA57A3"/>
    <w:p w:rsidR="006D28AC" w:rsidRPr="00BA57A3" w:rsidRDefault="00270D3C" w:rsidP="006D28AC">
      <w:pPr>
        <w:jc w:val="center"/>
        <w:rPr>
          <w:b/>
        </w:rPr>
      </w:pPr>
      <w:r>
        <w:rPr>
          <w:b/>
        </w:rPr>
        <w:br w:type="page"/>
      </w:r>
      <w:r w:rsidR="006D28AC" w:rsidRPr="00BA57A3">
        <w:rPr>
          <w:b/>
        </w:rPr>
        <w:lastRenderedPageBreak/>
        <w:t>THE 20</w:t>
      </w:r>
      <w:r w:rsidR="003C16DB">
        <w:rPr>
          <w:b/>
        </w:rPr>
        <w:t>09-2039</w:t>
      </w:r>
      <w:r w:rsidR="006D28AC">
        <w:rPr>
          <w:b/>
        </w:rPr>
        <w:t xml:space="preserve"> PROJECTIONS: ASSUMPTIONS</w:t>
      </w:r>
    </w:p>
    <w:p w:rsidR="006D28AC" w:rsidRDefault="006D28AC" w:rsidP="006D28AC"/>
    <w:p w:rsidR="006D28AC" w:rsidRDefault="00270D3C" w:rsidP="006D28AC">
      <w:r>
        <w:t>The projections cover three</w:t>
      </w:r>
      <w:r w:rsidR="006D28AC">
        <w:t xml:space="preserve"> possible future scenarios that re</w:t>
      </w:r>
      <w:r>
        <w:t xml:space="preserve">flect different </w:t>
      </w:r>
      <w:r w:rsidR="006D28AC">
        <w:t xml:space="preserve">assumptions about future </w:t>
      </w:r>
      <w:r>
        <w:t xml:space="preserve">international migration. </w:t>
      </w:r>
      <w:r w:rsidR="00A179AF">
        <w:t xml:space="preserve">The three assumed levels of annual net overseas migration are labeled as Low (100,000), </w:t>
      </w:r>
      <w:proofErr w:type="gramStart"/>
      <w:r w:rsidR="00A179AF">
        <w:t>Medium</w:t>
      </w:r>
      <w:proofErr w:type="gramEnd"/>
      <w:r w:rsidR="00A179AF">
        <w:t xml:space="preserve"> (180,000) and High (250,000). The medium level, 180,000 per annum is the medium level assumed in the 2008 official projections of the Australian Bureau of Statistics and</w:t>
      </w:r>
      <w:r w:rsidR="003C16DB">
        <w:t xml:space="preserve"> in the 2009 Intergenerational Report from the D</w:t>
      </w:r>
      <w:r w:rsidR="00A179AF">
        <w:t xml:space="preserve">epartment of the Treasury. It is also towards the middle of target policy ranges being considered by the Commonwealth Government. Assumptions are scaled to agree with the assumptions of the 2008 official ABS projections. </w:t>
      </w:r>
      <w:r w:rsidR="006D28AC">
        <w:t>T</w:t>
      </w:r>
      <w:r w:rsidR="00606AB5">
        <w:t>he assumptions are set out</w:t>
      </w:r>
      <w:r w:rsidR="006D28AC">
        <w:t xml:space="preserve"> in Table 1.</w:t>
      </w:r>
    </w:p>
    <w:p w:rsidR="001625BF" w:rsidRDefault="001625BF"/>
    <w:p w:rsidR="00724C5A" w:rsidRDefault="00724C5A"/>
    <w:p w:rsidR="00567BB4" w:rsidRPr="00E95FFD" w:rsidRDefault="00567BB4">
      <w:pPr>
        <w:rPr>
          <w:rFonts w:ascii="Arial" w:hAnsi="Arial" w:cs="Arial"/>
          <w:b/>
          <w:sz w:val="20"/>
          <w:szCs w:val="20"/>
        </w:rPr>
      </w:pPr>
      <w:proofErr w:type="gramStart"/>
      <w:r w:rsidRPr="00E95FFD">
        <w:rPr>
          <w:rFonts w:ascii="Arial" w:hAnsi="Arial" w:cs="Arial"/>
          <w:b/>
          <w:sz w:val="20"/>
          <w:szCs w:val="20"/>
        </w:rPr>
        <w:t>Table 1.</w:t>
      </w:r>
      <w:proofErr w:type="gramEnd"/>
      <w:r w:rsidRPr="00E95FFD">
        <w:rPr>
          <w:rFonts w:ascii="Arial" w:hAnsi="Arial" w:cs="Arial"/>
          <w:b/>
          <w:sz w:val="20"/>
          <w:szCs w:val="20"/>
        </w:rPr>
        <w:t xml:space="preserve"> Projection assumptions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948"/>
      </w:tblGrid>
      <w:tr w:rsidR="006000CA" w:rsidRPr="00AC6F25" w:rsidTr="00AC6F25">
        <w:tc>
          <w:tcPr>
            <w:tcW w:w="1908" w:type="dxa"/>
          </w:tcPr>
          <w:p w:rsidR="006000CA" w:rsidRPr="00AC6F25" w:rsidRDefault="006000CA">
            <w:pPr>
              <w:rPr>
                <w:rFonts w:ascii="Arial" w:hAnsi="Arial" w:cs="Arial"/>
                <w:b/>
                <w:sz w:val="20"/>
                <w:szCs w:val="20"/>
              </w:rPr>
            </w:pPr>
            <w:r w:rsidRPr="00AC6F25">
              <w:rPr>
                <w:rFonts w:ascii="Arial" w:hAnsi="Arial" w:cs="Arial"/>
                <w:b/>
                <w:sz w:val="20"/>
                <w:szCs w:val="20"/>
              </w:rPr>
              <w:t>Input</w:t>
            </w:r>
          </w:p>
        </w:tc>
        <w:tc>
          <w:tcPr>
            <w:tcW w:w="6948" w:type="dxa"/>
          </w:tcPr>
          <w:p w:rsidR="006000CA" w:rsidRPr="00AC6F25" w:rsidRDefault="006000CA">
            <w:pPr>
              <w:rPr>
                <w:rFonts w:ascii="Arial" w:hAnsi="Arial" w:cs="Arial"/>
                <w:b/>
                <w:sz w:val="20"/>
                <w:szCs w:val="20"/>
              </w:rPr>
            </w:pPr>
            <w:r w:rsidRPr="00AC6F25">
              <w:rPr>
                <w:rFonts w:ascii="Arial" w:hAnsi="Arial" w:cs="Arial"/>
                <w:b/>
                <w:sz w:val="20"/>
                <w:szCs w:val="20"/>
              </w:rPr>
              <w:t>Assumption</w:t>
            </w:r>
          </w:p>
        </w:tc>
      </w:tr>
      <w:tr w:rsidR="006000CA" w:rsidRPr="00AC6F25" w:rsidTr="00AC6F25">
        <w:tc>
          <w:tcPr>
            <w:tcW w:w="1908" w:type="dxa"/>
          </w:tcPr>
          <w:p w:rsidR="006000CA" w:rsidRPr="00AC6F25" w:rsidRDefault="006000CA">
            <w:pPr>
              <w:rPr>
                <w:rFonts w:ascii="Arial" w:hAnsi="Arial" w:cs="Arial"/>
                <w:b/>
                <w:sz w:val="20"/>
                <w:szCs w:val="20"/>
              </w:rPr>
            </w:pPr>
            <w:r w:rsidRPr="00AC6F25">
              <w:rPr>
                <w:rFonts w:ascii="Arial" w:hAnsi="Arial" w:cs="Arial"/>
                <w:b/>
                <w:sz w:val="20"/>
                <w:szCs w:val="20"/>
              </w:rPr>
              <w:t>Fertility</w:t>
            </w:r>
          </w:p>
        </w:tc>
        <w:tc>
          <w:tcPr>
            <w:tcW w:w="6948" w:type="dxa"/>
          </w:tcPr>
          <w:p w:rsidR="006000CA" w:rsidRPr="00AC6F25" w:rsidRDefault="00A179AF">
            <w:pPr>
              <w:rPr>
                <w:rFonts w:ascii="Arial" w:hAnsi="Arial" w:cs="Arial"/>
                <w:sz w:val="20"/>
                <w:szCs w:val="20"/>
              </w:rPr>
            </w:pPr>
            <w:r w:rsidRPr="00AC6F25">
              <w:rPr>
                <w:rFonts w:ascii="Arial" w:hAnsi="Arial" w:cs="Arial"/>
                <w:sz w:val="20"/>
                <w:szCs w:val="20"/>
              </w:rPr>
              <w:t>Age</w:t>
            </w:r>
            <w:r w:rsidR="006000CA" w:rsidRPr="00AC6F25">
              <w:rPr>
                <w:rFonts w:ascii="Arial" w:hAnsi="Arial" w:cs="Arial"/>
                <w:sz w:val="20"/>
                <w:szCs w:val="20"/>
              </w:rPr>
              <w:t xml:space="preserve">–specific fertility rates were </w:t>
            </w:r>
            <w:r w:rsidRPr="00AC6F25">
              <w:rPr>
                <w:rFonts w:ascii="Arial" w:hAnsi="Arial" w:cs="Arial"/>
                <w:sz w:val="20"/>
                <w:szCs w:val="20"/>
              </w:rPr>
              <w:t>assumed to be the same as those in the ABS Series B projections from the 2008 official projections of population.</w:t>
            </w:r>
          </w:p>
        </w:tc>
      </w:tr>
      <w:tr w:rsidR="006000CA" w:rsidRPr="00AC6F25" w:rsidTr="00AC6F25">
        <w:tc>
          <w:tcPr>
            <w:tcW w:w="1908" w:type="dxa"/>
          </w:tcPr>
          <w:p w:rsidR="006000CA" w:rsidRPr="00AC6F25" w:rsidRDefault="00197499">
            <w:pPr>
              <w:rPr>
                <w:rFonts w:ascii="Arial" w:hAnsi="Arial" w:cs="Arial"/>
                <w:b/>
                <w:sz w:val="20"/>
                <w:szCs w:val="20"/>
              </w:rPr>
            </w:pPr>
            <w:r w:rsidRPr="00AC6F25">
              <w:rPr>
                <w:rFonts w:ascii="Arial" w:hAnsi="Arial" w:cs="Arial"/>
                <w:b/>
                <w:sz w:val="20"/>
                <w:szCs w:val="20"/>
              </w:rPr>
              <w:t>Mortality</w:t>
            </w:r>
          </w:p>
        </w:tc>
        <w:tc>
          <w:tcPr>
            <w:tcW w:w="6948" w:type="dxa"/>
          </w:tcPr>
          <w:p w:rsidR="006000CA" w:rsidRPr="00AC6F25" w:rsidRDefault="00A179AF">
            <w:pPr>
              <w:rPr>
                <w:rFonts w:ascii="Arial" w:hAnsi="Arial" w:cs="Arial"/>
                <w:sz w:val="20"/>
                <w:szCs w:val="20"/>
              </w:rPr>
            </w:pPr>
            <w:r w:rsidRPr="00AC6F25">
              <w:rPr>
                <w:rFonts w:ascii="Arial" w:hAnsi="Arial" w:cs="Arial"/>
                <w:sz w:val="20"/>
                <w:szCs w:val="20"/>
              </w:rPr>
              <w:t>The mortality assumptions are also the same as the 2008 Series B projections of the ABS.</w:t>
            </w:r>
          </w:p>
        </w:tc>
      </w:tr>
      <w:tr w:rsidR="00270D3C" w:rsidRPr="00AC6F25" w:rsidTr="00AC6F25">
        <w:tc>
          <w:tcPr>
            <w:tcW w:w="1908" w:type="dxa"/>
          </w:tcPr>
          <w:p w:rsidR="00270D3C" w:rsidRPr="00AC6F25" w:rsidRDefault="00270D3C">
            <w:pPr>
              <w:rPr>
                <w:rFonts w:ascii="Arial" w:hAnsi="Arial" w:cs="Arial"/>
                <w:b/>
                <w:sz w:val="20"/>
                <w:szCs w:val="20"/>
              </w:rPr>
            </w:pPr>
            <w:r w:rsidRPr="00AC6F25">
              <w:rPr>
                <w:rFonts w:ascii="Arial" w:hAnsi="Arial" w:cs="Arial"/>
                <w:b/>
                <w:sz w:val="20"/>
                <w:szCs w:val="20"/>
              </w:rPr>
              <w:t>International Migration</w:t>
            </w:r>
          </w:p>
        </w:tc>
        <w:tc>
          <w:tcPr>
            <w:tcW w:w="6948" w:type="dxa"/>
          </w:tcPr>
          <w:p w:rsidR="00270D3C" w:rsidRPr="00AC6F25" w:rsidRDefault="00270D3C">
            <w:pPr>
              <w:rPr>
                <w:rFonts w:ascii="Arial" w:hAnsi="Arial" w:cs="Arial"/>
                <w:sz w:val="20"/>
                <w:szCs w:val="20"/>
              </w:rPr>
            </w:pPr>
            <w:r w:rsidRPr="00AC6F25">
              <w:rPr>
                <w:rFonts w:ascii="Arial" w:hAnsi="Arial" w:cs="Arial"/>
                <w:sz w:val="20"/>
                <w:szCs w:val="20"/>
              </w:rPr>
              <w:t>Three assumptions are used that constitute the three scenarios: net migration equal to 100,000, 180,000 and 250,000 per annum.</w:t>
            </w:r>
          </w:p>
        </w:tc>
      </w:tr>
      <w:tr w:rsidR="00A179AF" w:rsidRPr="00AC6F25" w:rsidTr="00AC6F25">
        <w:tc>
          <w:tcPr>
            <w:tcW w:w="1908" w:type="dxa"/>
          </w:tcPr>
          <w:p w:rsidR="00A179AF" w:rsidRPr="00AC6F25" w:rsidRDefault="00A179AF">
            <w:pPr>
              <w:rPr>
                <w:rFonts w:ascii="Arial" w:hAnsi="Arial" w:cs="Arial"/>
                <w:b/>
                <w:sz w:val="20"/>
                <w:szCs w:val="20"/>
              </w:rPr>
            </w:pPr>
            <w:r w:rsidRPr="00AC6F25">
              <w:rPr>
                <w:rFonts w:ascii="Arial" w:hAnsi="Arial" w:cs="Arial"/>
                <w:b/>
                <w:sz w:val="20"/>
                <w:szCs w:val="20"/>
              </w:rPr>
              <w:t>Internal Migration</w:t>
            </w:r>
          </w:p>
        </w:tc>
        <w:tc>
          <w:tcPr>
            <w:tcW w:w="6948" w:type="dxa"/>
          </w:tcPr>
          <w:p w:rsidR="00A179AF" w:rsidRPr="00AC6F25" w:rsidRDefault="00A179AF">
            <w:pPr>
              <w:rPr>
                <w:rFonts w:ascii="Arial" w:hAnsi="Arial" w:cs="Arial"/>
                <w:sz w:val="20"/>
                <w:szCs w:val="20"/>
              </w:rPr>
            </w:pPr>
            <w:r w:rsidRPr="00AC6F25">
              <w:rPr>
                <w:rFonts w:ascii="Arial" w:hAnsi="Arial" w:cs="Arial"/>
                <w:sz w:val="20"/>
                <w:szCs w:val="20"/>
              </w:rPr>
              <w:t>Assumed levels are taken from the 2008 ABS official projections of population.</w:t>
            </w:r>
          </w:p>
        </w:tc>
      </w:tr>
      <w:tr w:rsidR="006000CA" w:rsidRPr="00AC6F25" w:rsidTr="00AC6F25">
        <w:tc>
          <w:tcPr>
            <w:tcW w:w="1908" w:type="dxa"/>
          </w:tcPr>
          <w:p w:rsidR="006000CA" w:rsidRPr="00AC6F25" w:rsidRDefault="008A3B7B">
            <w:pPr>
              <w:rPr>
                <w:rFonts w:ascii="Arial" w:hAnsi="Arial" w:cs="Arial"/>
                <w:b/>
                <w:sz w:val="20"/>
                <w:szCs w:val="20"/>
              </w:rPr>
            </w:pPr>
            <w:r w:rsidRPr="00AC6F25">
              <w:rPr>
                <w:rFonts w:ascii="Arial" w:hAnsi="Arial" w:cs="Arial"/>
                <w:b/>
                <w:sz w:val="20"/>
                <w:szCs w:val="20"/>
              </w:rPr>
              <w:t>Dwelling T</w:t>
            </w:r>
            <w:r w:rsidR="00197499" w:rsidRPr="00AC6F25">
              <w:rPr>
                <w:rFonts w:ascii="Arial" w:hAnsi="Arial" w:cs="Arial"/>
                <w:b/>
                <w:sz w:val="20"/>
                <w:szCs w:val="20"/>
              </w:rPr>
              <w:t>ype</w:t>
            </w:r>
          </w:p>
        </w:tc>
        <w:tc>
          <w:tcPr>
            <w:tcW w:w="6948" w:type="dxa"/>
          </w:tcPr>
          <w:p w:rsidR="006000CA" w:rsidRPr="00AC6F25" w:rsidRDefault="008A3B7B">
            <w:pPr>
              <w:rPr>
                <w:rFonts w:ascii="Arial" w:hAnsi="Arial" w:cs="Arial"/>
                <w:sz w:val="20"/>
                <w:szCs w:val="20"/>
              </w:rPr>
            </w:pPr>
            <w:r w:rsidRPr="00AC6F25">
              <w:rPr>
                <w:rFonts w:ascii="Arial" w:hAnsi="Arial" w:cs="Arial"/>
                <w:sz w:val="20"/>
                <w:szCs w:val="20"/>
              </w:rPr>
              <w:t xml:space="preserve">The 2006 </w:t>
            </w:r>
            <w:r w:rsidR="00270D3C" w:rsidRPr="00AC6F25">
              <w:rPr>
                <w:rFonts w:ascii="Arial" w:hAnsi="Arial" w:cs="Arial"/>
                <w:sz w:val="20"/>
                <w:szCs w:val="20"/>
              </w:rPr>
              <w:t xml:space="preserve">Census </w:t>
            </w:r>
            <w:r w:rsidRPr="00AC6F25">
              <w:rPr>
                <w:rFonts w:ascii="Arial" w:hAnsi="Arial" w:cs="Arial"/>
                <w:sz w:val="20"/>
                <w:szCs w:val="20"/>
              </w:rPr>
              <w:t>distributions of dwelling type by region, type of household and age of the reference person were assumed to remain constant throughout the projection period.</w:t>
            </w:r>
          </w:p>
        </w:tc>
      </w:tr>
      <w:tr w:rsidR="006000CA" w:rsidRPr="00AC6F25" w:rsidTr="00AC6F25">
        <w:tc>
          <w:tcPr>
            <w:tcW w:w="1908" w:type="dxa"/>
          </w:tcPr>
          <w:p w:rsidR="006000CA" w:rsidRPr="00AC6F25" w:rsidRDefault="008A3B7B">
            <w:pPr>
              <w:rPr>
                <w:rFonts w:ascii="Arial" w:hAnsi="Arial" w:cs="Arial"/>
                <w:b/>
                <w:sz w:val="20"/>
                <w:szCs w:val="20"/>
              </w:rPr>
            </w:pPr>
            <w:r w:rsidRPr="00AC6F25">
              <w:rPr>
                <w:rFonts w:ascii="Arial" w:hAnsi="Arial" w:cs="Arial"/>
                <w:b/>
                <w:sz w:val="20"/>
                <w:szCs w:val="20"/>
              </w:rPr>
              <w:t>Tenure Type</w:t>
            </w:r>
          </w:p>
        </w:tc>
        <w:tc>
          <w:tcPr>
            <w:tcW w:w="6948" w:type="dxa"/>
          </w:tcPr>
          <w:p w:rsidR="006000CA" w:rsidRPr="00AC6F25" w:rsidRDefault="008A3B7B">
            <w:pPr>
              <w:rPr>
                <w:rFonts w:ascii="Arial" w:hAnsi="Arial" w:cs="Arial"/>
                <w:sz w:val="20"/>
                <w:szCs w:val="20"/>
              </w:rPr>
            </w:pPr>
            <w:r w:rsidRPr="00AC6F25">
              <w:rPr>
                <w:rFonts w:ascii="Arial" w:hAnsi="Arial" w:cs="Arial"/>
                <w:sz w:val="20"/>
                <w:szCs w:val="20"/>
              </w:rPr>
              <w:t xml:space="preserve">The 2006 </w:t>
            </w:r>
            <w:r w:rsidR="00270D3C" w:rsidRPr="00AC6F25">
              <w:rPr>
                <w:rFonts w:ascii="Arial" w:hAnsi="Arial" w:cs="Arial"/>
                <w:sz w:val="20"/>
                <w:szCs w:val="20"/>
              </w:rPr>
              <w:t xml:space="preserve">Census </w:t>
            </w:r>
            <w:r w:rsidRPr="00AC6F25">
              <w:rPr>
                <w:rFonts w:ascii="Arial" w:hAnsi="Arial" w:cs="Arial"/>
                <w:sz w:val="20"/>
                <w:szCs w:val="20"/>
              </w:rPr>
              <w:t>distributions of tenure type by region, dwelling type, type of household and age of the reference person were assumed to remain constant across the projection period.</w:t>
            </w:r>
          </w:p>
        </w:tc>
      </w:tr>
    </w:tbl>
    <w:p w:rsidR="00773CC8" w:rsidRDefault="00773CC8">
      <w:pPr>
        <w:rPr>
          <w:rFonts w:ascii="Arial" w:hAnsi="Arial" w:cs="Arial"/>
          <w:sz w:val="20"/>
          <w:szCs w:val="20"/>
        </w:rPr>
      </w:pPr>
    </w:p>
    <w:p w:rsidR="005F11CD" w:rsidRDefault="005F11CD" w:rsidP="005F11CD"/>
    <w:p w:rsidR="005F11CD" w:rsidRDefault="005F11CD" w:rsidP="005F11CD">
      <w:r>
        <w:t xml:space="preserve">The projection methodology requires an assumption about the State and Territory distribution of net overseas migration (NOM) to </w:t>
      </w:r>
      <w:smartTag w:uri="urn:schemas-microsoft-com:office:smarttags" w:element="place">
        <w:smartTag w:uri="urn:schemas-microsoft-com:office:smarttags" w:element="country-region">
          <w:r>
            <w:t>Australia</w:t>
          </w:r>
        </w:smartTag>
      </w:smartTag>
      <w:r>
        <w:t xml:space="preserve">. Compared to the previous (2010) report, this report assumes that higher percentages of NOM will go to </w:t>
      </w:r>
      <w:smartTag w:uri="urn:schemas-microsoft-com:office:smarttags" w:element="State">
        <w:r>
          <w:t>Queensland</w:t>
        </w:r>
      </w:smartTag>
      <w:r>
        <w:t xml:space="preserve"> and </w:t>
      </w:r>
      <w:smartTag w:uri="urn:schemas-microsoft-com:office:smarttags" w:element="place">
        <w:smartTag w:uri="urn:schemas-microsoft-com:office:smarttags" w:element="State">
          <w:r>
            <w:t>Western Australia</w:t>
          </w:r>
        </w:smartTag>
      </w:smartTag>
      <w:r>
        <w:t xml:space="preserve">. To compensate, lower percentages are assumed for </w:t>
      </w:r>
      <w:smartTag w:uri="urn:schemas-microsoft-com:office:smarttags" w:element="State">
        <w:r>
          <w:t>New South Wales</w:t>
        </w:r>
      </w:smartTag>
      <w:r>
        <w:t xml:space="preserve">, </w:t>
      </w:r>
      <w:smartTag w:uri="urn:schemas-microsoft-com:office:smarttags" w:element="State">
        <w:r>
          <w:t>South Australia</w:t>
        </w:r>
      </w:smartTag>
      <w:r w:rsidR="00CC7641">
        <w:t xml:space="preserve">, </w:t>
      </w:r>
      <w:smartTag w:uri="urn:schemas-microsoft-com:office:smarttags" w:element="State">
        <w:r w:rsidR="00CC7641">
          <w:t>Tasmania</w:t>
        </w:r>
      </w:smartTag>
      <w:r w:rsidR="00CC7641">
        <w:t xml:space="preserve"> and the </w:t>
      </w:r>
      <w:smartTag w:uri="urn:schemas-microsoft-com:office:smarttags" w:element="place">
        <w:smartTag w:uri="urn:schemas-microsoft-com:office:smarttags" w:element="State">
          <w:r w:rsidR="00CC7641">
            <w:t>Northern Territory</w:t>
          </w:r>
        </w:smartTag>
      </w:smartTag>
      <w:r>
        <w:t>. The new assum</w:t>
      </w:r>
      <w:r w:rsidR="00CC7641">
        <w:t>ptions are</w:t>
      </w:r>
      <w:r>
        <w:t xml:space="preserve"> based on trends evident from the latest ABS data and the high demand for</w:t>
      </w:r>
      <w:r w:rsidRPr="00503D90">
        <w:rPr>
          <w:lang w:val="en-AU"/>
        </w:rPr>
        <w:t xml:space="preserve"> labour</w:t>
      </w:r>
      <w:r>
        <w:t xml:space="preserve"> in the resource-rich States.</w:t>
      </w:r>
    </w:p>
    <w:p w:rsidR="00CC7641" w:rsidRDefault="00CC7641" w:rsidP="005F11CD"/>
    <w:p w:rsidR="005F11CD" w:rsidRPr="00CC7641" w:rsidRDefault="00CC7641" w:rsidP="005F11CD">
      <w:pPr>
        <w:rPr>
          <w:lang w:val="en-AU"/>
        </w:rPr>
      </w:pPr>
      <w:r>
        <w:rPr>
          <w:lang w:val="en-AU"/>
        </w:rPr>
        <w:t>Table 2</w:t>
      </w:r>
      <w:r w:rsidR="005F11CD" w:rsidRPr="00CC7641">
        <w:rPr>
          <w:lang w:val="en-AU"/>
        </w:rPr>
        <w:t xml:space="preserve"> displays the state split shares for the migration scenarios used i</w:t>
      </w:r>
      <w:r>
        <w:rPr>
          <w:lang w:val="en-AU"/>
        </w:rPr>
        <w:t>n the 2011 NHSC project. Table 3</w:t>
      </w:r>
      <w:r w:rsidR="005F11CD" w:rsidRPr="00CC7641">
        <w:rPr>
          <w:lang w:val="en-AU"/>
        </w:rPr>
        <w:t xml:space="preserve"> displays the same splits, but used previously in the 2010 project. The sub-state splits remain consistent between the 2010 and 2011 project. That is, the way in which migration is split between capital city and balance of state has remained at the existing propensities.</w:t>
      </w:r>
    </w:p>
    <w:p w:rsidR="005F11CD" w:rsidRDefault="005F11CD" w:rsidP="005F11CD"/>
    <w:p w:rsidR="00E3691F" w:rsidRDefault="00E3691F">
      <w:pPr>
        <w:rPr>
          <w:rFonts w:ascii="Cambria" w:hAnsi="Cambria"/>
          <w:lang w:val="en-AU"/>
        </w:rPr>
      </w:pPr>
      <w:r>
        <w:rPr>
          <w:rFonts w:ascii="Cambria" w:hAnsi="Cambria"/>
          <w:lang w:val="en-AU"/>
        </w:rPr>
        <w:br w:type="page"/>
      </w:r>
    </w:p>
    <w:p w:rsidR="005F11CD" w:rsidRPr="005E7C7C" w:rsidRDefault="005F11CD" w:rsidP="005F11CD">
      <w:pPr>
        <w:rPr>
          <w:rFonts w:ascii="Cambria" w:hAnsi="Cambria"/>
          <w:lang w:val="en-AU"/>
        </w:rPr>
      </w:pPr>
    </w:p>
    <w:tbl>
      <w:tblPr>
        <w:tblW w:w="9600" w:type="dxa"/>
        <w:tblInd w:w="93" w:type="dxa"/>
        <w:tblLook w:val="00A0"/>
      </w:tblPr>
      <w:tblGrid>
        <w:gridCol w:w="1611"/>
        <w:gridCol w:w="866"/>
        <w:gridCol w:w="866"/>
        <w:gridCol w:w="866"/>
        <w:gridCol w:w="685"/>
        <w:gridCol w:w="866"/>
        <w:gridCol w:w="960"/>
        <w:gridCol w:w="960"/>
        <w:gridCol w:w="960"/>
        <w:gridCol w:w="960"/>
      </w:tblGrid>
      <w:tr w:rsidR="005F11CD" w:rsidRPr="00CC7641" w:rsidTr="009257CB">
        <w:trPr>
          <w:cantSplit/>
          <w:trHeight w:val="255"/>
        </w:trPr>
        <w:tc>
          <w:tcPr>
            <w:tcW w:w="5760" w:type="dxa"/>
            <w:gridSpan w:val="6"/>
            <w:tcBorders>
              <w:top w:val="nil"/>
              <w:left w:val="nil"/>
              <w:bottom w:val="nil"/>
              <w:right w:val="nil"/>
            </w:tcBorders>
            <w:noWrap/>
            <w:vAlign w:val="bottom"/>
          </w:tcPr>
          <w:p w:rsidR="005F11CD" w:rsidRPr="00CC7641" w:rsidRDefault="00CC7641" w:rsidP="004815FD">
            <w:pPr>
              <w:rPr>
                <w:rFonts w:ascii="Arial" w:hAnsi="Arial" w:cs="Arial"/>
                <w:b/>
                <w:bCs/>
                <w:sz w:val="18"/>
                <w:szCs w:val="18"/>
              </w:rPr>
            </w:pPr>
            <w:r w:rsidRPr="00CC7641">
              <w:rPr>
                <w:rFonts w:ascii="Arial" w:hAnsi="Arial" w:cs="Arial"/>
                <w:b/>
                <w:bCs/>
                <w:sz w:val="18"/>
                <w:szCs w:val="18"/>
              </w:rPr>
              <w:t>Table 2</w:t>
            </w:r>
            <w:r w:rsidR="005F11CD" w:rsidRPr="00CC7641">
              <w:rPr>
                <w:rFonts w:ascii="Arial" w:hAnsi="Arial" w:cs="Arial"/>
                <w:b/>
                <w:bCs/>
                <w:sz w:val="18"/>
                <w:szCs w:val="18"/>
              </w:rPr>
              <w:t>: State Splits for Share of NOM, 2011 Project</w:t>
            </w: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685"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NSW</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VIC</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QLD</w:t>
            </w:r>
          </w:p>
        </w:tc>
        <w:tc>
          <w:tcPr>
            <w:tcW w:w="685"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SA</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WA</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TAS</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NT</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ACT</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4815FD">
            <w:pPr>
              <w:jc w:val="right"/>
              <w:rPr>
                <w:rFonts w:ascii="Arial" w:hAnsi="Arial" w:cs="Arial"/>
                <w:sz w:val="18"/>
                <w:szCs w:val="18"/>
              </w:rPr>
            </w:pPr>
            <w:r w:rsidRPr="00CC7641">
              <w:rPr>
                <w:rFonts w:ascii="Arial" w:hAnsi="Arial" w:cs="Arial"/>
                <w:sz w:val="18"/>
                <w:szCs w:val="18"/>
              </w:rPr>
              <w:t>2009</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30.47</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26.34</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19.97</w:t>
            </w:r>
          </w:p>
        </w:tc>
        <w:tc>
          <w:tcPr>
            <w:tcW w:w="685"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5.57</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15.28</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0.67</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0.61</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1.08</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100.00</w:t>
            </w: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4815FD">
            <w:pPr>
              <w:jc w:val="right"/>
              <w:rPr>
                <w:rFonts w:ascii="Arial" w:hAnsi="Arial" w:cs="Arial"/>
                <w:sz w:val="18"/>
                <w:szCs w:val="18"/>
              </w:rPr>
            </w:pPr>
            <w:r w:rsidRPr="00CC7641">
              <w:rPr>
                <w:rFonts w:ascii="Arial" w:hAnsi="Arial" w:cs="Arial"/>
                <w:sz w:val="18"/>
                <w:szCs w:val="18"/>
              </w:rPr>
              <w:t>2010</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30.57</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26.34</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20.28</w:t>
            </w:r>
          </w:p>
        </w:tc>
        <w:tc>
          <w:tcPr>
            <w:tcW w:w="685"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5.33</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15.58</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0.67</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0.52</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0.70</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100.00</w:t>
            </w: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CC7641">
            <w:pPr>
              <w:jc w:val="right"/>
              <w:rPr>
                <w:rFonts w:ascii="Arial" w:hAnsi="Arial" w:cs="Arial"/>
                <w:sz w:val="18"/>
                <w:szCs w:val="18"/>
              </w:rPr>
            </w:pPr>
            <w:r w:rsidRPr="00CC7641">
              <w:rPr>
                <w:rFonts w:ascii="Arial" w:hAnsi="Arial" w:cs="Arial"/>
                <w:sz w:val="18"/>
                <w:szCs w:val="18"/>
              </w:rPr>
              <w:t>2011-end</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30.76</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26.34</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20.26</w:t>
            </w:r>
          </w:p>
        </w:tc>
        <w:tc>
          <w:tcPr>
            <w:tcW w:w="685"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5.18</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15.57</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0.67</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0.52</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0.70</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100.00</w:t>
            </w:r>
          </w:p>
        </w:tc>
      </w:tr>
      <w:tr w:rsidR="005F11CD" w:rsidRPr="00CC7641" w:rsidTr="009257CB">
        <w:trPr>
          <w:cantSplit/>
          <w:trHeight w:val="255"/>
        </w:trPr>
        <w:tc>
          <w:tcPr>
            <w:tcW w:w="1611"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685"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r>
      <w:tr w:rsidR="005F11CD" w:rsidRPr="00CC7641" w:rsidTr="004815FD">
        <w:trPr>
          <w:trHeight w:val="255"/>
        </w:trPr>
        <w:tc>
          <w:tcPr>
            <w:tcW w:w="5760" w:type="dxa"/>
            <w:gridSpan w:val="6"/>
            <w:tcBorders>
              <w:top w:val="nil"/>
              <w:left w:val="nil"/>
              <w:bottom w:val="nil"/>
              <w:right w:val="nil"/>
            </w:tcBorders>
            <w:noWrap/>
            <w:vAlign w:val="bottom"/>
          </w:tcPr>
          <w:p w:rsidR="005F11CD" w:rsidRPr="00CC7641" w:rsidRDefault="00CC7641" w:rsidP="004815FD">
            <w:pPr>
              <w:rPr>
                <w:rFonts w:ascii="Arial" w:hAnsi="Arial" w:cs="Arial"/>
                <w:b/>
                <w:bCs/>
                <w:sz w:val="18"/>
                <w:szCs w:val="18"/>
              </w:rPr>
            </w:pPr>
            <w:r w:rsidRPr="00CC7641">
              <w:rPr>
                <w:rFonts w:ascii="Arial" w:hAnsi="Arial" w:cs="Arial"/>
                <w:b/>
                <w:bCs/>
                <w:sz w:val="18"/>
                <w:szCs w:val="18"/>
              </w:rPr>
              <w:t>Table 3</w:t>
            </w:r>
            <w:r w:rsidR="005F11CD" w:rsidRPr="00CC7641">
              <w:rPr>
                <w:rFonts w:ascii="Arial" w:hAnsi="Arial" w:cs="Arial"/>
                <w:b/>
                <w:bCs/>
                <w:sz w:val="18"/>
                <w:szCs w:val="18"/>
              </w:rPr>
              <w:t>: State Splits for Share of NOM, 2010 Project</w:t>
            </w: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685"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960"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4815FD">
            <w:pPr>
              <w:rPr>
                <w:rFonts w:ascii="Arial" w:hAnsi="Arial" w:cs="Arial"/>
                <w:sz w:val="18"/>
                <w:szCs w:val="18"/>
              </w:rPr>
            </w:pP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NSW</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VIC</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QLD</w:t>
            </w:r>
          </w:p>
        </w:tc>
        <w:tc>
          <w:tcPr>
            <w:tcW w:w="685"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SA</w:t>
            </w:r>
          </w:p>
        </w:tc>
        <w:tc>
          <w:tcPr>
            <w:tcW w:w="866"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WA</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TAS</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NT</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ACT</w:t>
            </w:r>
          </w:p>
        </w:tc>
        <w:tc>
          <w:tcPr>
            <w:tcW w:w="960" w:type="dxa"/>
            <w:tcBorders>
              <w:top w:val="single" w:sz="4" w:space="0" w:color="auto"/>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4815FD">
            <w:pPr>
              <w:jc w:val="right"/>
              <w:rPr>
                <w:rFonts w:ascii="Arial" w:hAnsi="Arial" w:cs="Arial"/>
                <w:sz w:val="18"/>
                <w:szCs w:val="18"/>
              </w:rPr>
            </w:pPr>
            <w:r w:rsidRPr="00CC7641">
              <w:rPr>
                <w:rFonts w:ascii="Arial" w:hAnsi="Arial" w:cs="Arial"/>
                <w:sz w:val="18"/>
                <w:szCs w:val="18"/>
              </w:rPr>
              <w:t>2008</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31.1</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26.5</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18.9</w:t>
            </w:r>
          </w:p>
        </w:tc>
        <w:tc>
          <w:tcPr>
            <w:tcW w:w="685"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7.2</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14.4</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0.7</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0.7</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0.5</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w:t>
            </w: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4815FD">
            <w:pPr>
              <w:jc w:val="right"/>
              <w:rPr>
                <w:rFonts w:ascii="Arial" w:hAnsi="Arial" w:cs="Arial"/>
                <w:sz w:val="18"/>
                <w:szCs w:val="18"/>
              </w:rPr>
            </w:pPr>
            <w:r w:rsidRPr="00CC7641">
              <w:rPr>
                <w:rFonts w:ascii="Arial" w:hAnsi="Arial" w:cs="Arial"/>
                <w:sz w:val="18"/>
                <w:szCs w:val="18"/>
              </w:rPr>
              <w:t>2009</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31.2</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26.5</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18.9</w:t>
            </w:r>
          </w:p>
        </w:tc>
        <w:tc>
          <w:tcPr>
            <w:tcW w:w="685"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7</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14.4</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0.8</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0.7</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0.5</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w:t>
            </w: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4815FD">
            <w:pPr>
              <w:jc w:val="right"/>
              <w:rPr>
                <w:rFonts w:ascii="Arial" w:hAnsi="Arial" w:cs="Arial"/>
                <w:sz w:val="18"/>
                <w:szCs w:val="18"/>
              </w:rPr>
            </w:pPr>
            <w:r w:rsidRPr="00CC7641">
              <w:rPr>
                <w:rFonts w:ascii="Arial" w:hAnsi="Arial" w:cs="Arial"/>
                <w:sz w:val="18"/>
                <w:szCs w:val="18"/>
              </w:rPr>
              <w:t>2010</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31.3</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26.5</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19</w:t>
            </w:r>
          </w:p>
        </w:tc>
        <w:tc>
          <w:tcPr>
            <w:tcW w:w="685"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6.7</w:t>
            </w:r>
          </w:p>
        </w:tc>
        <w:tc>
          <w:tcPr>
            <w:tcW w:w="866"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14.5</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0.8</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w:t>
            </w:r>
          </w:p>
        </w:tc>
        <w:tc>
          <w:tcPr>
            <w:tcW w:w="960" w:type="dxa"/>
            <w:tcBorders>
              <w:top w:val="nil"/>
              <w:left w:val="nil"/>
              <w:bottom w:val="nil"/>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w:t>
            </w:r>
          </w:p>
        </w:tc>
      </w:tr>
      <w:tr w:rsidR="005F11CD" w:rsidRPr="00CC7641" w:rsidTr="004815FD">
        <w:trPr>
          <w:trHeight w:val="255"/>
        </w:trPr>
        <w:tc>
          <w:tcPr>
            <w:tcW w:w="1611" w:type="dxa"/>
            <w:tcBorders>
              <w:top w:val="nil"/>
              <w:left w:val="nil"/>
              <w:bottom w:val="nil"/>
              <w:right w:val="nil"/>
            </w:tcBorders>
            <w:noWrap/>
            <w:vAlign w:val="bottom"/>
          </w:tcPr>
          <w:p w:rsidR="005F11CD" w:rsidRPr="00CC7641" w:rsidRDefault="005F11CD" w:rsidP="00CC7641">
            <w:pPr>
              <w:jc w:val="right"/>
              <w:rPr>
                <w:rFonts w:ascii="Arial" w:hAnsi="Arial" w:cs="Arial"/>
                <w:sz w:val="18"/>
                <w:szCs w:val="18"/>
              </w:rPr>
            </w:pPr>
            <w:r w:rsidRPr="00CC7641">
              <w:rPr>
                <w:rFonts w:ascii="Arial" w:hAnsi="Arial" w:cs="Arial"/>
                <w:sz w:val="18"/>
                <w:szCs w:val="18"/>
              </w:rPr>
              <w:t>2011-2056</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31.5</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26.5</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19</w:t>
            </w:r>
          </w:p>
        </w:tc>
        <w:tc>
          <w:tcPr>
            <w:tcW w:w="685"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6.5</w:t>
            </w:r>
          </w:p>
        </w:tc>
        <w:tc>
          <w:tcPr>
            <w:tcW w:w="866"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14.5</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0.8</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0.6</w:t>
            </w:r>
          </w:p>
        </w:tc>
        <w:tc>
          <w:tcPr>
            <w:tcW w:w="960" w:type="dxa"/>
            <w:tcBorders>
              <w:top w:val="nil"/>
              <w:left w:val="nil"/>
              <w:bottom w:val="single" w:sz="4" w:space="0" w:color="auto"/>
              <w:right w:val="nil"/>
            </w:tcBorders>
            <w:noWrap/>
            <w:vAlign w:val="bottom"/>
          </w:tcPr>
          <w:p w:rsidR="005F11CD" w:rsidRPr="00CC7641" w:rsidRDefault="005F11CD" w:rsidP="00CC7641">
            <w:pPr>
              <w:jc w:val="center"/>
              <w:rPr>
                <w:rFonts w:ascii="Arial" w:hAnsi="Arial" w:cs="Arial"/>
                <w:sz w:val="18"/>
                <w:szCs w:val="18"/>
              </w:rPr>
            </w:pPr>
            <w:r w:rsidRPr="00CC7641">
              <w:rPr>
                <w:rFonts w:ascii="Arial" w:hAnsi="Arial" w:cs="Arial"/>
                <w:sz w:val="18"/>
                <w:szCs w:val="18"/>
              </w:rPr>
              <w:t>100</w:t>
            </w:r>
          </w:p>
        </w:tc>
      </w:tr>
    </w:tbl>
    <w:p w:rsidR="00373033" w:rsidRDefault="00373033" w:rsidP="00724C5A">
      <w:pPr>
        <w:rPr>
          <w:b/>
        </w:rPr>
      </w:pPr>
    </w:p>
    <w:p w:rsidR="00724C5A" w:rsidRDefault="00724C5A" w:rsidP="00724C5A">
      <w:pPr>
        <w:rPr>
          <w:lang w:val="en-AU"/>
        </w:rPr>
      </w:pPr>
      <w:r>
        <w:t>The resulting levels of annual net migration for regio</w:t>
      </w:r>
      <w:r w:rsidR="009820EB">
        <w:t xml:space="preserve">ns </w:t>
      </w:r>
      <w:r w:rsidR="00CC7641">
        <w:t xml:space="preserve">(international and internal) </w:t>
      </w:r>
      <w:r w:rsidR="009820EB">
        <w:t xml:space="preserve">are shown in Table </w:t>
      </w:r>
      <w:r w:rsidR="00CC7641">
        <w:t>4</w:t>
      </w:r>
      <w:r w:rsidR="009820EB">
        <w:t xml:space="preserve">. The levels </w:t>
      </w:r>
      <w:r w:rsidR="00CC7641">
        <w:t>are assumed not to change</w:t>
      </w:r>
      <w:r w:rsidR="00373033">
        <w:t xml:space="preserve"> </w:t>
      </w:r>
      <w:r w:rsidR="009820EB">
        <w:t>across the period, 2011- 38</w:t>
      </w:r>
      <w:r>
        <w:t>.</w:t>
      </w:r>
      <w:r w:rsidRPr="00724C5A">
        <w:t xml:space="preserve"> </w:t>
      </w:r>
      <w:r>
        <w:rPr>
          <w:lang w:val="en-AU"/>
        </w:rPr>
        <w:t xml:space="preserve">As the only varying parameter across the projections, the levels of annual net </w:t>
      </w:r>
      <w:r w:rsidR="00CC7641">
        <w:rPr>
          <w:lang w:val="en-AU"/>
        </w:rPr>
        <w:t xml:space="preserve">overseas </w:t>
      </w:r>
      <w:r>
        <w:rPr>
          <w:lang w:val="en-AU"/>
        </w:rPr>
        <w:t>migration are the central caus</w:t>
      </w:r>
      <w:r w:rsidR="009118AD">
        <w:rPr>
          <w:lang w:val="en-AU"/>
        </w:rPr>
        <w:t>e of variation in the results between</w:t>
      </w:r>
      <w:r>
        <w:rPr>
          <w:lang w:val="en-AU"/>
        </w:rPr>
        <w:t xml:space="preserve"> the scenarios.</w:t>
      </w:r>
    </w:p>
    <w:p w:rsidR="00724C5A" w:rsidRDefault="00724C5A" w:rsidP="00724C5A">
      <w:pPr>
        <w:rPr>
          <w:lang w:val="en-AU"/>
        </w:rPr>
      </w:pPr>
    </w:p>
    <w:p w:rsidR="005044C4" w:rsidRDefault="005044C4" w:rsidP="005044C4">
      <w:pPr>
        <w:rPr>
          <w:b/>
        </w:rPr>
      </w:pPr>
      <w:r>
        <w:rPr>
          <w:b/>
        </w:rPr>
        <w:t xml:space="preserve">The </w:t>
      </w:r>
      <w:r w:rsidR="003F2EC8">
        <w:rPr>
          <w:b/>
        </w:rPr>
        <w:t>M</w:t>
      </w:r>
      <w:r>
        <w:rPr>
          <w:b/>
        </w:rPr>
        <w:t>edium international migration scenario</w:t>
      </w:r>
    </w:p>
    <w:p w:rsidR="005044C4" w:rsidRDefault="005044C4" w:rsidP="00724C5A">
      <w:pPr>
        <w:rPr>
          <w:lang w:val="en-AU"/>
        </w:rPr>
      </w:pPr>
    </w:p>
    <w:p w:rsidR="00724C5A" w:rsidRDefault="00724C5A" w:rsidP="00724C5A">
      <w:pPr>
        <w:rPr>
          <w:lang w:val="en-AU"/>
        </w:rPr>
      </w:pPr>
      <w:smartTag w:uri="urn:schemas-microsoft-com:office:smarttags" w:element="place">
        <w:smartTag w:uri="urn:schemas-microsoft-com:office:smarttags" w:element="State">
          <w:r>
            <w:rPr>
              <w:lang w:val="en-AU"/>
            </w:rPr>
            <w:t>Queensland</w:t>
          </w:r>
        </w:smartTag>
      </w:smartTag>
      <w:r>
        <w:rPr>
          <w:lang w:val="en-AU"/>
        </w:rPr>
        <w:t xml:space="preserve"> gains from migration more than any other S</w:t>
      </w:r>
      <w:r w:rsidR="0023104E">
        <w:rPr>
          <w:lang w:val="en-AU"/>
        </w:rPr>
        <w:t>t</w:t>
      </w:r>
      <w:r w:rsidR="009118AD">
        <w:rPr>
          <w:lang w:val="en-AU"/>
        </w:rPr>
        <w:t>ate or Territory. T</w:t>
      </w:r>
      <w:r w:rsidR="0015166C">
        <w:rPr>
          <w:lang w:val="en-AU"/>
        </w:rPr>
        <w:t xml:space="preserve">he Medium assumption shows </w:t>
      </w:r>
      <w:r>
        <w:rPr>
          <w:lang w:val="en-AU"/>
        </w:rPr>
        <w:t>net migration to Queensland</w:t>
      </w:r>
      <w:r w:rsidR="0015166C">
        <w:rPr>
          <w:lang w:val="en-AU"/>
        </w:rPr>
        <w:t xml:space="preserve"> a</w:t>
      </w:r>
      <w:r w:rsidR="009118AD">
        <w:rPr>
          <w:lang w:val="en-AU"/>
        </w:rPr>
        <w:t xml:space="preserve">s </w:t>
      </w:r>
      <w:r w:rsidR="00A00DB0">
        <w:rPr>
          <w:lang w:val="en-AU"/>
        </w:rPr>
        <w:t>64</w:t>
      </w:r>
      <w:r w:rsidR="009118AD">
        <w:rPr>
          <w:lang w:val="en-AU"/>
        </w:rPr>
        <w:t>,</w:t>
      </w:r>
      <w:r w:rsidR="00A00DB0">
        <w:rPr>
          <w:lang w:val="en-AU"/>
        </w:rPr>
        <w:t xml:space="preserve">000 </w:t>
      </w:r>
      <w:r>
        <w:rPr>
          <w:lang w:val="en-AU"/>
        </w:rPr>
        <w:t>comp</w:t>
      </w:r>
      <w:r w:rsidR="0015166C">
        <w:rPr>
          <w:lang w:val="en-AU"/>
        </w:rPr>
        <w:t>a</w:t>
      </w:r>
      <w:r>
        <w:rPr>
          <w:lang w:val="en-AU"/>
        </w:rPr>
        <w:t xml:space="preserve">red with </w:t>
      </w:r>
      <w:r w:rsidR="009118AD">
        <w:rPr>
          <w:lang w:val="en-AU"/>
        </w:rPr>
        <w:t>41,</w:t>
      </w:r>
      <w:r w:rsidR="00A00DB0">
        <w:rPr>
          <w:lang w:val="en-AU"/>
        </w:rPr>
        <w:t xml:space="preserve">400 </w:t>
      </w:r>
      <w:r w:rsidR="0015166C">
        <w:rPr>
          <w:lang w:val="en-AU"/>
        </w:rPr>
        <w:t>for Victoria</w:t>
      </w:r>
      <w:r w:rsidR="009118AD">
        <w:rPr>
          <w:lang w:val="en-AU"/>
        </w:rPr>
        <w:t>, 35,</w:t>
      </w:r>
      <w:r w:rsidR="00A00DB0">
        <w:rPr>
          <w:lang w:val="en-AU"/>
        </w:rPr>
        <w:t xml:space="preserve">400 </w:t>
      </w:r>
      <w:r w:rsidR="0015166C">
        <w:rPr>
          <w:lang w:val="en-AU"/>
        </w:rPr>
        <w:t>for New South Wales</w:t>
      </w:r>
      <w:r w:rsidR="009118AD">
        <w:rPr>
          <w:lang w:val="en-AU"/>
        </w:rPr>
        <w:t xml:space="preserve"> and 30,</w:t>
      </w:r>
      <w:r w:rsidR="00A00DB0">
        <w:rPr>
          <w:lang w:val="en-AU"/>
        </w:rPr>
        <w:t xml:space="preserve">500 </w:t>
      </w:r>
      <w:r w:rsidR="0015166C">
        <w:rPr>
          <w:lang w:val="en-AU"/>
        </w:rPr>
        <w:t>for Western Australia. Among the capital cities, t</w:t>
      </w:r>
      <w:r w:rsidR="009118AD">
        <w:rPr>
          <w:lang w:val="en-AU"/>
        </w:rPr>
        <w:t>he highest net migration in 2011</w:t>
      </w:r>
      <w:r w:rsidR="0015166C">
        <w:rPr>
          <w:lang w:val="en-AU"/>
        </w:rPr>
        <w:t xml:space="preserve"> is for Melbourne</w:t>
      </w:r>
      <w:r w:rsidR="009118AD">
        <w:rPr>
          <w:lang w:val="en-AU"/>
        </w:rPr>
        <w:t xml:space="preserve"> at 33,</w:t>
      </w:r>
      <w:r w:rsidR="00A00DB0">
        <w:rPr>
          <w:lang w:val="en-AU"/>
        </w:rPr>
        <w:t xml:space="preserve">800 </w:t>
      </w:r>
      <w:r w:rsidR="0015166C">
        <w:rPr>
          <w:lang w:val="en-AU"/>
        </w:rPr>
        <w:t>followed by</w:t>
      </w:r>
      <w:r w:rsidR="009118AD">
        <w:rPr>
          <w:lang w:val="en-AU"/>
        </w:rPr>
        <w:t xml:space="preserve"> 25,</w:t>
      </w:r>
      <w:r w:rsidR="00A00DB0">
        <w:rPr>
          <w:lang w:val="en-AU"/>
        </w:rPr>
        <w:t xml:space="preserve">200 </w:t>
      </w:r>
      <w:r w:rsidR="0015166C">
        <w:rPr>
          <w:lang w:val="en-AU"/>
        </w:rPr>
        <w:t>for Perth</w:t>
      </w:r>
      <w:r w:rsidR="009118AD">
        <w:rPr>
          <w:lang w:val="en-AU"/>
        </w:rPr>
        <w:t>, 25,</w:t>
      </w:r>
      <w:r w:rsidR="00A00DB0">
        <w:rPr>
          <w:lang w:val="en-AU"/>
        </w:rPr>
        <w:t xml:space="preserve">200 </w:t>
      </w:r>
      <w:r w:rsidR="0015166C">
        <w:rPr>
          <w:lang w:val="en-AU"/>
        </w:rPr>
        <w:t>for Brisbane</w:t>
      </w:r>
      <w:r w:rsidR="009118AD">
        <w:rPr>
          <w:lang w:val="en-AU"/>
        </w:rPr>
        <w:t xml:space="preserve"> and 19,</w:t>
      </w:r>
      <w:r w:rsidR="00A00DB0">
        <w:rPr>
          <w:lang w:val="en-AU"/>
        </w:rPr>
        <w:t xml:space="preserve">100 </w:t>
      </w:r>
      <w:r w:rsidR="0015166C">
        <w:rPr>
          <w:lang w:val="en-AU"/>
        </w:rPr>
        <w:t>for Sydney. However, net migration to Southeast Queensland not including Brisbane</w:t>
      </w:r>
      <w:r w:rsidR="009118AD">
        <w:rPr>
          <w:lang w:val="en-AU"/>
        </w:rPr>
        <w:t xml:space="preserve"> is 26,</w:t>
      </w:r>
      <w:r w:rsidR="00A00DB0">
        <w:rPr>
          <w:lang w:val="en-AU"/>
        </w:rPr>
        <w:t xml:space="preserve">800 </w:t>
      </w:r>
      <w:r w:rsidR="009118AD">
        <w:rPr>
          <w:lang w:val="en-AU"/>
        </w:rPr>
        <w:t>in 2011</w:t>
      </w:r>
      <w:r w:rsidR="0015166C">
        <w:rPr>
          <w:lang w:val="en-AU"/>
        </w:rPr>
        <w:t>, higher than the migration to Brisbane. Thus, considering Southeast Queensland as a whole</w:t>
      </w:r>
      <w:r w:rsidR="00373033">
        <w:rPr>
          <w:lang w:val="en-AU"/>
        </w:rPr>
        <w:t xml:space="preserve"> (</w:t>
      </w:r>
      <w:r w:rsidR="00373033" w:rsidRPr="00C4202A">
        <w:t>S</w:t>
      </w:r>
      <w:r w:rsidR="00373033">
        <w:t xml:space="preserve">outh East </w:t>
      </w:r>
      <w:r w:rsidR="00373033" w:rsidRPr="00C4202A">
        <w:t>Q</w:t>
      </w:r>
      <w:r w:rsidR="00373033">
        <w:t>ueensland</w:t>
      </w:r>
      <w:r w:rsidR="00373033" w:rsidRPr="00C4202A">
        <w:t xml:space="preserve"> includes the statistical divisions of Brisbane, Gold Coast, Sunshine Coast and West</w:t>
      </w:r>
      <w:r w:rsidR="00373033" w:rsidRPr="00503D90">
        <w:rPr>
          <w:lang w:val="en-AU"/>
        </w:rPr>
        <w:t xml:space="preserve"> Moreton</w:t>
      </w:r>
      <w:r w:rsidR="00373033" w:rsidRPr="00C4202A">
        <w:t xml:space="preserve"> and Toowoomba Regional Council</w:t>
      </w:r>
      <w:r w:rsidR="00373033" w:rsidRPr="00066116">
        <w:rPr>
          <w:lang w:val="en-AU"/>
        </w:rPr>
        <w:t xml:space="preserve"> </w:t>
      </w:r>
      <w:r w:rsidR="00373033">
        <w:rPr>
          <w:lang w:val="en-AU"/>
        </w:rPr>
        <w:t>(Cambooya Shire - Pt A, Crow's Nest Shire - Pt A, Jondaryan Shire - Pt A, Rosalie Shire - Pt A, and Toowoomba City).</w:t>
      </w:r>
      <w:r w:rsidR="0015166C">
        <w:rPr>
          <w:lang w:val="en-AU"/>
        </w:rPr>
        <w:t xml:space="preserve"> the level of migration is by far the highest of any of th</w:t>
      </w:r>
      <w:r w:rsidR="009118AD">
        <w:rPr>
          <w:lang w:val="en-AU"/>
        </w:rPr>
        <w:t>e regions in the table at 51,</w:t>
      </w:r>
      <w:r w:rsidR="00A00DB0">
        <w:rPr>
          <w:lang w:val="en-AU"/>
        </w:rPr>
        <w:t>900</w:t>
      </w:r>
      <w:r w:rsidR="0015166C">
        <w:rPr>
          <w:lang w:val="en-AU"/>
        </w:rPr>
        <w:t>. In New South Wales, net migration to areas outside of Sydney</w:t>
      </w:r>
      <w:r w:rsidR="009118AD">
        <w:rPr>
          <w:lang w:val="en-AU"/>
        </w:rPr>
        <w:t xml:space="preserve"> (16,</w:t>
      </w:r>
      <w:r w:rsidR="00A00DB0">
        <w:rPr>
          <w:lang w:val="en-AU"/>
        </w:rPr>
        <w:t>300</w:t>
      </w:r>
      <w:r w:rsidR="0015166C">
        <w:rPr>
          <w:lang w:val="en-AU"/>
        </w:rPr>
        <w:t>) is only a little lower than the net migration to Sydney</w:t>
      </w:r>
      <w:r w:rsidR="009118AD">
        <w:rPr>
          <w:lang w:val="en-AU"/>
        </w:rPr>
        <w:t xml:space="preserve"> (19,</w:t>
      </w:r>
      <w:r w:rsidR="00A00DB0">
        <w:rPr>
          <w:lang w:val="en-AU"/>
        </w:rPr>
        <w:t>100</w:t>
      </w:r>
      <w:r w:rsidR="0015166C">
        <w:rPr>
          <w:lang w:val="en-AU"/>
        </w:rPr>
        <w:t xml:space="preserve">). In </w:t>
      </w:r>
      <w:smartTag w:uri="urn:schemas-microsoft-com:office:smarttags" w:element="State">
        <w:r w:rsidR="0015166C">
          <w:rPr>
            <w:lang w:val="en-AU"/>
          </w:rPr>
          <w:t>Queensland</w:t>
        </w:r>
      </w:smartTag>
      <w:r w:rsidR="0015166C">
        <w:rPr>
          <w:lang w:val="en-AU"/>
        </w:rPr>
        <w:t xml:space="preserve">, migration to areas outside of </w:t>
      </w:r>
      <w:smartTag w:uri="urn:schemas-microsoft-com:office:smarttags" w:element="City">
        <w:r w:rsidR="0015166C">
          <w:rPr>
            <w:lang w:val="en-AU"/>
          </w:rPr>
          <w:t>Brisbane</w:t>
        </w:r>
      </w:smartTag>
      <w:r w:rsidR="0015166C">
        <w:rPr>
          <w:lang w:val="en-AU"/>
        </w:rPr>
        <w:t xml:space="preserve"> is much greater than migration to </w:t>
      </w:r>
      <w:smartTag w:uri="urn:schemas-microsoft-com:office:smarttags" w:element="place">
        <w:smartTag w:uri="urn:schemas-microsoft-com:office:smarttags" w:element="City">
          <w:r w:rsidR="0015166C">
            <w:rPr>
              <w:lang w:val="en-AU"/>
            </w:rPr>
            <w:t>Brisbane</w:t>
          </w:r>
        </w:smartTag>
      </w:smartTag>
      <w:r w:rsidR="0015166C">
        <w:rPr>
          <w:lang w:val="en-AU"/>
        </w:rPr>
        <w:t>. In contrast, i</w:t>
      </w:r>
      <w:r w:rsidR="00A96FD0">
        <w:rPr>
          <w:lang w:val="en-AU"/>
        </w:rPr>
        <w:t>n</w:t>
      </w:r>
      <w:r w:rsidR="0015166C">
        <w:rPr>
          <w:lang w:val="en-AU"/>
        </w:rPr>
        <w:t xml:space="preserve"> the other two major states, </w:t>
      </w:r>
      <w:smartTag w:uri="urn:schemas-microsoft-com:office:smarttags" w:element="State">
        <w:r w:rsidR="0015166C">
          <w:rPr>
            <w:lang w:val="en-AU"/>
          </w:rPr>
          <w:t>Victoria</w:t>
        </w:r>
      </w:smartTag>
      <w:r w:rsidR="0015166C">
        <w:rPr>
          <w:lang w:val="en-AU"/>
        </w:rPr>
        <w:t xml:space="preserve"> and </w:t>
      </w:r>
      <w:smartTag w:uri="urn:schemas-microsoft-com:office:smarttags" w:element="place">
        <w:smartTag w:uri="urn:schemas-microsoft-com:office:smarttags" w:element="State">
          <w:r w:rsidR="0015166C">
            <w:rPr>
              <w:lang w:val="en-AU"/>
            </w:rPr>
            <w:t>Western Australia</w:t>
          </w:r>
        </w:smartTag>
      </w:smartTag>
      <w:r w:rsidR="0015166C">
        <w:rPr>
          <w:lang w:val="en-AU"/>
        </w:rPr>
        <w:t>, net migration is heavily concentrated on the capital city.</w:t>
      </w:r>
    </w:p>
    <w:p w:rsidR="00373033" w:rsidRDefault="00373033" w:rsidP="00724C5A">
      <w:pPr>
        <w:rPr>
          <w:lang w:val="en-AU"/>
        </w:rPr>
      </w:pPr>
    </w:p>
    <w:p w:rsidR="00A96FD0" w:rsidRDefault="005044C4" w:rsidP="00724C5A">
      <w:pPr>
        <w:rPr>
          <w:lang w:val="en-AU"/>
        </w:rPr>
      </w:pPr>
      <w:r>
        <w:rPr>
          <w:b/>
        </w:rPr>
        <w:t>T</w:t>
      </w:r>
      <w:r w:rsidR="00C62945">
        <w:rPr>
          <w:b/>
        </w:rPr>
        <w:t>he L</w:t>
      </w:r>
      <w:r w:rsidRPr="005044C4">
        <w:rPr>
          <w:b/>
        </w:rPr>
        <w:t xml:space="preserve">ow and </w:t>
      </w:r>
      <w:r w:rsidR="00C62945">
        <w:rPr>
          <w:b/>
        </w:rPr>
        <w:t>H</w:t>
      </w:r>
      <w:r w:rsidRPr="005044C4">
        <w:rPr>
          <w:b/>
        </w:rPr>
        <w:t>igh migration scenarios</w:t>
      </w:r>
      <w:r w:rsidR="00271A81">
        <w:rPr>
          <w:b/>
        </w:rPr>
        <w:t xml:space="preserve"> </w:t>
      </w:r>
    </w:p>
    <w:p w:rsidR="00373033" w:rsidRDefault="00373033" w:rsidP="00724C5A">
      <w:pPr>
        <w:rPr>
          <w:lang w:val="en-AU"/>
        </w:rPr>
      </w:pPr>
    </w:p>
    <w:p w:rsidR="00A96FD0" w:rsidRDefault="00A96FD0" w:rsidP="00724C5A">
      <w:pPr>
        <w:rPr>
          <w:lang w:val="en-AU"/>
        </w:rPr>
      </w:pPr>
      <w:r>
        <w:rPr>
          <w:lang w:val="en-AU"/>
        </w:rPr>
        <w:t>The picture changes sharply when the other two scenarios are examine</w:t>
      </w:r>
      <w:r w:rsidR="00470CED">
        <w:rPr>
          <w:lang w:val="en-AU"/>
        </w:rPr>
        <w:t>d</w:t>
      </w:r>
      <w:r>
        <w:rPr>
          <w:lang w:val="en-AU"/>
        </w:rPr>
        <w:t xml:space="preserve">. </w:t>
      </w:r>
      <w:r w:rsidR="006E0C0B">
        <w:rPr>
          <w:lang w:val="en-AU"/>
        </w:rPr>
        <w:t>With the L</w:t>
      </w:r>
      <w:r>
        <w:rPr>
          <w:lang w:val="en-AU"/>
        </w:rPr>
        <w:t>ow international migration scenario (100,000 per ann</w:t>
      </w:r>
      <w:r w:rsidR="00470CED">
        <w:rPr>
          <w:lang w:val="en-AU"/>
        </w:rPr>
        <w:t>um), Sydney would experience an</w:t>
      </w:r>
      <w:r>
        <w:rPr>
          <w:lang w:val="en-AU"/>
        </w:rPr>
        <w:t xml:space="preserve"> annual net loss of population t</w:t>
      </w:r>
      <w:r w:rsidR="00470CED">
        <w:rPr>
          <w:lang w:val="en-AU"/>
        </w:rPr>
        <w:t>hrough migration of around 4,500</w:t>
      </w:r>
      <w:r>
        <w:rPr>
          <w:lang w:val="en-AU"/>
        </w:rPr>
        <w:t xml:space="preserve"> people while net migration for the balance of New South Wales would fall only marginally. This indicates that </w:t>
      </w:r>
      <w:smartTag w:uri="urn:schemas-microsoft-com:office:smarttags" w:element="City">
        <w:r>
          <w:rPr>
            <w:lang w:val="en-AU"/>
          </w:rPr>
          <w:t>Sydney</w:t>
        </w:r>
      </w:smartTag>
      <w:r>
        <w:rPr>
          <w:lang w:val="en-AU"/>
        </w:rPr>
        <w:t xml:space="preserve">’s growth from migration is entirely determined by international migration </w:t>
      </w:r>
      <w:r>
        <w:rPr>
          <w:lang w:val="en-AU"/>
        </w:rPr>
        <w:lastRenderedPageBreak/>
        <w:t xml:space="preserve">while the growth from migration for the rest of the state is determined by internal migration (very largely from </w:t>
      </w:r>
      <w:smartTag w:uri="urn:schemas-microsoft-com:office:smarttags" w:element="place">
        <w:smartTag w:uri="urn:schemas-microsoft-com:office:smarttags" w:element="City">
          <w:r>
            <w:rPr>
              <w:lang w:val="en-AU"/>
            </w:rPr>
            <w:t>Sydney</w:t>
          </w:r>
        </w:smartTag>
      </w:smartTag>
      <w:r>
        <w:rPr>
          <w:lang w:val="en-AU"/>
        </w:rPr>
        <w:t>). This story is largely repeated across other states; lower international migration has a large impact on net migration for the capital cities but only a marginal impact on net migration fore the balances of each state. A</w:t>
      </w:r>
      <w:r w:rsidR="00271A81">
        <w:rPr>
          <w:lang w:val="en-AU"/>
        </w:rPr>
        <w:t>n</w:t>
      </w:r>
      <w:r>
        <w:rPr>
          <w:lang w:val="en-AU"/>
        </w:rPr>
        <w:t xml:space="preserve"> exception is </w:t>
      </w:r>
      <w:smartTag w:uri="urn:schemas-microsoft-com:office:smarttags" w:element="State">
        <w:r>
          <w:rPr>
            <w:lang w:val="en-AU"/>
          </w:rPr>
          <w:t>Queensland</w:t>
        </w:r>
      </w:smartTag>
      <w:r>
        <w:rPr>
          <w:lang w:val="en-AU"/>
        </w:rPr>
        <w:t xml:space="preserve"> where direct overseas migration occurs to the regions of Southeast Queensland outside of </w:t>
      </w:r>
      <w:smartTag w:uri="urn:schemas-microsoft-com:office:smarttags" w:element="City">
        <w:r>
          <w:rPr>
            <w:lang w:val="en-AU"/>
          </w:rPr>
          <w:t>Brisbane</w:t>
        </w:r>
      </w:smartTag>
      <w:r w:rsidR="006E0C0B">
        <w:rPr>
          <w:lang w:val="en-AU"/>
        </w:rPr>
        <w:t xml:space="preserve"> so a fall in net overseas migration would affect this region </w:t>
      </w:r>
      <w:r w:rsidR="00271A81">
        <w:rPr>
          <w:lang w:val="en-AU"/>
        </w:rPr>
        <w:t xml:space="preserve">moderately </w:t>
      </w:r>
      <w:r w:rsidR="006E0C0B">
        <w:rPr>
          <w:lang w:val="en-AU"/>
        </w:rPr>
        <w:t xml:space="preserve">more that other areas in </w:t>
      </w:r>
      <w:smartTag w:uri="urn:schemas-microsoft-com:office:smarttags" w:element="country-region">
        <w:smartTag w:uri="urn:schemas-microsoft-com:office:smarttags" w:element="place">
          <w:r w:rsidR="006E0C0B">
            <w:rPr>
              <w:lang w:val="en-AU"/>
            </w:rPr>
            <w:t>Australia</w:t>
          </w:r>
        </w:smartTag>
      </w:smartTag>
      <w:r w:rsidR="006E0C0B">
        <w:rPr>
          <w:lang w:val="en-AU"/>
        </w:rPr>
        <w:t xml:space="preserve"> outside the capitals.</w:t>
      </w:r>
    </w:p>
    <w:p w:rsidR="006E0C0B" w:rsidRDefault="006E0C0B" w:rsidP="00724C5A">
      <w:pPr>
        <w:rPr>
          <w:lang w:val="en-AU"/>
        </w:rPr>
      </w:pPr>
    </w:p>
    <w:p w:rsidR="006E0C0B" w:rsidRDefault="006E0C0B" w:rsidP="00724C5A">
      <w:pPr>
        <w:rPr>
          <w:lang w:val="en-AU"/>
        </w:rPr>
      </w:pPr>
      <w:r>
        <w:rPr>
          <w:lang w:val="en-AU"/>
        </w:rPr>
        <w:t xml:space="preserve">The low migration story is repeated in reverse for the High international migration scenario. Under this scenario also, the areas outside of the capitals have much the same levels of annual net migration as under the Medium scenario but the net migration to the capital cities is much larger. </w:t>
      </w:r>
      <w:proofErr w:type="gramStart"/>
      <w:r>
        <w:rPr>
          <w:lang w:val="en-AU"/>
        </w:rPr>
        <w:t>Sydney’s net annual migration more than doubles under the High assumption</w:t>
      </w:r>
      <w:r w:rsidRPr="006E0C0B">
        <w:rPr>
          <w:lang w:val="en-AU"/>
        </w:rPr>
        <w:t xml:space="preserve"> </w:t>
      </w:r>
      <w:r>
        <w:rPr>
          <w:lang w:val="en-AU"/>
        </w:rPr>
        <w:t>compared with the Medium assumption.</w:t>
      </w:r>
      <w:proofErr w:type="gramEnd"/>
    </w:p>
    <w:p w:rsidR="006E0C0B" w:rsidRDefault="006E0C0B" w:rsidP="00724C5A">
      <w:pPr>
        <w:rPr>
          <w:lang w:val="en-AU"/>
        </w:rPr>
      </w:pPr>
    </w:p>
    <w:p w:rsidR="006E0C0B" w:rsidRDefault="00F027E2" w:rsidP="00724C5A">
      <w:r>
        <w:rPr>
          <w:lang w:val="en-AU"/>
        </w:rPr>
        <w:t>It must be emphasised</w:t>
      </w:r>
      <w:r w:rsidR="006E0C0B">
        <w:rPr>
          <w:lang w:val="en-AU"/>
        </w:rPr>
        <w:t xml:space="preserve"> that these scenarios do not consider the possible impacts on </w:t>
      </w:r>
      <w:r>
        <w:rPr>
          <w:lang w:val="en-AU"/>
        </w:rPr>
        <w:t xml:space="preserve">population </w:t>
      </w:r>
      <w:r w:rsidR="006E0C0B">
        <w:rPr>
          <w:lang w:val="en-AU"/>
        </w:rPr>
        <w:t>movements of housing supply factors. If housing supply in some region is constrained or if prices rise relative to other regions, this may affect the net migration flows.</w:t>
      </w:r>
      <w:r w:rsidR="00C30F84">
        <w:rPr>
          <w:lang w:val="en-AU"/>
        </w:rPr>
        <w:t xml:space="preserve"> </w:t>
      </w:r>
      <w:r>
        <w:rPr>
          <w:lang w:val="en-AU"/>
        </w:rPr>
        <w:t xml:space="preserve">It is generally considered that internal out-migration from </w:t>
      </w:r>
      <w:smartTag w:uri="urn:schemas-microsoft-com:office:smarttags" w:element="place">
        <w:smartTag w:uri="urn:schemas-microsoft-com:office:smarttags" w:element="City">
          <w:r>
            <w:rPr>
              <w:lang w:val="en-AU"/>
            </w:rPr>
            <w:t>Sydney</w:t>
          </w:r>
        </w:smartTag>
      </w:smartTag>
      <w:r>
        <w:rPr>
          <w:lang w:val="en-AU"/>
        </w:rPr>
        <w:t xml:space="preserve"> is influenced by housing supply factors. Therefore, for example,</w:t>
      </w:r>
      <w:r w:rsidR="00C30F84">
        <w:rPr>
          <w:lang w:val="en-AU"/>
        </w:rPr>
        <w:t xml:space="preserve"> the population boom in </w:t>
      </w:r>
      <w:smartTag w:uri="urn:schemas-microsoft-com:office:smarttags" w:element="place">
        <w:r w:rsidR="00C30F84">
          <w:rPr>
            <w:lang w:val="en-AU"/>
          </w:rPr>
          <w:t>Southeast Queensland</w:t>
        </w:r>
      </w:smartTag>
      <w:r w:rsidR="00C30F84">
        <w:rPr>
          <w:lang w:val="en-AU"/>
        </w:rPr>
        <w:t xml:space="preserve"> could slow relative to these scenarios if housing prices rise more than in other regions and/or housing supply is constrained.</w:t>
      </w:r>
    </w:p>
    <w:p w:rsidR="006D28AC" w:rsidRDefault="006D28AC">
      <w:pPr>
        <w:rPr>
          <w:rFonts w:ascii="Arial" w:hAnsi="Arial" w:cs="Arial"/>
          <w:sz w:val="20"/>
          <w:szCs w:val="20"/>
        </w:rPr>
      </w:pPr>
    </w:p>
    <w:p w:rsidR="00606AB5" w:rsidRPr="00E95FFD" w:rsidRDefault="00606AB5">
      <w:pPr>
        <w:rPr>
          <w:rFonts w:ascii="Arial" w:hAnsi="Arial" w:cs="Arial"/>
          <w:sz w:val="20"/>
          <w:szCs w:val="20"/>
        </w:rPr>
      </w:pPr>
    </w:p>
    <w:p w:rsidR="001F2F04" w:rsidRPr="009765D3" w:rsidRDefault="001F2F04" w:rsidP="001F2F04">
      <w:pPr>
        <w:jc w:val="center"/>
        <w:rPr>
          <w:b/>
        </w:rPr>
      </w:pPr>
      <w:r w:rsidRPr="009765D3">
        <w:rPr>
          <w:b/>
        </w:rPr>
        <w:t>PROJECTION RESULTS</w:t>
      </w:r>
    </w:p>
    <w:p w:rsidR="001F2F04" w:rsidRPr="006D28AC" w:rsidRDefault="001F2F04" w:rsidP="001F2F04">
      <w:pPr>
        <w:rPr>
          <w:b/>
        </w:rPr>
      </w:pPr>
      <w:r>
        <w:rPr>
          <w:b/>
        </w:rPr>
        <w:t>Total households</w:t>
      </w:r>
    </w:p>
    <w:p w:rsidR="001F2F04" w:rsidRDefault="001F2F04" w:rsidP="001F2F04"/>
    <w:p w:rsidR="001F2F04" w:rsidRDefault="001F2F04" w:rsidP="001F2F04">
      <w:r>
        <w:t xml:space="preserve">Table </w:t>
      </w:r>
      <w:r w:rsidR="001B48E1">
        <w:t>5</w:t>
      </w:r>
      <w:r>
        <w:t xml:space="preserve"> shows the ratio of the</w:t>
      </w:r>
      <w:r w:rsidR="00AD103A">
        <w:t xml:space="preserve"> total number</w:t>
      </w:r>
      <w:r w:rsidR="00584ABA">
        <w:t xml:space="preserve"> of</w:t>
      </w:r>
      <w:r w:rsidR="00AD103A">
        <w:t xml:space="preserve"> households in 2024</w:t>
      </w:r>
      <w:r>
        <w:t xml:space="preserve"> compared with the number in</w:t>
      </w:r>
      <w:r w:rsidR="00AD103A">
        <w:t xml:space="preserve"> 2009 and 2039 compared with 2024</w:t>
      </w:r>
      <w:r>
        <w:t xml:space="preserve"> for each region across the three scenarios. </w:t>
      </w:r>
    </w:p>
    <w:p w:rsidR="001F2F04" w:rsidRDefault="001F2F04" w:rsidP="001F2F04"/>
    <w:p w:rsidR="001F2F04" w:rsidRDefault="001F2F04" w:rsidP="001F2F04">
      <w:r>
        <w:t>Because the different assumptions about international migration do not have much impact on the growth on annual net migration for the balances of each state, the growth rates of households do not vary much across the scenarios in the balances of ea</w:t>
      </w:r>
      <w:r w:rsidR="0023104E">
        <w:t>ch state</w:t>
      </w:r>
      <w:r w:rsidR="00AD103A">
        <w:t>. For example, from 2009 to 2024</w:t>
      </w:r>
      <w:r>
        <w:t xml:space="preserve">, in the balance of </w:t>
      </w:r>
      <w:smartTag w:uri="urn:schemas-microsoft-com:office:smarttags" w:element="State">
        <w:r>
          <w:t>New South Wales</w:t>
        </w:r>
      </w:smartTag>
      <w:r>
        <w:t>, the growth rates across the scenario</w:t>
      </w:r>
      <w:r w:rsidR="00AD103A">
        <w:t>s from Low to High range from 22% to 23</w:t>
      </w:r>
      <w:r>
        <w:t xml:space="preserve">% and in the balance of </w:t>
      </w:r>
      <w:smartTag w:uri="urn:schemas-microsoft-com:office:smarttags" w:element="place">
        <w:smartTag w:uri="urn:schemas-microsoft-com:office:smarttags" w:element="State">
          <w:r>
            <w:t>Victoria</w:t>
          </w:r>
        </w:smartTag>
      </w:smartTag>
      <w:r w:rsidR="00AD103A">
        <w:t xml:space="preserve"> from 20</w:t>
      </w:r>
      <w:r>
        <w:t xml:space="preserve">% to 23%. The exception is the balance of </w:t>
      </w:r>
      <w:smartTag w:uri="urn:schemas-microsoft-com:office:smarttags" w:element="State">
        <w:r>
          <w:t>Queensland</w:t>
        </w:r>
      </w:smartTag>
      <w:r>
        <w:t xml:space="preserve"> outside </w:t>
      </w:r>
      <w:smartTag w:uri="urn:schemas-microsoft-com:office:smarttags" w:element="City">
        <w:r>
          <w:t>Brisbane</w:t>
        </w:r>
      </w:smartTag>
      <w:r>
        <w:t xml:space="preserve">, especially in Southeast Queensland outside </w:t>
      </w:r>
      <w:smartTag w:uri="urn:schemas-microsoft-com:office:smarttags" w:element="place">
        <w:smartTag w:uri="urn:schemas-microsoft-com:office:smarttags" w:element="City">
          <w:r>
            <w:t>Brisbane</w:t>
          </w:r>
        </w:smartTag>
      </w:smartTag>
      <w:r>
        <w:t xml:space="preserve"> where direct overseas migration does make a difference to growth rates under the different scenarios. In the balance of </w:t>
      </w:r>
      <w:smartTag w:uri="urn:schemas-microsoft-com:office:smarttags" w:element="place">
        <w:smartTag w:uri="urn:schemas-microsoft-com:office:smarttags" w:element="State">
          <w:r>
            <w:t>Queensland</w:t>
          </w:r>
        </w:smartTag>
      </w:smartTag>
      <w:r>
        <w:t>, the</w:t>
      </w:r>
      <w:r w:rsidR="00AD103A">
        <w:t xml:space="preserve"> range of growth rates from 2009 to 2024 from Low to High is from 38% to 46</w:t>
      </w:r>
      <w:r>
        <w:t>%.</w:t>
      </w:r>
    </w:p>
    <w:p w:rsidR="00724C5A" w:rsidRPr="00077BC9" w:rsidRDefault="00724C5A" w:rsidP="005847CD">
      <w:pPr>
        <w:jc w:val="center"/>
        <w:rPr>
          <w:rFonts w:ascii="Arial" w:hAnsi="Arial" w:cs="Arial"/>
          <w:b/>
          <w:sz w:val="20"/>
          <w:szCs w:val="20"/>
        </w:rPr>
      </w:pPr>
      <w:r>
        <w:rPr>
          <w:b/>
        </w:rPr>
        <w:br w:type="page"/>
      </w:r>
      <w:proofErr w:type="gramStart"/>
      <w:r w:rsidR="005847CD">
        <w:rPr>
          <w:rFonts w:ascii="Arial" w:hAnsi="Arial" w:cs="Arial"/>
          <w:b/>
          <w:sz w:val="20"/>
          <w:szCs w:val="20"/>
        </w:rPr>
        <w:lastRenderedPageBreak/>
        <w:t>Tab</w:t>
      </w:r>
      <w:r w:rsidR="009820EB">
        <w:rPr>
          <w:rFonts w:ascii="Arial" w:hAnsi="Arial" w:cs="Arial"/>
          <w:b/>
          <w:sz w:val="20"/>
          <w:szCs w:val="20"/>
        </w:rPr>
        <w:t xml:space="preserve">le </w:t>
      </w:r>
      <w:r w:rsidR="00CC7641">
        <w:rPr>
          <w:rFonts w:ascii="Arial" w:hAnsi="Arial" w:cs="Arial"/>
          <w:b/>
          <w:sz w:val="20"/>
          <w:szCs w:val="20"/>
        </w:rPr>
        <w:t>4</w:t>
      </w:r>
      <w:r w:rsidR="009820EB">
        <w:rPr>
          <w:rFonts w:ascii="Arial" w:hAnsi="Arial" w:cs="Arial"/>
          <w:b/>
          <w:sz w:val="20"/>
          <w:szCs w:val="20"/>
        </w:rPr>
        <w:t>.</w:t>
      </w:r>
      <w:proofErr w:type="gramEnd"/>
      <w:r w:rsidR="009820EB">
        <w:rPr>
          <w:rFonts w:ascii="Arial" w:hAnsi="Arial" w:cs="Arial"/>
          <w:b/>
          <w:sz w:val="20"/>
          <w:szCs w:val="20"/>
        </w:rPr>
        <w:t xml:space="preserve"> Annual net migration, 2011</w:t>
      </w:r>
      <w:r w:rsidR="005847CD">
        <w:rPr>
          <w:rFonts w:ascii="Arial" w:hAnsi="Arial" w:cs="Arial"/>
          <w:b/>
          <w:sz w:val="20"/>
          <w:szCs w:val="20"/>
        </w:rPr>
        <w:t xml:space="preserve">-2038, </w:t>
      </w:r>
      <w:r w:rsidRPr="00077BC9">
        <w:rPr>
          <w:rFonts w:ascii="Arial" w:hAnsi="Arial" w:cs="Arial"/>
          <w:b/>
          <w:sz w:val="20"/>
          <w:szCs w:val="20"/>
        </w:rPr>
        <w:t>by region</w:t>
      </w:r>
    </w:p>
    <w:p w:rsidR="00724C5A" w:rsidRDefault="00724C5A" w:rsidP="005847CD">
      <w:pPr>
        <w:jc w:val="center"/>
        <w:rPr>
          <w:rFonts w:ascii="Arial" w:hAnsi="Arial" w:cs="Arial"/>
          <w:b/>
          <w:sz w:val="20"/>
          <w:szCs w:val="20"/>
        </w:rPr>
      </w:pPr>
      <w:r w:rsidRPr="00077BC9">
        <w:rPr>
          <w:rFonts w:ascii="Arial" w:hAnsi="Arial" w:cs="Arial"/>
          <w:b/>
          <w:sz w:val="20"/>
          <w:szCs w:val="20"/>
        </w:rPr>
        <w:t>(</w:t>
      </w:r>
      <w:proofErr w:type="gramStart"/>
      <w:r w:rsidRPr="00077BC9">
        <w:rPr>
          <w:rFonts w:ascii="Arial" w:hAnsi="Arial" w:cs="Arial"/>
          <w:b/>
          <w:sz w:val="20"/>
          <w:szCs w:val="20"/>
        </w:rPr>
        <w:t>international</w:t>
      </w:r>
      <w:proofErr w:type="gramEnd"/>
      <w:r w:rsidRPr="00077BC9">
        <w:rPr>
          <w:rFonts w:ascii="Arial" w:hAnsi="Arial" w:cs="Arial"/>
          <w:b/>
          <w:sz w:val="20"/>
          <w:szCs w:val="20"/>
        </w:rPr>
        <w:t xml:space="preserve"> and internal combined)</w:t>
      </w:r>
    </w:p>
    <w:p w:rsidR="005847CD" w:rsidRPr="00077BC9" w:rsidRDefault="005847CD" w:rsidP="005847CD">
      <w:pPr>
        <w:jc w:val="center"/>
        <w:rPr>
          <w:rFonts w:ascii="Arial" w:hAnsi="Arial" w:cs="Arial"/>
          <w:b/>
          <w:sz w:val="20"/>
          <w:szCs w:val="20"/>
        </w:rPr>
      </w:pPr>
    </w:p>
    <w:tbl>
      <w:tblPr>
        <w:tblW w:w="4394" w:type="dxa"/>
        <w:tblInd w:w="2093" w:type="dxa"/>
        <w:tblLook w:val="0000"/>
      </w:tblPr>
      <w:tblGrid>
        <w:gridCol w:w="2126"/>
        <w:gridCol w:w="992"/>
        <w:gridCol w:w="1276"/>
      </w:tblGrid>
      <w:tr w:rsidR="005847CD" w:rsidTr="00275CDC">
        <w:trPr>
          <w:trHeight w:val="255"/>
        </w:trPr>
        <w:tc>
          <w:tcPr>
            <w:tcW w:w="2126" w:type="dxa"/>
            <w:tcBorders>
              <w:top w:val="single" w:sz="4" w:space="0" w:color="auto"/>
              <w:left w:val="nil"/>
              <w:bottom w:val="nil"/>
              <w:right w:val="nil"/>
            </w:tcBorders>
            <w:shd w:val="clear" w:color="auto" w:fill="auto"/>
            <w:noWrap/>
            <w:vAlign w:val="bottom"/>
          </w:tcPr>
          <w:p w:rsidR="005847CD" w:rsidRPr="00803C36" w:rsidRDefault="005847CD" w:rsidP="00893356">
            <w:pPr>
              <w:rPr>
                <w:rFonts w:ascii="Arial" w:hAnsi="Arial" w:cs="Arial"/>
                <w:b/>
                <w:sz w:val="18"/>
                <w:szCs w:val="18"/>
              </w:rPr>
            </w:pPr>
            <w:r w:rsidRPr="00803C36">
              <w:rPr>
                <w:rFonts w:ascii="Arial" w:hAnsi="Arial" w:cs="Arial"/>
                <w:b/>
                <w:sz w:val="18"/>
                <w:szCs w:val="18"/>
              </w:rPr>
              <w:t>Region</w:t>
            </w:r>
          </w:p>
        </w:tc>
        <w:tc>
          <w:tcPr>
            <w:tcW w:w="992" w:type="dxa"/>
            <w:tcBorders>
              <w:top w:val="single" w:sz="4" w:space="0" w:color="auto"/>
              <w:left w:val="nil"/>
              <w:bottom w:val="nil"/>
              <w:right w:val="nil"/>
            </w:tcBorders>
            <w:shd w:val="clear" w:color="auto" w:fill="auto"/>
            <w:noWrap/>
            <w:vAlign w:val="bottom"/>
          </w:tcPr>
          <w:p w:rsidR="005847CD" w:rsidRPr="00803C36" w:rsidRDefault="005847CD" w:rsidP="00893356">
            <w:pPr>
              <w:rPr>
                <w:rFonts w:ascii="Arial" w:hAnsi="Arial" w:cs="Arial"/>
                <w:b/>
                <w:sz w:val="18"/>
                <w:szCs w:val="18"/>
              </w:rPr>
            </w:pPr>
            <w:r w:rsidRPr="00803C36">
              <w:rPr>
                <w:rFonts w:ascii="Arial" w:hAnsi="Arial" w:cs="Arial"/>
                <w:b/>
                <w:sz w:val="18"/>
                <w:szCs w:val="18"/>
              </w:rPr>
              <w:t>Scenario</w:t>
            </w:r>
          </w:p>
        </w:tc>
        <w:tc>
          <w:tcPr>
            <w:tcW w:w="1276" w:type="dxa"/>
            <w:tcBorders>
              <w:top w:val="single" w:sz="4" w:space="0" w:color="auto"/>
              <w:left w:val="nil"/>
              <w:bottom w:val="nil"/>
              <w:right w:val="nil"/>
            </w:tcBorders>
            <w:vAlign w:val="bottom"/>
          </w:tcPr>
          <w:p w:rsidR="005847CD" w:rsidRPr="00803C36" w:rsidRDefault="005847CD" w:rsidP="00077BC9">
            <w:pPr>
              <w:jc w:val="center"/>
              <w:rPr>
                <w:rFonts w:ascii="Arial" w:hAnsi="Arial" w:cs="Arial"/>
                <w:b/>
                <w:sz w:val="18"/>
                <w:szCs w:val="18"/>
              </w:rPr>
            </w:pPr>
            <w:r w:rsidRPr="00803C36">
              <w:rPr>
                <w:rFonts w:ascii="Arial" w:hAnsi="Arial" w:cs="Arial"/>
                <w:b/>
                <w:sz w:val="18"/>
                <w:szCs w:val="18"/>
              </w:rPr>
              <w:t>ANM</w:t>
            </w:r>
          </w:p>
        </w:tc>
      </w:tr>
      <w:tr w:rsidR="005847CD" w:rsidTr="00275CDC">
        <w:trPr>
          <w:trHeight w:val="255"/>
        </w:trPr>
        <w:tc>
          <w:tcPr>
            <w:tcW w:w="2126" w:type="dxa"/>
            <w:tcBorders>
              <w:top w:val="nil"/>
              <w:left w:val="nil"/>
              <w:bottom w:val="single" w:sz="4" w:space="0" w:color="auto"/>
              <w:right w:val="nil"/>
            </w:tcBorders>
            <w:shd w:val="clear" w:color="auto" w:fill="auto"/>
            <w:noWrap/>
            <w:vAlign w:val="bottom"/>
          </w:tcPr>
          <w:p w:rsidR="005847CD" w:rsidRPr="00803C36" w:rsidRDefault="005847CD" w:rsidP="00893356">
            <w:pPr>
              <w:rPr>
                <w:rFonts w:ascii="Arial" w:hAnsi="Arial" w:cs="Arial"/>
                <w:b/>
                <w:sz w:val="18"/>
                <w:szCs w:val="18"/>
              </w:rPr>
            </w:pPr>
            <w:r w:rsidRPr="00803C36">
              <w:rPr>
                <w:rFonts w:ascii="Arial" w:hAnsi="Arial" w:cs="Arial"/>
                <w:b/>
                <w:sz w:val="18"/>
                <w:szCs w:val="18"/>
              </w:rPr>
              <w:t> </w:t>
            </w:r>
          </w:p>
        </w:tc>
        <w:tc>
          <w:tcPr>
            <w:tcW w:w="992" w:type="dxa"/>
            <w:tcBorders>
              <w:top w:val="nil"/>
              <w:left w:val="nil"/>
              <w:bottom w:val="single" w:sz="4" w:space="0" w:color="auto"/>
              <w:right w:val="nil"/>
            </w:tcBorders>
            <w:shd w:val="clear" w:color="auto" w:fill="auto"/>
            <w:noWrap/>
            <w:vAlign w:val="bottom"/>
          </w:tcPr>
          <w:p w:rsidR="005847CD" w:rsidRPr="00803C36" w:rsidRDefault="005847CD" w:rsidP="00893356">
            <w:pPr>
              <w:rPr>
                <w:rFonts w:ascii="Arial" w:hAnsi="Arial" w:cs="Arial"/>
                <w:b/>
                <w:sz w:val="18"/>
                <w:szCs w:val="18"/>
              </w:rPr>
            </w:pPr>
            <w:r w:rsidRPr="00803C36">
              <w:rPr>
                <w:rFonts w:ascii="Arial" w:hAnsi="Arial" w:cs="Arial"/>
                <w:b/>
                <w:sz w:val="18"/>
                <w:szCs w:val="18"/>
              </w:rPr>
              <w:t> </w:t>
            </w:r>
          </w:p>
        </w:tc>
        <w:tc>
          <w:tcPr>
            <w:tcW w:w="1276" w:type="dxa"/>
            <w:tcBorders>
              <w:top w:val="nil"/>
              <w:left w:val="nil"/>
              <w:bottom w:val="single" w:sz="4" w:space="0" w:color="auto"/>
              <w:right w:val="nil"/>
            </w:tcBorders>
            <w:vAlign w:val="bottom"/>
          </w:tcPr>
          <w:p w:rsidR="005847CD" w:rsidRPr="00803C36" w:rsidRDefault="005847CD" w:rsidP="00077BC9">
            <w:pPr>
              <w:jc w:val="center"/>
              <w:rPr>
                <w:rFonts w:ascii="Arial" w:hAnsi="Arial" w:cs="Arial"/>
                <w:b/>
                <w:sz w:val="18"/>
                <w:szCs w:val="18"/>
              </w:rPr>
            </w:pP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NSW</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w:t>
            </w:r>
            <w:r w:rsidR="009820EB">
              <w:rPr>
                <w:rFonts w:ascii="Arial" w:hAnsi="Arial" w:cs="Arial"/>
                <w:sz w:val="18"/>
                <w:szCs w:val="18"/>
              </w:rPr>
              <w:t>4492</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19114</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3</w:t>
            </w:r>
            <w:r w:rsidR="009820EB">
              <w:rPr>
                <w:rFonts w:ascii="Arial" w:hAnsi="Arial" w:cs="Arial"/>
                <w:sz w:val="18"/>
                <w:szCs w:val="18"/>
              </w:rPr>
              <w:t>9770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NSW</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15256</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16261</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1714</w:t>
            </w:r>
            <w:r w:rsidR="005847CD">
              <w:rPr>
                <w:rFonts w:ascii="Arial" w:hAnsi="Arial" w:cs="Arial"/>
                <w:sz w:val="18"/>
                <w:szCs w:val="18"/>
              </w:rPr>
              <w:t>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VIC</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13914</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33845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51285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VIC</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6427</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7568</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8567</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QLD</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1554</w:t>
            </w:r>
            <w:r w:rsidR="005847CD">
              <w:rPr>
                <w:rFonts w:ascii="Arial" w:hAnsi="Arial" w:cs="Arial"/>
                <w:sz w:val="18"/>
                <w:szCs w:val="18"/>
              </w:rPr>
              <w:t>8</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25186</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33619</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QLD</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32210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38779</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44526</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SA</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432</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4217</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7530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SA</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1744</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2099</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2409</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WA</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13993</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25187</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34982</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WA</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4074</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5333</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6435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TAS</w:t>
            </w:r>
            <w:r w:rsidR="006A54E5">
              <w:rPr>
                <w:rFonts w:ascii="Arial" w:hAnsi="Arial" w:cs="Arial"/>
                <w:sz w:val="18"/>
                <w:szCs w:val="18"/>
              </w:rPr>
              <w:t xml:space="preserve"> capital city</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392</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705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980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TAS</w:t>
            </w:r>
            <w:r w:rsidR="006A54E5">
              <w:rPr>
                <w:rFonts w:ascii="Arial" w:hAnsi="Arial" w:cs="Arial"/>
                <w:sz w:val="18"/>
                <w:szCs w:val="18"/>
              </w:rPr>
              <w:t xml:space="preserve"> balance of state</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-219</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202</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NT</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23</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441</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807</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ACT</w:t>
            </w: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7</w:t>
            </w:r>
            <w:r w:rsidRPr="00803C36">
              <w:rPr>
                <w:rFonts w:ascii="Arial" w:hAnsi="Arial" w:cs="Arial"/>
                <w:sz w:val="18"/>
                <w:szCs w:val="18"/>
              </w:rPr>
              <w:t>00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1260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nil"/>
              <w:right w:val="nil"/>
            </w:tcBorders>
            <w:vAlign w:val="bottom"/>
          </w:tcPr>
          <w:p w:rsidR="005847CD" w:rsidRPr="00803C36" w:rsidRDefault="005847CD" w:rsidP="00893356">
            <w:pPr>
              <w:jc w:val="right"/>
              <w:rPr>
                <w:rFonts w:ascii="Arial" w:hAnsi="Arial" w:cs="Arial"/>
                <w:sz w:val="18"/>
                <w:szCs w:val="18"/>
              </w:rPr>
            </w:pPr>
            <w:r>
              <w:rPr>
                <w:rFonts w:ascii="Arial" w:hAnsi="Arial" w:cs="Arial"/>
                <w:sz w:val="18"/>
                <w:szCs w:val="18"/>
              </w:rPr>
              <w:t>1750</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smartTag w:uri="urn:schemas-microsoft-com:office:smarttags" w:element="place">
              <w:r w:rsidRPr="00803C36">
                <w:rPr>
                  <w:rFonts w:ascii="Arial" w:hAnsi="Arial" w:cs="Arial"/>
                  <w:sz w:val="18"/>
                  <w:szCs w:val="18"/>
                </w:rPr>
                <w:t>SE</w:t>
              </w:r>
              <w:r w:rsidR="001B46AB">
                <w:rPr>
                  <w:rFonts w:ascii="Arial" w:hAnsi="Arial" w:cs="Arial"/>
                  <w:sz w:val="18"/>
                  <w:szCs w:val="18"/>
                </w:rPr>
                <w:t xml:space="preserve"> QLD</w:t>
              </w:r>
            </w:smartTag>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Low</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38785</w:t>
            </w:r>
          </w:p>
        </w:tc>
      </w:tr>
      <w:tr w:rsidR="005847CD" w:rsidTr="00275CDC">
        <w:trPr>
          <w:trHeight w:val="255"/>
        </w:trPr>
        <w:tc>
          <w:tcPr>
            <w:tcW w:w="2126"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p>
        </w:tc>
        <w:tc>
          <w:tcPr>
            <w:tcW w:w="992" w:type="dxa"/>
            <w:tcBorders>
              <w:top w:val="nil"/>
              <w:left w:val="nil"/>
              <w:bottom w:val="nil"/>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Medium</w:t>
            </w:r>
          </w:p>
        </w:tc>
        <w:tc>
          <w:tcPr>
            <w:tcW w:w="1276" w:type="dxa"/>
            <w:tcBorders>
              <w:top w:val="nil"/>
              <w:left w:val="nil"/>
              <w:bottom w:val="nil"/>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51947</w:t>
            </w:r>
          </w:p>
        </w:tc>
      </w:tr>
      <w:tr w:rsidR="005847CD" w:rsidTr="00275CDC">
        <w:trPr>
          <w:trHeight w:val="255"/>
        </w:trPr>
        <w:tc>
          <w:tcPr>
            <w:tcW w:w="2126" w:type="dxa"/>
            <w:tcBorders>
              <w:top w:val="nil"/>
              <w:left w:val="nil"/>
              <w:bottom w:val="single" w:sz="4" w:space="0" w:color="auto"/>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 </w:t>
            </w:r>
          </w:p>
        </w:tc>
        <w:tc>
          <w:tcPr>
            <w:tcW w:w="992" w:type="dxa"/>
            <w:tcBorders>
              <w:top w:val="nil"/>
              <w:left w:val="nil"/>
              <w:bottom w:val="single" w:sz="4" w:space="0" w:color="auto"/>
              <w:right w:val="nil"/>
            </w:tcBorders>
            <w:shd w:val="clear" w:color="auto" w:fill="auto"/>
            <w:noWrap/>
            <w:vAlign w:val="bottom"/>
          </w:tcPr>
          <w:p w:rsidR="005847CD" w:rsidRPr="00803C36" w:rsidRDefault="005847CD" w:rsidP="00893356">
            <w:pPr>
              <w:rPr>
                <w:rFonts w:ascii="Arial" w:hAnsi="Arial" w:cs="Arial"/>
                <w:sz w:val="18"/>
                <w:szCs w:val="18"/>
              </w:rPr>
            </w:pPr>
            <w:r w:rsidRPr="00803C36">
              <w:rPr>
                <w:rFonts w:ascii="Arial" w:hAnsi="Arial" w:cs="Arial"/>
                <w:sz w:val="18"/>
                <w:szCs w:val="18"/>
              </w:rPr>
              <w:t>High</w:t>
            </w:r>
          </w:p>
        </w:tc>
        <w:tc>
          <w:tcPr>
            <w:tcW w:w="1276" w:type="dxa"/>
            <w:tcBorders>
              <w:top w:val="nil"/>
              <w:left w:val="nil"/>
              <w:bottom w:val="single" w:sz="4" w:space="0" w:color="auto"/>
              <w:right w:val="nil"/>
            </w:tcBorders>
            <w:vAlign w:val="bottom"/>
          </w:tcPr>
          <w:p w:rsidR="005847CD" w:rsidRPr="00803C36" w:rsidRDefault="009820EB" w:rsidP="00893356">
            <w:pPr>
              <w:jc w:val="right"/>
              <w:rPr>
                <w:rFonts w:ascii="Arial" w:hAnsi="Arial" w:cs="Arial"/>
                <w:sz w:val="18"/>
                <w:szCs w:val="18"/>
              </w:rPr>
            </w:pPr>
            <w:r>
              <w:rPr>
                <w:rFonts w:ascii="Arial" w:hAnsi="Arial" w:cs="Arial"/>
                <w:sz w:val="18"/>
                <w:szCs w:val="18"/>
              </w:rPr>
              <w:t>63463</w:t>
            </w:r>
          </w:p>
        </w:tc>
      </w:tr>
    </w:tbl>
    <w:p w:rsidR="00077BC9" w:rsidRDefault="00077BC9" w:rsidP="00F027E2">
      <w:pPr>
        <w:jc w:val="center"/>
        <w:rPr>
          <w:b/>
        </w:rPr>
      </w:pPr>
    </w:p>
    <w:p w:rsidR="00A737EC" w:rsidRDefault="00A737EC"/>
    <w:p w:rsidR="002A3D8B" w:rsidRDefault="00A737EC">
      <w:r>
        <w:t>In contrast, in the four largest cities, the ran</w:t>
      </w:r>
      <w:r w:rsidR="00FF1B2C">
        <w:t>ge of growth rates for</w:t>
      </w:r>
      <w:r>
        <w:t xml:space="preserve"> households is strongly influenced by the three migration assumptions. </w:t>
      </w:r>
      <w:r w:rsidR="00977A8F">
        <w:t>From the Low assumption to the High assumption, the growth</w:t>
      </w:r>
      <w:r w:rsidR="00AD103A">
        <w:t xml:space="preserve"> rates from 2009 to 2024</w:t>
      </w:r>
      <w:r w:rsidR="00977A8F">
        <w:t xml:space="preserve"> of total households in the four large</w:t>
      </w:r>
      <w:r w:rsidR="00AD103A">
        <w:t>st capitals range from 14% to 30</w:t>
      </w:r>
      <w:r w:rsidR="00977A8F">
        <w:t>% for Sydney, from 2</w:t>
      </w:r>
      <w:r w:rsidR="00AD103A">
        <w:t>1% to 37% for Melbourne, from 29% to 44% for Brisbane and from 30% to 50</w:t>
      </w:r>
      <w:r w:rsidR="00977A8F">
        <w:t xml:space="preserve">% for Perth. </w:t>
      </w:r>
      <w:r>
        <w:t>G</w:t>
      </w:r>
      <w:r w:rsidR="00977A8F">
        <w:t>rowth rat</w:t>
      </w:r>
      <w:r>
        <w:t>es in the smaller cities (</w:t>
      </w:r>
      <w:smartTag w:uri="urn:schemas-microsoft-com:office:smarttags" w:element="City">
        <w:r>
          <w:t>Adelaide</w:t>
        </w:r>
      </w:smartTag>
      <w:r>
        <w:t xml:space="preserve">, </w:t>
      </w:r>
      <w:smartTag w:uri="urn:schemas-microsoft-com:office:smarttags" w:element="City">
        <w:r>
          <w:t>Hobart</w:t>
        </w:r>
      </w:smartTag>
      <w:r>
        <w:t xml:space="preserve">, and </w:t>
      </w:r>
      <w:smartTag w:uri="urn:schemas-microsoft-com:office:smarttags" w:element="place">
        <w:smartTag w:uri="urn:schemas-microsoft-com:office:smarttags" w:element="City">
          <w:r>
            <w:t>Canberra</w:t>
          </w:r>
        </w:smartTag>
      </w:smartTag>
      <w:r>
        <w:t xml:space="preserve">) are </w:t>
      </w:r>
      <w:r w:rsidR="00977A8F">
        <w:t xml:space="preserve">much lower and </w:t>
      </w:r>
      <w:r>
        <w:t>less affected by variation</w:t>
      </w:r>
      <w:r w:rsidR="00977A8F">
        <w:t xml:space="preserve"> in the migration assumptions.</w:t>
      </w:r>
    </w:p>
    <w:p w:rsidR="002A3D8B" w:rsidRDefault="002A3D8B"/>
    <w:p w:rsidR="00FF1B2C" w:rsidRDefault="00FF1B2C">
      <w:r>
        <w:t>In the second 15-year period, the growth rates for households are lower than in the first 15-year period. This is a result of the lower population growth rates in the second period due to the higher number of deaths and the assumption of a constant level of annual net migration as distinct from a constant rate.</w:t>
      </w:r>
    </w:p>
    <w:p w:rsidR="001F1017" w:rsidRDefault="001F1017"/>
    <w:p w:rsidR="001F1017" w:rsidRDefault="001F1017">
      <w:r>
        <w:t xml:space="preserve">The growth rates for </w:t>
      </w:r>
      <w:smartTag w:uri="urn:schemas-microsoft-com:office:smarttags" w:element="country-region">
        <w:smartTag w:uri="urn:schemas-microsoft-com:office:smarttags" w:element="place">
          <w:r>
            <w:t>Australia</w:t>
          </w:r>
        </w:smartTag>
      </w:smartTag>
      <w:r>
        <w:t xml:space="preserve"> as a whole are interesting because they indicate the impact on housing demand of the three levels of international migration, Low (100,000), Medium (180,000) and High (250,000). With 100,000 net overseas </w:t>
      </w:r>
      <w:proofErr w:type="gramStart"/>
      <w:r>
        <w:t>migration</w:t>
      </w:r>
      <w:proofErr w:type="gramEnd"/>
      <w:r>
        <w:t>, the total number of households would rise by 23 per cent</w:t>
      </w:r>
      <w:r w:rsidR="00B02AB0">
        <w:t xml:space="preserve"> in the period, 2009 to 2024</w:t>
      </w:r>
      <w:r>
        <w:t xml:space="preserve">. This increases to </w:t>
      </w:r>
      <w:r w:rsidR="00B02AB0">
        <w:t>29 per</w:t>
      </w:r>
      <w:r w:rsidR="00B02AB0" w:rsidRPr="00503D90">
        <w:rPr>
          <w:lang w:val="en-AU"/>
        </w:rPr>
        <w:t xml:space="preserve"> </w:t>
      </w:r>
      <w:r w:rsidR="00503D90" w:rsidRPr="00503D90">
        <w:rPr>
          <w:lang w:val="en-AU"/>
        </w:rPr>
        <w:t>cent with</w:t>
      </w:r>
      <w:r>
        <w:t xml:space="preserve"> 180,000 net overseas migration</w:t>
      </w:r>
      <w:r w:rsidR="00B02AB0">
        <w:t xml:space="preserve"> </w:t>
      </w:r>
      <w:proofErr w:type="gramStart"/>
      <w:r w:rsidR="00B02AB0">
        <w:t>This</w:t>
      </w:r>
      <w:proofErr w:type="gramEnd"/>
      <w:r w:rsidR="00B02AB0">
        <w:t xml:space="preserve"> means that the higher level of net overseas migration</w:t>
      </w:r>
      <w:r>
        <w:t xml:space="preserve"> meaning</w:t>
      </w:r>
      <w:r w:rsidR="00B02AB0">
        <w:t xml:space="preserve"> would lead to </w:t>
      </w:r>
      <w:r>
        <w:t>an additional six percentage points of growth across a 15-year period</w:t>
      </w:r>
      <w:r w:rsidR="00B02AB0">
        <w:t xml:space="preserve"> or 0.4 of a percentage point per annum.</w:t>
      </w:r>
    </w:p>
    <w:p w:rsidR="00FF1B2C" w:rsidRDefault="00FF1B2C"/>
    <w:p w:rsidR="00803C36" w:rsidRPr="00803C36" w:rsidRDefault="00803C36">
      <w:pPr>
        <w:rPr>
          <w:b/>
        </w:rPr>
      </w:pPr>
      <w:r w:rsidRPr="00803C36">
        <w:rPr>
          <w:b/>
        </w:rPr>
        <w:t>Household types</w:t>
      </w:r>
    </w:p>
    <w:p w:rsidR="00803C36" w:rsidRDefault="00803C36"/>
    <w:p w:rsidR="00E02395" w:rsidRDefault="00977A8F">
      <w:r>
        <w:t>The different migration assumptions have their main effects upon the growth of total households. There is little differential effect of the three migration assumptions upon the growth of the different types of households.</w:t>
      </w:r>
      <w:r w:rsidR="00881924">
        <w:t xml:space="preserve"> Thus, the relative growth of different types of households can be examined by looking at one scenario. Using the Medium scenario, </w:t>
      </w:r>
      <w:r w:rsidR="00A9585F">
        <w:t xml:space="preserve">Table </w:t>
      </w:r>
      <w:r w:rsidR="001B48E1">
        <w:t>6</w:t>
      </w:r>
      <w:r w:rsidR="00A9585F">
        <w:t xml:space="preserve"> shows the relative increase in the number of households of eac</w:t>
      </w:r>
      <w:r w:rsidR="00AD103A">
        <w:t>h type for the two periods, 2009-24 and 2024-39</w:t>
      </w:r>
      <w:r w:rsidR="00A9585F">
        <w:t>.</w:t>
      </w:r>
    </w:p>
    <w:p w:rsidR="00CC432C" w:rsidRDefault="00CC432C"/>
    <w:p w:rsidR="00CC432C" w:rsidRDefault="00CC432C">
      <w:r>
        <w:t>Reflecting the ageing of the population, households consisting of couples without children or lone persons grow much more rapidly than families with children i</w:t>
      </w:r>
      <w:r w:rsidR="001D1300">
        <w:t>n all regions in the period 2009-24</w:t>
      </w:r>
      <w:r>
        <w:t>. In the second period</w:t>
      </w:r>
      <w:r w:rsidR="006A54E5">
        <w:t xml:space="preserve"> (2025-39)</w:t>
      </w:r>
      <w:r>
        <w:t xml:space="preserve">, however, the growth of households consisting of couples without children slows to </w:t>
      </w:r>
      <w:r w:rsidR="00584ABA">
        <w:t xml:space="preserve">growth </w:t>
      </w:r>
      <w:r>
        <w:t>levels that are similar to the growth of households of families with children. While dropping off somewhat, the growth of households of lone persons continues in the second period to be much higher than the growth for other household types. R</w:t>
      </w:r>
      <w:r w:rsidR="001F2F04">
        <w:t>ef</w:t>
      </w:r>
      <w:r>
        <w:t>l</w:t>
      </w:r>
      <w:r w:rsidR="001F2F04">
        <w:t>e</w:t>
      </w:r>
      <w:r>
        <w:t>ctin</w:t>
      </w:r>
      <w:r w:rsidR="001D1300">
        <w:t>g more extreme ageing after 2024</w:t>
      </w:r>
      <w:r>
        <w:t>, the numbers of persons in non-private dwellings increases strongly in a</w:t>
      </w:r>
      <w:r w:rsidR="001F2F04">
        <w:t>ll regions in the second period with growth rates approaching 50% in 15 years in many regions.</w:t>
      </w:r>
    </w:p>
    <w:p w:rsidR="00A157D3" w:rsidRDefault="00A157D3"/>
    <w:p w:rsidR="00BB2499" w:rsidRDefault="00BB2499"/>
    <w:p w:rsidR="00893356" w:rsidRDefault="00893356"/>
    <w:p w:rsidR="00893356" w:rsidRDefault="00893356" w:rsidP="0028766B">
      <w:pPr>
        <w:rPr>
          <w:rFonts w:ascii="Arial" w:hAnsi="Arial" w:cs="Arial"/>
          <w:b/>
          <w:sz w:val="20"/>
          <w:szCs w:val="20"/>
        </w:rPr>
      </w:pPr>
    </w:p>
    <w:p w:rsidR="00893356" w:rsidRDefault="00893356" w:rsidP="0028766B">
      <w:pPr>
        <w:rPr>
          <w:rFonts w:ascii="Arial" w:hAnsi="Arial" w:cs="Arial"/>
          <w:b/>
          <w:sz w:val="20"/>
          <w:szCs w:val="20"/>
        </w:rPr>
      </w:pPr>
    </w:p>
    <w:p w:rsidR="00893356" w:rsidRDefault="00893356" w:rsidP="0028766B">
      <w:pPr>
        <w:rPr>
          <w:rFonts w:ascii="Arial" w:hAnsi="Arial" w:cs="Arial"/>
          <w:b/>
          <w:sz w:val="20"/>
          <w:szCs w:val="20"/>
        </w:rPr>
      </w:pPr>
    </w:p>
    <w:p w:rsidR="00893356" w:rsidRDefault="00977A8F" w:rsidP="0028766B">
      <w:pPr>
        <w:rPr>
          <w:rFonts w:ascii="Arial" w:hAnsi="Arial" w:cs="Arial"/>
          <w:b/>
          <w:sz w:val="20"/>
          <w:szCs w:val="20"/>
        </w:rPr>
      </w:pPr>
      <w:r>
        <w:rPr>
          <w:rFonts w:ascii="Arial" w:hAnsi="Arial" w:cs="Arial"/>
          <w:b/>
          <w:sz w:val="20"/>
          <w:szCs w:val="20"/>
        </w:rPr>
        <w:br w:type="page"/>
      </w:r>
      <w:r w:rsidR="00893356">
        <w:rPr>
          <w:rFonts w:ascii="Arial" w:hAnsi="Arial" w:cs="Arial"/>
          <w:b/>
          <w:sz w:val="20"/>
          <w:szCs w:val="20"/>
        </w:rPr>
        <w:lastRenderedPageBreak/>
        <w:t xml:space="preserve">Table </w:t>
      </w:r>
      <w:r w:rsidR="001B48E1">
        <w:rPr>
          <w:rFonts w:ascii="Arial" w:hAnsi="Arial" w:cs="Arial"/>
          <w:b/>
          <w:sz w:val="20"/>
          <w:szCs w:val="20"/>
        </w:rPr>
        <w:t>5</w:t>
      </w:r>
      <w:r w:rsidR="00893356">
        <w:rPr>
          <w:rFonts w:ascii="Arial" w:hAnsi="Arial" w:cs="Arial"/>
          <w:b/>
          <w:sz w:val="20"/>
          <w:szCs w:val="20"/>
        </w:rPr>
        <w:t>: Relative changes in th</w:t>
      </w:r>
      <w:r w:rsidR="00077BC9">
        <w:rPr>
          <w:rFonts w:ascii="Arial" w:hAnsi="Arial" w:cs="Arial"/>
          <w:b/>
          <w:sz w:val="20"/>
          <w:szCs w:val="20"/>
        </w:rPr>
        <w:t>e total numbers</w:t>
      </w:r>
      <w:r w:rsidR="00D636B9">
        <w:rPr>
          <w:rFonts w:ascii="Arial" w:hAnsi="Arial" w:cs="Arial"/>
          <w:b/>
          <w:sz w:val="20"/>
          <w:szCs w:val="20"/>
        </w:rPr>
        <w:t xml:space="preserve"> </w:t>
      </w:r>
      <w:r w:rsidR="00077BC9">
        <w:rPr>
          <w:rFonts w:ascii="Arial" w:hAnsi="Arial" w:cs="Arial"/>
          <w:b/>
          <w:sz w:val="20"/>
          <w:szCs w:val="20"/>
        </w:rPr>
        <w:t>of households</w:t>
      </w:r>
    </w:p>
    <w:tbl>
      <w:tblPr>
        <w:tblW w:w="5752" w:type="dxa"/>
        <w:tblInd w:w="93" w:type="dxa"/>
        <w:tblLook w:val="0000"/>
      </w:tblPr>
      <w:tblGrid>
        <w:gridCol w:w="2425"/>
        <w:gridCol w:w="977"/>
        <w:gridCol w:w="1335"/>
        <w:gridCol w:w="1440"/>
      </w:tblGrid>
      <w:tr w:rsidR="00077BC9" w:rsidRPr="003E2826" w:rsidTr="00D11E9D">
        <w:trPr>
          <w:cantSplit/>
        </w:trPr>
        <w:tc>
          <w:tcPr>
            <w:tcW w:w="2425" w:type="dxa"/>
            <w:tcBorders>
              <w:top w:val="nil"/>
              <w:left w:val="nil"/>
              <w:bottom w:val="nil"/>
              <w:right w:val="nil"/>
            </w:tcBorders>
            <w:shd w:val="clear" w:color="auto" w:fill="auto"/>
            <w:noWrap/>
            <w:vAlign w:val="bottom"/>
          </w:tcPr>
          <w:p w:rsidR="00077BC9" w:rsidRPr="003E2826" w:rsidRDefault="00077BC9" w:rsidP="00A9585F">
            <w:pPr>
              <w:rPr>
                <w:rFonts w:ascii="Arial" w:hAnsi="Arial" w:cs="Arial"/>
                <w:b/>
                <w:sz w:val="18"/>
                <w:szCs w:val="18"/>
              </w:rPr>
            </w:pPr>
            <w:r w:rsidRPr="003E2826">
              <w:rPr>
                <w:rFonts w:ascii="Arial" w:hAnsi="Arial" w:cs="Arial"/>
                <w:b/>
                <w:sz w:val="18"/>
                <w:szCs w:val="18"/>
              </w:rPr>
              <w:t>Region</w:t>
            </w:r>
          </w:p>
        </w:tc>
        <w:tc>
          <w:tcPr>
            <w:tcW w:w="552" w:type="dxa"/>
            <w:tcBorders>
              <w:top w:val="nil"/>
              <w:left w:val="nil"/>
              <w:bottom w:val="nil"/>
              <w:right w:val="nil"/>
            </w:tcBorders>
            <w:shd w:val="clear" w:color="auto" w:fill="auto"/>
            <w:noWrap/>
            <w:vAlign w:val="bottom"/>
          </w:tcPr>
          <w:p w:rsidR="00077BC9" w:rsidRPr="003E2826" w:rsidRDefault="00077BC9" w:rsidP="00A9585F">
            <w:pPr>
              <w:rPr>
                <w:rFonts w:ascii="Arial" w:hAnsi="Arial" w:cs="Arial"/>
                <w:b/>
                <w:sz w:val="18"/>
                <w:szCs w:val="18"/>
              </w:rPr>
            </w:pPr>
            <w:r w:rsidRPr="003E2826">
              <w:rPr>
                <w:rFonts w:ascii="Arial" w:hAnsi="Arial" w:cs="Arial"/>
                <w:b/>
                <w:sz w:val="18"/>
                <w:szCs w:val="18"/>
              </w:rPr>
              <w:t>Scenario</w:t>
            </w:r>
          </w:p>
        </w:tc>
        <w:tc>
          <w:tcPr>
            <w:tcW w:w="2775" w:type="dxa"/>
            <w:gridSpan w:val="2"/>
            <w:tcBorders>
              <w:top w:val="nil"/>
              <w:left w:val="nil"/>
              <w:bottom w:val="nil"/>
              <w:right w:val="nil"/>
            </w:tcBorders>
            <w:shd w:val="clear" w:color="auto" w:fill="auto"/>
            <w:noWrap/>
            <w:vAlign w:val="bottom"/>
          </w:tcPr>
          <w:p w:rsidR="00077BC9" w:rsidRPr="003E2826" w:rsidRDefault="00077BC9" w:rsidP="00A9585F">
            <w:pPr>
              <w:jc w:val="center"/>
              <w:rPr>
                <w:rFonts w:ascii="Arial" w:hAnsi="Arial" w:cs="Arial"/>
                <w:b/>
                <w:sz w:val="18"/>
                <w:szCs w:val="18"/>
              </w:rPr>
            </w:pPr>
            <w:r w:rsidRPr="003E2826">
              <w:rPr>
                <w:rFonts w:ascii="Arial" w:hAnsi="Arial" w:cs="Arial"/>
                <w:b/>
                <w:sz w:val="18"/>
                <w:szCs w:val="18"/>
              </w:rPr>
              <w:t>Growth in total households</w:t>
            </w:r>
          </w:p>
        </w:tc>
      </w:tr>
      <w:tr w:rsidR="00077BC9" w:rsidRPr="003E2826" w:rsidTr="00D11E9D">
        <w:trPr>
          <w:cantSplit/>
        </w:trPr>
        <w:tc>
          <w:tcPr>
            <w:tcW w:w="2425" w:type="dxa"/>
            <w:tcBorders>
              <w:top w:val="nil"/>
              <w:left w:val="nil"/>
              <w:bottom w:val="nil"/>
              <w:right w:val="nil"/>
            </w:tcBorders>
            <w:shd w:val="clear" w:color="auto" w:fill="auto"/>
            <w:noWrap/>
            <w:vAlign w:val="bottom"/>
          </w:tcPr>
          <w:p w:rsidR="00077BC9" w:rsidRDefault="00077BC9"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077BC9" w:rsidRDefault="00077BC9" w:rsidP="00A9585F">
            <w:pPr>
              <w:rPr>
                <w:rFonts w:ascii="Arial" w:hAnsi="Arial" w:cs="Arial"/>
                <w:sz w:val="18"/>
                <w:szCs w:val="18"/>
              </w:rPr>
            </w:pPr>
          </w:p>
        </w:tc>
        <w:tc>
          <w:tcPr>
            <w:tcW w:w="1335" w:type="dxa"/>
            <w:tcBorders>
              <w:top w:val="nil"/>
              <w:left w:val="nil"/>
              <w:bottom w:val="nil"/>
              <w:right w:val="nil"/>
            </w:tcBorders>
            <w:shd w:val="clear" w:color="auto" w:fill="auto"/>
            <w:noWrap/>
            <w:vAlign w:val="bottom"/>
          </w:tcPr>
          <w:p w:rsidR="00077BC9" w:rsidRPr="003E2826" w:rsidRDefault="00DB287B" w:rsidP="00A9585F">
            <w:pPr>
              <w:jc w:val="right"/>
              <w:rPr>
                <w:rFonts w:ascii="Arial" w:hAnsi="Arial" w:cs="Arial"/>
                <w:b/>
                <w:sz w:val="18"/>
                <w:szCs w:val="18"/>
              </w:rPr>
            </w:pPr>
            <w:r>
              <w:rPr>
                <w:rFonts w:ascii="Arial" w:hAnsi="Arial" w:cs="Arial"/>
                <w:b/>
                <w:sz w:val="18"/>
                <w:szCs w:val="18"/>
              </w:rPr>
              <w:t>2009 to 2024</w:t>
            </w:r>
          </w:p>
        </w:tc>
        <w:tc>
          <w:tcPr>
            <w:tcW w:w="1440" w:type="dxa"/>
            <w:tcBorders>
              <w:top w:val="nil"/>
              <w:left w:val="nil"/>
              <w:bottom w:val="nil"/>
              <w:right w:val="nil"/>
            </w:tcBorders>
            <w:shd w:val="clear" w:color="auto" w:fill="auto"/>
            <w:noWrap/>
            <w:vAlign w:val="bottom"/>
          </w:tcPr>
          <w:p w:rsidR="00077BC9" w:rsidRPr="003E2826" w:rsidRDefault="00DB287B" w:rsidP="00A9585F">
            <w:pPr>
              <w:jc w:val="center"/>
              <w:rPr>
                <w:rFonts w:ascii="Arial" w:hAnsi="Arial" w:cs="Arial"/>
                <w:b/>
                <w:sz w:val="18"/>
                <w:szCs w:val="18"/>
              </w:rPr>
            </w:pPr>
            <w:r>
              <w:rPr>
                <w:rFonts w:ascii="Arial" w:hAnsi="Arial" w:cs="Arial"/>
                <w:b/>
                <w:sz w:val="18"/>
                <w:szCs w:val="18"/>
              </w:rPr>
              <w:t>2024</w:t>
            </w:r>
            <w:r w:rsidR="00077BC9" w:rsidRPr="003E2826">
              <w:rPr>
                <w:rFonts w:ascii="Arial" w:hAnsi="Arial" w:cs="Arial"/>
                <w:b/>
                <w:sz w:val="18"/>
                <w:szCs w:val="18"/>
              </w:rPr>
              <w:t xml:space="preserve"> t</w:t>
            </w:r>
            <w:r>
              <w:rPr>
                <w:rFonts w:ascii="Arial" w:hAnsi="Arial" w:cs="Arial"/>
                <w:b/>
                <w:sz w:val="18"/>
                <w:szCs w:val="18"/>
              </w:rPr>
              <w:t>o 2039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NSW</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1.14</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1.11</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NSW</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1.22</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VIC</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1.17</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1.30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1.37</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1.28</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VIC</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1.22</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QLD</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1.29</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1.37</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1.44</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1.33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QLD</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1.38</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1.26</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1.42</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1.46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1.31</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SA</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1.07</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1.15</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SA</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1.19</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1.11</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WA</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1.40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1.50</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1.35</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WA</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1.33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1.21</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1.39</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TAS</w:t>
            </w:r>
            <w:r w:rsidR="006A54E5">
              <w:rPr>
                <w:rFonts w:ascii="Arial" w:hAnsi="Arial" w:cs="Arial"/>
                <w:sz w:val="18"/>
                <w:szCs w:val="18"/>
              </w:rPr>
              <w:t xml:space="preserve"> capital city</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1.11</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1.19</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1.13</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1.15</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TAS</w:t>
            </w:r>
            <w:r w:rsidR="006A54E5">
              <w:rPr>
                <w:rFonts w:ascii="Arial" w:hAnsi="Arial" w:cs="Arial"/>
                <w:sz w:val="18"/>
                <w:szCs w:val="18"/>
              </w:rPr>
              <w:t xml:space="preserve"> balance of state</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1.14</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1.04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1.15</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1.05</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1.16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1.06</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NT</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1.28</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1.19</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1.31</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1.34</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ACT</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1.22</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1.14</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1.25</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1.17</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Pr>
                <w:rFonts w:ascii="Arial" w:hAnsi="Arial" w:cs="Arial"/>
                <w:sz w:val="18"/>
                <w:szCs w:val="18"/>
              </w:rPr>
              <w:t>1.27</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1.18</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584ABA" w:rsidP="00584ABA">
            <w:pPr>
              <w:rPr>
                <w:rFonts w:ascii="Arial" w:hAnsi="Arial" w:cs="Arial"/>
                <w:sz w:val="18"/>
                <w:szCs w:val="18"/>
              </w:rPr>
            </w:pPr>
            <w:smartTag w:uri="urn:schemas-microsoft-com:office:smarttags" w:element="place">
              <w:r w:rsidRPr="003E2826">
                <w:rPr>
                  <w:rFonts w:ascii="Arial" w:hAnsi="Arial" w:cs="Arial"/>
                  <w:sz w:val="18"/>
                  <w:szCs w:val="18"/>
                </w:rPr>
                <w:t>SE</w:t>
              </w:r>
              <w:r>
                <w:rPr>
                  <w:rFonts w:ascii="Arial" w:hAnsi="Arial" w:cs="Arial"/>
                  <w:sz w:val="18"/>
                  <w:szCs w:val="18"/>
                </w:rPr>
                <w:t xml:space="preserve"> QLD</w:t>
              </w:r>
            </w:smartTag>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1.36</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1.28</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1.43</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1.32</w:t>
            </w:r>
          </w:p>
        </w:tc>
      </w:tr>
      <w:tr w:rsidR="00AD103A" w:rsidRPr="003E2826" w:rsidTr="00D11E9D">
        <w:trPr>
          <w:cantSplit/>
        </w:trPr>
        <w:tc>
          <w:tcPr>
            <w:tcW w:w="2425"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 </w:t>
            </w:r>
          </w:p>
        </w:tc>
        <w:tc>
          <w:tcPr>
            <w:tcW w:w="552" w:type="dxa"/>
            <w:tcBorders>
              <w:top w:val="nil"/>
              <w:left w:val="nil"/>
              <w:bottom w:val="nil"/>
              <w:right w:val="nil"/>
            </w:tcBorders>
            <w:shd w:val="clear" w:color="auto" w:fill="auto"/>
            <w:noWrap/>
            <w:vAlign w:val="bottom"/>
          </w:tcPr>
          <w:p w:rsidR="00AD103A" w:rsidRPr="003E2826" w:rsidRDefault="00AD103A" w:rsidP="00A9585F">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AD103A" w:rsidRPr="003E2826" w:rsidRDefault="00AD103A" w:rsidP="00A9585F">
            <w:pPr>
              <w:jc w:val="center"/>
              <w:rPr>
                <w:rFonts w:ascii="Arial" w:hAnsi="Arial" w:cs="Arial"/>
                <w:sz w:val="18"/>
                <w:szCs w:val="18"/>
              </w:rPr>
            </w:pPr>
            <w:r w:rsidRPr="003E2826">
              <w:rPr>
                <w:rFonts w:ascii="Arial" w:hAnsi="Arial" w:cs="Arial"/>
                <w:sz w:val="18"/>
                <w:szCs w:val="18"/>
              </w:rPr>
              <w:t>1.49</w:t>
            </w:r>
          </w:p>
        </w:tc>
        <w:tc>
          <w:tcPr>
            <w:tcW w:w="1440" w:type="dxa"/>
            <w:tcBorders>
              <w:top w:val="nil"/>
              <w:left w:val="nil"/>
              <w:bottom w:val="nil"/>
              <w:right w:val="nil"/>
            </w:tcBorders>
            <w:shd w:val="clear" w:color="auto" w:fill="auto"/>
            <w:noWrap/>
            <w:vAlign w:val="bottom"/>
          </w:tcPr>
          <w:p w:rsidR="00AD103A" w:rsidRPr="001D1300" w:rsidRDefault="00AD103A" w:rsidP="00AD103A">
            <w:pPr>
              <w:jc w:val="center"/>
              <w:rPr>
                <w:rFonts w:ascii="Arial" w:hAnsi="Arial" w:cs="Arial"/>
                <w:sz w:val="18"/>
                <w:szCs w:val="18"/>
              </w:rPr>
            </w:pPr>
            <w:r w:rsidRPr="001D1300">
              <w:rPr>
                <w:rFonts w:ascii="Arial" w:hAnsi="Arial" w:cs="Arial"/>
                <w:sz w:val="18"/>
                <w:szCs w:val="18"/>
              </w:rPr>
              <w:t>1.35</w:t>
            </w:r>
          </w:p>
        </w:tc>
      </w:tr>
      <w:tr w:rsidR="001F1017" w:rsidRPr="003E2826" w:rsidTr="00D11E9D">
        <w:trPr>
          <w:cantSplit/>
        </w:trPr>
        <w:tc>
          <w:tcPr>
            <w:tcW w:w="2425" w:type="dxa"/>
            <w:tcBorders>
              <w:top w:val="nil"/>
              <w:left w:val="nil"/>
              <w:bottom w:val="nil"/>
              <w:right w:val="nil"/>
            </w:tcBorders>
            <w:shd w:val="clear" w:color="auto" w:fill="auto"/>
            <w:noWrap/>
            <w:vAlign w:val="bottom"/>
          </w:tcPr>
          <w:p w:rsidR="001F1017" w:rsidRPr="003E2826" w:rsidRDefault="001F1017" w:rsidP="00A9585F">
            <w:pPr>
              <w:rPr>
                <w:rFonts w:ascii="Arial" w:hAnsi="Arial" w:cs="Arial"/>
                <w:sz w:val="18"/>
                <w:szCs w:val="18"/>
              </w:rPr>
            </w:pPr>
            <w:smartTag w:uri="urn:schemas-microsoft-com:office:smarttags" w:element="country-region">
              <w:smartTag w:uri="urn:schemas-microsoft-com:office:smarttags" w:element="place">
                <w:r>
                  <w:rPr>
                    <w:rFonts w:ascii="Arial" w:hAnsi="Arial" w:cs="Arial"/>
                    <w:sz w:val="18"/>
                    <w:szCs w:val="18"/>
                  </w:rPr>
                  <w:t>AUSTRALIA</w:t>
                </w:r>
              </w:smartTag>
            </w:smartTag>
          </w:p>
        </w:tc>
        <w:tc>
          <w:tcPr>
            <w:tcW w:w="552" w:type="dxa"/>
            <w:tcBorders>
              <w:top w:val="nil"/>
              <w:left w:val="nil"/>
              <w:bottom w:val="nil"/>
              <w:right w:val="nil"/>
            </w:tcBorders>
            <w:shd w:val="clear" w:color="auto" w:fill="auto"/>
            <w:noWrap/>
            <w:vAlign w:val="bottom"/>
          </w:tcPr>
          <w:p w:rsidR="001F1017" w:rsidRPr="003E2826" w:rsidRDefault="001F1017" w:rsidP="00A9585F">
            <w:pPr>
              <w:rPr>
                <w:rFonts w:ascii="Arial" w:hAnsi="Arial" w:cs="Arial"/>
                <w:sz w:val="18"/>
                <w:szCs w:val="18"/>
              </w:rPr>
            </w:pPr>
            <w:r>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1F1017" w:rsidRPr="003E2826" w:rsidRDefault="001F1017" w:rsidP="00A9585F">
            <w:pPr>
              <w:jc w:val="center"/>
              <w:rPr>
                <w:rFonts w:ascii="Arial" w:hAnsi="Arial" w:cs="Arial"/>
                <w:sz w:val="18"/>
                <w:szCs w:val="18"/>
              </w:rPr>
            </w:pPr>
            <w:r>
              <w:rPr>
                <w:rFonts w:ascii="Arial" w:hAnsi="Arial" w:cs="Arial"/>
                <w:sz w:val="18"/>
                <w:szCs w:val="18"/>
              </w:rPr>
              <w:t>1.23</w:t>
            </w:r>
          </w:p>
        </w:tc>
        <w:tc>
          <w:tcPr>
            <w:tcW w:w="1440" w:type="dxa"/>
            <w:tcBorders>
              <w:top w:val="nil"/>
              <w:left w:val="nil"/>
              <w:bottom w:val="nil"/>
              <w:right w:val="nil"/>
            </w:tcBorders>
            <w:shd w:val="clear" w:color="auto" w:fill="auto"/>
            <w:noWrap/>
            <w:vAlign w:val="bottom"/>
          </w:tcPr>
          <w:p w:rsidR="001F1017" w:rsidRPr="001D1300" w:rsidRDefault="001F1017" w:rsidP="00AD103A">
            <w:pPr>
              <w:jc w:val="center"/>
              <w:rPr>
                <w:rFonts w:ascii="Arial" w:hAnsi="Arial" w:cs="Arial"/>
                <w:sz w:val="18"/>
                <w:szCs w:val="18"/>
              </w:rPr>
            </w:pPr>
            <w:r>
              <w:rPr>
                <w:rFonts w:ascii="Arial" w:hAnsi="Arial" w:cs="Arial"/>
                <w:sz w:val="18"/>
                <w:szCs w:val="18"/>
              </w:rPr>
              <w:t>1.16</w:t>
            </w:r>
          </w:p>
        </w:tc>
      </w:tr>
      <w:tr w:rsidR="001F1017" w:rsidRPr="003E2826" w:rsidTr="00D11E9D">
        <w:trPr>
          <w:cantSplit/>
        </w:trPr>
        <w:tc>
          <w:tcPr>
            <w:tcW w:w="2425" w:type="dxa"/>
            <w:tcBorders>
              <w:top w:val="nil"/>
              <w:left w:val="nil"/>
              <w:bottom w:val="nil"/>
              <w:right w:val="nil"/>
            </w:tcBorders>
            <w:shd w:val="clear" w:color="auto" w:fill="auto"/>
            <w:noWrap/>
            <w:vAlign w:val="bottom"/>
          </w:tcPr>
          <w:p w:rsidR="001F1017" w:rsidRPr="003E2826" w:rsidRDefault="001F1017" w:rsidP="00A9585F">
            <w:pPr>
              <w:rPr>
                <w:rFonts w:ascii="Arial" w:hAnsi="Arial" w:cs="Arial"/>
                <w:sz w:val="18"/>
                <w:szCs w:val="18"/>
              </w:rPr>
            </w:pPr>
          </w:p>
        </w:tc>
        <w:tc>
          <w:tcPr>
            <w:tcW w:w="552" w:type="dxa"/>
            <w:tcBorders>
              <w:top w:val="nil"/>
              <w:left w:val="nil"/>
              <w:bottom w:val="nil"/>
              <w:right w:val="nil"/>
            </w:tcBorders>
            <w:shd w:val="clear" w:color="auto" w:fill="auto"/>
            <w:noWrap/>
            <w:vAlign w:val="bottom"/>
          </w:tcPr>
          <w:p w:rsidR="001F1017" w:rsidRPr="003E2826" w:rsidRDefault="001F1017" w:rsidP="00A9585F">
            <w:pPr>
              <w:rPr>
                <w:rFonts w:ascii="Arial" w:hAnsi="Arial" w:cs="Arial"/>
                <w:sz w:val="18"/>
                <w:szCs w:val="18"/>
              </w:rPr>
            </w:pPr>
            <w:r>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1F1017" w:rsidRPr="003E2826" w:rsidRDefault="001F1017" w:rsidP="00A9585F">
            <w:pPr>
              <w:jc w:val="center"/>
              <w:rPr>
                <w:rFonts w:ascii="Arial" w:hAnsi="Arial" w:cs="Arial"/>
                <w:sz w:val="18"/>
                <w:szCs w:val="18"/>
              </w:rPr>
            </w:pPr>
            <w:r>
              <w:rPr>
                <w:rFonts w:ascii="Arial" w:hAnsi="Arial" w:cs="Arial"/>
                <w:sz w:val="18"/>
                <w:szCs w:val="18"/>
              </w:rPr>
              <w:t>1.29</w:t>
            </w:r>
          </w:p>
        </w:tc>
        <w:tc>
          <w:tcPr>
            <w:tcW w:w="1440" w:type="dxa"/>
            <w:tcBorders>
              <w:top w:val="nil"/>
              <w:left w:val="nil"/>
              <w:bottom w:val="nil"/>
              <w:right w:val="nil"/>
            </w:tcBorders>
            <w:shd w:val="clear" w:color="auto" w:fill="auto"/>
            <w:noWrap/>
            <w:vAlign w:val="bottom"/>
          </w:tcPr>
          <w:p w:rsidR="001F1017" w:rsidRPr="001D1300" w:rsidRDefault="001F1017" w:rsidP="00AD103A">
            <w:pPr>
              <w:jc w:val="center"/>
              <w:rPr>
                <w:rFonts w:ascii="Arial" w:hAnsi="Arial" w:cs="Arial"/>
                <w:sz w:val="18"/>
                <w:szCs w:val="18"/>
              </w:rPr>
            </w:pPr>
            <w:r>
              <w:rPr>
                <w:rFonts w:ascii="Arial" w:hAnsi="Arial" w:cs="Arial"/>
                <w:sz w:val="18"/>
                <w:szCs w:val="18"/>
              </w:rPr>
              <w:t>1.21</w:t>
            </w:r>
          </w:p>
        </w:tc>
      </w:tr>
      <w:tr w:rsidR="001F1017" w:rsidRPr="003E2826" w:rsidTr="00275CDC">
        <w:trPr>
          <w:trHeight w:val="255"/>
        </w:trPr>
        <w:tc>
          <w:tcPr>
            <w:tcW w:w="2425" w:type="dxa"/>
            <w:tcBorders>
              <w:top w:val="nil"/>
              <w:left w:val="nil"/>
              <w:bottom w:val="single" w:sz="4" w:space="0" w:color="auto"/>
              <w:right w:val="nil"/>
            </w:tcBorders>
            <w:shd w:val="clear" w:color="auto" w:fill="auto"/>
            <w:noWrap/>
            <w:vAlign w:val="bottom"/>
          </w:tcPr>
          <w:p w:rsidR="001F1017" w:rsidRPr="003E2826" w:rsidRDefault="001F1017" w:rsidP="00A9585F">
            <w:pPr>
              <w:rPr>
                <w:rFonts w:ascii="Arial" w:hAnsi="Arial" w:cs="Arial"/>
                <w:sz w:val="18"/>
                <w:szCs w:val="18"/>
              </w:rPr>
            </w:pPr>
          </w:p>
        </w:tc>
        <w:tc>
          <w:tcPr>
            <w:tcW w:w="552" w:type="dxa"/>
            <w:tcBorders>
              <w:top w:val="nil"/>
              <w:left w:val="nil"/>
              <w:bottom w:val="single" w:sz="4" w:space="0" w:color="auto"/>
              <w:right w:val="nil"/>
            </w:tcBorders>
            <w:shd w:val="clear" w:color="auto" w:fill="auto"/>
            <w:noWrap/>
            <w:vAlign w:val="bottom"/>
          </w:tcPr>
          <w:p w:rsidR="001F1017" w:rsidRPr="003E2826" w:rsidRDefault="001F1017" w:rsidP="00A9585F">
            <w:pPr>
              <w:rPr>
                <w:rFonts w:ascii="Arial" w:hAnsi="Arial" w:cs="Arial"/>
                <w:sz w:val="18"/>
                <w:szCs w:val="18"/>
              </w:rPr>
            </w:pPr>
            <w:r>
              <w:rPr>
                <w:rFonts w:ascii="Arial" w:hAnsi="Arial" w:cs="Arial"/>
                <w:sz w:val="18"/>
                <w:szCs w:val="18"/>
              </w:rPr>
              <w:t>High</w:t>
            </w:r>
          </w:p>
        </w:tc>
        <w:tc>
          <w:tcPr>
            <w:tcW w:w="1335" w:type="dxa"/>
            <w:tcBorders>
              <w:top w:val="nil"/>
              <w:left w:val="nil"/>
              <w:bottom w:val="single" w:sz="4" w:space="0" w:color="auto"/>
              <w:right w:val="nil"/>
            </w:tcBorders>
            <w:shd w:val="clear" w:color="auto" w:fill="auto"/>
            <w:noWrap/>
            <w:vAlign w:val="bottom"/>
          </w:tcPr>
          <w:p w:rsidR="001F1017" w:rsidRPr="003E2826" w:rsidRDefault="001F1017" w:rsidP="00A9585F">
            <w:pPr>
              <w:jc w:val="center"/>
              <w:rPr>
                <w:rFonts w:ascii="Arial" w:hAnsi="Arial" w:cs="Arial"/>
                <w:sz w:val="18"/>
                <w:szCs w:val="18"/>
              </w:rPr>
            </w:pPr>
            <w:r>
              <w:rPr>
                <w:rFonts w:ascii="Arial" w:hAnsi="Arial" w:cs="Arial"/>
                <w:sz w:val="18"/>
                <w:szCs w:val="18"/>
              </w:rPr>
              <w:t>1.34</w:t>
            </w:r>
          </w:p>
        </w:tc>
        <w:tc>
          <w:tcPr>
            <w:tcW w:w="1440" w:type="dxa"/>
            <w:tcBorders>
              <w:top w:val="nil"/>
              <w:left w:val="nil"/>
              <w:bottom w:val="single" w:sz="4" w:space="0" w:color="auto"/>
              <w:right w:val="nil"/>
            </w:tcBorders>
            <w:shd w:val="clear" w:color="auto" w:fill="auto"/>
            <w:noWrap/>
            <w:vAlign w:val="bottom"/>
          </w:tcPr>
          <w:p w:rsidR="001F1017" w:rsidRPr="001D1300" w:rsidRDefault="001F1017" w:rsidP="00AD103A">
            <w:pPr>
              <w:jc w:val="center"/>
              <w:rPr>
                <w:rFonts w:ascii="Arial" w:hAnsi="Arial" w:cs="Arial"/>
                <w:sz w:val="18"/>
                <w:szCs w:val="18"/>
              </w:rPr>
            </w:pPr>
            <w:r>
              <w:rPr>
                <w:rFonts w:ascii="Arial" w:hAnsi="Arial" w:cs="Arial"/>
                <w:sz w:val="18"/>
                <w:szCs w:val="18"/>
              </w:rPr>
              <w:t>1.24</w:t>
            </w:r>
          </w:p>
        </w:tc>
      </w:tr>
    </w:tbl>
    <w:p w:rsidR="00077BC9" w:rsidRDefault="00077BC9" w:rsidP="00077BC9"/>
    <w:p w:rsidR="0064783D" w:rsidRDefault="0064783D" w:rsidP="0028766B">
      <w:pPr>
        <w:rPr>
          <w:rFonts w:ascii="Arial" w:hAnsi="Arial" w:cs="Arial"/>
          <w:b/>
          <w:sz w:val="20"/>
          <w:szCs w:val="20"/>
        </w:rPr>
      </w:pPr>
    </w:p>
    <w:p w:rsidR="009257CB" w:rsidRDefault="009257CB">
      <w:pPr>
        <w:rPr>
          <w:rFonts w:ascii="Arial" w:hAnsi="Arial" w:cs="Arial"/>
          <w:b/>
          <w:sz w:val="20"/>
          <w:szCs w:val="20"/>
        </w:rPr>
      </w:pPr>
      <w:r>
        <w:rPr>
          <w:rFonts w:ascii="Arial" w:hAnsi="Arial" w:cs="Arial"/>
          <w:b/>
          <w:sz w:val="20"/>
          <w:szCs w:val="20"/>
        </w:rPr>
        <w:br w:type="page"/>
      </w:r>
    </w:p>
    <w:p w:rsidR="00893356" w:rsidRPr="00BB00C9" w:rsidRDefault="00A9585F" w:rsidP="0028766B">
      <w:pPr>
        <w:rPr>
          <w:rFonts w:ascii="Arial" w:hAnsi="Arial" w:cs="Arial"/>
          <w:b/>
          <w:sz w:val="20"/>
          <w:szCs w:val="20"/>
        </w:rPr>
      </w:pPr>
      <w:proofErr w:type="gramStart"/>
      <w:r>
        <w:rPr>
          <w:rFonts w:ascii="Arial" w:hAnsi="Arial" w:cs="Arial"/>
          <w:b/>
          <w:sz w:val="20"/>
          <w:szCs w:val="20"/>
        </w:rPr>
        <w:lastRenderedPageBreak/>
        <w:t xml:space="preserve">Table </w:t>
      </w:r>
      <w:r w:rsidR="001B48E1">
        <w:rPr>
          <w:rFonts w:ascii="Arial" w:hAnsi="Arial" w:cs="Arial"/>
          <w:b/>
          <w:sz w:val="20"/>
          <w:szCs w:val="20"/>
        </w:rPr>
        <w:t>6</w:t>
      </w:r>
      <w:r>
        <w:rPr>
          <w:rFonts w:ascii="Arial" w:hAnsi="Arial" w:cs="Arial"/>
          <w:b/>
          <w:sz w:val="20"/>
          <w:szCs w:val="20"/>
        </w:rPr>
        <w:t>.</w:t>
      </w:r>
      <w:proofErr w:type="gramEnd"/>
      <w:r>
        <w:rPr>
          <w:rFonts w:ascii="Arial" w:hAnsi="Arial" w:cs="Arial"/>
          <w:b/>
          <w:sz w:val="20"/>
          <w:szCs w:val="20"/>
        </w:rPr>
        <w:t xml:space="preserve"> Relative increase in numbers of households by type, Medium scenario</w:t>
      </w:r>
    </w:p>
    <w:tbl>
      <w:tblPr>
        <w:tblW w:w="9476" w:type="dxa"/>
        <w:tblInd w:w="93" w:type="dxa"/>
        <w:tblLook w:val="0000"/>
      </w:tblPr>
      <w:tblGrid>
        <w:gridCol w:w="1217"/>
        <w:gridCol w:w="907"/>
        <w:gridCol w:w="994"/>
        <w:gridCol w:w="1008"/>
        <w:gridCol w:w="927"/>
        <w:gridCol w:w="817"/>
        <w:gridCol w:w="1227"/>
        <w:gridCol w:w="1452"/>
        <w:gridCol w:w="712"/>
        <w:gridCol w:w="215"/>
      </w:tblGrid>
      <w:tr w:rsidR="00A9585F" w:rsidTr="009257CB">
        <w:trPr>
          <w:gridAfter w:val="1"/>
          <w:wAfter w:w="215" w:type="dxa"/>
          <w:cantSplit/>
          <w:trHeight w:val="255"/>
        </w:trPr>
        <w:tc>
          <w:tcPr>
            <w:tcW w:w="1217" w:type="dxa"/>
            <w:vMerge w:val="restart"/>
            <w:tcBorders>
              <w:top w:val="single" w:sz="4" w:space="0" w:color="auto"/>
              <w:left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Region</w:t>
            </w:r>
          </w:p>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07" w:type="dxa"/>
            <w:vMerge w:val="restart"/>
            <w:tcBorders>
              <w:top w:val="single" w:sz="4" w:space="0" w:color="auto"/>
              <w:left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Period</w:t>
            </w:r>
          </w:p>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7137" w:type="dxa"/>
            <w:gridSpan w:val="7"/>
            <w:tcBorders>
              <w:top w:val="single" w:sz="4" w:space="0" w:color="auto"/>
              <w:left w:val="nil"/>
              <w:bottom w:val="single" w:sz="4" w:space="0" w:color="auto"/>
              <w:right w:val="nil"/>
            </w:tcBorders>
            <w:shd w:val="clear" w:color="auto" w:fill="auto"/>
            <w:noWrap/>
            <w:vAlign w:val="bottom"/>
          </w:tcPr>
          <w:p w:rsidR="00A9585F" w:rsidRPr="00511632" w:rsidRDefault="00A9585F" w:rsidP="00A9585F">
            <w:pPr>
              <w:jc w:val="center"/>
              <w:rPr>
                <w:rFonts w:ascii="Arial" w:hAnsi="Arial" w:cs="Arial"/>
                <w:b/>
                <w:sz w:val="18"/>
                <w:szCs w:val="18"/>
              </w:rPr>
            </w:pPr>
            <w:r>
              <w:rPr>
                <w:rFonts w:ascii="Arial" w:hAnsi="Arial" w:cs="Arial"/>
                <w:b/>
                <w:sz w:val="18"/>
                <w:szCs w:val="18"/>
              </w:rPr>
              <w:t>Relative</w:t>
            </w:r>
            <w:r w:rsidRPr="00511632">
              <w:rPr>
                <w:rFonts w:ascii="Arial" w:hAnsi="Arial" w:cs="Arial"/>
                <w:b/>
                <w:sz w:val="18"/>
                <w:szCs w:val="18"/>
              </w:rPr>
              <w:t xml:space="preserve"> increase over the period</w:t>
            </w:r>
          </w:p>
        </w:tc>
      </w:tr>
      <w:tr w:rsidR="00275CDC" w:rsidTr="009257CB">
        <w:trPr>
          <w:cantSplit/>
          <w:trHeight w:val="255"/>
        </w:trPr>
        <w:tc>
          <w:tcPr>
            <w:tcW w:w="121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0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94"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2 parent</w:t>
            </w:r>
          </w:p>
        </w:tc>
        <w:tc>
          <w:tcPr>
            <w:tcW w:w="1008"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1 parent</w:t>
            </w:r>
          </w:p>
        </w:tc>
        <w:tc>
          <w:tcPr>
            <w:tcW w:w="927"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Couples</w:t>
            </w:r>
          </w:p>
        </w:tc>
        <w:tc>
          <w:tcPr>
            <w:tcW w:w="817"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Lone</w:t>
            </w:r>
          </w:p>
        </w:tc>
        <w:tc>
          <w:tcPr>
            <w:tcW w:w="1227"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Group</w:t>
            </w:r>
          </w:p>
        </w:tc>
        <w:tc>
          <w:tcPr>
            <w:tcW w:w="1452"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xml:space="preserve">Total </w:t>
            </w:r>
          </w:p>
        </w:tc>
        <w:tc>
          <w:tcPr>
            <w:tcW w:w="927" w:type="dxa"/>
            <w:gridSpan w:val="2"/>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Persons in</w:t>
            </w:r>
          </w:p>
        </w:tc>
      </w:tr>
      <w:tr w:rsidR="00275CDC" w:rsidTr="009257CB">
        <w:trPr>
          <w:cantSplit/>
          <w:trHeight w:val="255"/>
        </w:trPr>
        <w:tc>
          <w:tcPr>
            <w:tcW w:w="121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07" w:type="dxa"/>
            <w:vMerge/>
            <w:tcBorders>
              <w:left w:val="nil"/>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94"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families</w:t>
            </w:r>
          </w:p>
        </w:tc>
        <w:tc>
          <w:tcPr>
            <w:tcW w:w="1008"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families</w:t>
            </w:r>
          </w:p>
        </w:tc>
        <w:tc>
          <w:tcPr>
            <w:tcW w:w="927" w:type="dxa"/>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xml:space="preserve">without </w:t>
            </w:r>
          </w:p>
        </w:tc>
        <w:tc>
          <w:tcPr>
            <w:tcW w:w="817"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p</w:t>
            </w:r>
            <w:r w:rsidR="00A9585F" w:rsidRPr="00511632">
              <w:rPr>
                <w:rFonts w:ascii="Arial" w:hAnsi="Arial" w:cs="Arial"/>
                <w:b/>
                <w:sz w:val="18"/>
                <w:szCs w:val="18"/>
              </w:rPr>
              <w:t>erson</w:t>
            </w:r>
          </w:p>
        </w:tc>
        <w:tc>
          <w:tcPr>
            <w:tcW w:w="1227"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h</w:t>
            </w:r>
            <w:r w:rsidR="00A9585F" w:rsidRPr="00511632">
              <w:rPr>
                <w:rFonts w:ascii="Arial" w:hAnsi="Arial" w:cs="Arial"/>
                <w:b/>
                <w:sz w:val="18"/>
                <w:szCs w:val="18"/>
              </w:rPr>
              <w:t>ouseholds</w:t>
            </w:r>
          </w:p>
        </w:tc>
        <w:tc>
          <w:tcPr>
            <w:tcW w:w="1452" w:type="dxa"/>
            <w:tcBorders>
              <w:top w:val="nil"/>
              <w:left w:val="nil"/>
              <w:bottom w:val="nil"/>
              <w:right w:val="nil"/>
            </w:tcBorders>
            <w:shd w:val="clear" w:color="auto" w:fill="auto"/>
            <w:noWrap/>
            <w:vAlign w:val="bottom"/>
          </w:tcPr>
          <w:p w:rsidR="00A9585F" w:rsidRPr="00511632" w:rsidRDefault="00CC432C" w:rsidP="00A9585F">
            <w:pPr>
              <w:rPr>
                <w:rFonts w:ascii="Arial" w:hAnsi="Arial" w:cs="Arial"/>
                <w:b/>
                <w:sz w:val="18"/>
                <w:szCs w:val="18"/>
              </w:rPr>
            </w:pPr>
            <w:r>
              <w:rPr>
                <w:rFonts w:ascii="Arial" w:hAnsi="Arial" w:cs="Arial"/>
                <w:b/>
                <w:sz w:val="18"/>
                <w:szCs w:val="18"/>
              </w:rPr>
              <w:t>h</w:t>
            </w:r>
            <w:r w:rsidR="00A9585F" w:rsidRPr="00511632">
              <w:rPr>
                <w:rFonts w:ascii="Arial" w:hAnsi="Arial" w:cs="Arial"/>
                <w:b/>
                <w:sz w:val="18"/>
                <w:szCs w:val="18"/>
              </w:rPr>
              <w:t>ouseholds</w:t>
            </w:r>
          </w:p>
        </w:tc>
        <w:tc>
          <w:tcPr>
            <w:tcW w:w="927" w:type="dxa"/>
            <w:gridSpan w:val="2"/>
            <w:tcBorders>
              <w:top w:val="nil"/>
              <w:left w:val="nil"/>
              <w:bottom w:val="nil"/>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NPDS</w:t>
            </w:r>
          </w:p>
        </w:tc>
      </w:tr>
      <w:tr w:rsidR="00275CDC" w:rsidTr="009257CB">
        <w:trPr>
          <w:cantSplit/>
          <w:trHeight w:val="255"/>
        </w:trPr>
        <w:tc>
          <w:tcPr>
            <w:tcW w:w="1217" w:type="dxa"/>
            <w:vMerge/>
            <w:tcBorders>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07" w:type="dxa"/>
            <w:vMerge/>
            <w:tcBorders>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p>
        </w:tc>
        <w:tc>
          <w:tcPr>
            <w:tcW w:w="994"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008"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27"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children</w:t>
            </w:r>
          </w:p>
        </w:tc>
        <w:tc>
          <w:tcPr>
            <w:tcW w:w="817"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227"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1452" w:type="dxa"/>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c>
          <w:tcPr>
            <w:tcW w:w="927" w:type="dxa"/>
            <w:gridSpan w:val="2"/>
            <w:tcBorders>
              <w:top w:val="nil"/>
              <w:left w:val="nil"/>
              <w:bottom w:val="single" w:sz="4" w:space="0" w:color="auto"/>
              <w:right w:val="nil"/>
            </w:tcBorders>
            <w:shd w:val="clear" w:color="auto" w:fill="auto"/>
            <w:noWrap/>
            <w:vAlign w:val="bottom"/>
          </w:tcPr>
          <w:p w:rsidR="00A9585F" w:rsidRPr="00511632" w:rsidRDefault="00A9585F" w:rsidP="00A9585F">
            <w:pPr>
              <w:rPr>
                <w:rFonts w:ascii="Arial" w:hAnsi="Arial" w:cs="Arial"/>
                <w:b/>
                <w:sz w:val="18"/>
                <w:szCs w:val="18"/>
              </w:rPr>
            </w:pPr>
            <w:r w:rsidRPr="00511632">
              <w:rPr>
                <w:rFonts w:ascii="Arial" w:hAnsi="Arial" w:cs="Arial"/>
                <w:b/>
                <w:sz w:val="18"/>
                <w:szCs w:val="18"/>
              </w:rPr>
              <w:t> </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A9585F" w:rsidRPr="006F2E40" w:rsidRDefault="00A9585F" w:rsidP="00A9585F">
            <w:pPr>
              <w:rPr>
                <w:rFonts w:ascii="Arial" w:hAnsi="Arial" w:cs="Arial"/>
                <w:sz w:val="18"/>
                <w:szCs w:val="18"/>
              </w:rPr>
            </w:pPr>
            <w:r w:rsidRPr="006F2E40">
              <w:rPr>
                <w:rFonts w:ascii="Arial" w:hAnsi="Arial" w:cs="Arial"/>
                <w:sz w:val="18"/>
                <w:szCs w:val="18"/>
              </w:rPr>
              <w:t>NSW</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A9585F" w:rsidRPr="006F2E40" w:rsidRDefault="00457215" w:rsidP="00A9585F">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1.16</w:t>
            </w:r>
          </w:p>
        </w:tc>
        <w:tc>
          <w:tcPr>
            <w:tcW w:w="1008" w:type="dxa"/>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1.13</w:t>
            </w:r>
          </w:p>
        </w:tc>
        <w:tc>
          <w:tcPr>
            <w:tcW w:w="927" w:type="dxa"/>
            <w:tcBorders>
              <w:top w:val="nil"/>
              <w:left w:val="nil"/>
              <w:bottom w:val="nil"/>
              <w:right w:val="nil"/>
            </w:tcBorders>
            <w:shd w:val="clear" w:color="auto" w:fill="auto"/>
            <w:noWrap/>
            <w:vAlign w:val="bottom"/>
          </w:tcPr>
          <w:p w:rsidR="00A9585F" w:rsidRPr="006F2E40" w:rsidRDefault="00AD103A" w:rsidP="00A9585F">
            <w:pPr>
              <w:jc w:val="right"/>
              <w:rPr>
                <w:rFonts w:ascii="Arial" w:hAnsi="Arial" w:cs="Arial"/>
                <w:sz w:val="18"/>
                <w:szCs w:val="18"/>
              </w:rPr>
            </w:pPr>
            <w:r>
              <w:rPr>
                <w:rFonts w:ascii="Arial" w:hAnsi="Arial" w:cs="Arial"/>
                <w:sz w:val="18"/>
                <w:szCs w:val="18"/>
              </w:rPr>
              <w:t>1.25</w:t>
            </w:r>
          </w:p>
        </w:tc>
        <w:tc>
          <w:tcPr>
            <w:tcW w:w="817" w:type="dxa"/>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1.35</w:t>
            </w:r>
          </w:p>
        </w:tc>
        <w:tc>
          <w:tcPr>
            <w:tcW w:w="1227" w:type="dxa"/>
            <w:tcBorders>
              <w:top w:val="nil"/>
              <w:left w:val="nil"/>
              <w:bottom w:val="nil"/>
              <w:right w:val="nil"/>
            </w:tcBorders>
            <w:shd w:val="clear" w:color="auto" w:fill="auto"/>
            <w:noWrap/>
            <w:vAlign w:val="bottom"/>
          </w:tcPr>
          <w:p w:rsidR="00A9585F" w:rsidRPr="006F2E40" w:rsidRDefault="00AD103A" w:rsidP="00A9585F">
            <w:pPr>
              <w:jc w:val="right"/>
              <w:rPr>
                <w:rFonts w:ascii="Arial" w:hAnsi="Arial" w:cs="Arial"/>
                <w:sz w:val="18"/>
                <w:szCs w:val="18"/>
              </w:rPr>
            </w:pPr>
            <w:r>
              <w:rPr>
                <w:rFonts w:ascii="Arial" w:hAnsi="Arial" w:cs="Arial"/>
                <w:sz w:val="18"/>
                <w:szCs w:val="18"/>
              </w:rPr>
              <w:t>1.18</w:t>
            </w:r>
          </w:p>
        </w:tc>
        <w:tc>
          <w:tcPr>
            <w:tcW w:w="1452" w:type="dxa"/>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1.23</w:t>
            </w:r>
          </w:p>
        </w:tc>
        <w:tc>
          <w:tcPr>
            <w:tcW w:w="927" w:type="dxa"/>
            <w:gridSpan w:val="2"/>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1.30</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A9585F" w:rsidRPr="006F2E40" w:rsidRDefault="00A9585F"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A9585F" w:rsidRPr="006F2E40" w:rsidRDefault="00457215" w:rsidP="00A9585F">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1.12</w:t>
            </w:r>
          </w:p>
        </w:tc>
        <w:tc>
          <w:tcPr>
            <w:tcW w:w="1008" w:type="dxa"/>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1.15</w:t>
            </w:r>
          </w:p>
        </w:tc>
        <w:tc>
          <w:tcPr>
            <w:tcW w:w="927" w:type="dxa"/>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1.18</w:t>
            </w:r>
          </w:p>
        </w:tc>
        <w:tc>
          <w:tcPr>
            <w:tcW w:w="817" w:type="dxa"/>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1.30</w:t>
            </w:r>
          </w:p>
        </w:tc>
        <w:tc>
          <w:tcPr>
            <w:tcW w:w="1227" w:type="dxa"/>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1.16</w:t>
            </w:r>
          </w:p>
        </w:tc>
        <w:tc>
          <w:tcPr>
            <w:tcW w:w="1452" w:type="dxa"/>
            <w:tcBorders>
              <w:top w:val="nil"/>
              <w:left w:val="nil"/>
              <w:bottom w:val="nil"/>
              <w:right w:val="nil"/>
            </w:tcBorders>
            <w:shd w:val="clear" w:color="auto" w:fill="auto"/>
            <w:noWrap/>
            <w:vAlign w:val="bottom"/>
          </w:tcPr>
          <w:p w:rsidR="00A9585F" w:rsidRPr="006F2E40" w:rsidRDefault="00A9585F" w:rsidP="00A9585F">
            <w:pPr>
              <w:jc w:val="right"/>
              <w:rPr>
                <w:rFonts w:ascii="Arial" w:hAnsi="Arial" w:cs="Arial"/>
                <w:sz w:val="18"/>
                <w:szCs w:val="18"/>
              </w:rPr>
            </w:pPr>
            <w:r w:rsidRPr="006F2E40">
              <w:rPr>
                <w:rFonts w:ascii="Arial" w:hAnsi="Arial" w:cs="Arial"/>
                <w:sz w:val="18"/>
                <w:szCs w:val="18"/>
              </w:rPr>
              <w:t>1.19</w:t>
            </w:r>
          </w:p>
        </w:tc>
        <w:tc>
          <w:tcPr>
            <w:tcW w:w="927" w:type="dxa"/>
            <w:gridSpan w:val="2"/>
            <w:tcBorders>
              <w:top w:val="nil"/>
              <w:left w:val="nil"/>
              <w:bottom w:val="nil"/>
              <w:right w:val="nil"/>
            </w:tcBorders>
            <w:shd w:val="clear" w:color="auto" w:fill="auto"/>
            <w:noWrap/>
            <w:vAlign w:val="bottom"/>
          </w:tcPr>
          <w:p w:rsidR="00A9585F" w:rsidRPr="006F2E40" w:rsidRDefault="00ED7464" w:rsidP="00A9585F">
            <w:pPr>
              <w:jc w:val="right"/>
              <w:rPr>
                <w:rFonts w:ascii="Arial" w:hAnsi="Arial" w:cs="Arial"/>
                <w:sz w:val="18"/>
                <w:szCs w:val="18"/>
              </w:rPr>
            </w:pPr>
            <w:r>
              <w:rPr>
                <w:rFonts w:ascii="Arial" w:hAnsi="Arial" w:cs="Arial"/>
                <w:sz w:val="18"/>
                <w:szCs w:val="18"/>
              </w:rPr>
              <w:t>1.38</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NSW</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1.04</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1.03</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1.24</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1.51</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1.17</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1.23</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1.36</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1.01</w:t>
            </w:r>
          </w:p>
        </w:tc>
        <w:tc>
          <w:tcPr>
            <w:tcW w:w="1008"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1.05</w:t>
            </w:r>
          </w:p>
        </w:tc>
        <w:tc>
          <w:tcPr>
            <w:tcW w:w="9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1.04</w:t>
            </w:r>
          </w:p>
        </w:tc>
        <w:tc>
          <w:tcPr>
            <w:tcW w:w="81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1.33</w:t>
            </w:r>
          </w:p>
        </w:tc>
        <w:tc>
          <w:tcPr>
            <w:tcW w:w="12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1.07</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1.13</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1.34</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VIC</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1.16</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1.27</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1.26</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1.53</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1.25</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1.30</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1.41</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1.12</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1.26</w:t>
            </w:r>
          </w:p>
        </w:tc>
        <w:tc>
          <w:tcPr>
            <w:tcW w:w="9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1.17</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1.40</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w:t>
            </w:r>
            <w:r w:rsidR="00ED7464">
              <w:rPr>
                <w:rFonts w:ascii="Arial" w:hAnsi="Arial" w:cs="Arial"/>
                <w:sz w:val="18"/>
                <w:szCs w:val="18"/>
              </w:rPr>
              <w:t>5</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w:t>
            </w:r>
            <w:r w:rsidR="00ED7464">
              <w:rPr>
                <w:rFonts w:ascii="Arial" w:hAnsi="Arial" w:cs="Arial"/>
                <w:sz w:val="18"/>
                <w:szCs w:val="18"/>
              </w:rPr>
              <w:t>3</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1.44</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VIC</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1.01</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1.07</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1.22</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1.49</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1.12</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1.22</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1.34</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1.00</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1.10</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1.02</w:t>
            </w:r>
          </w:p>
        </w:tc>
        <w:tc>
          <w:tcPr>
            <w:tcW w:w="81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1.32</w:t>
            </w:r>
          </w:p>
        </w:tc>
        <w:tc>
          <w:tcPr>
            <w:tcW w:w="12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1.06</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1.13</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1.41</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QLD</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1.29</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1.31</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1.38</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1.52</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1.25</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1.37</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1.40</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1.21</w:t>
            </w:r>
          </w:p>
        </w:tc>
        <w:tc>
          <w:tcPr>
            <w:tcW w:w="1008"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1.30</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1.26</w:t>
            </w:r>
          </w:p>
        </w:tc>
        <w:tc>
          <w:tcPr>
            <w:tcW w:w="81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1.40</w:t>
            </w:r>
          </w:p>
        </w:tc>
        <w:tc>
          <w:tcPr>
            <w:tcW w:w="12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1.29</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w:t>
            </w:r>
            <w:r w:rsidR="00ED7464">
              <w:rPr>
                <w:rFonts w:ascii="Arial" w:hAnsi="Arial" w:cs="Arial"/>
                <w:sz w:val="18"/>
                <w:szCs w:val="18"/>
              </w:rPr>
              <w:t>37</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QLD</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1.28</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1.24</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1.47</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1.65</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1.25</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1.42</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1.43</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1.19</w:t>
            </w:r>
          </w:p>
        </w:tc>
        <w:tc>
          <w:tcPr>
            <w:tcW w:w="1008"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1.21</w:t>
            </w:r>
          </w:p>
        </w:tc>
        <w:tc>
          <w:tcPr>
            <w:tcW w:w="9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1.25</w:t>
            </w:r>
          </w:p>
        </w:tc>
        <w:tc>
          <w:tcPr>
            <w:tcW w:w="81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1.46</w:t>
            </w:r>
          </w:p>
        </w:tc>
        <w:tc>
          <w:tcPr>
            <w:tcW w:w="1227"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1.20</w:t>
            </w:r>
          </w:p>
        </w:tc>
        <w:tc>
          <w:tcPr>
            <w:tcW w:w="1452"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1.49</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SA</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1.06</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1.05</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1.18</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1.29</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1.07</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1.16</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1.22</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D7464" w:rsidP="00A9585F">
            <w:pPr>
              <w:jc w:val="right"/>
              <w:rPr>
                <w:rFonts w:ascii="Arial" w:hAnsi="Arial" w:cs="Arial"/>
                <w:sz w:val="18"/>
                <w:szCs w:val="18"/>
              </w:rPr>
            </w:pPr>
            <w:r>
              <w:rPr>
                <w:rFonts w:ascii="Arial" w:hAnsi="Arial" w:cs="Arial"/>
                <w:sz w:val="18"/>
                <w:szCs w:val="18"/>
              </w:rPr>
              <w:t>1.04</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1.10</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1.06</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1.22</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1.08</w:t>
            </w:r>
          </w:p>
        </w:tc>
        <w:tc>
          <w:tcPr>
            <w:tcW w:w="1452"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1.12</w:t>
            </w:r>
          </w:p>
        </w:tc>
        <w:tc>
          <w:tcPr>
            <w:tcW w:w="927" w:type="dxa"/>
            <w:gridSpan w:val="2"/>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1.37</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SA</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0.98</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1.05</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1.20</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1.48</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1.19</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1.20</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1.52</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1.00</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1.08</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1.01</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1.30</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1.09</w:t>
            </w:r>
          </w:p>
        </w:tc>
        <w:tc>
          <w:tcPr>
            <w:tcW w:w="1452"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1.12</w:t>
            </w:r>
          </w:p>
        </w:tc>
        <w:tc>
          <w:tcPr>
            <w:tcW w:w="927" w:type="dxa"/>
            <w:gridSpan w:val="2"/>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1.46</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WA</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1.28</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1.32</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1.41</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1.60</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1.24</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1.40</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1.55</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1.17</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1.29</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1.26</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1.45</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1.30</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1.5</w:t>
            </w:r>
            <w:r w:rsidR="00E85202">
              <w:rPr>
                <w:rFonts w:ascii="Arial" w:hAnsi="Arial" w:cs="Arial"/>
                <w:sz w:val="18"/>
                <w:szCs w:val="18"/>
              </w:rPr>
              <w:t>6</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WA</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1.11</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1.15</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1.41</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1.69</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1.19</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1.36</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1.38</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1.04</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1.12</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1.14</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w:t>
            </w:r>
            <w:r w:rsidR="00E85202">
              <w:rPr>
                <w:rFonts w:ascii="Arial" w:hAnsi="Arial" w:cs="Arial"/>
                <w:sz w:val="18"/>
                <w:szCs w:val="18"/>
              </w:rPr>
              <w:t>4</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1.14</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1.21</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1.42</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TAS</w:t>
            </w:r>
            <w:r w:rsidR="00584ABA">
              <w:rPr>
                <w:rFonts w:ascii="Arial" w:hAnsi="Arial" w:cs="Arial"/>
                <w:sz w:val="18"/>
                <w:szCs w:val="18"/>
              </w:rPr>
              <w:t xml:space="preserve"> capital city</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1.03</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1.05</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1.23</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1.39</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1.05</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1.19</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1.08</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1.03</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1.09</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1.08</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1.27</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1.06</w:t>
            </w:r>
          </w:p>
        </w:tc>
        <w:tc>
          <w:tcPr>
            <w:tcW w:w="1452"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1.13</w:t>
            </w:r>
          </w:p>
        </w:tc>
        <w:tc>
          <w:tcPr>
            <w:tcW w:w="927" w:type="dxa"/>
            <w:gridSpan w:val="2"/>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1.30</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TAS</w:t>
            </w:r>
            <w:r w:rsidR="006A54E5">
              <w:rPr>
                <w:rFonts w:ascii="Arial" w:hAnsi="Arial" w:cs="Arial"/>
                <w:sz w:val="18"/>
                <w:szCs w:val="18"/>
              </w:rPr>
              <w:t xml:space="preserve"> balance of state</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0.92</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0.98</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1.17</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1.42</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1.10</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1.15</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1.46</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0.93</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1.01</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0.95</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1.24</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1.00</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w:t>
            </w:r>
            <w:r w:rsidR="00E85202">
              <w:rPr>
                <w:rFonts w:ascii="Arial" w:hAnsi="Arial" w:cs="Arial"/>
                <w:sz w:val="18"/>
                <w:szCs w:val="18"/>
              </w:rPr>
              <w:t>5</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w:t>
            </w:r>
            <w:r w:rsidR="00E85202">
              <w:rPr>
                <w:rFonts w:ascii="Arial" w:hAnsi="Arial" w:cs="Arial"/>
                <w:sz w:val="18"/>
                <w:szCs w:val="18"/>
              </w:rPr>
              <w:t>7</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NT</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1.14</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1.19</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1.32</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1.64</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1.28</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1.31</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1.23</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1.11</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1.28</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1.16</w:t>
            </w:r>
          </w:p>
        </w:tc>
        <w:tc>
          <w:tcPr>
            <w:tcW w:w="81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1.35</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1.15</w:t>
            </w:r>
          </w:p>
        </w:tc>
        <w:tc>
          <w:tcPr>
            <w:tcW w:w="1452"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1.22</w:t>
            </w:r>
          </w:p>
        </w:tc>
        <w:tc>
          <w:tcPr>
            <w:tcW w:w="927" w:type="dxa"/>
            <w:gridSpan w:val="2"/>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1.23</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ACT</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1.14</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1.14</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1.25</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1.45</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1.10</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1.25</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1.18</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1.05</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1.17</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1.14</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1.31</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w:t>
            </w:r>
            <w:r w:rsidR="00E85202">
              <w:rPr>
                <w:rFonts w:ascii="Arial" w:hAnsi="Arial" w:cs="Arial"/>
                <w:sz w:val="18"/>
                <w:szCs w:val="18"/>
              </w:rPr>
              <w:t>4</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1.1</w:t>
            </w:r>
            <w:r w:rsidR="00E85202">
              <w:rPr>
                <w:rFonts w:ascii="Arial" w:hAnsi="Arial" w:cs="Arial"/>
                <w:sz w:val="18"/>
                <w:szCs w:val="18"/>
              </w:rPr>
              <w:t>7</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w:t>
            </w:r>
            <w:r w:rsidR="00E85202">
              <w:rPr>
                <w:rFonts w:ascii="Arial" w:hAnsi="Arial" w:cs="Arial"/>
                <w:sz w:val="18"/>
                <w:szCs w:val="18"/>
              </w:rPr>
              <w:t>7</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C62945" w:rsidP="00A9585F">
            <w:pPr>
              <w:rPr>
                <w:rFonts w:ascii="Arial" w:hAnsi="Arial" w:cs="Arial"/>
                <w:sz w:val="18"/>
                <w:szCs w:val="18"/>
              </w:rPr>
            </w:pPr>
            <w:smartTag w:uri="urn:schemas-microsoft-com:office:smarttags" w:element="place">
              <w:r>
                <w:rPr>
                  <w:rFonts w:ascii="Arial" w:hAnsi="Arial" w:cs="Arial"/>
                  <w:sz w:val="18"/>
                  <w:szCs w:val="18"/>
                </w:rPr>
                <w:t>SE QLD</w:t>
              </w:r>
            </w:smartTag>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1.35</w:t>
            </w:r>
          </w:p>
        </w:tc>
        <w:tc>
          <w:tcPr>
            <w:tcW w:w="1008"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1.34</w:t>
            </w:r>
          </w:p>
        </w:tc>
        <w:tc>
          <w:tcPr>
            <w:tcW w:w="9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1.45</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1.58</w:t>
            </w:r>
          </w:p>
        </w:tc>
        <w:tc>
          <w:tcPr>
            <w:tcW w:w="122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1.27</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1.43</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Pr>
                <w:rFonts w:ascii="Arial" w:hAnsi="Arial" w:cs="Arial"/>
                <w:sz w:val="18"/>
                <w:szCs w:val="18"/>
              </w:rPr>
              <w:t>1.46</w:t>
            </w:r>
          </w:p>
        </w:tc>
      </w:tr>
      <w:tr w:rsidR="00275CDC" w:rsidTr="009257CB">
        <w:trPr>
          <w:cantSplit/>
          <w:trHeight w:val="255"/>
        </w:trPr>
        <w:tc>
          <w:tcPr>
            <w:tcW w:w="1217" w:type="dxa"/>
            <w:tcBorders>
              <w:top w:val="nil"/>
              <w:left w:val="nil"/>
              <w:bottom w:val="nil"/>
              <w:right w:val="nil"/>
            </w:tcBorders>
            <w:shd w:val="clear" w:color="auto" w:fill="auto"/>
            <w:noWrap/>
            <w:vAlign w:val="bottom"/>
          </w:tcPr>
          <w:p w:rsidR="00457215" w:rsidRPr="006F2E40" w:rsidRDefault="00457215" w:rsidP="00A9585F">
            <w:pPr>
              <w:rPr>
                <w:rFonts w:ascii="Arial" w:hAnsi="Arial" w:cs="Arial"/>
                <w:sz w:val="18"/>
                <w:szCs w:val="18"/>
              </w:rPr>
            </w:pPr>
            <w:r w:rsidRPr="006F2E40">
              <w:rPr>
                <w:rFonts w:ascii="Arial" w:hAnsi="Arial" w:cs="Arial"/>
                <w:sz w:val="18"/>
                <w:szCs w:val="18"/>
              </w:rPr>
              <w:t> </w:t>
            </w:r>
          </w:p>
        </w:tc>
        <w:tc>
          <w:tcPr>
            <w:tcW w:w="907" w:type="dxa"/>
            <w:tcBorders>
              <w:top w:val="nil"/>
              <w:left w:val="nil"/>
              <w:bottom w:val="nil"/>
              <w:right w:val="nil"/>
            </w:tcBorders>
            <w:shd w:val="clear" w:color="auto" w:fill="auto"/>
            <w:noWrap/>
            <w:vAlign w:val="bottom"/>
          </w:tcPr>
          <w:p w:rsidR="00457215" w:rsidRPr="006F2E40" w:rsidRDefault="00457215"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1.24</w:t>
            </w:r>
          </w:p>
        </w:tc>
        <w:tc>
          <w:tcPr>
            <w:tcW w:w="1008"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1.31</w:t>
            </w:r>
          </w:p>
        </w:tc>
        <w:tc>
          <w:tcPr>
            <w:tcW w:w="9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1.30</w:t>
            </w:r>
          </w:p>
        </w:tc>
        <w:tc>
          <w:tcPr>
            <w:tcW w:w="817"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1.44</w:t>
            </w:r>
          </w:p>
        </w:tc>
        <w:tc>
          <w:tcPr>
            <w:tcW w:w="1227" w:type="dxa"/>
            <w:tcBorders>
              <w:top w:val="nil"/>
              <w:left w:val="nil"/>
              <w:bottom w:val="nil"/>
              <w:right w:val="nil"/>
            </w:tcBorders>
            <w:shd w:val="clear" w:color="auto" w:fill="auto"/>
            <w:noWrap/>
            <w:vAlign w:val="bottom"/>
          </w:tcPr>
          <w:p w:rsidR="00457215" w:rsidRPr="006F2E40" w:rsidRDefault="00E85202" w:rsidP="00A9585F">
            <w:pPr>
              <w:jc w:val="right"/>
              <w:rPr>
                <w:rFonts w:ascii="Arial" w:hAnsi="Arial" w:cs="Arial"/>
                <w:sz w:val="18"/>
                <w:szCs w:val="18"/>
              </w:rPr>
            </w:pPr>
            <w:r>
              <w:rPr>
                <w:rFonts w:ascii="Arial" w:hAnsi="Arial" w:cs="Arial"/>
                <w:sz w:val="18"/>
                <w:szCs w:val="18"/>
              </w:rPr>
              <w:t>1.29</w:t>
            </w:r>
          </w:p>
        </w:tc>
        <w:tc>
          <w:tcPr>
            <w:tcW w:w="1452" w:type="dxa"/>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1.32</w:t>
            </w:r>
          </w:p>
        </w:tc>
        <w:tc>
          <w:tcPr>
            <w:tcW w:w="927" w:type="dxa"/>
            <w:gridSpan w:val="2"/>
            <w:tcBorders>
              <w:top w:val="nil"/>
              <w:left w:val="nil"/>
              <w:bottom w:val="nil"/>
              <w:right w:val="nil"/>
            </w:tcBorders>
            <w:shd w:val="clear" w:color="auto" w:fill="auto"/>
            <w:noWrap/>
            <w:vAlign w:val="bottom"/>
          </w:tcPr>
          <w:p w:rsidR="00457215" w:rsidRPr="006F2E40" w:rsidRDefault="00457215" w:rsidP="00A9585F">
            <w:pPr>
              <w:jc w:val="right"/>
              <w:rPr>
                <w:rFonts w:ascii="Arial" w:hAnsi="Arial" w:cs="Arial"/>
                <w:sz w:val="18"/>
                <w:szCs w:val="18"/>
              </w:rPr>
            </w:pPr>
            <w:r w:rsidRPr="006F2E40">
              <w:rPr>
                <w:rFonts w:ascii="Arial" w:hAnsi="Arial" w:cs="Arial"/>
                <w:sz w:val="18"/>
                <w:szCs w:val="18"/>
              </w:rPr>
              <w:t>1.53</w:t>
            </w:r>
          </w:p>
        </w:tc>
      </w:tr>
      <w:tr w:rsidR="00B02AB0" w:rsidTr="009257CB">
        <w:trPr>
          <w:cantSplit/>
          <w:trHeight w:val="255"/>
        </w:trPr>
        <w:tc>
          <w:tcPr>
            <w:tcW w:w="1217" w:type="dxa"/>
            <w:tcBorders>
              <w:top w:val="nil"/>
              <w:left w:val="nil"/>
              <w:bottom w:val="nil"/>
              <w:right w:val="nil"/>
            </w:tcBorders>
            <w:shd w:val="clear" w:color="auto" w:fill="auto"/>
            <w:noWrap/>
            <w:vAlign w:val="bottom"/>
          </w:tcPr>
          <w:p w:rsidR="00B02AB0" w:rsidRPr="006F2E40" w:rsidRDefault="00B02AB0" w:rsidP="00A9585F">
            <w:pPr>
              <w:rPr>
                <w:rFonts w:ascii="Arial" w:hAnsi="Arial" w:cs="Arial"/>
                <w:sz w:val="18"/>
                <w:szCs w:val="18"/>
              </w:rPr>
            </w:pPr>
            <w:smartTag w:uri="urn:schemas-microsoft-com:office:smarttags" w:element="place">
              <w:smartTag w:uri="urn:schemas-microsoft-com:office:smarttags" w:element="country-region">
                <w:r>
                  <w:rPr>
                    <w:rFonts w:ascii="Arial" w:hAnsi="Arial" w:cs="Arial"/>
                    <w:sz w:val="18"/>
                    <w:szCs w:val="18"/>
                  </w:rPr>
                  <w:t>AUSTRALIA</w:t>
                </w:r>
              </w:smartTag>
            </w:smartTag>
          </w:p>
        </w:tc>
        <w:tc>
          <w:tcPr>
            <w:tcW w:w="907" w:type="dxa"/>
            <w:tcBorders>
              <w:top w:val="nil"/>
              <w:left w:val="nil"/>
              <w:bottom w:val="nil"/>
              <w:right w:val="nil"/>
            </w:tcBorders>
            <w:shd w:val="clear" w:color="auto" w:fill="auto"/>
            <w:noWrap/>
            <w:vAlign w:val="bottom"/>
          </w:tcPr>
          <w:p w:rsidR="00B02AB0" w:rsidRDefault="00B02AB0" w:rsidP="00457215">
            <w:pPr>
              <w:rPr>
                <w:rFonts w:ascii="Arial" w:hAnsi="Arial" w:cs="Arial"/>
                <w:sz w:val="18"/>
                <w:szCs w:val="18"/>
              </w:rPr>
            </w:pPr>
            <w:r>
              <w:rPr>
                <w:rFonts w:ascii="Arial" w:hAnsi="Arial" w:cs="Arial"/>
                <w:sz w:val="18"/>
                <w:szCs w:val="18"/>
              </w:rPr>
              <w:t>2009-24</w:t>
            </w:r>
          </w:p>
        </w:tc>
        <w:tc>
          <w:tcPr>
            <w:tcW w:w="994"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1.16</w:t>
            </w:r>
          </w:p>
        </w:tc>
        <w:tc>
          <w:tcPr>
            <w:tcW w:w="1008"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1.17</w:t>
            </w:r>
          </w:p>
        </w:tc>
        <w:tc>
          <w:tcPr>
            <w:tcW w:w="927"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1.30</w:t>
            </w:r>
          </w:p>
        </w:tc>
        <w:tc>
          <w:tcPr>
            <w:tcW w:w="817"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1.49</w:t>
            </w:r>
          </w:p>
        </w:tc>
        <w:tc>
          <w:tcPr>
            <w:tcW w:w="1227"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1.20</w:t>
            </w:r>
          </w:p>
        </w:tc>
        <w:tc>
          <w:tcPr>
            <w:tcW w:w="1452"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1.29</w:t>
            </w:r>
          </w:p>
        </w:tc>
        <w:tc>
          <w:tcPr>
            <w:tcW w:w="927" w:type="dxa"/>
            <w:gridSpan w:val="2"/>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1.37</w:t>
            </w:r>
          </w:p>
        </w:tc>
      </w:tr>
      <w:tr w:rsidR="00B02AB0" w:rsidTr="009257CB">
        <w:trPr>
          <w:cantSplit/>
          <w:trHeight w:val="255"/>
        </w:trPr>
        <w:tc>
          <w:tcPr>
            <w:tcW w:w="1217" w:type="dxa"/>
            <w:tcBorders>
              <w:top w:val="nil"/>
              <w:left w:val="nil"/>
              <w:bottom w:val="nil"/>
              <w:right w:val="nil"/>
            </w:tcBorders>
            <w:shd w:val="clear" w:color="auto" w:fill="auto"/>
            <w:noWrap/>
            <w:vAlign w:val="bottom"/>
          </w:tcPr>
          <w:p w:rsidR="00B02AB0" w:rsidRPr="006F2E40" w:rsidRDefault="00B02AB0" w:rsidP="00A9585F">
            <w:pPr>
              <w:rPr>
                <w:rFonts w:ascii="Arial" w:hAnsi="Arial" w:cs="Arial"/>
                <w:sz w:val="18"/>
                <w:szCs w:val="18"/>
              </w:rPr>
            </w:pPr>
          </w:p>
        </w:tc>
        <w:tc>
          <w:tcPr>
            <w:tcW w:w="907" w:type="dxa"/>
            <w:tcBorders>
              <w:top w:val="nil"/>
              <w:left w:val="nil"/>
              <w:bottom w:val="nil"/>
              <w:right w:val="nil"/>
            </w:tcBorders>
            <w:shd w:val="clear" w:color="auto" w:fill="auto"/>
            <w:noWrap/>
            <w:vAlign w:val="bottom"/>
          </w:tcPr>
          <w:p w:rsidR="00B02AB0" w:rsidRDefault="00B02AB0" w:rsidP="00457215">
            <w:pPr>
              <w:rPr>
                <w:rFonts w:ascii="Arial" w:hAnsi="Arial" w:cs="Arial"/>
                <w:sz w:val="18"/>
                <w:szCs w:val="18"/>
              </w:rPr>
            </w:pPr>
            <w:r>
              <w:rPr>
                <w:rFonts w:ascii="Arial" w:hAnsi="Arial" w:cs="Arial"/>
                <w:sz w:val="18"/>
                <w:szCs w:val="18"/>
              </w:rPr>
              <w:t>2024-39</w:t>
            </w:r>
          </w:p>
        </w:tc>
        <w:tc>
          <w:tcPr>
            <w:tcW w:w="994"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1.11</w:t>
            </w:r>
          </w:p>
        </w:tc>
        <w:tc>
          <w:tcPr>
            <w:tcW w:w="1008"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1.19</w:t>
            </w:r>
          </w:p>
        </w:tc>
        <w:tc>
          <w:tcPr>
            <w:tcW w:w="927"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1.16</w:t>
            </w:r>
          </w:p>
        </w:tc>
        <w:tc>
          <w:tcPr>
            <w:tcW w:w="817"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1.36</w:t>
            </w:r>
          </w:p>
        </w:tc>
        <w:tc>
          <w:tcPr>
            <w:tcW w:w="1227" w:type="dxa"/>
            <w:tcBorders>
              <w:top w:val="nil"/>
              <w:left w:val="nil"/>
              <w:bottom w:val="nil"/>
              <w:right w:val="nil"/>
            </w:tcBorders>
            <w:shd w:val="clear" w:color="auto" w:fill="auto"/>
            <w:noWrap/>
            <w:vAlign w:val="bottom"/>
          </w:tcPr>
          <w:p w:rsidR="00B02AB0" w:rsidRDefault="00B02AB0" w:rsidP="00A9585F">
            <w:pPr>
              <w:jc w:val="right"/>
              <w:rPr>
                <w:rFonts w:ascii="Arial" w:hAnsi="Arial" w:cs="Arial"/>
                <w:sz w:val="18"/>
                <w:szCs w:val="18"/>
              </w:rPr>
            </w:pPr>
            <w:r>
              <w:rPr>
                <w:rFonts w:ascii="Arial" w:hAnsi="Arial" w:cs="Arial"/>
                <w:sz w:val="18"/>
                <w:szCs w:val="18"/>
              </w:rPr>
              <w:t>1.19</w:t>
            </w:r>
          </w:p>
        </w:tc>
        <w:tc>
          <w:tcPr>
            <w:tcW w:w="1452" w:type="dxa"/>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1.21</w:t>
            </w:r>
          </w:p>
        </w:tc>
        <w:tc>
          <w:tcPr>
            <w:tcW w:w="927" w:type="dxa"/>
            <w:gridSpan w:val="2"/>
            <w:tcBorders>
              <w:top w:val="nil"/>
              <w:left w:val="nil"/>
              <w:bottom w:val="nil"/>
              <w:right w:val="nil"/>
            </w:tcBorders>
            <w:shd w:val="clear" w:color="auto" w:fill="auto"/>
            <w:noWrap/>
            <w:vAlign w:val="bottom"/>
          </w:tcPr>
          <w:p w:rsidR="00B02AB0" w:rsidRPr="006F2E40" w:rsidRDefault="00B02AB0" w:rsidP="00A9585F">
            <w:pPr>
              <w:jc w:val="right"/>
              <w:rPr>
                <w:rFonts w:ascii="Arial" w:hAnsi="Arial" w:cs="Arial"/>
                <w:sz w:val="18"/>
                <w:szCs w:val="18"/>
              </w:rPr>
            </w:pPr>
            <w:r>
              <w:rPr>
                <w:rFonts w:ascii="Arial" w:hAnsi="Arial" w:cs="Arial"/>
                <w:sz w:val="18"/>
                <w:szCs w:val="18"/>
              </w:rPr>
              <w:t>1.41</w:t>
            </w:r>
          </w:p>
        </w:tc>
      </w:tr>
    </w:tbl>
    <w:p w:rsidR="00A9585F" w:rsidRDefault="00A9585F" w:rsidP="00A9585F"/>
    <w:p w:rsidR="0028766B" w:rsidRDefault="0028766B"/>
    <w:p w:rsidR="00047361" w:rsidRPr="006D28AC" w:rsidRDefault="002D1255" w:rsidP="0064783D">
      <w:pPr>
        <w:keepNext/>
        <w:rPr>
          <w:b/>
        </w:rPr>
      </w:pPr>
      <w:r>
        <w:rPr>
          <w:b/>
        </w:rPr>
        <w:lastRenderedPageBreak/>
        <w:t>Total d</w:t>
      </w:r>
      <w:r w:rsidR="005E1EF6" w:rsidRPr="006D28AC">
        <w:rPr>
          <w:b/>
        </w:rPr>
        <w:t>emand for additional dwellings</w:t>
      </w:r>
    </w:p>
    <w:p w:rsidR="000D26A5" w:rsidRDefault="002C6B60">
      <w:r>
        <w:t xml:space="preserve">Table </w:t>
      </w:r>
      <w:r w:rsidR="001B48E1">
        <w:t>7</w:t>
      </w:r>
      <w:r>
        <w:t xml:space="preserve"> shows that the demand for additional dwellings is strongly contingent upon the assumed level of net international migration.</w:t>
      </w:r>
      <w:r w:rsidR="00DF5367">
        <w:t xml:space="preserve"> </w:t>
      </w:r>
      <w:r w:rsidR="00FE1DDF">
        <w:t>For the 2009-24</w:t>
      </w:r>
      <w:r w:rsidR="000D26A5">
        <w:t xml:space="preserve"> period, the additional immigrants increase the demand for dwellings in </w:t>
      </w:r>
      <w:smartTag w:uri="urn:schemas-microsoft-com:office:smarttags" w:element="place">
        <w:smartTag w:uri="urn:schemas-microsoft-com:office:smarttags" w:element="country-region">
          <w:r w:rsidR="000D26A5">
            <w:t>Australia</w:t>
          </w:r>
        </w:smartTag>
      </w:smartTag>
      <w:r w:rsidR="000D26A5">
        <w:t xml:space="preserve"> as a whole f</w:t>
      </w:r>
      <w:r w:rsidR="00615259">
        <w:t>rom 1.95</w:t>
      </w:r>
      <w:r w:rsidR="000D26A5">
        <w:t xml:space="preserve"> mil</w:t>
      </w:r>
      <w:r w:rsidR="00615259">
        <w:t>lion in the Low scenario to 2.45</w:t>
      </w:r>
      <w:r w:rsidR="000D26A5">
        <w:t xml:space="preserve"> million in the </w:t>
      </w:r>
      <w:r w:rsidR="00615259">
        <w:t>Medium scenario and then to 2.89</w:t>
      </w:r>
      <w:r w:rsidR="000D26A5">
        <w:t xml:space="preserve"> million in the High scenario. </w:t>
      </w:r>
      <w:r w:rsidR="00DF5367">
        <w:t>Th</w:t>
      </w:r>
      <w:r w:rsidR="000D26A5">
        <w:t>us th</w:t>
      </w:r>
      <w:r w:rsidR="00DF5367">
        <w:t xml:space="preserve">e additional 80,000 net migrants in the Medium scenario compared to the Low scenario (1.2 million additional </w:t>
      </w:r>
      <w:r w:rsidR="000D26A5">
        <w:t xml:space="preserve">immigrants </w:t>
      </w:r>
      <w:r w:rsidR="00DF5367">
        <w:t xml:space="preserve">over 15 years) increases the demand for dwellings in </w:t>
      </w:r>
      <w:smartTag w:uri="urn:schemas-microsoft-com:office:smarttags" w:element="place">
        <w:smartTag w:uri="urn:schemas-microsoft-com:office:smarttags" w:element="country-region">
          <w:r w:rsidR="00DF5367">
            <w:t>Australia</w:t>
          </w:r>
        </w:smartTag>
      </w:smartTag>
      <w:r w:rsidR="00DF5367">
        <w:t xml:space="preserve"> as a whole by </w:t>
      </w:r>
      <w:r w:rsidR="00615259">
        <w:t>505</w:t>
      </w:r>
      <w:r w:rsidR="00FE1DDF">
        <w:t>,000 in the period 2009-24</w:t>
      </w:r>
      <w:r w:rsidR="000D26A5">
        <w:t>.</w:t>
      </w:r>
    </w:p>
    <w:p w:rsidR="0064783D" w:rsidRDefault="0064783D" w:rsidP="004B19AA">
      <w:pPr>
        <w:rPr>
          <w:rFonts w:ascii="Arial" w:hAnsi="Arial" w:cs="Arial"/>
          <w:b/>
          <w:sz w:val="20"/>
          <w:szCs w:val="20"/>
        </w:rPr>
      </w:pPr>
    </w:p>
    <w:p w:rsidR="004B19AA" w:rsidRDefault="004B19AA" w:rsidP="004B19AA">
      <w:pPr>
        <w:rPr>
          <w:rFonts w:ascii="Arial" w:hAnsi="Arial" w:cs="Arial"/>
          <w:b/>
          <w:sz w:val="20"/>
          <w:szCs w:val="20"/>
        </w:rPr>
      </w:pPr>
      <w:r>
        <w:rPr>
          <w:rFonts w:ascii="Arial" w:hAnsi="Arial" w:cs="Arial"/>
          <w:b/>
          <w:sz w:val="20"/>
          <w:szCs w:val="20"/>
        </w:rPr>
        <w:t xml:space="preserve">Table </w:t>
      </w:r>
      <w:r w:rsidR="001B48E1">
        <w:rPr>
          <w:rFonts w:ascii="Arial" w:hAnsi="Arial" w:cs="Arial"/>
          <w:b/>
          <w:sz w:val="20"/>
          <w:szCs w:val="20"/>
        </w:rPr>
        <w:t>7</w:t>
      </w:r>
      <w:r>
        <w:rPr>
          <w:rFonts w:ascii="Arial" w:hAnsi="Arial" w:cs="Arial"/>
          <w:b/>
          <w:sz w:val="20"/>
          <w:szCs w:val="20"/>
        </w:rPr>
        <w:t>: Increment in the demand for all dwellings</w:t>
      </w:r>
    </w:p>
    <w:tbl>
      <w:tblPr>
        <w:tblW w:w="5327" w:type="dxa"/>
        <w:tblInd w:w="93" w:type="dxa"/>
        <w:tblLook w:val="0000"/>
      </w:tblPr>
      <w:tblGrid>
        <w:gridCol w:w="1575"/>
        <w:gridCol w:w="977"/>
        <w:gridCol w:w="1335"/>
        <w:gridCol w:w="52"/>
        <w:gridCol w:w="1388"/>
      </w:tblGrid>
      <w:tr w:rsidR="00E34E80" w:rsidRPr="003E2826" w:rsidTr="00E3691F">
        <w:trPr>
          <w:trHeight w:val="255"/>
          <w:tblHeader/>
        </w:trPr>
        <w:tc>
          <w:tcPr>
            <w:tcW w:w="1575" w:type="dxa"/>
            <w:tcBorders>
              <w:top w:val="nil"/>
              <w:left w:val="nil"/>
              <w:bottom w:val="nil"/>
              <w:right w:val="nil"/>
            </w:tcBorders>
            <w:shd w:val="clear" w:color="auto" w:fill="auto"/>
            <w:noWrap/>
            <w:vAlign w:val="bottom"/>
          </w:tcPr>
          <w:p w:rsidR="00E34E80" w:rsidRPr="003E2826" w:rsidRDefault="00E34E80" w:rsidP="00D2038B">
            <w:pPr>
              <w:rPr>
                <w:rFonts w:ascii="Arial" w:hAnsi="Arial" w:cs="Arial"/>
                <w:b/>
                <w:sz w:val="18"/>
                <w:szCs w:val="18"/>
              </w:rPr>
            </w:pPr>
            <w:r w:rsidRPr="003E2826">
              <w:rPr>
                <w:rFonts w:ascii="Arial" w:hAnsi="Arial" w:cs="Arial"/>
                <w:b/>
                <w:sz w:val="18"/>
                <w:szCs w:val="18"/>
              </w:rPr>
              <w:t>Region</w:t>
            </w:r>
          </w:p>
        </w:tc>
        <w:tc>
          <w:tcPr>
            <w:tcW w:w="977" w:type="dxa"/>
            <w:tcBorders>
              <w:top w:val="nil"/>
              <w:left w:val="nil"/>
              <w:bottom w:val="nil"/>
              <w:right w:val="nil"/>
            </w:tcBorders>
            <w:shd w:val="clear" w:color="auto" w:fill="auto"/>
            <w:noWrap/>
            <w:vAlign w:val="bottom"/>
          </w:tcPr>
          <w:p w:rsidR="00E34E80" w:rsidRPr="003E2826" w:rsidRDefault="00E34E80" w:rsidP="00D2038B">
            <w:pPr>
              <w:rPr>
                <w:rFonts w:ascii="Arial" w:hAnsi="Arial" w:cs="Arial"/>
                <w:b/>
                <w:sz w:val="18"/>
                <w:szCs w:val="18"/>
              </w:rPr>
            </w:pPr>
            <w:r w:rsidRPr="003E2826">
              <w:rPr>
                <w:rFonts w:ascii="Arial" w:hAnsi="Arial" w:cs="Arial"/>
                <w:b/>
                <w:sz w:val="18"/>
                <w:szCs w:val="18"/>
              </w:rPr>
              <w:t>Scenario</w:t>
            </w:r>
          </w:p>
        </w:tc>
        <w:tc>
          <w:tcPr>
            <w:tcW w:w="1387" w:type="dxa"/>
            <w:gridSpan w:val="2"/>
            <w:tcBorders>
              <w:top w:val="nil"/>
              <w:left w:val="nil"/>
              <w:bottom w:val="nil"/>
              <w:right w:val="nil"/>
            </w:tcBorders>
            <w:shd w:val="clear" w:color="auto" w:fill="auto"/>
            <w:noWrap/>
            <w:vAlign w:val="bottom"/>
          </w:tcPr>
          <w:p w:rsidR="00E34E80" w:rsidRPr="003E2826" w:rsidRDefault="00E34E80" w:rsidP="00D2038B">
            <w:pPr>
              <w:jc w:val="center"/>
              <w:rPr>
                <w:rFonts w:ascii="Arial" w:hAnsi="Arial" w:cs="Arial"/>
                <w:b/>
                <w:sz w:val="18"/>
                <w:szCs w:val="18"/>
              </w:rPr>
            </w:pPr>
            <w:r>
              <w:rPr>
                <w:rFonts w:ascii="Arial" w:hAnsi="Arial" w:cs="Arial"/>
                <w:b/>
                <w:sz w:val="18"/>
                <w:szCs w:val="18"/>
              </w:rPr>
              <w:t>2009 to 2024</w:t>
            </w:r>
          </w:p>
        </w:tc>
        <w:tc>
          <w:tcPr>
            <w:tcW w:w="1388" w:type="dxa"/>
            <w:tcBorders>
              <w:top w:val="nil"/>
              <w:left w:val="nil"/>
              <w:bottom w:val="nil"/>
              <w:right w:val="nil"/>
            </w:tcBorders>
            <w:shd w:val="clear" w:color="auto" w:fill="auto"/>
            <w:vAlign w:val="bottom"/>
          </w:tcPr>
          <w:p w:rsidR="00E34E80" w:rsidRPr="003E2826" w:rsidRDefault="00E34E80" w:rsidP="00D2038B">
            <w:pPr>
              <w:jc w:val="center"/>
              <w:rPr>
                <w:rFonts w:ascii="Arial" w:hAnsi="Arial" w:cs="Arial"/>
                <w:b/>
                <w:sz w:val="18"/>
                <w:szCs w:val="18"/>
              </w:rPr>
            </w:pPr>
            <w:r>
              <w:rPr>
                <w:rFonts w:ascii="Arial" w:hAnsi="Arial" w:cs="Arial"/>
                <w:b/>
                <w:sz w:val="18"/>
                <w:szCs w:val="18"/>
              </w:rPr>
              <w:t>2024 to 2039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NSW</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237061</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219094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383392</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388202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511379</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536104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NSW</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237281</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165339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244000</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172584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249878</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178924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VIC</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327346</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321832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452367</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463983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561722</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588322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VIC</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120265</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83412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127915</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91679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134608</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98913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QLD</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215020</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224438</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274599</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292389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326713</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351837</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QLD</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368662</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349761</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411166</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397669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448352</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439586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SA</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52831</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38286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78589</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65929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101122</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90111</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SA</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34320</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23138</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36695</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25664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38773</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27873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WA</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194120</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191212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265244</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271264</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327449</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341293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WA</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76109</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58549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84241</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67690</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91355</w:t>
            </w:r>
          </w:p>
        </w:tc>
        <w:tc>
          <w:tcPr>
            <w:tcW w:w="1440" w:type="dxa"/>
            <w:gridSpan w:val="2"/>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75688</w:t>
            </w:r>
          </w:p>
        </w:tc>
      </w:tr>
    </w:tbl>
    <w:p w:rsidR="00E3691F" w:rsidRDefault="00E3691F">
      <w:r>
        <w:br w:type="page"/>
      </w:r>
    </w:p>
    <w:tbl>
      <w:tblPr>
        <w:tblW w:w="5327" w:type="dxa"/>
        <w:tblInd w:w="93" w:type="dxa"/>
        <w:tblLook w:val="0000"/>
      </w:tblPr>
      <w:tblGrid>
        <w:gridCol w:w="1575"/>
        <w:gridCol w:w="977"/>
        <w:gridCol w:w="1335"/>
        <w:gridCol w:w="1440"/>
      </w:tblGrid>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lastRenderedPageBreak/>
              <w:t>TAS</w:t>
            </w:r>
            <w:r w:rsidR="00584ABA">
              <w:rPr>
                <w:rFonts w:ascii="Arial" w:hAnsi="Arial" w:cs="Arial"/>
                <w:sz w:val="18"/>
                <w:szCs w:val="18"/>
              </w:rPr>
              <w:t xml:space="preserve"> capital city</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14304</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11383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16477</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13839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18378</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15987</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TAS</w:t>
            </w:r>
            <w:r w:rsidR="006A54E5">
              <w:rPr>
                <w:rFonts w:ascii="Arial" w:hAnsi="Arial" w:cs="Arial"/>
                <w:sz w:val="18"/>
                <w:szCs w:val="18"/>
              </w:rPr>
              <w:t xml:space="preserve"> balance of state</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16652</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5637</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18199</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7289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19553</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8735</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NT</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22521</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19649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25033</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22693</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27231</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25356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ACT</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30174</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24329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33985</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28496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37319</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32142</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C62945" w:rsidP="00D2038B">
            <w:pPr>
              <w:rPr>
                <w:rFonts w:ascii="Arial" w:hAnsi="Arial" w:cs="Arial"/>
                <w:sz w:val="18"/>
                <w:szCs w:val="18"/>
              </w:rPr>
            </w:pPr>
            <w:smartTag w:uri="urn:schemas-microsoft-com:office:smarttags" w:element="place">
              <w:r>
                <w:rPr>
                  <w:rFonts w:ascii="Arial" w:hAnsi="Arial" w:cs="Arial"/>
                  <w:sz w:val="18"/>
                  <w:szCs w:val="18"/>
                </w:rPr>
                <w:t>SE QLD</w:t>
              </w:r>
            </w:smartTag>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428129</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448519</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511257</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542816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 </w:t>
            </w: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sidRPr="003E2826">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583972</w:t>
            </w:r>
          </w:p>
        </w:tc>
        <w:tc>
          <w:tcPr>
            <w:tcW w:w="1440" w:type="dxa"/>
            <w:tcBorders>
              <w:top w:val="nil"/>
              <w:left w:val="nil"/>
              <w:bottom w:val="nil"/>
              <w:right w:val="nil"/>
            </w:tcBorders>
            <w:shd w:val="clear" w:color="auto" w:fill="auto"/>
            <w:noWrap/>
            <w:vAlign w:val="bottom"/>
          </w:tcPr>
          <w:p w:rsidR="00FE1DDF" w:rsidRPr="00FE1DDF" w:rsidRDefault="00FE1DDF" w:rsidP="00FE1DDF">
            <w:pPr>
              <w:jc w:val="center"/>
              <w:rPr>
                <w:rFonts w:ascii="Arial" w:hAnsi="Arial" w:cs="Arial"/>
                <w:sz w:val="18"/>
                <w:szCs w:val="18"/>
              </w:rPr>
            </w:pPr>
            <w:r w:rsidRPr="00FE1DDF">
              <w:rPr>
                <w:rFonts w:ascii="Arial" w:hAnsi="Arial" w:cs="Arial"/>
                <w:sz w:val="18"/>
                <w:szCs w:val="18"/>
              </w:rPr>
              <w:t>625316</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smartTag w:uri="urn:schemas-microsoft-com:office:smarttags" w:element="place">
              <w:smartTag w:uri="urn:schemas-microsoft-com:office:smarttags" w:element="country-region">
                <w:r>
                  <w:rPr>
                    <w:rFonts w:ascii="Arial" w:hAnsi="Arial" w:cs="Arial"/>
                    <w:sz w:val="18"/>
                    <w:szCs w:val="18"/>
                  </w:rPr>
                  <w:t>Australia</w:t>
                </w:r>
              </w:smartTag>
            </w:smartTag>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Pr>
                <w:rFonts w:ascii="Arial" w:hAnsi="Arial" w:cs="Arial"/>
                <w:sz w:val="18"/>
                <w:szCs w:val="18"/>
              </w:rPr>
              <w:t>Low</w:t>
            </w:r>
          </w:p>
        </w:tc>
        <w:tc>
          <w:tcPr>
            <w:tcW w:w="1335" w:type="dxa"/>
            <w:tcBorders>
              <w:top w:val="nil"/>
              <w:left w:val="nil"/>
              <w:bottom w:val="nil"/>
              <w:right w:val="nil"/>
            </w:tcBorders>
            <w:shd w:val="clear" w:color="auto" w:fill="auto"/>
            <w:noWrap/>
            <w:vAlign w:val="bottom"/>
          </w:tcPr>
          <w:p w:rsidR="00FE1DDF" w:rsidRPr="00FE1DDF" w:rsidRDefault="00721869" w:rsidP="00FE1DDF">
            <w:pPr>
              <w:jc w:val="center"/>
              <w:rPr>
                <w:rFonts w:ascii="Arial" w:hAnsi="Arial" w:cs="Arial"/>
                <w:sz w:val="18"/>
                <w:szCs w:val="18"/>
              </w:rPr>
            </w:pPr>
            <w:r>
              <w:rPr>
                <w:rFonts w:ascii="Arial" w:hAnsi="Arial" w:cs="Arial"/>
                <w:sz w:val="18"/>
                <w:szCs w:val="18"/>
              </w:rPr>
              <w:t>1946665</w:t>
            </w:r>
          </w:p>
        </w:tc>
        <w:tc>
          <w:tcPr>
            <w:tcW w:w="1440" w:type="dxa"/>
            <w:tcBorders>
              <w:top w:val="nil"/>
              <w:left w:val="nil"/>
              <w:bottom w:val="nil"/>
              <w:right w:val="nil"/>
            </w:tcBorders>
            <w:shd w:val="clear" w:color="auto" w:fill="auto"/>
            <w:noWrap/>
            <w:vAlign w:val="bottom"/>
          </w:tcPr>
          <w:p w:rsidR="00FE1DDF" w:rsidRPr="00FE1DDF" w:rsidRDefault="006706EB" w:rsidP="00FE1DDF">
            <w:pPr>
              <w:jc w:val="center"/>
              <w:rPr>
                <w:rFonts w:ascii="Arial" w:hAnsi="Arial" w:cs="Arial"/>
                <w:sz w:val="18"/>
                <w:szCs w:val="18"/>
              </w:rPr>
            </w:pPr>
            <w:r>
              <w:rPr>
                <w:rFonts w:ascii="Arial" w:hAnsi="Arial" w:cs="Arial"/>
                <w:sz w:val="18"/>
                <w:szCs w:val="18"/>
              </w:rPr>
              <w:t>1736058</w:t>
            </w:r>
          </w:p>
        </w:tc>
      </w:tr>
      <w:tr w:rsidR="00FE1DDF" w:rsidRPr="003E2826" w:rsidTr="00E3691F">
        <w:trPr>
          <w:trHeight w:val="255"/>
        </w:trPr>
        <w:tc>
          <w:tcPr>
            <w:tcW w:w="1575"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FE1DDF" w:rsidRPr="003E2826" w:rsidRDefault="00FE1DDF" w:rsidP="00D2038B">
            <w:pPr>
              <w:rPr>
                <w:rFonts w:ascii="Arial" w:hAnsi="Arial" w:cs="Arial"/>
                <w:sz w:val="18"/>
                <w:szCs w:val="18"/>
              </w:rPr>
            </w:pPr>
            <w:r>
              <w:rPr>
                <w:rFonts w:ascii="Arial" w:hAnsi="Arial" w:cs="Arial"/>
                <w:sz w:val="18"/>
                <w:szCs w:val="18"/>
              </w:rPr>
              <w:t>Medium</w:t>
            </w:r>
          </w:p>
        </w:tc>
        <w:tc>
          <w:tcPr>
            <w:tcW w:w="1335" w:type="dxa"/>
            <w:tcBorders>
              <w:top w:val="nil"/>
              <w:left w:val="nil"/>
              <w:bottom w:val="nil"/>
              <w:right w:val="nil"/>
            </w:tcBorders>
            <w:shd w:val="clear" w:color="auto" w:fill="auto"/>
            <w:noWrap/>
            <w:vAlign w:val="bottom"/>
          </w:tcPr>
          <w:p w:rsidR="00FE1DDF" w:rsidRPr="00FE1DDF" w:rsidRDefault="00721869" w:rsidP="00FE1DDF">
            <w:pPr>
              <w:jc w:val="center"/>
              <w:rPr>
                <w:rFonts w:ascii="Arial" w:hAnsi="Arial" w:cs="Arial"/>
                <w:sz w:val="18"/>
                <w:szCs w:val="18"/>
              </w:rPr>
            </w:pPr>
            <w:r>
              <w:rPr>
                <w:rFonts w:ascii="Arial" w:hAnsi="Arial" w:cs="Arial"/>
                <w:sz w:val="18"/>
                <w:szCs w:val="18"/>
              </w:rPr>
              <w:t>2451903</w:t>
            </w:r>
          </w:p>
        </w:tc>
        <w:tc>
          <w:tcPr>
            <w:tcW w:w="1440" w:type="dxa"/>
            <w:tcBorders>
              <w:top w:val="nil"/>
              <w:left w:val="nil"/>
              <w:bottom w:val="nil"/>
              <w:right w:val="nil"/>
            </w:tcBorders>
            <w:shd w:val="clear" w:color="auto" w:fill="auto"/>
            <w:noWrap/>
            <w:vAlign w:val="bottom"/>
          </w:tcPr>
          <w:p w:rsidR="00FE1DDF" w:rsidRPr="00FE1DDF" w:rsidRDefault="006706EB" w:rsidP="00FE1DDF">
            <w:pPr>
              <w:jc w:val="center"/>
              <w:rPr>
                <w:rFonts w:ascii="Arial" w:hAnsi="Arial" w:cs="Arial"/>
                <w:sz w:val="18"/>
                <w:szCs w:val="18"/>
              </w:rPr>
            </w:pPr>
            <w:r>
              <w:rPr>
                <w:rFonts w:ascii="Arial" w:hAnsi="Arial" w:cs="Arial"/>
                <w:sz w:val="18"/>
                <w:szCs w:val="18"/>
              </w:rPr>
              <w:t>2309371</w:t>
            </w:r>
          </w:p>
        </w:tc>
      </w:tr>
      <w:tr w:rsidR="00E34E80" w:rsidRPr="003E2826" w:rsidTr="00E3691F">
        <w:trPr>
          <w:trHeight w:val="255"/>
        </w:trPr>
        <w:tc>
          <w:tcPr>
            <w:tcW w:w="1575" w:type="dxa"/>
            <w:tcBorders>
              <w:top w:val="nil"/>
              <w:left w:val="nil"/>
              <w:bottom w:val="nil"/>
              <w:right w:val="nil"/>
            </w:tcBorders>
            <w:shd w:val="clear" w:color="auto" w:fill="auto"/>
            <w:noWrap/>
            <w:vAlign w:val="bottom"/>
          </w:tcPr>
          <w:p w:rsidR="00E34E80" w:rsidRPr="003E2826" w:rsidRDefault="00E34E80" w:rsidP="00D2038B">
            <w:pPr>
              <w:rPr>
                <w:rFonts w:ascii="Arial" w:hAnsi="Arial" w:cs="Arial"/>
                <w:sz w:val="18"/>
                <w:szCs w:val="18"/>
              </w:rPr>
            </w:pPr>
          </w:p>
        </w:tc>
        <w:tc>
          <w:tcPr>
            <w:tcW w:w="977" w:type="dxa"/>
            <w:tcBorders>
              <w:top w:val="nil"/>
              <w:left w:val="nil"/>
              <w:bottom w:val="nil"/>
              <w:right w:val="nil"/>
            </w:tcBorders>
            <w:shd w:val="clear" w:color="auto" w:fill="auto"/>
            <w:noWrap/>
            <w:vAlign w:val="bottom"/>
          </w:tcPr>
          <w:p w:rsidR="00E34E80" w:rsidRDefault="00B6317F" w:rsidP="00D2038B">
            <w:pPr>
              <w:rPr>
                <w:rFonts w:ascii="Arial" w:hAnsi="Arial" w:cs="Arial"/>
                <w:sz w:val="18"/>
                <w:szCs w:val="18"/>
              </w:rPr>
            </w:pPr>
            <w:r>
              <w:rPr>
                <w:rFonts w:ascii="Arial" w:hAnsi="Arial" w:cs="Arial"/>
                <w:sz w:val="18"/>
                <w:szCs w:val="18"/>
              </w:rPr>
              <w:t>High</w:t>
            </w:r>
          </w:p>
        </w:tc>
        <w:tc>
          <w:tcPr>
            <w:tcW w:w="1335" w:type="dxa"/>
            <w:tcBorders>
              <w:top w:val="nil"/>
              <w:left w:val="nil"/>
              <w:bottom w:val="nil"/>
              <w:right w:val="nil"/>
            </w:tcBorders>
            <w:shd w:val="clear" w:color="auto" w:fill="auto"/>
            <w:noWrap/>
            <w:vAlign w:val="bottom"/>
          </w:tcPr>
          <w:p w:rsidR="00E34E80" w:rsidRPr="00FE1DDF" w:rsidRDefault="00721869" w:rsidP="00FE1DDF">
            <w:pPr>
              <w:jc w:val="center"/>
              <w:rPr>
                <w:rFonts w:ascii="Arial" w:hAnsi="Arial" w:cs="Arial"/>
                <w:sz w:val="18"/>
                <w:szCs w:val="18"/>
              </w:rPr>
            </w:pPr>
            <w:r>
              <w:rPr>
                <w:rFonts w:ascii="Arial" w:hAnsi="Arial" w:cs="Arial"/>
                <w:sz w:val="18"/>
                <w:szCs w:val="18"/>
              </w:rPr>
              <w:t>2893834</w:t>
            </w:r>
          </w:p>
        </w:tc>
        <w:tc>
          <w:tcPr>
            <w:tcW w:w="1440" w:type="dxa"/>
            <w:tcBorders>
              <w:top w:val="nil"/>
              <w:left w:val="nil"/>
              <w:bottom w:val="nil"/>
              <w:right w:val="nil"/>
            </w:tcBorders>
            <w:shd w:val="clear" w:color="auto" w:fill="auto"/>
            <w:noWrap/>
            <w:vAlign w:val="bottom"/>
          </w:tcPr>
          <w:p w:rsidR="00E34E80" w:rsidRPr="00FE1DDF" w:rsidRDefault="006706EB" w:rsidP="00FE1DDF">
            <w:pPr>
              <w:jc w:val="center"/>
              <w:rPr>
                <w:rFonts w:ascii="Arial" w:hAnsi="Arial" w:cs="Arial"/>
                <w:sz w:val="18"/>
                <w:szCs w:val="18"/>
              </w:rPr>
            </w:pPr>
            <w:r>
              <w:rPr>
                <w:rFonts w:ascii="Arial" w:hAnsi="Arial" w:cs="Arial"/>
                <w:sz w:val="18"/>
                <w:szCs w:val="18"/>
              </w:rPr>
              <w:t>2810871</w:t>
            </w:r>
          </w:p>
        </w:tc>
      </w:tr>
    </w:tbl>
    <w:p w:rsidR="00033878" w:rsidRDefault="00033878" w:rsidP="002D1255"/>
    <w:p w:rsidR="002D1255" w:rsidRDefault="002D1255" w:rsidP="002D1255">
      <w:r>
        <w:t xml:space="preserve">Under the Medium scenario, the additional demand for dwellings in </w:t>
      </w:r>
      <w:smartTag w:uri="urn:schemas-microsoft-com:office:smarttags" w:element="place">
        <w:smartTag w:uri="urn:schemas-microsoft-com:office:smarttags" w:element="country-region">
          <w:r>
            <w:t>Australia</w:t>
          </w:r>
        </w:smartTag>
      </w:smartTag>
      <w:r w:rsidR="00043274">
        <w:t xml:space="preserve"> is in the order of 163</w:t>
      </w:r>
      <w:r>
        <w:t>,</w:t>
      </w:r>
      <w:r w:rsidR="00043274">
        <w:t>5</w:t>
      </w:r>
      <w:r w:rsidR="00242D1C">
        <w:t>00 per annum in the period 2009-24</w:t>
      </w:r>
      <w:r w:rsidR="00043274">
        <w:t xml:space="preserve"> and 154</w:t>
      </w:r>
      <w:r>
        <w:t>,0</w:t>
      </w:r>
      <w:r w:rsidR="00242D1C">
        <w:t>00 per annum in the period 2024-39</w:t>
      </w:r>
      <w:r>
        <w:t>. There may have been an assumption that the increasing number of deaths in the second period</w:t>
      </w:r>
      <w:r w:rsidR="00242D1C">
        <w:t xml:space="preserve">, </w:t>
      </w:r>
      <w:r w:rsidR="00C62945">
        <w:t>2024-39</w:t>
      </w:r>
      <w:r>
        <w:t>, would free up existing dwellings thus reducing demand for additional dwellings, but these results suggest that the reduction will be quite small.</w:t>
      </w:r>
    </w:p>
    <w:p w:rsidR="002D1255" w:rsidRDefault="002D1255" w:rsidP="002D1255"/>
    <w:p w:rsidR="002D1255" w:rsidRDefault="002D1255" w:rsidP="002D1255">
      <w:r>
        <w:t>Of the additional dwelli</w:t>
      </w:r>
      <w:r w:rsidR="00043274">
        <w:t>ng demand projected for the 2009-24 period, 20.9</w:t>
      </w:r>
      <w:r>
        <w:t xml:space="preserve">% is in Southeast Queensland, 18.4% is in </w:t>
      </w:r>
      <w:smartTag w:uri="urn:schemas-microsoft-com:office:smarttags" w:element="City">
        <w:r>
          <w:t>Melbourne</w:t>
        </w:r>
      </w:smartTag>
      <w:r w:rsidR="00043274">
        <w:t>, 15.6</w:t>
      </w:r>
      <w:r>
        <w:t xml:space="preserve">% is in </w:t>
      </w:r>
      <w:smartTag w:uri="urn:schemas-microsoft-com:office:smarttags" w:element="City">
        <w:r>
          <w:t>Sydney</w:t>
        </w:r>
      </w:smartTag>
      <w:r w:rsidR="00043274">
        <w:t xml:space="preserve"> and 10.8</w:t>
      </w:r>
      <w:r>
        <w:t xml:space="preserve">% is in </w:t>
      </w:r>
      <w:smartTag w:uri="urn:schemas-microsoft-com:office:smarttags" w:element="place">
        <w:smartTag w:uri="urn:schemas-microsoft-com:office:smarttags" w:element="City">
          <w:r>
            <w:t>Perth</w:t>
          </w:r>
        </w:smartTag>
      </w:smartTag>
      <w:r>
        <w:t xml:space="preserve">. Thus, two-thirds of additional demand for all of </w:t>
      </w:r>
      <w:smartTag w:uri="urn:schemas-microsoft-com:office:smarttags" w:element="place">
        <w:smartTag w:uri="urn:schemas-microsoft-com:office:smarttags" w:element="country-region">
          <w:r>
            <w:t>Australia</w:t>
          </w:r>
        </w:smartTag>
      </w:smartTag>
      <w:r>
        <w:t xml:space="preserve"> is projected to be in these four major cities. The balance </w:t>
      </w:r>
      <w:r w:rsidR="00043274">
        <w:t>of NSW accounts for another 10.0</w:t>
      </w:r>
      <w:r>
        <w:t>% of additional demand in this period.</w:t>
      </w:r>
    </w:p>
    <w:p w:rsidR="00E83869" w:rsidRDefault="00E83869"/>
    <w:p w:rsidR="001E5B43" w:rsidRDefault="001E5B43">
      <w:r>
        <w:t>The changes in demand</w:t>
      </w:r>
      <w:r w:rsidR="008374DF">
        <w:t xml:space="preserve"> from the previous report to this report are shown in Table 8. For Australia as a whole, the increase in demand from the 2008-09 to the 2009-24 projections is due to the higher net overseas migration in recent years that has been factored into the base population for the current projections. Thus, it is due to the change in the base population rather than to the projections.</w:t>
      </w:r>
    </w:p>
    <w:p w:rsidR="008374DF" w:rsidRDefault="008374DF"/>
    <w:p w:rsidR="008374DF" w:rsidRDefault="008374DF">
      <w:r>
        <w:t>The differences for cities a</w:t>
      </w:r>
      <w:r w:rsidR="00F30880">
        <w:t>n</w:t>
      </w:r>
      <w:r>
        <w:t xml:space="preserve">d balances of state across the two projections again reflect changes in the base populations but also are the result of the changes to the migration assumptions discussed above. As expected, the increments to demand are larger in </w:t>
      </w:r>
      <w:smartTag w:uri="urn:schemas-microsoft-com:office:smarttags" w:element="State">
        <w:r>
          <w:t>Queensland</w:t>
        </w:r>
      </w:smartTag>
      <w:r>
        <w:t xml:space="preserve"> and </w:t>
      </w:r>
      <w:smartTag w:uri="urn:schemas-microsoft-com:office:smarttags" w:element="State">
        <w:r>
          <w:t>Western Australia</w:t>
        </w:r>
      </w:smartTag>
      <w:r>
        <w:t xml:space="preserve"> and lower in </w:t>
      </w:r>
      <w:smartTag w:uri="urn:schemas-microsoft-com:office:smarttags" w:element="State">
        <w:r>
          <w:t>South Australia</w:t>
        </w:r>
      </w:smartTag>
      <w:r>
        <w:t xml:space="preserve"> and </w:t>
      </w:r>
      <w:smartTag w:uri="urn:schemas-microsoft-com:office:smarttags" w:element="place">
        <w:smartTag w:uri="urn:schemas-microsoft-com:office:smarttags" w:element="State">
          <w:r>
            <w:t>Tasmania</w:t>
          </w:r>
        </w:smartTag>
      </w:smartTag>
      <w:r>
        <w:t>.</w:t>
      </w:r>
    </w:p>
    <w:p w:rsidR="001E5B43" w:rsidRDefault="001E5B43"/>
    <w:p w:rsidR="00E3691F" w:rsidRDefault="00E3691F">
      <w:pPr>
        <w:rPr>
          <w:rFonts w:ascii="Arial" w:hAnsi="Arial" w:cs="Arial"/>
          <w:b/>
          <w:sz w:val="20"/>
          <w:szCs w:val="20"/>
        </w:rPr>
      </w:pPr>
      <w:r>
        <w:rPr>
          <w:rFonts w:ascii="Arial" w:hAnsi="Arial" w:cs="Arial"/>
          <w:b/>
          <w:sz w:val="20"/>
          <w:szCs w:val="20"/>
        </w:rPr>
        <w:br w:type="page"/>
      </w:r>
    </w:p>
    <w:p w:rsidR="001E5B43" w:rsidRDefault="001E5B43" w:rsidP="001E5B43">
      <w:pPr>
        <w:rPr>
          <w:rFonts w:ascii="Arial" w:hAnsi="Arial" w:cs="Arial"/>
          <w:b/>
          <w:sz w:val="20"/>
          <w:szCs w:val="20"/>
        </w:rPr>
      </w:pPr>
      <w:r>
        <w:rPr>
          <w:rFonts w:ascii="Arial" w:hAnsi="Arial" w:cs="Arial"/>
          <w:b/>
          <w:sz w:val="20"/>
          <w:szCs w:val="20"/>
        </w:rPr>
        <w:lastRenderedPageBreak/>
        <w:t>Table 8: Increment in the demand for all dwellings, Medium Scenarios, 2008- and 2009-Based Projections Compared</w:t>
      </w:r>
    </w:p>
    <w:p w:rsidR="001E5B43" w:rsidRDefault="001E5B43" w:rsidP="001E5B43">
      <w:pPr>
        <w:rPr>
          <w:rFonts w:ascii="Arial" w:hAnsi="Arial" w:cs="Arial"/>
          <w:b/>
          <w:sz w:val="20"/>
          <w:szCs w:val="20"/>
        </w:rPr>
      </w:pPr>
    </w:p>
    <w:tbl>
      <w:tblPr>
        <w:tblW w:w="3735" w:type="dxa"/>
        <w:tblInd w:w="2460" w:type="dxa"/>
        <w:tblLook w:val="0000"/>
      </w:tblPr>
      <w:tblGrid>
        <w:gridCol w:w="1050"/>
        <w:gridCol w:w="284"/>
        <w:gridCol w:w="961"/>
        <w:gridCol w:w="1440"/>
      </w:tblGrid>
      <w:tr w:rsidR="001E5B43" w:rsidRPr="003E2826" w:rsidTr="00A31542">
        <w:trPr>
          <w:trHeight w:val="255"/>
        </w:trPr>
        <w:tc>
          <w:tcPr>
            <w:tcW w:w="1050" w:type="dxa"/>
            <w:tcBorders>
              <w:top w:val="nil"/>
              <w:left w:val="nil"/>
              <w:bottom w:val="nil"/>
              <w:right w:val="nil"/>
            </w:tcBorders>
            <w:shd w:val="clear" w:color="auto" w:fill="auto"/>
            <w:noWrap/>
            <w:vAlign w:val="bottom"/>
          </w:tcPr>
          <w:p w:rsidR="001E5B43" w:rsidRPr="003E2826" w:rsidRDefault="001E5B43" w:rsidP="00162927">
            <w:pPr>
              <w:rPr>
                <w:rFonts w:ascii="Arial" w:hAnsi="Arial" w:cs="Arial"/>
                <w:b/>
                <w:sz w:val="18"/>
                <w:szCs w:val="18"/>
              </w:rPr>
            </w:pPr>
            <w:r w:rsidRPr="003E2826">
              <w:rPr>
                <w:rFonts w:ascii="Arial" w:hAnsi="Arial" w:cs="Arial"/>
                <w:b/>
                <w:sz w:val="18"/>
                <w:szCs w:val="18"/>
              </w:rPr>
              <w:t>Region</w:t>
            </w:r>
          </w:p>
        </w:tc>
        <w:tc>
          <w:tcPr>
            <w:tcW w:w="2685" w:type="dxa"/>
            <w:gridSpan w:val="3"/>
            <w:tcBorders>
              <w:top w:val="nil"/>
              <w:left w:val="nil"/>
              <w:bottom w:val="nil"/>
              <w:right w:val="nil"/>
            </w:tcBorders>
            <w:shd w:val="clear" w:color="auto" w:fill="auto"/>
            <w:noWrap/>
            <w:vAlign w:val="bottom"/>
          </w:tcPr>
          <w:p w:rsidR="001E5B43" w:rsidRPr="003E2826" w:rsidRDefault="001E5B43" w:rsidP="00162927">
            <w:pPr>
              <w:jc w:val="center"/>
              <w:rPr>
                <w:rFonts w:ascii="Arial" w:hAnsi="Arial" w:cs="Arial"/>
                <w:b/>
                <w:sz w:val="18"/>
                <w:szCs w:val="18"/>
              </w:rPr>
            </w:pPr>
            <w:r>
              <w:rPr>
                <w:rFonts w:ascii="Arial" w:hAnsi="Arial" w:cs="Arial"/>
                <w:b/>
                <w:sz w:val="18"/>
                <w:szCs w:val="18"/>
              </w:rPr>
              <w:t>Total additional dwellings</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Default="001E5B43" w:rsidP="00162927">
            <w:pPr>
              <w:rPr>
                <w:rFonts w:ascii="Arial" w:hAnsi="Arial" w:cs="Arial"/>
                <w:sz w:val="18"/>
                <w:szCs w:val="18"/>
              </w:rPr>
            </w:pPr>
          </w:p>
        </w:tc>
        <w:tc>
          <w:tcPr>
            <w:tcW w:w="961" w:type="dxa"/>
            <w:tcBorders>
              <w:top w:val="nil"/>
              <w:left w:val="nil"/>
              <w:bottom w:val="nil"/>
              <w:right w:val="nil"/>
            </w:tcBorders>
            <w:shd w:val="clear" w:color="auto" w:fill="auto"/>
            <w:noWrap/>
            <w:vAlign w:val="bottom"/>
          </w:tcPr>
          <w:p w:rsidR="001E5B43" w:rsidRPr="003E2826" w:rsidRDefault="001E5B43" w:rsidP="00162927">
            <w:pPr>
              <w:jc w:val="right"/>
              <w:rPr>
                <w:rFonts w:ascii="Arial" w:hAnsi="Arial" w:cs="Arial"/>
                <w:b/>
                <w:sz w:val="18"/>
                <w:szCs w:val="18"/>
              </w:rPr>
            </w:pPr>
            <w:r w:rsidRPr="003E2826">
              <w:rPr>
                <w:rFonts w:ascii="Arial" w:hAnsi="Arial" w:cs="Arial"/>
                <w:b/>
                <w:sz w:val="18"/>
                <w:szCs w:val="18"/>
              </w:rPr>
              <w:t>2008 to 2023</w:t>
            </w:r>
          </w:p>
        </w:tc>
        <w:tc>
          <w:tcPr>
            <w:tcW w:w="1440" w:type="dxa"/>
            <w:tcBorders>
              <w:top w:val="nil"/>
              <w:left w:val="nil"/>
              <w:bottom w:val="nil"/>
              <w:right w:val="nil"/>
            </w:tcBorders>
            <w:shd w:val="clear" w:color="auto" w:fill="auto"/>
            <w:noWrap/>
            <w:vAlign w:val="bottom"/>
          </w:tcPr>
          <w:p w:rsidR="001E5B43" w:rsidRPr="003E2826" w:rsidRDefault="001E5B43" w:rsidP="00162927">
            <w:pPr>
              <w:jc w:val="center"/>
              <w:rPr>
                <w:rFonts w:ascii="Arial" w:hAnsi="Arial" w:cs="Arial"/>
                <w:b/>
                <w:sz w:val="18"/>
                <w:szCs w:val="18"/>
              </w:rPr>
            </w:pPr>
            <w:r>
              <w:rPr>
                <w:rFonts w:ascii="Arial" w:hAnsi="Arial" w:cs="Arial"/>
                <w:b/>
                <w:sz w:val="18"/>
                <w:szCs w:val="18"/>
              </w:rPr>
              <w:t>2009 to 2024</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NSW</w:t>
            </w:r>
            <w:r w:rsidR="00A31542">
              <w:rPr>
                <w:rFonts w:ascii="Arial" w:hAnsi="Arial" w:cs="Arial"/>
                <w:sz w:val="18"/>
                <w:szCs w:val="18"/>
              </w:rPr>
              <w:t xml:space="preserve"> capital city </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378896</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383392</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NSW</w:t>
            </w:r>
            <w:r w:rsidR="00641DF2">
              <w:rPr>
                <w:rFonts w:ascii="Arial" w:hAnsi="Arial" w:cs="Arial"/>
                <w:sz w:val="18"/>
                <w:szCs w:val="18"/>
              </w:rPr>
              <w:t xml:space="preserve"> b</w:t>
            </w:r>
            <w:r w:rsidR="00A31542">
              <w:rPr>
                <w:rFonts w:ascii="Arial" w:hAnsi="Arial" w:cs="Arial"/>
                <w:sz w:val="18"/>
                <w:szCs w:val="18"/>
              </w:rPr>
              <w:t xml:space="preserve">alance of state </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242859</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244000</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VIC</w:t>
            </w:r>
            <w:r w:rsidR="00A31542">
              <w:rPr>
                <w:rFonts w:ascii="Arial" w:hAnsi="Arial" w:cs="Arial"/>
                <w:sz w:val="18"/>
                <w:szCs w:val="18"/>
              </w:rPr>
              <w:t xml:space="preserve"> capital city</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442943</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452367</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VIC</w:t>
            </w:r>
            <w:r w:rsidR="00A31542">
              <w:rPr>
                <w:rFonts w:ascii="Arial" w:hAnsi="Arial" w:cs="Arial"/>
                <w:sz w:val="18"/>
                <w:szCs w:val="18"/>
              </w:rPr>
              <w:t xml:space="preserve"> </w:t>
            </w:r>
            <w:r w:rsidR="00641DF2">
              <w:rPr>
                <w:rFonts w:ascii="Arial" w:hAnsi="Arial" w:cs="Arial"/>
                <w:sz w:val="18"/>
                <w:szCs w:val="18"/>
              </w:rPr>
              <w:t>b</w:t>
            </w:r>
            <w:r w:rsidR="00A31542">
              <w:rPr>
                <w:rFonts w:ascii="Arial" w:hAnsi="Arial" w:cs="Arial"/>
                <w:sz w:val="18"/>
                <w:szCs w:val="18"/>
              </w:rPr>
              <w:t>alance of state</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127906</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127915</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QLD</w:t>
            </w:r>
            <w:r w:rsidR="00A31542">
              <w:rPr>
                <w:rFonts w:ascii="Arial" w:hAnsi="Arial" w:cs="Arial"/>
                <w:sz w:val="18"/>
                <w:szCs w:val="18"/>
              </w:rPr>
              <w:t xml:space="preserve"> capital city </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262963</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274599</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QL</w:t>
            </w:r>
            <w:r w:rsidR="00DC6389">
              <w:rPr>
                <w:rFonts w:ascii="Arial" w:hAnsi="Arial" w:cs="Arial"/>
                <w:sz w:val="18"/>
                <w:szCs w:val="18"/>
              </w:rPr>
              <w:t xml:space="preserve">D </w:t>
            </w:r>
            <w:r w:rsidR="00641DF2">
              <w:rPr>
                <w:rFonts w:ascii="Arial" w:hAnsi="Arial" w:cs="Arial"/>
                <w:sz w:val="18"/>
                <w:szCs w:val="18"/>
              </w:rPr>
              <w:t>b</w:t>
            </w:r>
            <w:r w:rsidR="00A31542">
              <w:rPr>
                <w:rFonts w:ascii="Arial" w:hAnsi="Arial" w:cs="Arial"/>
                <w:sz w:val="18"/>
                <w:szCs w:val="18"/>
              </w:rPr>
              <w:t>al</w:t>
            </w:r>
            <w:r w:rsidR="00641DF2">
              <w:rPr>
                <w:rFonts w:ascii="Arial" w:hAnsi="Arial" w:cs="Arial"/>
                <w:sz w:val="18"/>
                <w:szCs w:val="18"/>
              </w:rPr>
              <w:t>a</w:t>
            </w:r>
            <w:r w:rsidR="00A31542">
              <w:rPr>
                <w:rFonts w:ascii="Arial" w:hAnsi="Arial" w:cs="Arial"/>
                <w:sz w:val="18"/>
                <w:szCs w:val="18"/>
              </w:rPr>
              <w:t>nce of state</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389808</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411166</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SA</w:t>
            </w:r>
            <w:r w:rsidR="00A31542">
              <w:rPr>
                <w:rFonts w:ascii="Arial" w:hAnsi="Arial" w:cs="Arial"/>
                <w:sz w:val="18"/>
                <w:szCs w:val="18"/>
              </w:rPr>
              <w:t xml:space="preserve"> capital city</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91752</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78589</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SA</w:t>
            </w:r>
            <w:r w:rsidR="00A31542">
              <w:rPr>
                <w:rFonts w:ascii="Arial" w:hAnsi="Arial" w:cs="Arial"/>
                <w:sz w:val="18"/>
                <w:szCs w:val="18"/>
              </w:rPr>
              <w:t xml:space="preserve"> </w:t>
            </w:r>
            <w:r w:rsidR="00641DF2">
              <w:rPr>
                <w:rFonts w:ascii="Arial" w:hAnsi="Arial" w:cs="Arial"/>
                <w:sz w:val="18"/>
                <w:szCs w:val="18"/>
              </w:rPr>
              <w:t>b</w:t>
            </w:r>
            <w:r w:rsidR="00A31542">
              <w:rPr>
                <w:rFonts w:ascii="Arial" w:hAnsi="Arial" w:cs="Arial"/>
                <w:sz w:val="18"/>
                <w:szCs w:val="18"/>
              </w:rPr>
              <w:t>alance of state</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38701</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36695</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WA</w:t>
            </w:r>
            <w:r w:rsidR="00641DF2">
              <w:rPr>
                <w:rFonts w:ascii="Arial" w:hAnsi="Arial" w:cs="Arial"/>
                <w:sz w:val="18"/>
                <w:szCs w:val="18"/>
              </w:rPr>
              <w:t xml:space="preserve"> capital c</w:t>
            </w:r>
            <w:r w:rsidR="00A31542">
              <w:rPr>
                <w:rFonts w:ascii="Arial" w:hAnsi="Arial" w:cs="Arial"/>
                <w:sz w:val="18"/>
                <w:szCs w:val="18"/>
              </w:rPr>
              <w:t xml:space="preserve">ity </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248819</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265244</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WA</w:t>
            </w:r>
            <w:r w:rsidR="00641DF2">
              <w:rPr>
                <w:rFonts w:ascii="Arial" w:hAnsi="Arial" w:cs="Arial"/>
                <w:sz w:val="18"/>
                <w:szCs w:val="18"/>
              </w:rPr>
              <w:t xml:space="preserve"> b</w:t>
            </w:r>
            <w:r w:rsidR="00A31542">
              <w:rPr>
                <w:rFonts w:ascii="Arial" w:hAnsi="Arial" w:cs="Arial"/>
                <w:sz w:val="18"/>
                <w:szCs w:val="18"/>
              </w:rPr>
              <w:t xml:space="preserve">alance of state </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82586</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84241</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TAS</w:t>
            </w:r>
            <w:r w:rsidR="00A31542">
              <w:rPr>
                <w:rFonts w:ascii="Arial" w:hAnsi="Arial" w:cs="Arial"/>
                <w:sz w:val="18"/>
                <w:szCs w:val="18"/>
              </w:rPr>
              <w:t xml:space="preserve"> capital city</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17560</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16477</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TAS</w:t>
            </w:r>
            <w:r w:rsidR="00A31542">
              <w:rPr>
                <w:rFonts w:ascii="Arial" w:hAnsi="Arial" w:cs="Arial"/>
                <w:sz w:val="18"/>
                <w:szCs w:val="18"/>
              </w:rPr>
              <w:t xml:space="preserve"> </w:t>
            </w:r>
            <w:r w:rsidR="00641DF2">
              <w:rPr>
                <w:rFonts w:ascii="Arial" w:hAnsi="Arial" w:cs="Arial"/>
                <w:sz w:val="18"/>
                <w:szCs w:val="18"/>
              </w:rPr>
              <w:t>b</w:t>
            </w:r>
            <w:r w:rsidR="00A31542">
              <w:rPr>
                <w:rFonts w:ascii="Arial" w:hAnsi="Arial" w:cs="Arial"/>
                <w:sz w:val="18"/>
                <w:szCs w:val="18"/>
              </w:rPr>
              <w:t>alance of state</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19076</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18199</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NT</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25985</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25033</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ACT</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32422</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33985</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r>
              <w:rPr>
                <w:rFonts w:ascii="Arial" w:hAnsi="Arial" w:cs="Arial"/>
                <w:sz w:val="18"/>
                <w:szCs w:val="18"/>
              </w:rPr>
              <w:t>SEQ</w:t>
            </w:r>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sidRPr="004B19AA">
              <w:rPr>
                <w:rFonts w:ascii="Arial" w:hAnsi="Arial" w:cs="Arial"/>
                <w:sz w:val="18"/>
                <w:szCs w:val="18"/>
              </w:rPr>
              <w:t>491743</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sidRPr="00FE1DDF">
              <w:rPr>
                <w:rFonts w:ascii="Arial" w:hAnsi="Arial" w:cs="Arial"/>
                <w:sz w:val="18"/>
                <w:szCs w:val="18"/>
              </w:rPr>
              <w:t>511257</w:t>
            </w:r>
          </w:p>
        </w:tc>
      </w:tr>
      <w:tr w:rsidR="001E5B43" w:rsidRPr="003E2826" w:rsidTr="00A31542">
        <w:trPr>
          <w:trHeight w:val="255"/>
        </w:trPr>
        <w:tc>
          <w:tcPr>
            <w:tcW w:w="1334" w:type="dxa"/>
            <w:gridSpan w:val="2"/>
            <w:tcBorders>
              <w:top w:val="nil"/>
              <w:left w:val="nil"/>
              <w:bottom w:val="nil"/>
              <w:right w:val="nil"/>
            </w:tcBorders>
            <w:shd w:val="clear" w:color="auto" w:fill="auto"/>
            <w:noWrap/>
            <w:vAlign w:val="bottom"/>
          </w:tcPr>
          <w:p w:rsidR="001E5B43" w:rsidRPr="003E2826" w:rsidRDefault="001E5B43" w:rsidP="00162927">
            <w:pPr>
              <w:rPr>
                <w:rFonts w:ascii="Arial" w:hAnsi="Arial" w:cs="Arial"/>
                <w:sz w:val="18"/>
                <w:szCs w:val="18"/>
              </w:rPr>
            </w:pPr>
            <w:smartTag w:uri="urn:schemas-microsoft-com:office:smarttags" w:element="place">
              <w:smartTag w:uri="urn:schemas-microsoft-com:office:smarttags" w:element="country-region">
                <w:r>
                  <w:rPr>
                    <w:rFonts w:ascii="Arial" w:hAnsi="Arial" w:cs="Arial"/>
                    <w:sz w:val="18"/>
                    <w:szCs w:val="18"/>
                  </w:rPr>
                  <w:t>Australia</w:t>
                </w:r>
              </w:smartTag>
            </w:smartTag>
          </w:p>
        </w:tc>
        <w:tc>
          <w:tcPr>
            <w:tcW w:w="961" w:type="dxa"/>
            <w:tcBorders>
              <w:top w:val="nil"/>
              <w:left w:val="nil"/>
              <w:bottom w:val="nil"/>
              <w:right w:val="nil"/>
            </w:tcBorders>
            <w:shd w:val="clear" w:color="auto" w:fill="auto"/>
            <w:noWrap/>
            <w:vAlign w:val="bottom"/>
          </w:tcPr>
          <w:p w:rsidR="001E5B43" w:rsidRPr="004B19AA" w:rsidRDefault="001E5B43" w:rsidP="00162927">
            <w:pPr>
              <w:jc w:val="right"/>
              <w:rPr>
                <w:rFonts w:ascii="Arial" w:hAnsi="Arial" w:cs="Arial"/>
                <w:sz w:val="18"/>
                <w:szCs w:val="18"/>
              </w:rPr>
            </w:pPr>
            <w:r>
              <w:rPr>
                <w:rFonts w:ascii="Arial" w:hAnsi="Arial" w:cs="Arial"/>
                <w:sz w:val="18"/>
                <w:szCs w:val="18"/>
              </w:rPr>
              <w:t>2402275</w:t>
            </w:r>
          </w:p>
        </w:tc>
        <w:tc>
          <w:tcPr>
            <w:tcW w:w="1440" w:type="dxa"/>
            <w:tcBorders>
              <w:top w:val="nil"/>
              <w:left w:val="nil"/>
              <w:bottom w:val="nil"/>
              <w:right w:val="nil"/>
            </w:tcBorders>
            <w:shd w:val="clear" w:color="auto" w:fill="auto"/>
            <w:noWrap/>
            <w:vAlign w:val="bottom"/>
          </w:tcPr>
          <w:p w:rsidR="001E5B43" w:rsidRPr="00FE1DDF" w:rsidRDefault="001E5B43" w:rsidP="00162927">
            <w:pPr>
              <w:jc w:val="center"/>
              <w:rPr>
                <w:rFonts w:ascii="Arial" w:hAnsi="Arial" w:cs="Arial"/>
                <w:sz w:val="18"/>
                <w:szCs w:val="18"/>
              </w:rPr>
            </w:pPr>
            <w:r>
              <w:rPr>
                <w:rFonts w:ascii="Arial" w:hAnsi="Arial" w:cs="Arial"/>
                <w:sz w:val="18"/>
                <w:szCs w:val="18"/>
              </w:rPr>
              <w:t>2451903</w:t>
            </w:r>
          </w:p>
        </w:tc>
      </w:tr>
    </w:tbl>
    <w:p w:rsidR="001E5B43" w:rsidRDefault="001E5B43"/>
    <w:p w:rsidR="001E5B43" w:rsidRDefault="001E5B43"/>
    <w:p w:rsidR="005E1EF6" w:rsidRPr="00B55C56" w:rsidRDefault="005E1EF6">
      <w:pPr>
        <w:rPr>
          <w:b/>
        </w:rPr>
      </w:pPr>
      <w:r w:rsidRPr="00B55C56">
        <w:rPr>
          <w:b/>
        </w:rPr>
        <w:t>Demand by dwelling type</w:t>
      </w:r>
    </w:p>
    <w:p w:rsidR="005E1EF6" w:rsidRDefault="005E1EF6"/>
    <w:p w:rsidR="0026179E" w:rsidRDefault="002D1255">
      <w:r>
        <w:t xml:space="preserve">Table </w:t>
      </w:r>
      <w:r w:rsidR="001E5B43">
        <w:t>9</w:t>
      </w:r>
      <w:r w:rsidR="007C448F">
        <w:t xml:space="preserve"> shows the rat</w:t>
      </w:r>
      <w:r w:rsidR="00A1777C">
        <w:t>io of dwellings required in 2024</w:t>
      </w:r>
      <w:r w:rsidR="007C448F">
        <w:t xml:space="preserve"> to</w:t>
      </w:r>
      <w:r w:rsidR="00A1777C">
        <w:t xml:space="preserve"> the number of dwellings in 2009</w:t>
      </w:r>
      <w:r w:rsidR="007C448F">
        <w:t xml:space="preserve"> according to dwelling type.</w:t>
      </w:r>
      <w:r>
        <w:t xml:space="preserve"> It also shows the same ratio for the second period.</w:t>
      </w:r>
      <w:r w:rsidR="0026179E">
        <w:t xml:space="preserve"> The numbers shown relate to the Medium scenario. The purpose of this table is to show whether the demand for any type of housing increases more than for other types. The conclusions do not change if other scenarios are used.</w:t>
      </w:r>
    </w:p>
    <w:p w:rsidR="0026179E" w:rsidRDefault="0026179E"/>
    <w:p w:rsidR="002D1255" w:rsidRDefault="0026179E">
      <w:r>
        <w:t xml:space="preserve">Given the ageing of the population, we might expect an increased demand for semi-detached housing and flats relative to separate houses and, overall, that is the conclusion to be drawn from Table </w:t>
      </w:r>
      <w:r w:rsidR="001E5B43">
        <w:t>9</w:t>
      </w:r>
      <w:r>
        <w:t xml:space="preserve"> especially in relation to flats. In most regions, the expected relative increase in demand for flats is higher than for separate houses. The higher relative increase in demand for flats is particularly e</w:t>
      </w:r>
      <w:r w:rsidR="00D2038B">
        <w:t xml:space="preserve">vident in </w:t>
      </w:r>
      <w:smartTag w:uri="urn:schemas-microsoft-com:office:smarttags" w:element="State">
        <w:r w:rsidR="00D2038B">
          <w:t>Western Australia</w:t>
        </w:r>
      </w:smartTag>
      <w:r w:rsidR="00D2038B">
        <w:t xml:space="preserve"> and in the balance of </w:t>
      </w:r>
      <w:smartTag w:uri="urn:schemas-microsoft-com:office:smarttags" w:element="place">
        <w:smartTag w:uri="urn:schemas-microsoft-com:office:smarttags" w:element="State">
          <w:r w:rsidR="00D2038B">
            <w:t>South Australia</w:t>
          </w:r>
        </w:smartTag>
      </w:smartTag>
      <w:r w:rsidR="00D2038B">
        <w:t xml:space="preserve">. </w:t>
      </w:r>
      <w:r>
        <w:t xml:space="preserve">However, there are some exceptions to this rule. In </w:t>
      </w:r>
      <w:smartTag w:uri="urn:schemas-microsoft-com:office:smarttags" w:element="City">
        <w:r>
          <w:t>Sydney</w:t>
        </w:r>
      </w:smartTag>
      <w:r w:rsidR="00D2038B">
        <w:t>, the relativ</w:t>
      </w:r>
      <w:r w:rsidR="00A1777C">
        <w:t>e increase in demand is a little higher for separate houses than for flats</w:t>
      </w:r>
      <w:r w:rsidR="00D2038B">
        <w:t xml:space="preserve"> </w:t>
      </w:r>
      <w:r w:rsidR="00A1777C">
        <w:t xml:space="preserve">and, in </w:t>
      </w:r>
      <w:smartTag w:uri="urn:schemas-microsoft-com:office:smarttags" w:element="place">
        <w:smartTag w:uri="urn:schemas-microsoft-com:office:smarttags" w:element="State">
          <w:r w:rsidR="00A1777C">
            <w:t>Queensland</w:t>
          </w:r>
        </w:smartTag>
      </w:smartTag>
      <w:r w:rsidR="00A1777C">
        <w:t>, there is essentially no difference.</w:t>
      </w:r>
    </w:p>
    <w:p w:rsidR="00D2038B" w:rsidRDefault="00D2038B"/>
    <w:p w:rsidR="00D2038B" w:rsidRPr="00D2038B" w:rsidRDefault="00D2038B" w:rsidP="00E3691F">
      <w:pPr>
        <w:keepNext/>
        <w:rPr>
          <w:b/>
        </w:rPr>
      </w:pPr>
      <w:r>
        <w:rPr>
          <w:b/>
        </w:rPr>
        <w:lastRenderedPageBreak/>
        <w:t>Demand by tenure category</w:t>
      </w:r>
    </w:p>
    <w:p w:rsidR="00D2038B" w:rsidRDefault="00D2038B"/>
    <w:p w:rsidR="00A500E6" w:rsidRDefault="00A500E6" w:rsidP="00A500E6">
      <w:r>
        <w:t xml:space="preserve">Table </w:t>
      </w:r>
      <w:r w:rsidR="001E5B43">
        <w:t>10</w:t>
      </w:r>
      <w:r>
        <w:t xml:space="preserve"> shows the rat</w:t>
      </w:r>
      <w:r w:rsidR="00053EBF">
        <w:t>io of dwellings required in 2024</w:t>
      </w:r>
      <w:r>
        <w:t xml:space="preserve"> to</w:t>
      </w:r>
      <w:r w:rsidR="00053EBF">
        <w:t xml:space="preserve"> the number of dwellings in 2009</w:t>
      </w:r>
      <w:r>
        <w:t xml:space="preserve"> according to tenure type. It also shows the same ratio for the second period. The numbers shown relate to the Medium scenario. The purpose of this table is to show whether the demand for any type of tenure increases more than for other types. The conclusions do not change if other scenarios are used.</w:t>
      </w:r>
    </w:p>
    <w:p w:rsidR="00A500E6" w:rsidRDefault="00A500E6" w:rsidP="00A500E6"/>
    <w:p w:rsidR="00B8584C" w:rsidRDefault="00B8584C" w:rsidP="00B8584C">
      <w:r>
        <w:t>The main conclusion to be drawn from the tab</w:t>
      </w:r>
      <w:r w:rsidR="00053EBF">
        <w:t>le is that the relative</w:t>
      </w:r>
      <w:r>
        <w:t xml:space="preserve"> demand for public rental accommodation increase</w:t>
      </w:r>
      <w:r w:rsidR="00053EBF">
        <w:t>s</w:t>
      </w:r>
      <w:r>
        <w:t xml:space="preserve"> in many places much more than for the other tenure types. Additional relative demand for public housing is particularly noticeable in </w:t>
      </w:r>
      <w:smartTag w:uri="urn:schemas-microsoft-com:office:smarttags" w:element="State">
        <w:r>
          <w:t>Victoria</w:t>
        </w:r>
      </w:smartTag>
      <w:r>
        <w:t xml:space="preserve">, in </w:t>
      </w:r>
      <w:smartTag w:uri="urn:schemas-microsoft-com:office:smarttags" w:element="City">
        <w:r>
          <w:t>Brisbane</w:t>
        </w:r>
      </w:smartTag>
      <w:r>
        <w:t xml:space="preserve">, in </w:t>
      </w:r>
      <w:smartTag w:uri="urn:schemas-microsoft-com:office:smarttags" w:element="State">
        <w:r>
          <w:t>South Australia</w:t>
        </w:r>
      </w:smartTag>
      <w:r>
        <w:t xml:space="preserve">, </w:t>
      </w:r>
      <w:smartTag w:uri="urn:schemas-microsoft-com:office:smarttags" w:element="State">
        <w:r>
          <w:t>Western Australia</w:t>
        </w:r>
      </w:smartTag>
      <w:r>
        <w:t xml:space="preserve">, the </w:t>
      </w:r>
      <w:smartTag w:uri="urn:schemas-microsoft-com:office:smarttags" w:element="place">
        <w:smartTag w:uri="urn:schemas-microsoft-com:office:smarttags" w:element="State">
          <w:r>
            <w:t>Northern Territory</w:t>
          </w:r>
        </w:smartTag>
      </w:smartTag>
      <w:r>
        <w:t xml:space="preserve"> and the ACT. This derives from the fact that the age by household type categories that now tend to occupy public housing in these places are set to increase relative to other age and household type categories. In contrast, the demand for private rental dwellings </w:t>
      </w:r>
      <w:r w:rsidR="00670ED6">
        <w:t>increases at a much lower relative rate</w:t>
      </w:r>
      <w:r>
        <w:t xml:space="preserve"> in the same areas in which the demand for public housing rises but also in other regions such as New South Wales and Southeast Queensland. In </w:t>
      </w:r>
      <w:smartTag w:uri="urn:schemas-microsoft-com:office:smarttags" w:element="State">
        <w:r>
          <w:t>Queensland</w:t>
        </w:r>
      </w:smartTag>
      <w:r>
        <w:t xml:space="preserve"> </w:t>
      </w:r>
      <w:r w:rsidR="00C539F6">
        <w:t>b</w:t>
      </w:r>
      <w:r>
        <w:t>alance</w:t>
      </w:r>
      <w:r w:rsidR="00C539F6">
        <w:t xml:space="preserve"> of state</w:t>
      </w:r>
      <w:r>
        <w:t xml:space="preserve"> and </w:t>
      </w:r>
      <w:smartTag w:uri="urn:schemas-microsoft-com:office:smarttags" w:element="place">
        <w:smartTag w:uri="urn:schemas-microsoft-com:office:smarttags" w:element="State">
          <w:r>
            <w:t>Western Australia</w:t>
          </w:r>
        </w:smartTag>
      </w:smartTag>
      <w:r>
        <w:t xml:space="preserve"> </w:t>
      </w:r>
      <w:r w:rsidR="00C539F6">
        <w:t>b</w:t>
      </w:r>
      <w:r>
        <w:t>alance</w:t>
      </w:r>
      <w:r w:rsidR="00A46299">
        <w:t xml:space="preserve"> of state</w:t>
      </w:r>
      <w:r>
        <w:t>, there is a notable relative increase in dem</w:t>
      </w:r>
      <w:r w:rsidR="00670ED6">
        <w:t>and for owner/purchaser tenure.</w:t>
      </w:r>
    </w:p>
    <w:p w:rsidR="00B8584C" w:rsidRDefault="00B8584C" w:rsidP="002D1255"/>
    <w:p w:rsidR="00B8584C" w:rsidRDefault="00B8584C" w:rsidP="002D1255">
      <w:pPr>
        <w:rPr>
          <w:rFonts w:ascii="Arial" w:hAnsi="Arial" w:cs="Arial"/>
          <w:b/>
          <w:sz w:val="20"/>
          <w:szCs w:val="20"/>
        </w:rPr>
      </w:pPr>
    </w:p>
    <w:p w:rsidR="00E3691F" w:rsidRDefault="00E3691F">
      <w:pPr>
        <w:rPr>
          <w:rFonts w:ascii="Arial" w:hAnsi="Arial" w:cs="Arial"/>
          <w:b/>
          <w:sz w:val="20"/>
          <w:szCs w:val="20"/>
        </w:rPr>
      </w:pPr>
      <w:r>
        <w:rPr>
          <w:rFonts w:ascii="Arial" w:hAnsi="Arial" w:cs="Arial"/>
          <w:b/>
          <w:sz w:val="20"/>
          <w:szCs w:val="20"/>
        </w:rPr>
        <w:br w:type="page"/>
      </w:r>
    </w:p>
    <w:p w:rsidR="002D1255" w:rsidRPr="00BB00C9" w:rsidRDefault="002D1255" w:rsidP="002D1255">
      <w:pPr>
        <w:rPr>
          <w:rFonts w:ascii="Arial" w:hAnsi="Arial" w:cs="Arial"/>
          <w:b/>
          <w:sz w:val="20"/>
          <w:szCs w:val="20"/>
        </w:rPr>
      </w:pPr>
      <w:proofErr w:type="gramStart"/>
      <w:r>
        <w:rPr>
          <w:rFonts w:ascii="Arial" w:hAnsi="Arial" w:cs="Arial"/>
          <w:b/>
          <w:sz w:val="20"/>
          <w:szCs w:val="20"/>
        </w:rPr>
        <w:lastRenderedPageBreak/>
        <w:t xml:space="preserve">Table </w:t>
      </w:r>
      <w:r w:rsidR="001E5B43">
        <w:rPr>
          <w:rFonts w:ascii="Arial" w:hAnsi="Arial" w:cs="Arial"/>
          <w:b/>
          <w:sz w:val="20"/>
          <w:szCs w:val="20"/>
        </w:rPr>
        <w:t>9</w:t>
      </w:r>
      <w:r>
        <w:rPr>
          <w:rFonts w:ascii="Arial" w:hAnsi="Arial" w:cs="Arial"/>
          <w:b/>
          <w:sz w:val="20"/>
          <w:szCs w:val="20"/>
        </w:rPr>
        <w:t>.</w:t>
      </w:r>
      <w:proofErr w:type="gramEnd"/>
      <w:r>
        <w:rPr>
          <w:rFonts w:ascii="Arial" w:hAnsi="Arial" w:cs="Arial"/>
          <w:b/>
          <w:sz w:val="20"/>
          <w:szCs w:val="20"/>
        </w:rPr>
        <w:t xml:space="preserve"> Relative increase in numbers of dwellings by type,</w:t>
      </w:r>
      <w:r w:rsidR="00E3691F">
        <w:rPr>
          <w:rFonts w:ascii="Arial" w:hAnsi="Arial" w:cs="Arial"/>
          <w:b/>
          <w:sz w:val="20"/>
          <w:szCs w:val="20"/>
        </w:rPr>
        <w:t xml:space="preserve"> </w:t>
      </w:r>
      <w:r>
        <w:rPr>
          <w:rFonts w:ascii="Arial" w:hAnsi="Arial" w:cs="Arial"/>
          <w:b/>
          <w:sz w:val="20"/>
          <w:szCs w:val="20"/>
        </w:rPr>
        <w:t>Medium scenario</w:t>
      </w:r>
    </w:p>
    <w:tbl>
      <w:tblPr>
        <w:tblW w:w="6380" w:type="dxa"/>
        <w:tblInd w:w="93" w:type="dxa"/>
        <w:tblLook w:val="0000"/>
      </w:tblPr>
      <w:tblGrid>
        <w:gridCol w:w="1217"/>
        <w:gridCol w:w="1006"/>
        <w:gridCol w:w="1057"/>
        <w:gridCol w:w="1007"/>
        <w:gridCol w:w="1007"/>
        <w:gridCol w:w="1086"/>
      </w:tblGrid>
      <w:tr w:rsidR="002D1255" w:rsidTr="00B02AB0">
        <w:trPr>
          <w:trHeight w:val="255"/>
        </w:trPr>
        <w:tc>
          <w:tcPr>
            <w:tcW w:w="1217" w:type="dxa"/>
            <w:tcBorders>
              <w:left w:val="nil"/>
              <w:right w:val="nil"/>
            </w:tcBorders>
            <w:shd w:val="clear" w:color="auto" w:fill="auto"/>
            <w:noWrap/>
            <w:vAlign w:val="bottom"/>
          </w:tcPr>
          <w:p w:rsidR="002D1255" w:rsidRPr="00511632" w:rsidRDefault="002D1255" w:rsidP="00D2038B">
            <w:pPr>
              <w:rPr>
                <w:rFonts w:ascii="Arial" w:hAnsi="Arial" w:cs="Arial"/>
                <w:b/>
                <w:sz w:val="18"/>
                <w:szCs w:val="18"/>
              </w:rPr>
            </w:pPr>
            <w:r w:rsidRPr="00511632">
              <w:rPr>
                <w:rFonts w:ascii="Arial" w:hAnsi="Arial" w:cs="Arial"/>
                <w:b/>
                <w:sz w:val="18"/>
                <w:szCs w:val="18"/>
              </w:rPr>
              <w:t>Region</w:t>
            </w:r>
          </w:p>
        </w:tc>
        <w:tc>
          <w:tcPr>
            <w:tcW w:w="1006" w:type="dxa"/>
            <w:tcBorders>
              <w:left w:val="nil"/>
              <w:right w:val="nil"/>
            </w:tcBorders>
            <w:shd w:val="clear" w:color="auto" w:fill="auto"/>
            <w:noWrap/>
            <w:vAlign w:val="bottom"/>
          </w:tcPr>
          <w:p w:rsidR="002D1255" w:rsidRPr="00511632" w:rsidRDefault="002D1255" w:rsidP="00D2038B">
            <w:pPr>
              <w:rPr>
                <w:rFonts w:ascii="Arial" w:hAnsi="Arial" w:cs="Arial"/>
                <w:b/>
                <w:sz w:val="18"/>
                <w:szCs w:val="18"/>
              </w:rPr>
            </w:pPr>
            <w:r>
              <w:rPr>
                <w:rFonts w:ascii="Arial" w:hAnsi="Arial" w:cs="Arial"/>
                <w:b/>
                <w:sz w:val="18"/>
                <w:szCs w:val="18"/>
              </w:rPr>
              <w:t>Period</w:t>
            </w:r>
          </w:p>
        </w:tc>
        <w:tc>
          <w:tcPr>
            <w:tcW w:w="1057" w:type="dxa"/>
            <w:tcBorders>
              <w:top w:val="nil"/>
              <w:left w:val="nil"/>
              <w:bottom w:val="nil"/>
              <w:right w:val="nil"/>
            </w:tcBorders>
            <w:shd w:val="clear" w:color="auto" w:fill="auto"/>
            <w:noWrap/>
            <w:vAlign w:val="bottom"/>
          </w:tcPr>
          <w:p w:rsidR="002D1255" w:rsidRDefault="00DD3F6D" w:rsidP="0026179E">
            <w:pPr>
              <w:jc w:val="center"/>
              <w:rPr>
                <w:rFonts w:ascii="Arial" w:hAnsi="Arial" w:cs="Arial"/>
                <w:b/>
                <w:sz w:val="18"/>
                <w:szCs w:val="18"/>
              </w:rPr>
            </w:pPr>
            <w:r>
              <w:rPr>
                <w:rFonts w:ascii="Arial" w:hAnsi="Arial" w:cs="Arial"/>
                <w:b/>
                <w:sz w:val="18"/>
                <w:szCs w:val="18"/>
              </w:rPr>
              <w:t>Total Dwellings</w:t>
            </w:r>
          </w:p>
        </w:tc>
        <w:tc>
          <w:tcPr>
            <w:tcW w:w="1007" w:type="dxa"/>
            <w:tcBorders>
              <w:top w:val="nil"/>
              <w:left w:val="nil"/>
              <w:bottom w:val="nil"/>
              <w:right w:val="nil"/>
            </w:tcBorders>
            <w:shd w:val="clear" w:color="auto" w:fill="auto"/>
            <w:noWrap/>
            <w:vAlign w:val="bottom"/>
          </w:tcPr>
          <w:p w:rsidR="002D1255" w:rsidRDefault="002D1255" w:rsidP="0026179E">
            <w:pPr>
              <w:jc w:val="center"/>
              <w:rPr>
                <w:rFonts w:ascii="Arial" w:hAnsi="Arial" w:cs="Arial"/>
                <w:b/>
                <w:sz w:val="18"/>
                <w:szCs w:val="18"/>
              </w:rPr>
            </w:pPr>
            <w:r>
              <w:rPr>
                <w:rFonts w:ascii="Arial" w:hAnsi="Arial" w:cs="Arial"/>
                <w:b/>
                <w:sz w:val="18"/>
                <w:szCs w:val="18"/>
              </w:rPr>
              <w:t>S</w:t>
            </w:r>
            <w:r w:rsidR="00DD3F6D">
              <w:rPr>
                <w:rFonts w:ascii="Arial" w:hAnsi="Arial" w:cs="Arial"/>
                <w:b/>
                <w:sz w:val="18"/>
                <w:szCs w:val="18"/>
              </w:rPr>
              <w:t>eparate houses</w:t>
            </w:r>
          </w:p>
        </w:tc>
        <w:tc>
          <w:tcPr>
            <w:tcW w:w="1007" w:type="dxa"/>
            <w:tcBorders>
              <w:top w:val="nil"/>
              <w:left w:val="nil"/>
              <w:bottom w:val="nil"/>
              <w:right w:val="nil"/>
            </w:tcBorders>
            <w:shd w:val="clear" w:color="auto" w:fill="auto"/>
            <w:noWrap/>
            <w:vAlign w:val="bottom"/>
          </w:tcPr>
          <w:p w:rsidR="002D1255" w:rsidRDefault="00DD3F6D" w:rsidP="0026179E">
            <w:pPr>
              <w:jc w:val="center"/>
              <w:rPr>
                <w:rFonts w:ascii="Arial" w:hAnsi="Arial" w:cs="Arial"/>
                <w:b/>
                <w:sz w:val="18"/>
                <w:szCs w:val="18"/>
              </w:rPr>
            </w:pPr>
            <w:r>
              <w:rPr>
                <w:rFonts w:ascii="Arial" w:hAnsi="Arial" w:cs="Arial"/>
                <w:b/>
                <w:sz w:val="18"/>
                <w:szCs w:val="18"/>
              </w:rPr>
              <w:t>Semi-detached</w:t>
            </w:r>
          </w:p>
        </w:tc>
        <w:tc>
          <w:tcPr>
            <w:tcW w:w="1086" w:type="dxa"/>
            <w:tcBorders>
              <w:top w:val="nil"/>
              <w:left w:val="nil"/>
              <w:bottom w:val="nil"/>
              <w:right w:val="nil"/>
            </w:tcBorders>
            <w:shd w:val="clear" w:color="auto" w:fill="auto"/>
            <w:noWrap/>
            <w:vAlign w:val="bottom"/>
          </w:tcPr>
          <w:p w:rsidR="002D1255" w:rsidRPr="00511632" w:rsidRDefault="00DD3F6D" w:rsidP="0026179E">
            <w:pPr>
              <w:jc w:val="center"/>
              <w:rPr>
                <w:rFonts w:ascii="Arial" w:hAnsi="Arial" w:cs="Arial"/>
                <w:b/>
                <w:sz w:val="18"/>
                <w:szCs w:val="18"/>
              </w:rPr>
            </w:pPr>
            <w:r>
              <w:rPr>
                <w:rFonts w:ascii="Arial" w:hAnsi="Arial" w:cs="Arial"/>
                <w:b/>
                <w:sz w:val="18"/>
                <w:szCs w:val="18"/>
              </w:rPr>
              <w:t>Flats</w:t>
            </w:r>
          </w:p>
        </w:tc>
      </w:tr>
      <w:tr w:rsidR="00DD3F6D" w:rsidTr="00B02AB0">
        <w:trPr>
          <w:trHeight w:val="255"/>
        </w:trPr>
        <w:tc>
          <w:tcPr>
            <w:tcW w:w="1217" w:type="dxa"/>
            <w:tcBorders>
              <w:top w:val="nil"/>
              <w:left w:val="nil"/>
              <w:bottom w:val="nil"/>
              <w:right w:val="nil"/>
            </w:tcBorders>
            <w:shd w:val="clear" w:color="auto" w:fill="auto"/>
            <w:noWrap/>
            <w:vAlign w:val="bottom"/>
          </w:tcPr>
          <w:p w:rsidR="00DD3F6D" w:rsidRPr="006F2E40" w:rsidRDefault="00DD3F6D" w:rsidP="00D2038B">
            <w:pPr>
              <w:rPr>
                <w:rFonts w:ascii="Arial" w:hAnsi="Arial" w:cs="Arial"/>
                <w:sz w:val="18"/>
                <w:szCs w:val="18"/>
              </w:rPr>
            </w:pPr>
            <w:r w:rsidRPr="006F2E40">
              <w:rPr>
                <w:rFonts w:ascii="Arial" w:hAnsi="Arial" w:cs="Arial"/>
                <w:sz w:val="18"/>
                <w:szCs w:val="18"/>
              </w:rPr>
              <w:t>NSW</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DD3F6D" w:rsidRPr="006F2E40" w:rsidRDefault="001C2423" w:rsidP="00D2038B">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DD3F6D" w:rsidRPr="002158DF" w:rsidRDefault="00DD3F6D">
            <w:pPr>
              <w:jc w:val="right"/>
              <w:rPr>
                <w:rFonts w:ascii="Arial" w:hAnsi="Arial" w:cs="Arial"/>
                <w:sz w:val="18"/>
                <w:szCs w:val="18"/>
              </w:rPr>
            </w:pPr>
            <w:r w:rsidRPr="002158DF">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DD3F6D" w:rsidRPr="002158DF" w:rsidRDefault="00DD3F6D">
            <w:pPr>
              <w:jc w:val="right"/>
              <w:rPr>
                <w:rFonts w:ascii="Arial" w:hAnsi="Arial" w:cs="Arial"/>
                <w:sz w:val="18"/>
                <w:szCs w:val="18"/>
              </w:rPr>
            </w:pPr>
            <w:r w:rsidRPr="002158DF">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DD3F6D" w:rsidRPr="002158DF" w:rsidRDefault="001C2423">
            <w:pPr>
              <w:jc w:val="right"/>
              <w:rPr>
                <w:rFonts w:ascii="Arial" w:hAnsi="Arial" w:cs="Arial"/>
                <w:sz w:val="18"/>
                <w:szCs w:val="18"/>
              </w:rPr>
            </w:pPr>
            <w:r>
              <w:rPr>
                <w:rFonts w:ascii="Arial" w:hAnsi="Arial" w:cs="Arial"/>
                <w:sz w:val="18"/>
                <w:szCs w:val="18"/>
              </w:rPr>
              <w:t>1.22</w:t>
            </w:r>
          </w:p>
        </w:tc>
        <w:tc>
          <w:tcPr>
            <w:tcW w:w="1086" w:type="dxa"/>
            <w:tcBorders>
              <w:top w:val="nil"/>
              <w:left w:val="nil"/>
              <w:bottom w:val="nil"/>
              <w:right w:val="nil"/>
            </w:tcBorders>
            <w:shd w:val="clear" w:color="auto" w:fill="auto"/>
            <w:noWrap/>
            <w:vAlign w:val="bottom"/>
          </w:tcPr>
          <w:p w:rsidR="00DD3F6D" w:rsidRPr="002158DF" w:rsidRDefault="001C2423">
            <w:pPr>
              <w:jc w:val="right"/>
              <w:rPr>
                <w:rFonts w:ascii="Arial" w:hAnsi="Arial" w:cs="Arial"/>
                <w:sz w:val="18"/>
                <w:szCs w:val="18"/>
              </w:rPr>
            </w:pPr>
            <w:r>
              <w:rPr>
                <w:rFonts w:ascii="Arial" w:hAnsi="Arial" w:cs="Arial"/>
                <w:sz w:val="18"/>
                <w:szCs w:val="18"/>
              </w:rPr>
              <w:t>1.21</w:t>
            </w:r>
          </w:p>
        </w:tc>
      </w:tr>
      <w:tr w:rsidR="002158DF" w:rsidTr="00B02AB0">
        <w:trPr>
          <w:trHeight w:val="255"/>
        </w:trPr>
        <w:tc>
          <w:tcPr>
            <w:tcW w:w="1217" w:type="dxa"/>
            <w:tcBorders>
              <w:top w:val="nil"/>
              <w:left w:val="nil"/>
              <w:bottom w:val="nil"/>
              <w:right w:val="nil"/>
            </w:tcBorders>
            <w:shd w:val="clear" w:color="auto" w:fill="auto"/>
            <w:noWrap/>
            <w:vAlign w:val="bottom"/>
          </w:tcPr>
          <w:p w:rsidR="002158DF" w:rsidRPr="006F2E40" w:rsidRDefault="002158DF"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2158DF" w:rsidRPr="006F2E40" w:rsidRDefault="001C2423" w:rsidP="00D2038B">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2158DF" w:rsidRPr="002158DF" w:rsidRDefault="002158DF">
            <w:pPr>
              <w:jc w:val="right"/>
              <w:rPr>
                <w:rFonts w:ascii="Arial" w:hAnsi="Arial" w:cs="Arial"/>
                <w:sz w:val="18"/>
                <w:szCs w:val="18"/>
              </w:rPr>
            </w:pPr>
            <w:r w:rsidRPr="002158DF">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2158DF" w:rsidRPr="002158DF" w:rsidRDefault="002158DF">
            <w:pPr>
              <w:jc w:val="right"/>
              <w:rPr>
                <w:rFonts w:ascii="Arial" w:hAnsi="Arial" w:cs="Arial"/>
                <w:sz w:val="18"/>
                <w:szCs w:val="18"/>
              </w:rPr>
            </w:pPr>
            <w:r w:rsidRPr="002158DF">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2158DF" w:rsidRPr="002158DF" w:rsidRDefault="002158DF">
            <w:pPr>
              <w:jc w:val="right"/>
              <w:rPr>
                <w:rFonts w:ascii="Arial" w:hAnsi="Arial" w:cs="Arial"/>
                <w:sz w:val="18"/>
                <w:szCs w:val="18"/>
              </w:rPr>
            </w:pPr>
            <w:r w:rsidRPr="002158DF">
              <w:rPr>
                <w:rFonts w:ascii="Arial" w:hAnsi="Arial" w:cs="Arial"/>
                <w:sz w:val="18"/>
                <w:szCs w:val="18"/>
              </w:rPr>
              <w:t>1.20</w:t>
            </w:r>
          </w:p>
        </w:tc>
        <w:tc>
          <w:tcPr>
            <w:tcW w:w="1086" w:type="dxa"/>
            <w:tcBorders>
              <w:top w:val="nil"/>
              <w:left w:val="nil"/>
              <w:bottom w:val="nil"/>
              <w:right w:val="nil"/>
            </w:tcBorders>
            <w:shd w:val="clear" w:color="auto" w:fill="auto"/>
            <w:noWrap/>
            <w:vAlign w:val="bottom"/>
          </w:tcPr>
          <w:p w:rsidR="002158DF" w:rsidRPr="002158DF" w:rsidRDefault="002158DF">
            <w:pPr>
              <w:jc w:val="right"/>
              <w:rPr>
                <w:rFonts w:ascii="Arial" w:hAnsi="Arial" w:cs="Arial"/>
                <w:sz w:val="18"/>
                <w:szCs w:val="18"/>
              </w:rPr>
            </w:pPr>
            <w:r w:rsidRPr="002158DF">
              <w:rPr>
                <w:rFonts w:ascii="Arial" w:hAnsi="Arial" w:cs="Arial"/>
                <w:sz w:val="18"/>
                <w:szCs w:val="18"/>
              </w:rPr>
              <w:t>1.19</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NSW</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w:t>
            </w:r>
            <w:r>
              <w:rPr>
                <w:rFonts w:ascii="Arial" w:hAnsi="Arial" w:cs="Arial"/>
                <w:sz w:val="18"/>
                <w:szCs w:val="18"/>
              </w:rPr>
              <w:t>7</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27</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1.14</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1.16</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VIC</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1.30</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1.31</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33</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1.25</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1.28</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VIC</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1.21</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w:t>
            </w:r>
            <w:r>
              <w:rPr>
                <w:rFonts w:ascii="Arial" w:hAnsi="Arial" w:cs="Arial"/>
                <w:sz w:val="18"/>
                <w:szCs w:val="18"/>
              </w:rPr>
              <w:t>6</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30</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1.15</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1.18</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QLD</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1.37</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1.37</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1.37</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1.37</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1.27</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1.31</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1.35</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QLD</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1.42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1.42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44</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42</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1.28</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1.30</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1.31</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SA</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1.16</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1.15</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18</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18</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1.12</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1.11</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1.13</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1.14</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SA</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1.20</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w:t>
            </w:r>
            <w:r>
              <w:rPr>
                <w:rFonts w:ascii="Arial" w:hAnsi="Arial" w:cs="Arial"/>
                <w:sz w:val="18"/>
                <w:szCs w:val="18"/>
              </w:rPr>
              <w:t>6</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35</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1.12</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1.11</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1.15</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1.20</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WA</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1.40</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1.44</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1.46</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1.28</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1.35</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1.39</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WA</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1.36</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1.35</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w:t>
            </w:r>
            <w:r>
              <w:rPr>
                <w:rFonts w:ascii="Arial" w:hAnsi="Arial" w:cs="Arial"/>
                <w:sz w:val="18"/>
                <w:szCs w:val="18"/>
              </w:rPr>
              <w:t>5</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49</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1.21</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1.20</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1.28</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1.32</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TAS</w:t>
            </w:r>
            <w:r w:rsidR="00584ABA">
              <w:rPr>
                <w:rFonts w:ascii="Arial" w:hAnsi="Arial" w:cs="Arial"/>
                <w:sz w:val="18"/>
                <w:szCs w:val="18"/>
              </w:rPr>
              <w:t xml:space="preserve"> capital city</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w:t>
            </w:r>
            <w:r>
              <w:rPr>
                <w:rFonts w:ascii="Arial" w:hAnsi="Arial" w:cs="Arial"/>
                <w:sz w:val="18"/>
                <w:szCs w:val="18"/>
              </w:rPr>
              <w:t>0</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21</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1.16</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1.15</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TAS</w:t>
            </w:r>
            <w:r w:rsidR="006A54E5">
              <w:rPr>
                <w:rFonts w:ascii="Arial" w:hAnsi="Arial" w:cs="Arial"/>
                <w:sz w:val="18"/>
                <w:szCs w:val="18"/>
              </w:rPr>
              <w:t xml:space="preserve"> balance of state</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1.15</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1.14</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w:t>
            </w:r>
            <w:r>
              <w:rPr>
                <w:rFonts w:ascii="Arial" w:hAnsi="Arial" w:cs="Arial"/>
                <w:sz w:val="18"/>
                <w:szCs w:val="18"/>
              </w:rPr>
              <w:t>5</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24</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1.05</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1.05</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1.11</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1.11</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NT</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1.31</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1.30</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w:t>
            </w:r>
            <w:r>
              <w:rPr>
                <w:rFonts w:ascii="Arial" w:hAnsi="Arial" w:cs="Arial"/>
                <w:sz w:val="18"/>
                <w:szCs w:val="18"/>
              </w:rPr>
              <w:t>5</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32</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1.22</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1.21</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1.23</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1.21</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ACT</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1.25</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1.25</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1.23</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w:t>
            </w:r>
            <w:r>
              <w:rPr>
                <w:rFonts w:ascii="Arial" w:hAnsi="Arial" w:cs="Arial"/>
                <w:sz w:val="18"/>
                <w:szCs w:val="18"/>
              </w:rPr>
              <w:t>22</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1.17</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1.16</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1.19</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1.20</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C62945" w:rsidP="00D2038B">
            <w:pPr>
              <w:rPr>
                <w:rFonts w:ascii="Arial" w:hAnsi="Arial" w:cs="Arial"/>
                <w:sz w:val="18"/>
                <w:szCs w:val="18"/>
              </w:rPr>
            </w:pPr>
            <w:smartTag w:uri="urn:schemas-microsoft-com:office:smarttags" w:element="place">
              <w:r>
                <w:rPr>
                  <w:rFonts w:ascii="Arial" w:hAnsi="Arial" w:cs="Arial"/>
                  <w:sz w:val="18"/>
                  <w:szCs w:val="18"/>
                </w:rPr>
                <w:t>SE QLD</w:t>
              </w:r>
            </w:smartTag>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Pr>
                <w:rFonts w:ascii="Arial" w:hAnsi="Arial" w:cs="Arial"/>
                <w:sz w:val="18"/>
                <w:szCs w:val="18"/>
              </w:rPr>
              <w:t>1.43</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w:t>
            </w:r>
            <w:r>
              <w:rPr>
                <w:rFonts w:ascii="Arial" w:hAnsi="Arial" w:cs="Arial"/>
                <w:sz w:val="18"/>
                <w:szCs w:val="18"/>
              </w:rPr>
              <w:t>3</w:t>
            </w:r>
          </w:p>
        </w:tc>
        <w:tc>
          <w:tcPr>
            <w:tcW w:w="1086"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1.43</w:t>
            </w:r>
          </w:p>
        </w:tc>
      </w:tr>
      <w:tr w:rsidR="001C2423" w:rsidTr="00B02AB0">
        <w:trPr>
          <w:trHeight w:val="255"/>
        </w:trPr>
        <w:tc>
          <w:tcPr>
            <w:tcW w:w="1217" w:type="dxa"/>
            <w:tcBorders>
              <w:top w:val="nil"/>
              <w:left w:val="nil"/>
              <w:bottom w:val="nil"/>
              <w:right w:val="nil"/>
            </w:tcBorders>
            <w:shd w:val="clear" w:color="auto" w:fill="auto"/>
            <w:noWrap/>
            <w:vAlign w:val="bottom"/>
          </w:tcPr>
          <w:p w:rsidR="001C2423" w:rsidRPr="006F2E40" w:rsidRDefault="001C2423" w:rsidP="00D2038B">
            <w:pPr>
              <w:rPr>
                <w:rFonts w:ascii="Arial" w:hAnsi="Arial" w:cs="Arial"/>
                <w:sz w:val="18"/>
                <w:szCs w:val="18"/>
              </w:rPr>
            </w:pPr>
            <w:r w:rsidRPr="006F2E40">
              <w:rPr>
                <w:rFonts w:ascii="Arial" w:hAnsi="Arial" w:cs="Arial"/>
                <w:sz w:val="18"/>
                <w:szCs w:val="18"/>
              </w:rPr>
              <w:t> </w:t>
            </w:r>
          </w:p>
        </w:tc>
        <w:tc>
          <w:tcPr>
            <w:tcW w:w="1006" w:type="dxa"/>
            <w:tcBorders>
              <w:top w:val="nil"/>
              <w:left w:val="nil"/>
              <w:bottom w:val="nil"/>
              <w:right w:val="nil"/>
            </w:tcBorders>
            <w:shd w:val="clear" w:color="auto" w:fill="auto"/>
            <w:noWrap/>
            <w:vAlign w:val="bottom"/>
          </w:tcPr>
          <w:p w:rsidR="001C2423" w:rsidRPr="006F2E40" w:rsidRDefault="001C2423"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1.32</w:t>
            </w:r>
          </w:p>
        </w:tc>
        <w:tc>
          <w:tcPr>
            <w:tcW w:w="1007" w:type="dxa"/>
            <w:tcBorders>
              <w:top w:val="nil"/>
              <w:left w:val="nil"/>
              <w:bottom w:val="nil"/>
              <w:right w:val="nil"/>
            </w:tcBorders>
            <w:shd w:val="clear" w:color="auto" w:fill="auto"/>
            <w:noWrap/>
            <w:vAlign w:val="bottom"/>
          </w:tcPr>
          <w:p w:rsidR="001C2423" w:rsidRPr="002158DF" w:rsidRDefault="001C2423">
            <w:pPr>
              <w:jc w:val="right"/>
              <w:rPr>
                <w:rFonts w:ascii="Arial" w:hAnsi="Arial" w:cs="Arial"/>
                <w:sz w:val="18"/>
                <w:szCs w:val="18"/>
              </w:rPr>
            </w:pPr>
            <w:r w:rsidRPr="002158DF">
              <w:rPr>
                <w:rFonts w:ascii="Arial" w:hAnsi="Arial" w:cs="Arial"/>
                <w:sz w:val="18"/>
                <w:szCs w:val="18"/>
              </w:rPr>
              <w:t>1.31</w:t>
            </w:r>
          </w:p>
        </w:tc>
        <w:tc>
          <w:tcPr>
            <w:tcW w:w="1007"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1.34</w:t>
            </w:r>
          </w:p>
        </w:tc>
        <w:tc>
          <w:tcPr>
            <w:tcW w:w="1086" w:type="dxa"/>
            <w:tcBorders>
              <w:top w:val="nil"/>
              <w:left w:val="nil"/>
              <w:bottom w:val="nil"/>
              <w:right w:val="nil"/>
            </w:tcBorders>
            <w:shd w:val="clear" w:color="auto" w:fill="auto"/>
            <w:noWrap/>
            <w:vAlign w:val="bottom"/>
          </w:tcPr>
          <w:p w:rsidR="001C2423" w:rsidRPr="002158DF" w:rsidRDefault="00ED4252">
            <w:pPr>
              <w:jc w:val="right"/>
              <w:rPr>
                <w:rFonts w:ascii="Arial" w:hAnsi="Arial" w:cs="Arial"/>
                <w:sz w:val="18"/>
                <w:szCs w:val="18"/>
              </w:rPr>
            </w:pPr>
            <w:r>
              <w:rPr>
                <w:rFonts w:ascii="Arial" w:hAnsi="Arial" w:cs="Arial"/>
                <w:sz w:val="18"/>
                <w:szCs w:val="18"/>
              </w:rPr>
              <w:t>1.36</w:t>
            </w:r>
          </w:p>
        </w:tc>
      </w:tr>
      <w:tr w:rsidR="00B02AB0" w:rsidTr="00B02AB0">
        <w:trPr>
          <w:trHeight w:val="255"/>
        </w:trPr>
        <w:tc>
          <w:tcPr>
            <w:tcW w:w="1217" w:type="dxa"/>
            <w:tcBorders>
              <w:top w:val="nil"/>
              <w:left w:val="nil"/>
              <w:bottom w:val="nil"/>
              <w:right w:val="nil"/>
            </w:tcBorders>
            <w:shd w:val="clear" w:color="auto" w:fill="auto"/>
            <w:noWrap/>
            <w:vAlign w:val="bottom"/>
          </w:tcPr>
          <w:p w:rsidR="00B02AB0" w:rsidRPr="006F2E40" w:rsidRDefault="00B02AB0" w:rsidP="00D2038B">
            <w:pPr>
              <w:rPr>
                <w:rFonts w:ascii="Arial" w:hAnsi="Arial" w:cs="Arial"/>
                <w:sz w:val="18"/>
                <w:szCs w:val="18"/>
              </w:rPr>
            </w:pPr>
            <w:smartTag w:uri="urn:schemas-microsoft-com:office:smarttags" w:element="place">
              <w:smartTag w:uri="urn:schemas-microsoft-com:office:smarttags" w:element="country-region">
                <w:r>
                  <w:rPr>
                    <w:rFonts w:ascii="Arial" w:hAnsi="Arial" w:cs="Arial"/>
                    <w:sz w:val="18"/>
                    <w:szCs w:val="18"/>
                  </w:rPr>
                  <w:t>AUSTRALIA</w:t>
                </w:r>
              </w:smartTag>
            </w:smartTag>
          </w:p>
        </w:tc>
        <w:tc>
          <w:tcPr>
            <w:tcW w:w="1006" w:type="dxa"/>
            <w:tcBorders>
              <w:top w:val="nil"/>
              <w:left w:val="nil"/>
              <w:bottom w:val="nil"/>
              <w:right w:val="nil"/>
            </w:tcBorders>
            <w:shd w:val="clear" w:color="auto" w:fill="auto"/>
            <w:noWrap/>
            <w:vAlign w:val="bottom"/>
          </w:tcPr>
          <w:p w:rsidR="00B02AB0" w:rsidRDefault="00B02AB0" w:rsidP="001C2423">
            <w:pPr>
              <w:rPr>
                <w:rFonts w:ascii="Arial" w:hAnsi="Arial" w:cs="Arial"/>
                <w:sz w:val="18"/>
                <w:szCs w:val="18"/>
              </w:rPr>
            </w:pPr>
            <w:r>
              <w:rPr>
                <w:rFonts w:ascii="Arial" w:hAnsi="Arial" w:cs="Arial"/>
                <w:sz w:val="18"/>
                <w:szCs w:val="18"/>
              </w:rPr>
              <w:t>2009-24</w:t>
            </w:r>
          </w:p>
        </w:tc>
        <w:tc>
          <w:tcPr>
            <w:tcW w:w="1057" w:type="dxa"/>
            <w:tcBorders>
              <w:top w:val="nil"/>
              <w:left w:val="nil"/>
              <w:bottom w:val="nil"/>
              <w:right w:val="nil"/>
            </w:tcBorders>
            <w:shd w:val="clear" w:color="auto" w:fill="auto"/>
            <w:noWrap/>
            <w:vAlign w:val="bottom"/>
          </w:tcPr>
          <w:p w:rsidR="00B02AB0" w:rsidRPr="002158DF" w:rsidRDefault="00B02AB0">
            <w:pPr>
              <w:jc w:val="right"/>
              <w:rPr>
                <w:rFonts w:ascii="Arial" w:hAnsi="Arial" w:cs="Arial"/>
                <w:sz w:val="18"/>
                <w:szCs w:val="18"/>
              </w:rPr>
            </w:pPr>
            <w:r>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B02AB0" w:rsidRPr="002158DF" w:rsidRDefault="00B02AB0">
            <w:pPr>
              <w:jc w:val="right"/>
              <w:rPr>
                <w:rFonts w:ascii="Arial" w:hAnsi="Arial" w:cs="Arial"/>
                <w:sz w:val="18"/>
                <w:szCs w:val="18"/>
              </w:rPr>
            </w:pPr>
            <w:r>
              <w:rPr>
                <w:rFonts w:ascii="Arial" w:hAnsi="Arial" w:cs="Arial"/>
                <w:sz w:val="18"/>
                <w:szCs w:val="18"/>
              </w:rPr>
              <w:t>1.28</w:t>
            </w:r>
          </w:p>
        </w:tc>
        <w:tc>
          <w:tcPr>
            <w:tcW w:w="1007" w:type="dxa"/>
            <w:tcBorders>
              <w:top w:val="nil"/>
              <w:left w:val="nil"/>
              <w:bottom w:val="nil"/>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1.32</w:t>
            </w:r>
          </w:p>
        </w:tc>
        <w:tc>
          <w:tcPr>
            <w:tcW w:w="1086" w:type="dxa"/>
            <w:tcBorders>
              <w:top w:val="nil"/>
              <w:left w:val="nil"/>
              <w:bottom w:val="nil"/>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1.32</w:t>
            </w:r>
          </w:p>
        </w:tc>
      </w:tr>
      <w:tr w:rsidR="00B02AB0" w:rsidTr="00B02AB0">
        <w:trPr>
          <w:trHeight w:val="255"/>
        </w:trPr>
        <w:tc>
          <w:tcPr>
            <w:tcW w:w="1217" w:type="dxa"/>
            <w:tcBorders>
              <w:top w:val="nil"/>
              <w:left w:val="nil"/>
              <w:bottom w:val="single" w:sz="4" w:space="0" w:color="auto"/>
              <w:right w:val="nil"/>
            </w:tcBorders>
            <w:shd w:val="clear" w:color="auto" w:fill="auto"/>
            <w:noWrap/>
            <w:vAlign w:val="bottom"/>
          </w:tcPr>
          <w:p w:rsidR="00B02AB0" w:rsidRPr="006F2E40" w:rsidRDefault="00B02AB0" w:rsidP="00D2038B">
            <w:pPr>
              <w:rPr>
                <w:rFonts w:ascii="Arial" w:hAnsi="Arial" w:cs="Arial"/>
                <w:sz w:val="18"/>
                <w:szCs w:val="18"/>
              </w:rPr>
            </w:pPr>
          </w:p>
        </w:tc>
        <w:tc>
          <w:tcPr>
            <w:tcW w:w="1006" w:type="dxa"/>
            <w:tcBorders>
              <w:top w:val="nil"/>
              <w:left w:val="nil"/>
              <w:bottom w:val="single" w:sz="4" w:space="0" w:color="auto"/>
              <w:right w:val="nil"/>
            </w:tcBorders>
            <w:shd w:val="clear" w:color="auto" w:fill="auto"/>
            <w:noWrap/>
            <w:vAlign w:val="bottom"/>
          </w:tcPr>
          <w:p w:rsidR="00B02AB0" w:rsidRDefault="00B02AB0" w:rsidP="001C2423">
            <w:pPr>
              <w:rPr>
                <w:rFonts w:ascii="Arial" w:hAnsi="Arial" w:cs="Arial"/>
                <w:sz w:val="18"/>
                <w:szCs w:val="18"/>
              </w:rPr>
            </w:pPr>
            <w:r>
              <w:rPr>
                <w:rFonts w:ascii="Arial" w:hAnsi="Arial" w:cs="Arial"/>
                <w:sz w:val="18"/>
                <w:szCs w:val="18"/>
              </w:rPr>
              <w:t>2024-39</w:t>
            </w:r>
          </w:p>
        </w:tc>
        <w:tc>
          <w:tcPr>
            <w:tcW w:w="1057" w:type="dxa"/>
            <w:tcBorders>
              <w:top w:val="nil"/>
              <w:left w:val="nil"/>
              <w:bottom w:val="single" w:sz="4" w:space="0" w:color="auto"/>
              <w:right w:val="nil"/>
            </w:tcBorders>
            <w:shd w:val="clear" w:color="auto" w:fill="auto"/>
            <w:noWrap/>
            <w:vAlign w:val="bottom"/>
          </w:tcPr>
          <w:p w:rsidR="00B02AB0" w:rsidRPr="002158DF" w:rsidRDefault="00B02AB0">
            <w:pPr>
              <w:jc w:val="right"/>
              <w:rPr>
                <w:rFonts w:ascii="Arial" w:hAnsi="Arial" w:cs="Arial"/>
                <w:sz w:val="18"/>
                <w:szCs w:val="18"/>
              </w:rPr>
            </w:pPr>
            <w:r>
              <w:rPr>
                <w:rFonts w:ascii="Arial" w:hAnsi="Arial" w:cs="Arial"/>
                <w:sz w:val="18"/>
                <w:szCs w:val="18"/>
              </w:rPr>
              <w:t>1.21</w:t>
            </w:r>
          </w:p>
        </w:tc>
        <w:tc>
          <w:tcPr>
            <w:tcW w:w="1007" w:type="dxa"/>
            <w:tcBorders>
              <w:top w:val="nil"/>
              <w:left w:val="nil"/>
              <w:bottom w:val="single" w:sz="4" w:space="0" w:color="auto"/>
              <w:right w:val="nil"/>
            </w:tcBorders>
            <w:shd w:val="clear" w:color="auto" w:fill="auto"/>
            <w:noWrap/>
            <w:vAlign w:val="bottom"/>
          </w:tcPr>
          <w:p w:rsidR="00B02AB0" w:rsidRPr="002158DF" w:rsidRDefault="00B02AB0">
            <w:pPr>
              <w:jc w:val="right"/>
              <w:rPr>
                <w:rFonts w:ascii="Arial" w:hAnsi="Arial" w:cs="Arial"/>
                <w:sz w:val="18"/>
                <w:szCs w:val="18"/>
              </w:rPr>
            </w:pPr>
            <w:r>
              <w:rPr>
                <w:rFonts w:ascii="Arial" w:hAnsi="Arial" w:cs="Arial"/>
                <w:sz w:val="18"/>
                <w:szCs w:val="18"/>
              </w:rPr>
              <w:t>1.20</w:t>
            </w:r>
          </w:p>
        </w:tc>
        <w:tc>
          <w:tcPr>
            <w:tcW w:w="1007" w:type="dxa"/>
            <w:tcBorders>
              <w:top w:val="nil"/>
              <w:left w:val="nil"/>
              <w:bottom w:val="single" w:sz="4" w:space="0" w:color="auto"/>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1.24</w:t>
            </w:r>
          </w:p>
        </w:tc>
        <w:tc>
          <w:tcPr>
            <w:tcW w:w="1086" w:type="dxa"/>
            <w:tcBorders>
              <w:top w:val="nil"/>
              <w:left w:val="nil"/>
              <w:bottom w:val="single" w:sz="4" w:space="0" w:color="auto"/>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1.26</w:t>
            </w:r>
          </w:p>
        </w:tc>
      </w:tr>
    </w:tbl>
    <w:p w:rsidR="002D1255" w:rsidRDefault="002D1255"/>
    <w:p w:rsidR="002D1255" w:rsidRDefault="002D1255"/>
    <w:p w:rsidR="007E44CF" w:rsidRDefault="00977215">
      <w:r>
        <w:t>.</w:t>
      </w:r>
    </w:p>
    <w:p w:rsidR="00E24544" w:rsidRDefault="00E24544"/>
    <w:p w:rsidR="00E95559" w:rsidRDefault="00E95559"/>
    <w:p w:rsidR="00D2038B" w:rsidRDefault="00D2038B" w:rsidP="00D2038B">
      <w:pPr>
        <w:rPr>
          <w:rFonts w:ascii="Arial" w:hAnsi="Arial" w:cs="Arial"/>
          <w:b/>
          <w:sz w:val="20"/>
          <w:szCs w:val="20"/>
        </w:rPr>
      </w:pPr>
      <w:r>
        <w:rPr>
          <w:rFonts w:ascii="Arial" w:hAnsi="Arial" w:cs="Arial"/>
          <w:b/>
          <w:sz w:val="20"/>
          <w:szCs w:val="20"/>
        </w:rPr>
        <w:br w:type="page"/>
      </w:r>
      <w:proofErr w:type="gramStart"/>
      <w:r w:rsidR="00A500E6">
        <w:rPr>
          <w:rFonts w:ascii="Arial" w:hAnsi="Arial" w:cs="Arial"/>
          <w:b/>
          <w:sz w:val="20"/>
          <w:szCs w:val="20"/>
        </w:rPr>
        <w:lastRenderedPageBreak/>
        <w:t xml:space="preserve">Table </w:t>
      </w:r>
      <w:r w:rsidR="001E5B43">
        <w:rPr>
          <w:rFonts w:ascii="Arial" w:hAnsi="Arial" w:cs="Arial"/>
          <w:b/>
          <w:sz w:val="20"/>
          <w:szCs w:val="20"/>
        </w:rPr>
        <w:t>10</w:t>
      </w:r>
      <w:r>
        <w:rPr>
          <w:rFonts w:ascii="Arial" w:hAnsi="Arial" w:cs="Arial"/>
          <w:b/>
          <w:sz w:val="20"/>
          <w:szCs w:val="20"/>
        </w:rPr>
        <w:t>.</w:t>
      </w:r>
      <w:proofErr w:type="gramEnd"/>
      <w:r>
        <w:rPr>
          <w:rFonts w:ascii="Arial" w:hAnsi="Arial" w:cs="Arial"/>
          <w:b/>
          <w:sz w:val="20"/>
          <w:szCs w:val="20"/>
        </w:rPr>
        <w:t xml:space="preserve"> Relative increase in numbers of dwellings by tenure,</w:t>
      </w:r>
    </w:p>
    <w:p w:rsidR="00D2038B" w:rsidRPr="00BB00C9" w:rsidRDefault="00D2038B" w:rsidP="00D2038B">
      <w:pPr>
        <w:rPr>
          <w:rFonts w:ascii="Arial" w:hAnsi="Arial" w:cs="Arial"/>
          <w:b/>
          <w:sz w:val="20"/>
          <w:szCs w:val="20"/>
        </w:rPr>
      </w:pPr>
      <w:r>
        <w:rPr>
          <w:rFonts w:ascii="Arial" w:hAnsi="Arial" w:cs="Arial"/>
          <w:b/>
          <w:sz w:val="20"/>
          <w:szCs w:val="20"/>
        </w:rPr>
        <w:t>Medium scenario</w:t>
      </w:r>
    </w:p>
    <w:tbl>
      <w:tblPr>
        <w:tblW w:w="7097" w:type="dxa"/>
        <w:tblInd w:w="93" w:type="dxa"/>
        <w:tblLook w:val="0000"/>
      </w:tblPr>
      <w:tblGrid>
        <w:gridCol w:w="1858"/>
        <w:gridCol w:w="1134"/>
        <w:gridCol w:w="1057"/>
        <w:gridCol w:w="1097"/>
        <w:gridCol w:w="1007"/>
        <w:gridCol w:w="1086"/>
      </w:tblGrid>
      <w:tr w:rsidR="00D2038B" w:rsidTr="00275CDC">
        <w:trPr>
          <w:trHeight w:val="255"/>
        </w:trPr>
        <w:tc>
          <w:tcPr>
            <w:tcW w:w="1858" w:type="dxa"/>
            <w:tcBorders>
              <w:left w:val="nil"/>
              <w:right w:val="nil"/>
            </w:tcBorders>
            <w:shd w:val="clear" w:color="auto" w:fill="auto"/>
            <w:noWrap/>
            <w:vAlign w:val="bottom"/>
          </w:tcPr>
          <w:p w:rsidR="00D2038B" w:rsidRPr="00511632" w:rsidRDefault="00D2038B" w:rsidP="00D2038B">
            <w:pPr>
              <w:rPr>
                <w:rFonts w:ascii="Arial" w:hAnsi="Arial" w:cs="Arial"/>
                <w:b/>
                <w:sz w:val="18"/>
                <w:szCs w:val="18"/>
              </w:rPr>
            </w:pPr>
            <w:r w:rsidRPr="00511632">
              <w:rPr>
                <w:rFonts w:ascii="Arial" w:hAnsi="Arial" w:cs="Arial"/>
                <w:b/>
                <w:sz w:val="18"/>
                <w:szCs w:val="18"/>
              </w:rPr>
              <w:t>Region</w:t>
            </w:r>
          </w:p>
        </w:tc>
        <w:tc>
          <w:tcPr>
            <w:tcW w:w="1134" w:type="dxa"/>
            <w:tcBorders>
              <w:left w:val="nil"/>
              <w:right w:val="nil"/>
            </w:tcBorders>
            <w:shd w:val="clear" w:color="auto" w:fill="auto"/>
            <w:noWrap/>
            <w:vAlign w:val="bottom"/>
          </w:tcPr>
          <w:p w:rsidR="00D2038B" w:rsidRPr="00511632" w:rsidRDefault="00D2038B" w:rsidP="00D2038B">
            <w:pPr>
              <w:rPr>
                <w:rFonts w:ascii="Arial" w:hAnsi="Arial" w:cs="Arial"/>
                <w:b/>
                <w:sz w:val="18"/>
                <w:szCs w:val="18"/>
              </w:rPr>
            </w:pPr>
            <w:r>
              <w:rPr>
                <w:rFonts w:ascii="Arial" w:hAnsi="Arial" w:cs="Arial"/>
                <w:b/>
                <w:sz w:val="18"/>
                <w:szCs w:val="18"/>
              </w:rPr>
              <w:t>Period</w:t>
            </w:r>
          </w:p>
        </w:tc>
        <w:tc>
          <w:tcPr>
            <w:tcW w:w="915" w:type="dxa"/>
            <w:tcBorders>
              <w:top w:val="nil"/>
              <w:left w:val="nil"/>
              <w:bottom w:val="nil"/>
              <w:right w:val="nil"/>
            </w:tcBorders>
            <w:shd w:val="clear" w:color="auto" w:fill="auto"/>
            <w:noWrap/>
            <w:vAlign w:val="bottom"/>
          </w:tcPr>
          <w:p w:rsidR="00D2038B" w:rsidRDefault="00D2038B" w:rsidP="00D2038B">
            <w:pPr>
              <w:jc w:val="center"/>
              <w:rPr>
                <w:rFonts w:ascii="Arial" w:hAnsi="Arial" w:cs="Arial"/>
                <w:b/>
                <w:sz w:val="18"/>
                <w:szCs w:val="18"/>
              </w:rPr>
            </w:pPr>
            <w:r>
              <w:rPr>
                <w:rFonts w:ascii="Arial" w:hAnsi="Arial" w:cs="Arial"/>
                <w:b/>
                <w:sz w:val="18"/>
                <w:szCs w:val="18"/>
              </w:rPr>
              <w:t>Total Dwellings</w:t>
            </w:r>
          </w:p>
        </w:tc>
        <w:tc>
          <w:tcPr>
            <w:tcW w:w="1097" w:type="dxa"/>
            <w:tcBorders>
              <w:top w:val="nil"/>
              <w:left w:val="nil"/>
              <w:bottom w:val="nil"/>
              <w:right w:val="nil"/>
            </w:tcBorders>
            <w:shd w:val="clear" w:color="auto" w:fill="auto"/>
            <w:noWrap/>
            <w:vAlign w:val="bottom"/>
          </w:tcPr>
          <w:p w:rsidR="00D2038B" w:rsidRDefault="00D2038B" w:rsidP="00D2038B">
            <w:pPr>
              <w:jc w:val="center"/>
              <w:rPr>
                <w:rFonts w:ascii="Arial" w:hAnsi="Arial" w:cs="Arial"/>
                <w:b/>
                <w:sz w:val="18"/>
                <w:szCs w:val="18"/>
              </w:rPr>
            </w:pPr>
            <w:r>
              <w:rPr>
                <w:rFonts w:ascii="Arial" w:hAnsi="Arial" w:cs="Arial"/>
                <w:b/>
                <w:sz w:val="18"/>
                <w:szCs w:val="18"/>
              </w:rPr>
              <w:t xml:space="preserve"> Owner</w:t>
            </w:r>
          </w:p>
          <w:p w:rsidR="00D2038B" w:rsidRDefault="00D2038B" w:rsidP="00D2038B">
            <w:pPr>
              <w:jc w:val="center"/>
              <w:rPr>
                <w:rFonts w:ascii="Arial" w:hAnsi="Arial" w:cs="Arial"/>
                <w:b/>
                <w:sz w:val="18"/>
                <w:szCs w:val="18"/>
              </w:rPr>
            </w:pPr>
            <w:r>
              <w:rPr>
                <w:rFonts w:ascii="Arial" w:hAnsi="Arial" w:cs="Arial"/>
                <w:b/>
                <w:sz w:val="18"/>
                <w:szCs w:val="18"/>
              </w:rPr>
              <w:t>Purchaser</w:t>
            </w:r>
          </w:p>
        </w:tc>
        <w:tc>
          <w:tcPr>
            <w:tcW w:w="1007" w:type="dxa"/>
            <w:tcBorders>
              <w:top w:val="nil"/>
              <w:left w:val="nil"/>
              <w:bottom w:val="nil"/>
              <w:right w:val="nil"/>
            </w:tcBorders>
            <w:shd w:val="clear" w:color="auto" w:fill="auto"/>
            <w:noWrap/>
            <w:vAlign w:val="bottom"/>
          </w:tcPr>
          <w:p w:rsidR="00D2038B" w:rsidRDefault="00D2038B" w:rsidP="00D2038B">
            <w:pPr>
              <w:jc w:val="center"/>
              <w:rPr>
                <w:rFonts w:ascii="Arial" w:hAnsi="Arial" w:cs="Arial"/>
                <w:b/>
                <w:sz w:val="18"/>
                <w:szCs w:val="18"/>
              </w:rPr>
            </w:pPr>
            <w:r>
              <w:rPr>
                <w:rFonts w:ascii="Arial" w:hAnsi="Arial" w:cs="Arial"/>
                <w:b/>
                <w:sz w:val="18"/>
                <w:szCs w:val="18"/>
              </w:rPr>
              <w:t>Public Renter</w:t>
            </w:r>
          </w:p>
        </w:tc>
        <w:tc>
          <w:tcPr>
            <w:tcW w:w="1086" w:type="dxa"/>
            <w:tcBorders>
              <w:top w:val="nil"/>
              <w:left w:val="nil"/>
              <w:bottom w:val="nil"/>
              <w:right w:val="nil"/>
            </w:tcBorders>
            <w:shd w:val="clear" w:color="auto" w:fill="auto"/>
            <w:noWrap/>
            <w:vAlign w:val="bottom"/>
          </w:tcPr>
          <w:p w:rsidR="00D2038B" w:rsidRPr="00511632" w:rsidRDefault="00D2038B" w:rsidP="00D2038B">
            <w:pPr>
              <w:jc w:val="center"/>
              <w:rPr>
                <w:rFonts w:ascii="Arial" w:hAnsi="Arial" w:cs="Arial"/>
                <w:b/>
                <w:sz w:val="18"/>
                <w:szCs w:val="18"/>
              </w:rPr>
            </w:pPr>
            <w:r>
              <w:rPr>
                <w:rFonts w:ascii="Arial" w:hAnsi="Arial" w:cs="Arial"/>
                <w:b/>
                <w:sz w:val="18"/>
                <w:szCs w:val="18"/>
              </w:rPr>
              <w:t>Private Renter</w:t>
            </w:r>
          </w:p>
        </w:tc>
      </w:tr>
      <w:tr w:rsidR="00185097" w:rsidTr="00275CDC">
        <w:trPr>
          <w:trHeight w:val="255"/>
        </w:trPr>
        <w:tc>
          <w:tcPr>
            <w:tcW w:w="1858" w:type="dxa"/>
            <w:tcBorders>
              <w:top w:val="nil"/>
              <w:left w:val="nil"/>
              <w:bottom w:val="nil"/>
              <w:right w:val="nil"/>
            </w:tcBorders>
            <w:shd w:val="clear" w:color="auto" w:fill="auto"/>
            <w:noWrap/>
            <w:vAlign w:val="bottom"/>
          </w:tcPr>
          <w:p w:rsidR="00185097" w:rsidRPr="006F2E40" w:rsidRDefault="00185097" w:rsidP="00D2038B">
            <w:pPr>
              <w:rPr>
                <w:rFonts w:ascii="Arial" w:hAnsi="Arial" w:cs="Arial"/>
                <w:sz w:val="18"/>
                <w:szCs w:val="18"/>
              </w:rPr>
            </w:pPr>
            <w:r w:rsidRPr="006F2E40">
              <w:rPr>
                <w:rFonts w:ascii="Arial" w:hAnsi="Arial" w:cs="Arial"/>
                <w:sz w:val="18"/>
                <w:szCs w:val="18"/>
              </w:rPr>
              <w:t>NSW</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185097" w:rsidRPr="006F2E40" w:rsidRDefault="007B2187" w:rsidP="00D2038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185097" w:rsidRPr="002158DF" w:rsidRDefault="00185097" w:rsidP="00D2038B">
            <w:pPr>
              <w:jc w:val="right"/>
              <w:rPr>
                <w:rFonts w:ascii="Arial" w:hAnsi="Arial" w:cs="Arial"/>
                <w:sz w:val="18"/>
                <w:szCs w:val="18"/>
              </w:rPr>
            </w:pPr>
            <w:r w:rsidRPr="002158DF">
              <w:rPr>
                <w:rFonts w:ascii="Arial" w:hAnsi="Arial" w:cs="Arial"/>
                <w:sz w:val="18"/>
                <w:szCs w:val="18"/>
              </w:rPr>
              <w:t>1.23</w:t>
            </w:r>
          </w:p>
        </w:tc>
        <w:tc>
          <w:tcPr>
            <w:tcW w:w="1097" w:type="dxa"/>
            <w:tcBorders>
              <w:top w:val="nil"/>
              <w:left w:val="nil"/>
              <w:bottom w:val="nil"/>
              <w:right w:val="nil"/>
            </w:tcBorders>
            <w:shd w:val="clear" w:color="auto" w:fill="auto"/>
            <w:noWrap/>
            <w:vAlign w:val="bottom"/>
          </w:tcPr>
          <w:p w:rsidR="00185097" w:rsidRPr="00A500E6" w:rsidRDefault="00185097">
            <w:pPr>
              <w:jc w:val="right"/>
              <w:rPr>
                <w:rFonts w:ascii="Arial" w:hAnsi="Arial" w:cs="Arial"/>
                <w:sz w:val="18"/>
                <w:szCs w:val="18"/>
              </w:rPr>
            </w:pPr>
            <w:r w:rsidRPr="00A500E6">
              <w:rPr>
                <w:rFonts w:ascii="Arial" w:hAnsi="Arial" w:cs="Arial"/>
                <w:sz w:val="18"/>
                <w:szCs w:val="18"/>
              </w:rPr>
              <w:t>1.24</w:t>
            </w:r>
          </w:p>
        </w:tc>
        <w:tc>
          <w:tcPr>
            <w:tcW w:w="1007" w:type="dxa"/>
            <w:tcBorders>
              <w:top w:val="nil"/>
              <w:left w:val="nil"/>
              <w:bottom w:val="nil"/>
              <w:right w:val="nil"/>
            </w:tcBorders>
            <w:shd w:val="clear" w:color="auto" w:fill="auto"/>
            <w:noWrap/>
            <w:vAlign w:val="bottom"/>
          </w:tcPr>
          <w:p w:rsidR="00185097" w:rsidRPr="00A500E6" w:rsidRDefault="00185097">
            <w:pPr>
              <w:jc w:val="right"/>
              <w:rPr>
                <w:rFonts w:ascii="Arial" w:hAnsi="Arial" w:cs="Arial"/>
                <w:sz w:val="18"/>
                <w:szCs w:val="18"/>
              </w:rPr>
            </w:pPr>
            <w:r w:rsidRPr="00A500E6">
              <w:rPr>
                <w:rFonts w:ascii="Arial" w:hAnsi="Arial" w:cs="Arial"/>
                <w:sz w:val="18"/>
                <w:szCs w:val="18"/>
              </w:rPr>
              <w:t>1.22</w:t>
            </w:r>
          </w:p>
        </w:tc>
        <w:tc>
          <w:tcPr>
            <w:tcW w:w="1086" w:type="dxa"/>
            <w:tcBorders>
              <w:top w:val="nil"/>
              <w:left w:val="nil"/>
              <w:bottom w:val="nil"/>
              <w:right w:val="nil"/>
            </w:tcBorders>
            <w:shd w:val="clear" w:color="auto" w:fill="auto"/>
            <w:noWrap/>
            <w:vAlign w:val="bottom"/>
          </w:tcPr>
          <w:p w:rsidR="00185097" w:rsidRPr="00A500E6" w:rsidRDefault="007B2187">
            <w:pPr>
              <w:jc w:val="right"/>
              <w:rPr>
                <w:rFonts w:ascii="Arial" w:hAnsi="Arial" w:cs="Arial"/>
                <w:sz w:val="18"/>
                <w:szCs w:val="18"/>
              </w:rPr>
            </w:pPr>
            <w:r>
              <w:rPr>
                <w:rFonts w:ascii="Arial" w:hAnsi="Arial" w:cs="Arial"/>
                <w:sz w:val="18"/>
                <w:szCs w:val="18"/>
              </w:rPr>
              <w:t>1.18</w:t>
            </w:r>
          </w:p>
        </w:tc>
      </w:tr>
      <w:tr w:rsidR="00185097" w:rsidTr="00275CDC">
        <w:trPr>
          <w:trHeight w:val="255"/>
        </w:trPr>
        <w:tc>
          <w:tcPr>
            <w:tcW w:w="1858" w:type="dxa"/>
            <w:tcBorders>
              <w:top w:val="nil"/>
              <w:left w:val="nil"/>
              <w:bottom w:val="nil"/>
              <w:right w:val="nil"/>
            </w:tcBorders>
            <w:shd w:val="clear" w:color="auto" w:fill="auto"/>
            <w:noWrap/>
            <w:vAlign w:val="bottom"/>
          </w:tcPr>
          <w:p w:rsidR="00185097" w:rsidRPr="006F2E40" w:rsidRDefault="0018509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185097" w:rsidRPr="006F2E40" w:rsidRDefault="007B2187" w:rsidP="00D2038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185097" w:rsidRPr="002158DF" w:rsidRDefault="00185097" w:rsidP="00D2038B">
            <w:pPr>
              <w:jc w:val="right"/>
              <w:rPr>
                <w:rFonts w:ascii="Arial" w:hAnsi="Arial" w:cs="Arial"/>
                <w:sz w:val="18"/>
                <w:szCs w:val="18"/>
              </w:rPr>
            </w:pPr>
            <w:r w:rsidRPr="002158DF">
              <w:rPr>
                <w:rFonts w:ascii="Arial" w:hAnsi="Arial" w:cs="Arial"/>
                <w:sz w:val="18"/>
                <w:szCs w:val="18"/>
              </w:rPr>
              <w:t>1.19</w:t>
            </w:r>
          </w:p>
        </w:tc>
        <w:tc>
          <w:tcPr>
            <w:tcW w:w="1097" w:type="dxa"/>
            <w:tcBorders>
              <w:top w:val="nil"/>
              <w:left w:val="nil"/>
              <w:bottom w:val="nil"/>
              <w:right w:val="nil"/>
            </w:tcBorders>
            <w:shd w:val="clear" w:color="auto" w:fill="auto"/>
            <w:noWrap/>
            <w:vAlign w:val="bottom"/>
          </w:tcPr>
          <w:p w:rsidR="00185097" w:rsidRPr="00A500E6" w:rsidRDefault="007B2187">
            <w:pPr>
              <w:jc w:val="right"/>
              <w:rPr>
                <w:rFonts w:ascii="Arial" w:hAnsi="Arial" w:cs="Arial"/>
                <w:sz w:val="18"/>
                <w:szCs w:val="18"/>
              </w:rPr>
            </w:pPr>
            <w:r>
              <w:rPr>
                <w:rFonts w:ascii="Arial" w:hAnsi="Arial" w:cs="Arial"/>
                <w:sz w:val="18"/>
                <w:szCs w:val="18"/>
              </w:rPr>
              <w:t>1.19</w:t>
            </w:r>
          </w:p>
        </w:tc>
        <w:tc>
          <w:tcPr>
            <w:tcW w:w="1007" w:type="dxa"/>
            <w:tcBorders>
              <w:top w:val="nil"/>
              <w:left w:val="nil"/>
              <w:bottom w:val="nil"/>
              <w:right w:val="nil"/>
            </w:tcBorders>
            <w:shd w:val="clear" w:color="auto" w:fill="auto"/>
            <w:noWrap/>
            <w:vAlign w:val="bottom"/>
          </w:tcPr>
          <w:p w:rsidR="00185097" w:rsidRPr="00A500E6" w:rsidRDefault="007B2187">
            <w:pPr>
              <w:jc w:val="right"/>
              <w:rPr>
                <w:rFonts w:ascii="Arial" w:hAnsi="Arial" w:cs="Arial"/>
                <w:sz w:val="18"/>
                <w:szCs w:val="18"/>
              </w:rPr>
            </w:pPr>
            <w:r>
              <w:rPr>
                <w:rFonts w:ascii="Arial" w:hAnsi="Arial" w:cs="Arial"/>
                <w:sz w:val="18"/>
                <w:szCs w:val="18"/>
              </w:rPr>
              <w:t>1.20</w:t>
            </w:r>
          </w:p>
        </w:tc>
        <w:tc>
          <w:tcPr>
            <w:tcW w:w="1086" w:type="dxa"/>
            <w:tcBorders>
              <w:top w:val="nil"/>
              <w:left w:val="nil"/>
              <w:bottom w:val="nil"/>
              <w:right w:val="nil"/>
            </w:tcBorders>
            <w:shd w:val="clear" w:color="auto" w:fill="auto"/>
            <w:noWrap/>
            <w:vAlign w:val="bottom"/>
          </w:tcPr>
          <w:p w:rsidR="00185097" w:rsidRPr="00A500E6" w:rsidRDefault="007B2187">
            <w:pPr>
              <w:jc w:val="right"/>
              <w:rPr>
                <w:rFonts w:ascii="Arial" w:hAnsi="Arial" w:cs="Arial"/>
                <w:sz w:val="18"/>
                <w:szCs w:val="18"/>
              </w:rPr>
            </w:pPr>
            <w:r>
              <w:rPr>
                <w:rFonts w:ascii="Arial" w:hAnsi="Arial" w:cs="Arial"/>
                <w:sz w:val="18"/>
                <w:szCs w:val="18"/>
              </w:rPr>
              <w:t>1.17</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NSW</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1.23</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1.25</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1.24</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w:t>
            </w:r>
            <w:r>
              <w:rPr>
                <w:rFonts w:ascii="Arial" w:hAnsi="Arial" w:cs="Arial"/>
                <w:sz w:val="18"/>
                <w:szCs w:val="18"/>
              </w:rPr>
              <w:t>.15</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1.13</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1.14</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1.17</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1.08</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VIC</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1.30</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1.30</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1.38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1.27</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1.23</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1.31</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1.23</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VIC</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1.22</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1.26</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1.15</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1.13</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1.13</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1.19</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1.09</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QLD</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1.37</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1.39</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1.41</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1.31</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1.29</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1.28</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1.34</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1.29</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QLD</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1.42</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1.46</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1.45</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w:t>
            </w:r>
            <w:r>
              <w:rPr>
                <w:rFonts w:ascii="Arial" w:hAnsi="Arial" w:cs="Arial"/>
                <w:sz w:val="18"/>
                <w:szCs w:val="18"/>
              </w:rPr>
              <w:t>3</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1.29</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1.30</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1.34</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1.24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SA</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1.16</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1.17</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1.21</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1.10</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1.12</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1.12</w:t>
            </w:r>
          </w:p>
        </w:tc>
        <w:tc>
          <w:tcPr>
            <w:tcW w:w="100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1.17</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1.09</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SA</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1.20</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1.21</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1.12</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1.12</w:t>
            </w:r>
          </w:p>
        </w:tc>
        <w:tc>
          <w:tcPr>
            <w:tcW w:w="100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1.08</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WA</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1.40</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1.42</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1.55</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1.29</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1.29</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1.41</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1.30</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WA</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1.36</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1.41</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1.42</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w:t>
            </w:r>
            <w:r>
              <w:rPr>
                <w:rFonts w:ascii="Arial" w:hAnsi="Arial" w:cs="Arial"/>
                <w:sz w:val="18"/>
                <w:szCs w:val="18"/>
              </w:rPr>
              <w:t>.23</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1.21</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1.23</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1.29</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TAS</w:t>
            </w:r>
            <w:r w:rsidR="00584ABA">
              <w:rPr>
                <w:rFonts w:ascii="Arial" w:hAnsi="Arial" w:cs="Arial"/>
                <w:sz w:val="18"/>
                <w:szCs w:val="18"/>
              </w:rPr>
              <w:t xml:space="preserve"> capital city</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1.19</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1.21</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1.19</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1.10</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1.13</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1.14</w:t>
            </w:r>
          </w:p>
        </w:tc>
        <w:tc>
          <w:tcPr>
            <w:tcW w:w="100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1.17</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1.11</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TAS</w:t>
            </w:r>
            <w:r w:rsidR="006A54E5">
              <w:rPr>
                <w:rFonts w:ascii="Arial" w:hAnsi="Arial" w:cs="Arial"/>
                <w:sz w:val="18"/>
                <w:szCs w:val="18"/>
              </w:rPr>
              <w:t xml:space="preserve"> balance of state</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1.15</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1.16</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1.17</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1.09</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1.05</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1.06</w:t>
            </w:r>
          </w:p>
        </w:tc>
        <w:tc>
          <w:tcPr>
            <w:tcW w:w="100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1.09</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1.02</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NT</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1.31</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1.35</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1.22</w:t>
            </w:r>
          </w:p>
        </w:tc>
        <w:tc>
          <w:tcPr>
            <w:tcW w:w="109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1.22</w:t>
            </w:r>
          </w:p>
        </w:tc>
        <w:tc>
          <w:tcPr>
            <w:tcW w:w="1007"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1.33</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1.19</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ACT</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Pr>
                <w:rFonts w:ascii="Arial" w:hAnsi="Arial" w:cs="Arial"/>
                <w:sz w:val="18"/>
                <w:szCs w:val="18"/>
              </w:rPr>
              <w:t>1.25</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1.27</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1.28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1.14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202F1B" w:rsidP="00D2038B">
            <w:pPr>
              <w:jc w:val="right"/>
              <w:rPr>
                <w:rFonts w:ascii="Arial" w:hAnsi="Arial" w:cs="Arial"/>
                <w:sz w:val="18"/>
                <w:szCs w:val="18"/>
              </w:rPr>
            </w:pPr>
            <w:r>
              <w:rPr>
                <w:rFonts w:ascii="Arial" w:hAnsi="Arial" w:cs="Arial"/>
                <w:sz w:val="18"/>
                <w:szCs w:val="18"/>
              </w:rPr>
              <w:t>1.17</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1.17</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1.21</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1.14</w:t>
            </w:r>
          </w:p>
        </w:tc>
      </w:tr>
      <w:tr w:rsidR="007B2187" w:rsidTr="00275CDC">
        <w:trPr>
          <w:trHeight w:val="255"/>
        </w:trPr>
        <w:tc>
          <w:tcPr>
            <w:tcW w:w="1858" w:type="dxa"/>
            <w:tcBorders>
              <w:top w:val="nil"/>
              <w:left w:val="nil"/>
              <w:bottom w:val="nil"/>
              <w:right w:val="nil"/>
            </w:tcBorders>
            <w:shd w:val="clear" w:color="auto" w:fill="auto"/>
            <w:noWrap/>
            <w:vAlign w:val="bottom"/>
          </w:tcPr>
          <w:p w:rsidR="007B2187" w:rsidRPr="006F2E40" w:rsidRDefault="00C62945" w:rsidP="00D2038B">
            <w:pPr>
              <w:rPr>
                <w:rFonts w:ascii="Arial" w:hAnsi="Arial" w:cs="Arial"/>
                <w:sz w:val="18"/>
                <w:szCs w:val="18"/>
              </w:rPr>
            </w:pPr>
            <w:smartTag w:uri="urn:schemas-microsoft-com:office:smarttags" w:element="place">
              <w:r>
                <w:rPr>
                  <w:rFonts w:ascii="Arial" w:hAnsi="Arial" w:cs="Arial"/>
                  <w:sz w:val="18"/>
                  <w:szCs w:val="18"/>
                </w:rPr>
                <w:t>SE QLD</w:t>
              </w:r>
            </w:smartTag>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2009-24</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1.43</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1.46</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Pr>
                <w:rFonts w:ascii="Arial" w:hAnsi="Arial" w:cs="Arial"/>
                <w:sz w:val="18"/>
                <w:szCs w:val="18"/>
              </w:rPr>
              <w:t>1.48</w:t>
            </w:r>
          </w:p>
        </w:tc>
        <w:tc>
          <w:tcPr>
            <w:tcW w:w="1086"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1.36</w:t>
            </w:r>
          </w:p>
        </w:tc>
      </w:tr>
      <w:tr w:rsidR="007B2187" w:rsidTr="00B02AB0">
        <w:trPr>
          <w:trHeight w:val="255"/>
        </w:trPr>
        <w:tc>
          <w:tcPr>
            <w:tcW w:w="1858" w:type="dxa"/>
            <w:tcBorders>
              <w:top w:val="nil"/>
              <w:left w:val="nil"/>
              <w:bottom w:val="nil"/>
              <w:right w:val="nil"/>
            </w:tcBorders>
            <w:shd w:val="clear" w:color="auto" w:fill="auto"/>
            <w:noWrap/>
            <w:vAlign w:val="bottom"/>
          </w:tcPr>
          <w:p w:rsidR="007B2187" w:rsidRPr="006F2E40" w:rsidRDefault="007B2187" w:rsidP="00D2038B">
            <w:pPr>
              <w:rPr>
                <w:rFonts w:ascii="Arial" w:hAnsi="Arial" w:cs="Arial"/>
                <w:sz w:val="18"/>
                <w:szCs w:val="18"/>
              </w:rPr>
            </w:pPr>
            <w:r w:rsidRPr="006F2E40">
              <w:rPr>
                <w:rFonts w:ascii="Arial" w:hAnsi="Arial" w:cs="Arial"/>
                <w:sz w:val="18"/>
                <w:szCs w:val="18"/>
              </w:rPr>
              <w:t> </w:t>
            </w:r>
          </w:p>
        </w:tc>
        <w:tc>
          <w:tcPr>
            <w:tcW w:w="1134" w:type="dxa"/>
            <w:tcBorders>
              <w:top w:val="nil"/>
              <w:left w:val="nil"/>
              <w:bottom w:val="nil"/>
              <w:right w:val="nil"/>
            </w:tcBorders>
            <w:shd w:val="clear" w:color="auto" w:fill="auto"/>
            <w:noWrap/>
            <w:vAlign w:val="bottom"/>
          </w:tcPr>
          <w:p w:rsidR="007B2187" w:rsidRPr="006F2E40" w:rsidRDefault="007B2187" w:rsidP="0054659B">
            <w:pPr>
              <w:rPr>
                <w:rFonts w:ascii="Arial" w:hAnsi="Arial" w:cs="Arial"/>
                <w:sz w:val="18"/>
                <w:szCs w:val="18"/>
              </w:rPr>
            </w:pPr>
            <w:r>
              <w:rPr>
                <w:rFonts w:ascii="Arial" w:hAnsi="Arial" w:cs="Arial"/>
                <w:sz w:val="18"/>
                <w:szCs w:val="18"/>
              </w:rPr>
              <w:t>2024-39</w:t>
            </w:r>
          </w:p>
        </w:tc>
        <w:tc>
          <w:tcPr>
            <w:tcW w:w="915" w:type="dxa"/>
            <w:tcBorders>
              <w:top w:val="nil"/>
              <w:left w:val="nil"/>
              <w:bottom w:val="nil"/>
              <w:right w:val="nil"/>
            </w:tcBorders>
            <w:shd w:val="clear" w:color="auto" w:fill="auto"/>
            <w:noWrap/>
            <w:vAlign w:val="bottom"/>
          </w:tcPr>
          <w:p w:rsidR="007B2187" w:rsidRPr="002158DF" w:rsidRDefault="007B2187" w:rsidP="00D2038B">
            <w:pPr>
              <w:jc w:val="right"/>
              <w:rPr>
                <w:rFonts w:ascii="Arial" w:hAnsi="Arial" w:cs="Arial"/>
                <w:sz w:val="18"/>
                <w:szCs w:val="18"/>
              </w:rPr>
            </w:pPr>
            <w:r w:rsidRPr="002158DF">
              <w:rPr>
                <w:rFonts w:ascii="Arial" w:hAnsi="Arial" w:cs="Arial"/>
                <w:sz w:val="18"/>
                <w:szCs w:val="18"/>
              </w:rPr>
              <w:t>1.32</w:t>
            </w:r>
          </w:p>
        </w:tc>
        <w:tc>
          <w:tcPr>
            <w:tcW w:w="109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1.32</w:t>
            </w:r>
          </w:p>
        </w:tc>
        <w:tc>
          <w:tcPr>
            <w:tcW w:w="1007" w:type="dxa"/>
            <w:tcBorders>
              <w:top w:val="nil"/>
              <w:left w:val="nil"/>
              <w:bottom w:val="nil"/>
              <w:right w:val="nil"/>
            </w:tcBorders>
            <w:shd w:val="clear" w:color="auto" w:fill="auto"/>
            <w:noWrap/>
            <w:vAlign w:val="bottom"/>
          </w:tcPr>
          <w:p w:rsidR="007B2187" w:rsidRPr="00A500E6" w:rsidRDefault="007B2187">
            <w:pPr>
              <w:jc w:val="right"/>
              <w:rPr>
                <w:rFonts w:ascii="Arial" w:hAnsi="Arial" w:cs="Arial"/>
                <w:sz w:val="18"/>
                <w:szCs w:val="18"/>
              </w:rPr>
            </w:pPr>
            <w:r w:rsidRPr="00A500E6">
              <w:rPr>
                <w:rFonts w:ascii="Arial" w:hAnsi="Arial" w:cs="Arial"/>
                <w:sz w:val="18"/>
                <w:szCs w:val="18"/>
              </w:rPr>
              <w:t>1.37</w:t>
            </w:r>
          </w:p>
        </w:tc>
        <w:tc>
          <w:tcPr>
            <w:tcW w:w="1086" w:type="dxa"/>
            <w:tcBorders>
              <w:top w:val="nil"/>
              <w:left w:val="nil"/>
              <w:bottom w:val="nil"/>
              <w:right w:val="nil"/>
            </w:tcBorders>
            <w:shd w:val="clear" w:color="auto" w:fill="auto"/>
            <w:noWrap/>
            <w:vAlign w:val="bottom"/>
          </w:tcPr>
          <w:p w:rsidR="007B2187" w:rsidRPr="00A500E6" w:rsidRDefault="00202F1B">
            <w:pPr>
              <w:jc w:val="right"/>
              <w:rPr>
                <w:rFonts w:ascii="Arial" w:hAnsi="Arial" w:cs="Arial"/>
                <w:sz w:val="18"/>
                <w:szCs w:val="18"/>
              </w:rPr>
            </w:pPr>
            <w:r>
              <w:rPr>
                <w:rFonts w:ascii="Arial" w:hAnsi="Arial" w:cs="Arial"/>
                <w:sz w:val="18"/>
                <w:szCs w:val="18"/>
              </w:rPr>
              <w:t>1.31</w:t>
            </w:r>
          </w:p>
        </w:tc>
      </w:tr>
      <w:tr w:rsidR="00B02AB0" w:rsidTr="00B02AB0">
        <w:trPr>
          <w:trHeight w:val="255"/>
        </w:trPr>
        <w:tc>
          <w:tcPr>
            <w:tcW w:w="1858" w:type="dxa"/>
            <w:tcBorders>
              <w:top w:val="nil"/>
              <w:left w:val="nil"/>
              <w:bottom w:val="nil"/>
              <w:right w:val="nil"/>
            </w:tcBorders>
            <w:shd w:val="clear" w:color="auto" w:fill="auto"/>
            <w:noWrap/>
            <w:vAlign w:val="bottom"/>
          </w:tcPr>
          <w:p w:rsidR="00B02AB0" w:rsidRPr="006F2E40" w:rsidRDefault="00B02AB0" w:rsidP="00D2038B">
            <w:pPr>
              <w:rPr>
                <w:rFonts w:ascii="Arial" w:hAnsi="Arial" w:cs="Arial"/>
                <w:sz w:val="18"/>
                <w:szCs w:val="18"/>
              </w:rPr>
            </w:pPr>
            <w:smartTag w:uri="urn:schemas-microsoft-com:office:smarttags" w:element="country-region">
              <w:smartTag w:uri="urn:schemas-microsoft-com:office:smarttags" w:element="place">
                <w:r>
                  <w:rPr>
                    <w:rFonts w:ascii="Arial" w:hAnsi="Arial" w:cs="Arial"/>
                    <w:sz w:val="18"/>
                    <w:szCs w:val="18"/>
                  </w:rPr>
                  <w:t>AUSTRALIA</w:t>
                </w:r>
              </w:smartTag>
            </w:smartTag>
          </w:p>
        </w:tc>
        <w:tc>
          <w:tcPr>
            <w:tcW w:w="1134" w:type="dxa"/>
            <w:tcBorders>
              <w:top w:val="nil"/>
              <w:left w:val="nil"/>
              <w:bottom w:val="nil"/>
              <w:right w:val="nil"/>
            </w:tcBorders>
            <w:shd w:val="clear" w:color="auto" w:fill="auto"/>
            <w:noWrap/>
            <w:vAlign w:val="bottom"/>
          </w:tcPr>
          <w:p w:rsidR="00B02AB0" w:rsidRDefault="00B02AB0" w:rsidP="0054659B">
            <w:pPr>
              <w:rPr>
                <w:rFonts w:ascii="Arial" w:hAnsi="Arial" w:cs="Arial"/>
                <w:sz w:val="18"/>
                <w:szCs w:val="18"/>
              </w:rPr>
            </w:pPr>
          </w:p>
        </w:tc>
        <w:tc>
          <w:tcPr>
            <w:tcW w:w="915" w:type="dxa"/>
            <w:tcBorders>
              <w:top w:val="nil"/>
              <w:left w:val="nil"/>
              <w:bottom w:val="nil"/>
              <w:right w:val="nil"/>
            </w:tcBorders>
            <w:shd w:val="clear" w:color="auto" w:fill="auto"/>
            <w:noWrap/>
            <w:vAlign w:val="bottom"/>
          </w:tcPr>
          <w:p w:rsidR="00B02AB0" w:rsidRPr="002158DF" w:rsidRDefault="00B02AB0" w:rsidP="00D2038B">
            <w:pPr>
              <w:jc w:val="right"/>
              <w:rPr>
                <w:rFonts w:ascii="Arial" w:hAnsi="Arial" w:cs="Arial"/>
                <w:sz w:val="18"/>
                <w:szCs w:val="18"/>
              </w:rPr>
            </w:pPr>
            <w:r>
              <w:rPr>
                <w:rFonts w:ascii="Arial" w:hAnsi="Arial" w:cs="Arial"/>
                <w:sz w:val="18"/>
                <w:szCs w:val="18"/>
              </w:rPr>
              <w:t>1.29</w:t>
            </w:r>
          </w:p>
        </w:tc>
        <w:tc>
          <w:tcPr>
            <w:tcW w:w="1097" w:type="dxa"/>
            <w:tcBorders>
              <w:top w:val="nil"/>
              <w:left w:val="nil"/>
              <w:bottom w:val="nil"/>
              <w:right w:val="nil"/>
            </w:tcBorders>
            <w:shd w:val="clear" w:color="auto" w:fill="auto"/>
            <w:noWrap/>
            <w:vAlign w:val="bottom"/>
          </w:tcPr>
          <w:p w:rsidR="00B02AB0" w:rsidRPr="00A500E6" w:rsidRDefault="00B02AB0">
            <w:pPr>
              <w:jc w:val="right"/>
              <w:rPr>
                <w:rFonts w:ascii="Arial" w:hAnsi="Arial" w:cs="Arial"/>
                <w:sz w:val="18"/>
                <w:szCs w:val="18"/>
              </w:rPr>
            </w:pPr>
            <w:r>
              <w:rPr>
                <w:rFonts w:ascii="Arial" w:hAnsi="Arial" w:cs="Arial"/>
                <w:sz w:val="18"/>
                <w:szCs w:val="18"/>
              </w:rPr>
              <w:t>1.30</w:t>
            </w:r>
          </w:p>
        </w:tc>
        <w:tc>
          <w:tcPr>
            <w:tcW w:w="1007" w:type="dxa"/>
            <w:tcBorders>
              <w:top w:val="nil"/>
              <w:left w:val="nil"/>
              <w:bottom w:val="nil"/>
              <w:right w:val="nil"/>
            </w:tcBorders>
            <w:shd w:val="clear" w:color="auto" w:fill="auto"/>
            <w:noWrap/>
            <w:vAlign w:val="bottom"/>
          </w:tcPr>
          <w:p w:rsidR="00B02AB0" w:rsidRPr="00A500E6" w:rsidRDefault="00B02AB0">
            <w:pPr>
              <w:jc w:val="right"/>
              <w:rPr>
                <w:rFonts w:ascii="Arial" w:hAnsi="Arial" w:cs="Arial"/>
                <w:sz w:val="18"/>
                <w:szCs w:val="18"/>
              </w:rPr>
            </w:pPr>
            <w:r>
              <w:rPr>
                <w:rFonts w:ascii="Arial" w:hAnsi="Arial" w:cs="Arial"/>
                <w:sz w:val="18"/>
                <w:szCs w:val="18"/>
              </w:rPr>
              <w:t>1.31</w:t>
            </w:r>
          </w:p>
        </w:tc>
        <w:tc>
          <w:tcPr>
            <w:tcW w:w="1086" w:type="dxa"/>
            <w:tcBorders>
              <w:top w:val="nil"/>
              <w:left w:val="nil"/>
              <w:bottom w:val="nil"/>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1.23</w:t>
            </w:r>
          </w:p>
        </w:tc>
      </w:tr>
      <w:tr w:rsidR="00B02AB0" w:rsidTr="00275CDC">
        <w:trPr>
          <w:trHeight w:val="255"/>
        </w:trPr>
        <w:tc>
          <w:tcPr>
            <w:tcW w:w="1858" w:type="dxa"/>
            <w:tcBorders>
              <w:top w:val="nil"/>
              <w:left w:val="nil"/>
              <w:bottom w:val="single" w:sz="4" w:space="0" w:color="auto"/>
              <w:right w:val="nil"/>
            </w:tcBorders>
            <w:shd w:val="clear" w:color="auto" w:fill="auto"/>
            <w:noWrap/>
            <w:vAlign w:val="bottom"/>
          </w:tcPr>
          <w:p w:rsidR="00B02AB0" w:rsidRPr="006F2E40" w:rsidRDefault="00B02AB0" w:rsidP="00D2038B">
            <w:pPr>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bottom"/>
          </w:tcPr>
          <w:p w:rsidR="00B02AB0" w:rsidRDefault="00B02AB0" w:rsidP="0054659B">
            <w:pPr>
              <w:rPr>
                <w:rFonts w:ascii="Arial" w:hAnsi="Arial" w:cs="Arial"/>
                <w:sz w:val="18"/>
                <w:szCs w:val="18"/>
              </w:rPr>
            </w:pPr>
          </w:p>
        </w:tc>
        <w:tc>
          <w:tcPr>
            <w:tcW w:w="915" w:type="dxa"/>
            <w:tcBorders>
              <w:top w:val="nil"/>
              <w:left w:val="nil"/>
              <w:bottom w:val="single" w:sz="4" w:space="0" w:color="auto"/>
              <w:right w:val="nil"/>
            </w:tcBorders>
            <w:shd w:val="clear" w:color="auto" w:fill="auto"/>
            <w:noWrap/>
            <w:vAlign w:val="bottom"/>
          </w:tcPr>
          <w:p w:rsidR="00B02AB0" w:rsidRPr="002158DF" w:rsidRDefault="00B02AB0" w:rsidP="00D2038B">
            <w:pPr>
              <w:jc w:val="right"/>
              <w:rPr>
                <w:rFonts w:ascii="Arial" w:hAnsi="Arial" w:cs="Arial"/>
                <w:sz w:val="18"/>
                <w:szCs w:val="18"/>
              </w:rPr>
            </w:pPr>
            <w:r>
              <w:rPr>
                <w:rFonts w:ascii="Arial" w:hAnsi="Arial" w:cs="Arial"/>
                <w:sz w:val="18"/>
                <w:szCs w:val="18"/>
              </w:rPr>
              <w:t>1.21</w:t>
            </w:r>
          </w:p>
        </w:tc>
        <w:tc>
          <w:tcPr>
            <w:tcW w:w="1097" w:type="dxa"/>
            <w:tcBorders>
              <w:top w:val="nil"/>
              <w:left w:val="nil"/>
              <w:bottom w:val="single" w:sz="4" w:space="0" w:color="auto"/>
              <w:right w:val="nil"/>
            </w:tcBorders>
            <w:shd w:val="clear" w:color="auto" w:fill="auto"/>
            <w:noWrap/>
            <w:vAlign w:val="bottom"/>
          </w:tcPr>
          <w:p w:rsidR="00B02AB0" w:rsidRPr="00A500E6" w:rsidRDefault="00B02AB0">
            <w:pPr>
              <w:jc w:val="right"/>
              <w:rPr>
                <w:rFonts w:ascii="Arial" w:hAnsi="Arial" w:cs="Arial"/>
                <w:sz w:val="18"/>
                <w:szCs w:val="18"/>
              </w:rPr>
            </w:pPr>
            <w:r>
              <w:rPr>
                <w:rFonts w:ascii="Arial" w:hAnsi="Arial" w:cs="Arial"/>
                <w:sz w:val="18"/>
                <w:szCs w:val="18"/>
              </w:rPr>
              <w:t>1.21</w:t>
            </w:r>
          </w:p>
        </w:tc>
        <w:tc>
          <w:tcPr>
            <w:tcW w:w="1007" w:type="dxa"/>
            <w:tcBorders>
              <w:top w:val="nil"/>
              <w:left w:val="nil"/>
              <w:bottom w:val="single" w:sz="4" w:space="0" w:color="auto"/>
              <w:right w:val="nil"/>
            </w:tcBorders>
            <w:shd w:val="clear" w:color="auto" w:fill="auto"/>
            <w:noWrap/>
            <w:vAlign w:val="bottom"/>
          </w:tcPr>
          <w:p w:rsidR="00B02AB0" w:rsidRPr="00A500E6" w:rsidRDefault="00B02AB0">
            <w:pPr>
              <w:jc w:val="right"/>
              <w:rPr>
                <w:rFonts w:ascii="Arial" w:hAnsi="Arial" w:cs="Arial"/>
                <w:sz w:val="18"/>
                <w:szCs w:val="18"/>
              </w:rPr>
            </w:pPr>
            <w:r>
              <w:rPr>
                <w:rFonts w:ascii="Arial" w:hAnsi="Arial" w:cs="Arial"/>
                <w:sz w:val="18"/>
                <w:szCs w:val="18"/>
              </w:rPr>
              <w:t>1.25</w:t>
            </w:r>
          </w:p>
        </w:tc>
        <w:tc>
          <w:tcPr>
            <w:tcW w:w="1086" w:type="dxa"/>
            <w:tcBorders>
              <w:top w:val="nil"/>
              <w:left w:val="nil"/>
              <w:bottom w:val="single" w:sz="4" w:space="0" w:color="auto"/>
              <w:right w:val="nil"/>
            </w:tcBorders>
            <w:shd w:val="clear" w:color="auto" w:fill="auto"/>
            <w:noWrap/>
            <w:vAlign w:val="bottom"/>
          </w:tcPr>
          <w:p w:rsidR="00B02AB0" w:rsidRDefault="00B02AB0">
            <w:pPr>
              <w:jc w:val="right"/>
              <w:rPr>
                <w:rFonts w:ascii="Arial" w:hAnsi="Arial" w:cs="Arial"/>
                <w:sz w:val="18"/>
                <w:szCs w:val="18"/>
              </w:rPr>
            </w:pPr>
            <w:r>
              <w:rPr>
                <w:rFonts w:ascii="Arial" w:hAnsi="Arial" w:cs="Arial"/>
                <w:sz w:val="18"/>
                <w:szCs w:val="18"/>
              </w:rPr>
              <w:t>1.19</w:t>
            </w:r>
          </w:p>
        </w:tc>
      </w:tr>
    </w:tbl>
    <w:p w:rsidR="006928E6" w:rsidRDefault="006928E6" w:rsidP="00D2038B">
      <w:pPr>
        <w:rPr>
          <w:b/>
        </w:rPr>
      </w:pPr>
    </w:p>
    <w:p w:rsidR="006928E6" w:rsidRDefault="006928E6" w:rsidP="00977215">
      <w:pPr>
        <w:jc w:val="center"/>
        <w:rPr>
          <w:b/>
        </w:rPr>
      </w:pPr>
    </w:p>
    <w:p w:rsidR="00E3691F" w:rsidRDefault="00E3691F">
      <w:pPr>
        <w:rPr>
          <w:b/>
        </w:rPr>
      </w:pPr>
      <w:r>
        <w:rPr>
          <w:b/>
        </w:rPr>
        <w:br w:type="page"/>
      </w:r>
    </w:p>
    <w:p w:rsidR="00DD5344" w:rsidRPr="00DD5344" w:rsidRDefault="00977215" w:rsidP="00977215">
      <w:pPr>
        <w:jc w:val="center"/>
        <w:rPr>
          <w:b/>
        </w:rPr>
      </w:pPr>
      <w:r w:rsidRPr="00DD5344">
        <w:rPr>
          <w:b/>
        </w:rPr>
        <w:lastRenderedPageBreak/>
        <w:t>REFERENCES</w:t>
      </w:r>
    </w:p>
    <w:p w:rsidR="00DD5344" w:rsidRDefault="00DD5344" w:rsidP="00DD5344"/>
    <w:p w:rsidR="00DD5344" w:rsidRPr="00894976" w:rsidRDefault="00DD5344" w:rsidP="00DD5344">
      <w:pPr>
        <w:rPr>
          <w:lang w:val="es-ES_tradnl"/>
        </w:rPr>
      </w:pPr>
      <w:proofErr w:type="gramStart"/>
      <w:r w:rsidRPr="00DD5344">
        <w:t>ABS. 2008.</w:t>
      </w:r>
      <w:proofErr w:type="gramEnd"/>
      <w:r w:rsidRPr="00DD5344">
        <w:t xml:space="preserve"> </w:t>
      </w:r>
      <w:proofErr w:type="gramStart"/>
      <w:r w:rsidRPr="00DD5344">
        <w:t>Family Characteristics and Transitions.</w:t>
      </w:r>
      <w:proofErr w:type="gramEnd"/>
      <w:r w:rsidRPr="00DD5344">
        <w:t xml:space="preserve"> </w:t>
      </w:r>
      <w:r w:rsidRPr="00894976">
        <w:rPr>
          <w:lang w:val="es-ES_tradnl"/>
        </w:rPr>
        <w:t>ABS Catalogue No.4442.0. ABS, Canberra.</w:t>
      </w:r>
    </w:p>
    <w:p w:rsidR="00DD5344" w:rsidRPr="00894976" w:rsidRDefault="00DD5344" w:rsidP="00DD5344">
      <w:pPr>
        <w:rPr>
          <w:lang w:val="es-ES_tradnl"/>
        </w:rPr>
      </w:pPr>
    </w:p>
    <w:p w:rsidR="00DD5344" w:rsidRDefault="00DD5344" w:rsidP="00DD5344">
      <w:pPr>
        <w:pStyle w:val="BodyText"/>
        <w:spacing w:line="240" w:lineRule="auto"/>
      </w:pPr>
      <w:r>
        <w:t xml:space="preserve">McDonald, P., Kippen, R. and </w:t>
      </w:r>
      <w:smartTag w:uri="urn:schemas-microsoft-com:office:smarttags" w:element="place">
        <w:smartTag w:uri="urn:schemas-microsoft-com:office:smarttags" w:element="City">
          <w:r>
            <w:t>Temple</w:t>
          </w:r>
        </w:smartTag>
      </w:smartTag>
      <w:r>
        <w:t>, J.</w:t>
      </w:r>
      <w:r w:rsidR="00BA23A8">
        <w:t xml:space="preserve"> 2006.</w:t>
      </w:r>
      <w:r>
        <w:t xml:space="preserve"> ‘Net transition probabilities: an approach to subnational level projections of households and housing demand based on census data’</w:t>
      </w:r>
      <w:r>
        <w:rPr>
          <w:rFonts w:eastAsia="Arial Unicode MS"/>
          <w:szCs w:val="24"/>
        </w:rPr>
        <w:t xml:space="preserve">. </w:t>
      </w:r>
      <w:proofErr w:type="gramStart"/>
      <w:r>
        <w:rPr>
          <w:i/>
          <w:iCs/>
        </w:rPr>
        <w:t>Population, Space and Place</w:t>
      </w:r>
      <w:r>
        <w:t>.</w:t>
      </w:r>
      <w:proofErr w:type="gramEnd"/>
      <w:r>
        <w:t xml:space="preserve"> 12(6):</w:t>
      </w:r>
      <w:r w:rsidR="00BA23A8">
        <w:t xml:space="preserve"> 479-495.</w:t>
      </w:r>
    </w:p>
    <w:p w:rsidR="00BA23A8" w:rsidRDefault="00BA23A8" w:rsidP="00DD5344">
      <w:pPr>
        <w:pStyle w:val="BodyText"/>
        <w:spacing w:line="240" w:lineRule="auto"/>
      </w:pPr>
    </w:p>
    <w:p w:rsidR="00BA23A8" w:rsidRDefault="00BA23A8" w:rsidP="00DD5344">
      <w:pPr>
        <w:pStyle w:val="BodyText"/>
        <w:spacing w:line="240" w:lineRule="auto"/>
      </w:pPr>
      <w:r>
        <w:t xml:space="preserve">McDonald, P. and </w:t>
      </w:r>
      <w:smartTag w:uri="urn:schemas-microsoft-com:office:smarttags" w:element="place">
        <w:smartTag w:uri="urn:schemas-microsoft-com:office:smarttags" w:element="City">
          <w:r>
            <w:t>Temple</w:t>
          </w:r>
        </w:smartTag>
      </w:smartTag>
      <w:r>
        <w:t>, J</w:t>
      </w:r>
      <w:r w:rsidR="00F027E2">
        <w:t>. 2008. Projections of Housing D</w:t>
      </w:r>
      <w:r>
        <w:t xml:space="preserve">emand in </w:t>
      </w:r>
      <w:smartTag w:uri="urn:schemas-microsoft-com:office:smarttags" w:element="place">
        <w:smartTag w:uri="urn:schemas-microsoft-com:office:smarttags" w:element="country-region">
          <w:r>
            <w:t>Australia</w:t>
          </w:r>
        </w:smartTag>
      </w:smartTag>
      <w:r>
        <w:t xml:space="preserve">: 2006-2021. </w:t>
      </w:r>
      <w:proofErr w:type="gramStart"/>
      <w:r>
        <w:t>Prepared for the National Housing Supply Council.</w:t>
      </w:r>
      <w:proofErr w:type="gramEnd"/>
    </w:p>
    <w:p w:rsidR="0025167F" w:rsidRDefault="0025167F"/>
    <w:p w:rsidR="0025167F" w:rsidRDefault="0025167F"/>
    <w:p w:rsidR="0025167F" w:rsidRDefault="0025167F"/>
    <w:p w:rsidR="00E3691F" w:rsidRDefault="00E3691F">
      <w:pPr>
        <w:rPr>
          <w:b/>
        </w:rPr>
      </w:pPr>
      <w:r>
        <w:rPr>
          <w:b/>
        </w:rPr>
        <w:br w:type="page"/>
      </w:r>
    </w:p>
    <w:p w:rsidR="0032616B" w:rsidRPr="00B75CF1" w:rsidRDefault="0032616B" w:rsidP="00B75CF1">
      <w:pPr>
        <w:rPr>
          <w:rFonts w:ascii="Arial" w:hAnsi="Arial" w:cs="Arial"/>
          <w:b/>
          <w:sz w:val="28"/>
          <w:szCs w:val="28"/>
        </w:rPr>
      </w:pPr>
      <w:r w:rsidRPr="00B75CF1">
        <w:rPr>
          <w:rFonts w:ascii="Arial" w:hAnsi="Arial" w:cs="Arial"/>
          <w:b/>
          <w:sz w:val="28"/>
          <w:szCs w:val="28"/>
        </w:rPr>
        <w:lastRenderedPageBreak/>
        <w:t>Supplement to 2011 Report</w:t>
      </w:r>
    </w:p>
    <w:p w:rsidR="0032616B" w:rsidRPr="0032616B" w:rsidRDefault="0032616B" w:rsidP="0032616B">
      <w:pPr>
        <w:jc w:val="center"/>
        <w:rPr>
          <w:b/>
        </w:rPr>
      </w:pPr>
    </w:p>
    <w:p w:rsidR="0032616B" w:rsidRPr="00B75CF1" w:rsidRDefault="0032616B" w:rsidP="0032616B">
      <w:pPr>
        <w:jc w:val="center"/>
        <w:rPr>
          <w:b/>
          <w:sz w:val="28"/>
          <w:szCs w:val="28"/>
        </w:rPr>
      </w:pPr>
      <w:r w:rsidRPr="00B75CF1">
        <w:rPr>
          <w:b/>
          <w:sz w:val="28"/>
          <w:szCs w:val="28"/>
        </w:rPr>
        <w:t>Regional Differences in Household Size and their Impact on Demand</w:t>
      </w:r>
    </w:p>
    <w:p w:rsidR="0032616B" w:rsidRDefault="0032616B"/>
    <w:p w:rsidR="005B096A" w:rsidRDefault="00036BE5">
      <w:r>
        <w:t xml:space="preserve">The initial household sizes implicit in these projections are consistent with household sizes (by household type and age of reference person) observed at the 2006 Census corrected for census undercount and changes in population up to 30 June 2009. </w:t>
      </w:r>
      <w:r w:rsidR="00AA52F6">
        <w:t>As the projections progress</w:t>
      </w:r>
      <w:r w:rsidR="00D821BA">
        <w:t xml:space="preserve"> th</w:t>
      </w:r>
      <w:r w:rsidR="008743C1">
        <w:t>r</w:t>
      </w:r>
      <w:r w:rsidR="00D821BA">
        <w:t>ough time</w:t>
      </w:r>
      <w:r w:rsidR="00AA52F6">
        <w:t xml:space="preserve">, household sizes change because of changes in the age distribution of the population (including the effects of migration) and the </w:t>
      </w:r>
      <w:r w:rsidR="0082608B">
        <w:t xml:space="preserve">cumulative </w:t>
      </w:r>
      <w:r w:rsidR="00AA52F6">
        <w:t>effects of the household transition probabilities. The household transition probabilities are assumed to remain unchanged from those that applied in the 2001-2006 intercensal period (specific to</w:t>
      </w:r>
      <w:r w:rsidR="00D821BA">
        <w:t xml:space="preserve"> age, sex and </w:t>
      </w:r>
      <w:r w:rsidR="00AA52F6">
        <w:t>region). The initial household sizes are a product</w:t>
      </w:r>
      <w:r w:rsidR="0082608B">
        <w:t xml:space="preserve"> of the reconciliation of housing needs</w:t>
      </w:r>
      <w:r w:rsidR="00AA52F6">
        <w:t xml:space="preserve"> and </w:t>
      </w:r>
      <w:r w:rsidR="0082608B">
        <w:t xml:space="preserve">housing </w:t>
      </w:r>
      <w:r w:rsidR="00AA52F6">
        <w:t>supply in 2006. No such reconciliation between demand and supply is made as these projections of h</w:t>
      </w:r>
      <w:r w:rsidR="00D821BA">
        <w:t>ousing needs move forward through</w:t>
      </w:r>
      <w:r w:rsidR="00AA52F6">
        <w:t xml:space="preserve"> time. However, such </w:t>
      </w:r>
      <w:proofErr w:type="gramStart"/>
      <w:r w:rsidR="00AA52F6">
        <w:t>a reconciliation</w:t>
      </w:r>
      <w:proofErr w:type="gramEnd"/>
      <w:r w:rsidR="00AA52F6">
        <w:t xml:space="preserve"> necessarily will occur so long as almost all persons are living in a private or non-private dwelling. To give a simple example, if the population were to increase by 20 per cent </w:t>
      </w:r>
      <w:r w:rsidR="0082608B">
        <w:t xml:space="preserve">between 2009 and 2029 </w:t>
      </w:r>
      <w:r w:rsidR="00AA52F6">
        <w:t xml:space="preserve">while the number of dwellings (supply) increased by only 10 per cent, then the average size of households </w:t>
      </w:r>
      <w:r w:rsidR="0082608B">
        <w:t xml:space="preserve">necessarily </w:t>
      </w:r>
      <w:r w:rsidR="00AA52F6">
        <w:t>will increase by 9.1 per cent</w:t>
      </w:r>
      <w:r w:rsidR="005B096A">
        <w:t xml:space="preserve"> (120/110).</w:t>
      </w:r>
    </w:p>
    <w:p w:rsidR="005B096A" w:rsidRDefault="005B096A"/>
    <w:p w:rsidR="00D821BA" w:rsidRDefault="001C2A63">
      <w:r>
        <w:t>In general, differences in household sizes across regions are not the product of preferences about household size. Instead, they are the result of variations in household composition across cities and regions</w:t>
      </w:r>
      <w:r w:rsidR="005B096A">
        <w:t xml:space="preserve"> (a higher percentage of two-parent families with children will lead to higher average household sizes) and the housing supply situation (cities or regions with the largest housing shortages relative to needs, all else being equal, will have larger household sizes). In this report, we can describe how differences in household composition across cities and regions affect housing needs but we are not able to discuss the effects on household size of differences in supply relative to needs.</w:t>
      </w:r>
      <w:r w:rsidR="00D821BA">
        <w:t xml:space="preserve"> An intriguing question is whether the household compositions that have been adopted by a population in a situation where supply falls short of needs become part of longer-term</w:t>
      </w:r>
      <w:r w:rsidR="00D821BA" w:rsidRPr="00503D90">
        <w:t xml:space="preserve"> behaviour</w:t>
      </w:r>
      <w:r w:rsidR="00D821BA">
        <w:t>. Do supply-induced household compositions lead to longer term changes in housing preferences or do people revert to more fundamental preferences if the supply shortfall disappears?</w:t>
      </w:r>
    </w:p>
    <w:p w:rsidR="00AA52F6" w:rsidRDefault="00AA52F6"/>
    <w:p w:rsidR="0032616B" w:rsidRDefault="0032616B">
      <w:r>
        <w:t xml:space="preserve">Table S1 shows the average </w:t>
      </w:r>
      <w:proofErr w:type="gramStart"/>
      <w:r>
        <w:t>household size</w:t>
      </w:r>
      <w:proofErr w:type="gramEnd"/>
      <w:r>
        <w:t xml:space="preserve"> in each region in 2009 and 2024 (based on the Medium scenario) It also shows the household size that would apply in that region if the region had the same composition of household types as </w:t>
      </w:r>
      <w:smartTag w:uri="urn:schemas-microsoft-com:office:smarttags" w:element="place">
        <w:smartTag w:uri="urn:schemas-microsoft-com:office:smarttags" w:element="country-region">
          <w:r>
            <w:t>Australia</w:t>
          </w:r>
        </w:smartTag>
      </w:smartTag>
      <w:r>
        <w:t xml:space="preserve"> in the given year. The difference betw</w:t>
      </w:r>
      <w:r w:rsidR="00C81BD3">
        <w:t>e</w:t>
      </w:r>
      <w:r>
        <w:t xml:space="preserve">en the two numbers reflects how much larger/smaller households are in the given region because their composition of household types differs from that of </w:t>
      </w:r>
      <w:smartTag w:uri="urn:schemas-microsoft-com:office:smarttags" w:element="place">
        <w:smartTag w:uri="urn:schemas-microsoft-com:office:smarttags" w:element="country-region">
          <w:r>
            <w:t>Australia</w:t>
          </w:r>
        </w:smartTag>
      </w:smartTag>
      <w:r>
        <w:t>.</w:t>
      </w:r>
    </w:p>
    <w:p w:rsidR="00C81BD3" w:rsidRDefault="00C81BD3"/>
    <w:p w:rsidR="000D36BD" w:rsidRDefault="000D36BD"/>
    <w:p w:rsidR="00E3691F" w:rsidRDefault="00E3691F">
      <w:pPr>
        <w:rPr>
          <w:rFonts w:ascii="Arial" w:hAnsi="Arial" w:cs="Arial"/>
          <w:b/>
          <w:sz w:val="20"/>
          <w:szCs w:val="20"/>
        </w:rPr>
      </w:pPr>
      <w:r>
        <w:rPr>
          <w:rFonts w:ascii="Arial" w:hAnsi="Arial" w:cs="Arial"/>
          <w:b/>
          <w:sz w:val="20"/>
          <w:szCs w:val="20"/>
        </w:rPr>
        <w:br w:type="page"/>
      </w:r>
    </w:p>
    <w:p w:rsidR="00C81BD3" w:rsidRDefault="00F86FB7" w:rsidP="00C81BD3">
      <w:pPr>
        <w:rPr>
          <w:rFonts w:ascii="Arial" w:hAnsi="Arial" w:cs="Arial"/>
          <w:b/>
          <w:sz w:val="20"/>
          <w:szCs w:val="20"/>
        </w:rPr>
      </w:pPr>
      <w:r>
        <w:rPr>
          <w:rFonts w:ascii="Arial" w:hAnsi="Arial" w:cs="Arial"/>
          <w:b/>
          <w:sz w:val="20"/>
          <w:szCs w:val="20"/>
        </w:rPr>
        <w:lastRenderedPageBreak/>
        <w:t>Table S1. Average household sizes in 2009 and 20024 Compared to What Average Household Size would Be If Each Region Had the Same Household Composition As Australia</w:t>
      </w:r>
      <w:r w:rsidR="00C81BD3">
        <w:rPr>
          <w:rFonts w:ascii="Arial" w:hAnsi="Arial" w:cs="Arial"/>
          <w:b/>
          <w:sz w:val="20"/>
          <w:szCs w:val="20"/>
        </w:rPr>
        <w:t>,</w:t>
      </w:r>
      <w:r>
        <w:rPr>
          <w:rFonts w:ascii="Arial" w:hAnsi="Arial" w:cs="Arial"/>
          <w:b/>
          <w:sz w:val="20"/>
          <w:szCs w:val="20"/>
        </w:rPr>
        <w:t xml:space="preserve"> </w:t>
      </w:r>
      <w:r w:rsidR="00C81BD3">
        <w:rPr>
          <w:rFonts w:ascii="Arial" w:hAnsi="Arial" w:cs="Arial"/>
          <w:b/>
          <w:sz w:val="20"/>
          <w:szCs w:val="20"/>
        </w:rPr>
        <w:t>Medium scenario</w:t>
      </w:r>
      <w:r>
        <w:rPr>
          <w:rFonts w:ascii="Arial" w:hAnsi="Arial" w:cs="Arial"/>
          <w:b/>
          <w:sz w:val="20"/>
          <w:szCs w:val="20"/>
        </w:rPr>
        <w:t>.</w:t>
      </w:r>
    </w:p>
    <w:p w:rsidR="00F86FB7" w:rsidRPr="00BB00C9" w:rsidRDefault="00F86FB7" w:rsidP="00C81BD3">
      <w:pPr>
        <w:rPr>
          <w:rFonts w:ascii="Arial" w:hAnsi="Arial" w:cs="Arial"/>
          <w:b/>
          <w:sz w:val="20"/>
          <w:szCs w:val="20"/>
        </w:rPr>
      </w:pPr>
    </w:p>
    <w:tbl>
      <w:tblPr>
        <w:tblW w:w="8379" w:type="dxa"/>
        <w:tblInd w:w="93" w:type="dxa"/>
        <w:tblLook w:val="0000"/>
      </w:tblPr>
      <w:tblGrid>
        <w:gridCol w:w="1291"/>
        <w:gridCol w:w="1126"/>
        <w:gridCol w:w="1286"/>
        <w:gridCol w:w="1097"/>
        <w:gridCol w:w="1126"/>
        <w:gridCol w:w="1286"/>
        <w:gridCol w:w="1167"/>
      </w:tblGrid>
      <w:tr w:rsidR="008A5055" w:rsidTr="00275CDC">
        <w:trPr>
          <w:trHeight w:val="255"/>
        </w:trPr>
        <w:tc>
          <w:tcPr>
            <w:tcW w:w="1291" w:type="dxa"/>
            <w:tcBorders>
              <w:left w:val="nil"/>
              <w:right w:val="nil"/>
            </w:tcBorders>
            <w:shd w:val="clear" w:color="auto" w:fill="auto"/>
            <w:noWrap/>
            <w:vAlign w:val="bottom"/>
          </w:tcPr>
          <w:p w:rsidR="008A5055" w:rsidRPr="00511632" w:rsidRDefault="008A5055" w:rsidP="0054659B">
            <w:pPr>
              <w:rPr>
                <w:rFonts w:ascii="Arial" w:hAnsi="Arial" w:cs="Arial"/>
                <w:b/>
                <w:sz w:val="18"/>
                <w:szCs w:val="18"/>
              </w:rPr>
            </w:pPr>
            <w:r w:rsidRPr="00511632">
              <w:rPr>
                <w:rFonts w:ascii="Arial" w:hAnsi="Arial" w:cs="Arial"/>
                <w:b/>
                <w:sz w:val="18"/>
                <w:szCs w:val="18"/>
              </w:rPr>
              <w:t>Region</w:t>
            </w:r>
          </w:p>
        </w:tc>
        <w:tc>
          <w:tcPr>
            <w:tcW w:w="1126" w:type="dxa"/>
            <w:tcBorders>
              <w:left w:val="nil"/>
              <w:right w:val="nil"/>
            </w:tcBorders>
            <w:shd w:val="clear" w:color="auto" w:fill="auto"/>
            <w:noWrap/>
            <w:vAlign w:val="bottom"/>
          </w:tcPr>
          <w:p w:rsidR="008A5055" w:rsidRPr="00511632" w:rsidRDefault="008A5055" w:rsidP="0054659B">
            <w:pPr>
              <w:rPr>
                <w:rFonts w:ascii="Arial" w:hAnsi="Arial" w:cs="Arial"/>
                <w:b/>
                <w:sz w:val="18"/>
                <w:szCs w:val="18"/>
              </w:rPr>
            </w:pPr>
            <w:r>
              <w:rPr>
                <w:rFonts w:ascii="Arial" w:hAnsi="Arial" w:cs="Arial"/>
                <w:b/>
                <w:sz w:val="18"/>
                <w:szCs w:val="18"/>
              </w:rPr>
              <w:t>Average household size 2009, Actual</w:t>
            </w:r>
          </w:p>
        </w:tc>
        <w:tc>
          <w:tcPr>
            <w:tcW w:w="1286" w:type="dxa"/>
            <w:tcBorders>
              <w:top w:val="nil"/>
              <w:left w:val="nil"/>
              <w:bottom w:val="nil"/>
              <w:right w:val="nil"/>
            </w:tcBorders>
            <w:shd w:val="clear" w:color="auto" w:fill="auto"/>
            <w:noWrap/>
            <w:vAlign w:val="bottom"/>
          </w:tcPr>
          <w:p w:rsidR="008A5055" w:rsidRDefault="008A5055" w:rsidP="0054659B">
            <w:pPr>
              <w:jc w:val="center"/>
              <w:rPr>
                <w:rFonts w:ascii="Arial" w:hAnsi="Arial" w:cs="Arial"/>
                <w:b/>
                <w:sz w:val="18"/>
                <w:szCs w:val="18"/>
              </w:rPr>
            </w:pPr>
            <w:r>
              <w:rPr>
                <w:rFonts w:ascii="Arial" w:hAnsi="Arial" w:cs="Arial"/>
                <w:b/>
                <w:sz w:val="18"/>
                <w:szCs w:val="18"/>
              </w:rPr>
              <w:t>Average household size 2009, with Australian composition</w:t>
            </w:r>
          </w:p>
        </w:tc>
        <w:tc>
          <w:tcPr>
            <w:tcW w:w="1097" w:type="dxa"/>
            <w:tcBorders>
              <w:top w:val="nil"/>
              <w:left w:val="nil"/>
              <w:bottom w:val="nil"/>
              <w:right w:val="nil"/>
            </w:tcBorders>
            <w:shd w:val="clear" w:color="auto" w:fill="auto"/>
            <w:noWrap/>
            <w:vAlign w:val="bottom"/>
          </w:tcPr>
          <w:p w:rsidR="008A5055" w:rsidRDefault="008A5055" w:rsidP="0054659B">
            <w:pPr>
              <w:jc w:val="center"/>
              <w:rPr>
                <w:rFonts w:ascii="Arial" w:hAnsi="Arial" w:cs="Arial"/>
                <w:b/>
                <w:sz w:val="18"/>
                <w:szCs w:val="18"/>
              </w:rPr>
            </w:pPr>
            <w:r>
              <w:rPr>
                <w:rFonts w:ascii="Arial" w:hAnsi="Arial" w:cs="Arial"/>
                <w:b/>
                <w:sz w:val="18"/>
                <w:szCs w:val="18"/>
              </w:rPr>
              <w:t>Difference 2009</w:t>
            </w:r>
          </w:p>
        </w:tc>
        <w:tc>
          <w:tcPr>
            <w:tcW w:w="1126" w:type="dxa"/>
            <w:tcBorders>
              <w:top w:val="nil"/>
              <w:left w:val="nil"/>
              <w:bottom w:val="nil"/>
              <w:right w:val="nil"/>
            </w:tcBorders>
          </w:tcPr>
          <w:p w:rsidR="008A5055" w:rsidRDefault="008A5055" w:rsidP="0054659B">
            <w:pPr>
              <w:jc w:val="center"/>
              <w:rPr>
                <w:rFonts w:ascii="Arial" w:hAnsi="Arial" w:cs="Arial"/>
                <w:b/>
                <w:sz w:val="18"/>
                <w:szCs w:val="18"/>
              </w:rPr>
            </w:pPr>
            <w:r>
              <w:rPr>
                <w:rFonts w:ascii="Arial" w:hAnsi="Arial" w:cs="Arial"/>
                <w:b/>
                <w:sz w:val="18"/>
                <w:szCs w:val="18"/>
              </w:rPr>
              <w:t>Average household size 2024, Actual</w:t>
            </w:r>
          </w:p>
        </w:tc>
        <w:tc>
          <w:tcPr>
            <w:tcW w:w="1286" w:type="dxa"/>
            <w:tcBorders>
              <w:top w:val="nil"/>
              <w:left w:val="nil"/>
              <w:bottom w:val="nil"/>
              <w:right w:val="nil"/>
            </w:tcBorders>
          </w:tcPr>
          <w:p w:rsidR="008A5055" w:rsidRDefault="008A5055" w:rsidP="0054659B">
            <w:pPr>
              <w:jc w:val="center"/>
              <w:rPr>
                <w:rFonts w:ascii="Arial" w:hAnsi="Arial" w:cs="Arial"/>
                <w:b/>
                <w:sz w:val="18"/>
                <w:szCs w:val="18"/>
              </w:rPr>
            </w:pPr>
            <w:r>
              <w:rPr>
                <w:rFonts w:ascii="Arial" w:hAnsi="Arial" w:cs="Arial"/>
                <w:b/>
                <w:sz w:val="18"/>
                <w:szCs w:val="18"/>
              </w:rPr>
              <w:t>Average household size 2004, with Australian composition</w:t>
            </w:r>
          </w:p>
        </w:tc>
        <w:tc>
          <w:tcPr>
            <w:tcW w:w="1167" w:type="dxa"/>
            <w:tcBorders>
              <w:top w:val="nil"/>
              <w:left w:val="nil"/>
              <w:bottom w:val="nil"/>
              <w:right w:val="nil"/>
            </w:tcBorders>
            <w:shd w:val="clear" w:color="auto" w:fill="auto"/>
            <w:noWrap/>
            <w:vAlign w:val="bottom"/>
          </w:tcPr>
          <w:p w:rsidR="008A5055" w:rsidRDefault="008A5055" w:rsidP="0054659B">
            <w:pPr>
              <w:jc w:val="center"/>
              <w:rPr>
                <w:rFonts w:ascii="Arial" w:hAnsi="Arial" w:cs="Arial"/>
                <w:b/>
                <w:sz w:val="18"/>
                <w:szCs w:val="18"/>
              </w:rPr>
            </w:pPr>
            <w:r>
              <w:rPr>
                <w:rFonts w:ascii="Arial" w:hAnsi="Arial" w:cs="Arial"/>
                <w:b/>
                <w:sz w:val="18"/>
                <w:szCs w:val="18"/>
              </w:rPr>
              <w:t>Difference, 2024</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NSW</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2.7</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Default="008A5055" w:rsidP="008A5055">
            <w:pPr>
              <w:jc w:val="center"/>
              <w:rPr>
                <w:rFonts w:ascii="Arial" w:hAnsi="Arial" w:cs="Arial"/>
                <w:sz w:val="18"/>
                <w:szCs w:val="18"/>
              </w:rPr>
            </w:pPr>
            <w:r>
              <w:rPr>
                <w:rFonts w:ascii="Arial" w:hAnsi="Arial" w:cs="Arial"/>
                <w:sz w:val="18"/>
                <w:szCs w:val="18"/>
              </w:rPr>
              <w:t>2</w:t>
            </w:r>
            <w:r w:rsidR="00F86FB7">
              <w:rPr>
                <w:rFonts w:ascii="Arial" w:hAnsi="Arial" w:cs="Arial"/>
                <w:sz w:val="18"/>
                <w:szCs w:val="18"/>
              </w:rPr>
              <w:t>.</w:t>
            </w:r>
            <w:r>
              <w:rPr>
                <w:rFonts w:ascii="Arial" w:hAnsi="Arial" w:cs="Arial"/>
                <w:sz w:val="18"/>
                <w:szCs w:val="18"/>
              </w:rPr>
              <w:t>6</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VIC</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2.6</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0.0</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VIC</w:t>
            </w:r>
            <w:r w:rsidR="00C62945">
              <w:rPr>
                <w:rFonts w:ascii="Arial" w:hAnsi="Arial" w:cs="Arial"/>
                <w:sz w:val="18"/>
                <w:szCs w:val="18"/>
              </w:rPr>
              <w:t xml:space="preserve"> balance of state</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0.0</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2.3</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2.3</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QLD</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2.6</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0.0</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QLD</w:t>
            </w:r>
            <w:r w:rsidR="00C62945">
              <w:rPr>
                <w:rFonts w:ascii="Arial" w:hAnsi="Arial" w:cs="Arial"/>
                <w:sz w:val="18"/>
                <w:szCs w:val="18"/>
              </w:rPr>
              <w:t xml:space="preserve"> balance of state</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2.4</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SA</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2.3</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2.4</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SA</w:t>
            </w:r>
            <w:r w:rsidR="00C62945">
              <w:rPr>
                <w:rFonts w:ascii="Arial" w:hAnsi="Arial" w:cs="Arial"/>
                <w:sz w:val="18"/>
                <w:szCs w:val="18"/>
              </w:rPr>
              <w:t xml:space="preserve"> balance of state</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2.3</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2.3</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WA</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WA</w:t>
            </w:r>
            <w:r w:rsidR="00C62945">
              <w:rPr>
                <w:rFonts w:ascii="Arial" w:hAnsi="Arial" w:cs="Arial"/>
                <w:sz w:val="18"/>
                <w:szCs w:val="18"/>
              </w:rPr>
              <w:t xml:space="preserve"> balance of state</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2.3</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2.3</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TAS</w:t>
            </w:r>
            <w:r w:rsidR="00584ABA">
              <w:rPr>
                <w:rFonts w:ascii="Arial" w:hAnsi="Arial" w:cs="Arial"/>
                <w:sz w:val="18"/>
                <w:szCs w:val="18"/>
              </w:rPr>
              <w:t xml:space="preserve"> capital city</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2.3</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2.4</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TAS</w:t>
            </w:r>
            <w:r w:rsidR="00C62945">
              <w:rPr>
                <w:rFonts w:ascii="Arial" w:hAnsi="Arial" w:cs="Arial"/>
                <w:sz w:val="18"/>
                <w:szCs w:val="18"/>
              </w:rPr>
              <w:t xml:space="preserve"> balance of state</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2.2</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2.3</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-0.1</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NT</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2.8</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2.8</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0.0</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2.7</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-0.2</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8A5055" w:rsidP="0054659B">
            <w:pPr>
              <w:rPr>
                <w:rFonts w:ascii="Arial" w:hAnsi="Arial" w:cs="Arial"/>
                <w:sz w:val="18"/>
                <w:szCs w:val="18"/>
              </w:rPr>
            </w:pPr>
            <w:r w:rsidRPr="006F2E40">
              <w:rPr>
                <w:rFonts w:ascii="Arial" w:hAnsi="Arial" w:cs="Arial"/>
                <w:sz w:val="18"/>
                <w:szCs w:val="18"/>
              </w:rPr>
              <w:t>ACT</w:t>
            </w:r>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-0.1</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2.4</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2.4</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r w:rsidR="008A5055" w:rsidTr="00275CDC">
        <w:trPr>
          <w:trHeight w:val="255"/>
        </w:trPr>
        <w:tc>
          <w:tcPr>
            <w:tcW w:w="1291" w:type="dxa"/>
            <w:tcBorders>
              <w:top w:val="nil"/>
              <w:left w:val="nil"/>
              <w:bottom w:val="nil"/>
              <w:right w:val="nil"/>
            </w:tcBorders>
            <w:shd w:val="clear" w:color="auto" w:fill="auto"/>
            <w:noWrap/>
            <w:vAlign w:val="bottom"/>
          </w:tcPr>
          <w:p w:rsidR="008A5055" w:rsidRPr="006F2E40" w:rsidRDefault="00C62945" w:rsidP="0054659B">
            <w:pPr>
              <w:rPr>
                <w:rFonts w:ascii="Arial" w:hAnsi="Arial" w:cs="Arial"/>
                <w:sz w:val="18"/>
                <w:szCs w:val="18"/>
              </w:rPr>
            </w:pPr>
            <w:smartTag w:uri="urn:schemas-microsoft-com:office:smarttags" w:element="place">
              <w:r>
                <w:rPr>
                  <w:rFonts w:ascii="Arial" w:hAnsi="Arial" w:cs="Arial"/>
                  <w:sz w:val="18"/>
                  <w:szCs w:val="18"/>
                </w:rPr>
                <w:t>SE QLD</w:t>
              </w:r>
            </w:smartTag>
          </w:p>
        </w:tc>
        <w:tc>
          <w:tcPr>
            <w:tcW w:w="1126" w:type="dxa"/>
            <w:tcBorders>
              <w:top w:val="nil"/>
              <w:left w:val="nil"/>
              <w:bottom w:val="nil"/>
              <w:right w:val="nil"/>
            </w:tcBorders>
            <w:shd w:val="clear" w:color="auto" w:fill="auto"/>
            <w:noWrap/>
            <w:vAlign w:val="bottom"/>
          </w:tcPr>
          <w:p w:rsidR="008A5055" w:rsidRPr="006F2E40" w:rsidRDefault="008A5055" w:rsidP="008A5055">
            <w:pPr>
              <w:jc w:val="center"/>
              <w:rPr>
                <w:rFonts w:ascii="Arial" w:hAnsi="Arial" w:cs="Arial"/>
                <w:sz w:val="18"/>
                <w:szCs w:val="18"/>
              </w:rPr>
            </w:pPr>
            <w:r>
              <w:rPr>
                <w:rFonts w:ascii="Arial" w:hAnsi="Arial" w:cs="Arial"/>
                <w:sz w:val="18"/>
                <w:szCs w:val="18"/>
              </w:rPr>
              <w:t>2.6</w:t>
            </w:r>
          </w:p>
        </w:tc>
        <w:tc>
          <w:tcPr>
            <w:tcW w:w="1286"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2.6</w:t>
            </w:r>
          </w:p>
        </w:tc>
        <w:tc>
          <w:tcPr>
            <w:tcW w:w="1097" w:type="dxa"/>
            <w:tcBorders>
              <w:top w:val="nil"/>
              <w:left w:val="nil"/>
              <w:bottom w:val="nil"/>
              <w:right w:val="nil"/>
            </w:tcBorders>
            <w:shd w:val="clear" w:color="auto" w:fill="auto"/>
            <w:noWrap/>
            <w:vAlign w:val="bottom"/>
          </w:tcPr>
          <w:p w:rsidR="008A5055" w:rsidRPr="002158DF" w:rsidRDefault="008A5055" w:rsidP="008A5055">
            <w:pPr>
              <w:jc w:val="center"/>
              <w:rPr>
                <w:rFonts w:ascii="Arial" w:hAnsi="Arial" w:cs="Arial"/>
                <w:sz w:val="18"/>
                <w:szCs w:val="18"/>
              </w:rPr>
            </w:pPr>
            <w:r>
              <w:rPr>
                <w:rFonts w:ascii="Arial" w:hAnsi="Arial" w:cs="Arial"/>
                <w:sz w:val="18"/>
                <w:szCs w:val="18"/>
              </w:rPr>
              <w:t>0.0</w:t>
            </w:r>
          </w:p>
        </w:tc>
        <w:tc>
          <w:tcPr>
            <w:tcW w:w="1126" w:type="dxa"/>
            <w:tcBorders>
              <w:top w:val="nil"/>
              <w:left w:val="nil"/>
              <w:bottom w:val="nil"/>
              <w:right w:val="nil"/>
            </w:tcBorders>
          </w:tcPr>
          <w:p w:rsidR="008A5055" w:rsidRPr="002158DF" w:rsidRDefault="008A5055" w:rsidP="008A5055">
            <w:pPr>
              <w:jc w:val="center"/>
              <w:rPr>
                <w:rFonts w:ascii="Arial" w:hAnsi="Arial" w:cs="Arial"/>
                <w:sz w:val="18"/>
                <w:szCs w:val="18"/>
              </w:rPr>
            </w:pPr>
            <w:r>
              <w:rPr>
                <w:rFonts w:ascii="Arial" w:hAnsi="Arial" w:cs="Arial"/>
                <w:sz w:val="18"/>
                <w:szCs w:val="18"/>
              </w:rPr>
              <w:t>2.5</w:t>
            </w:r>
          </w:p>
        </w:tc>
        <w:tc>
          <w:tcPr>
            <w:tcW w:w="1286" w:type="dxa"/>
            <w:tcBorders>
              <w:top w:val="nil"/>
              <w:left w:val="nil"/>
              <w:bottom w:val="nil"/>
              <w:right w:val="nil"/>
            </w:tcBorders>
            <w:vAlign w:val="bottom"/>
          </w:tcPr>
          <w:p w:rsidR="008A5055" w:rsidRPr="002158DF" w:rsidRDefault="00F86FB7" w:rsidP="008A5055">
            <w:pPr>
              <w:jc w:val="center"/>
              <w:rPr>
                <w:rFonts w:ascii="Arial" w:hAnsi="Arial" w:cs="Arial"/>
                <w:sz w:val="18"/>
                <w:szCs w:val="18"/>
              </w:rPr>
            </w:pPr>
            <w:r>
              <w:rPr>
                <w:rFonts w:ascii="Arial" w:hAnsi="Arial" w:cs="Arial"/>
                <w:sz w:val="18"/>
                <w:szCs w:val="18"/>
              </w:rPr>
              <w:t>2.5</w:t>
            </w:r>
          </w:p>
        </w:tc>
        <w:tc>
          <w:tcPr>
            <w:tcW w:w="1167" w:type="dxa"/>
            <w:tcBorders>
              <w:top w:val="nil"/>
              <w:left w:val="nil"/>
              <w:bottom w:val="nil"/>
              <w:right w:val="nil"/>
            </w:tcBorders>
            <w:shd w:val="clear" w:color="auto" w:fill="auto"/>
            <w:noWrap/>
            <w:vAlign w:val="bottom"/>
          </w:tcPr>
          <w:p w:rsidR="008A5055" w:rsidRPr="002158DF" w:rsidRDefault="00F86FB7" w:rsidP="008A5055">
            <w:pPr>
              <w:jc w:val="center"/>
              <w:rPr>
                <w:rFonts w:ascii="Arial" w:hAnsi="Arial" w:cs="Arial"/>
                <w:sz w:val="18"/>
                <w:szCs w:val="18"/>
              </w:rPr>
            </w:pPr>
            <w:r>
              <w:rPr>
                <w:rFonts w:ascii="Arial" w:hAnsi="Arial" w:cs="Arial"/>
                <w:sz w:val="18"/>
                <w:szCs w:val="18"/>
              </w:rPr>
              <w:t>0.0</w:t>
            </w:r>
          </w:p>
        </w:tc>
      </w:tr>
    </w:tbl>
    <w:p w:rsidR="00C81BD3" w:rsidRDefault="00C81BD3"/>
    <w:p w:rsidR="000D36BD" w:rsidRDefault="000D36BD"/>
    <w:p w:rsidR="00F86FB7" w:rsidRDefault="00F86FB7">
      <w:r>
        <w:t>The results show that average household size in a region is only minimally affected by the fact that the household composition in the regi</w:t>
      </w:r>
      <w:r w:rsidR="000D36BD">
        <w:t xml:space="preserve">on differs from that of </w:t>
      </w:r>
      <w:smartTag w:uri="urn:schemas-microsoft-com:office:smarttags" w:element="place">
        <w:smartTag w:uri="urn:schemas-microsoft-com:office:smarttags" w:element="country-region">
          <w:r w:rsidR="000D36BD">
            <w:t>Austral</w:t>
          </w:r>
          <w:r>
            <w:t>ia</w:t>
          </w:r>
        </w:smartTag>
      </w:smartTag>
      <w:r>
        <w:t>.</w:t>
      </w:r>
      <w:r w:rsidR="000D36BD">
        <w:t xml:space="preserve"> This conclusion applies to both 2009 and the projections for 2024. However, small differences in average household size can be equivalent to relatively large numbers of dwellings </w:t>
      </w:r>
      <w:r w:rsidR="0054659B">
        <w:t>so Table S2 shows the change in the</w:t>
      </w:r>
      <w:r w:rsidR="000D36BD">
        <w:t xml:space="preserve"> number of dwellings that would be required in each region if that region had the same household composition as </w:t>
      </w:r>
      <w:smartTag w:uri="urn:schemas-microsoft-com:office:smarttags" w:element="place">
        <w:smartTag w:uri="urn:schemas-microsoft-com:office:smarttags" w:element="country-region">
          <w:r w:rsidR="000D36BD">
            <w:t>Australia</w:t>
          </w:r>
        </w:smartTag>
      </w:smartTag>
      <w:r w:rsidR="000D36BD">
        <w:t>. Again, the results are shown for 2009 and for the projection in 2024. To interpret these numbers, the first number in the 2009</w:t>
      </w:r>
      <w:r w:rsidR="00883E8F">
        <w:t xml:space="preserve"> column means that Sydney </w:t>
      </w:r>
      <w:r w:rsidR="0054659B">
        <w:t>would have required an additional 59,949</w:t>
      </w:r>
      <w:r w:rsidR="000D36BD">
        <w:t xml:space="preserve"> dwellings in 2009</w:t>
      </w:r>
      <w:r w:rsidR="00883E8F">
        <w:t xml:space="preserve"> if its household composition had been the same as that of Australia</w:t>
      </w:r>
      <w:r w:rsidR="00243D08">
        <w:t xml:space="preserve"> as a whole</w:t>
      </w:r>
      <w:r w:rsidR="00883E8F">
        <w:t>.</w:t>
      </w:r>
    </w:p>
    <w:p w:rsidR="000D36BD" w:rsidRDefault="000D36BD"/>
    <w:p w:rsidR="00883E8F" w:rsidRDefault="0054659B" w:rsidP="000D36BD">
      <w:r>
        <w:t xml:space="preserve">Table S2 shows that </w:t>
      </w:r>
      <w:r w:rsidR="00883E8F">
        <w:t xml:space="preserve">Sydney and Melbourne </w:t>
      </w:r>
      <w:r>
        <w:t>would need to increase</w:t>
      </w:r>
      <w:r w:rsidR="00883E8F">
        <w:t xml:space="preserve"> their </w:t>
      </w:r>
      <w:r>
        <w:t>dwelling requirement</w:t>
      </w:r>
      <w:r w:rsidR="00883E8F">
        <w:t xml:space="preserve"> if their household composition was the same as </w:t>
      </w:r>
      <w:smartTag w:uri="urn:schemas-microsoft-com:office:smarttags" w:element="country-region">
        <w:smartTag w:uri="urn:schemas-microsoft-com:office:smarttags" w:element="place">
          <w:r w:rsidR="00883E8F">
            <w:t>Australia</w:t>
          </w:r>
        </w:smartTag>
      </w:smartTag>
      <w:r w:rsidR="00883E8F">
        <w:t xml:space="preserve"> as a whole. </w:t>
      </w:r>
      <w:r w:rsidR="00470F89">
        <w:t xml:space="preserve">Effectively, this means that if Sydney and Melbourne had the same population but higher proportions of smaller household types (lone persons, couples only) replacing larger households types (two parent families), then they would need more dwellings. </w:t>
      </w:r>
      <w:r w:rsidR="00883E8F">
        <w:t xml:space="preserve">Across time, </w:t>
      </w:r>
      <w:r w:rsidR="00EB3189">
        <w:t xml:space="preserve">the differences become smaller </w:t>
      </w:r>
      <w:r w:rsidR="00883E8F">
        <w:t xml:space="preserve">apparently as the household compositions of </w:t>
      </w:r>
      <w:r w:rsidR="00883E8F">
        <w:lastRenderedPageBreak/>
        <w:t xml:space="preserve">Sydney and Melbourne become more like those of the rest of </w:t>
      </w:r>
      <w:smartTag w:uri="urn:schemas-microsoft-com:office:smarttags" w:element="country-region">
        <w:smartTag w:uri="urn:schemas-microsoft-com:office:smarttags" w:element="place">
          <w:r w:rsidR="00883E8F">
            <w:t>Australia</w:t>
          </w:r>
        </w:smartTag>
      </w:smartTag>
      <w:r w:rsidR="00243D08">
        <w:t>.</w:t>
      </w:r>
      <w:r w:rsidR="00883E8F">
        <w:t xml:space="preserve"> </w:t>
      </w:r>
      <w:r>
        <w:t>The dwelling demand in a</w:t>
      </w:r>
      <w:r w:rsidR="00883E8F">
        <w:t xml:space="preserve">ll of the </w:t>
      </w:r>
      <w:r w:rsidR="00DB4866">
        <w:t xml:space="preserve">balance </w:t>
      </w:r>
      <w:r w:rsidR="00883E8F">
        <w:t xml:space="preserve">of </w:t>
      </w:r>
      <w:r w:rsidR="00DB4866">
        <w:t xml:space="preserve">state </w:t>
      </w:r>
      <w:r w:rsidR="00EB3189">
        <w:t>re</w:t>
      </w:r>
      <w:r>
        <w:t>gions</w:t>
      </w:r>
      <w:r w:rsidR="00883E8F">
        <w:t xml:space="preserve"> in 2009</w:t>
      </w:r>
      <w:r w:rsidR="0079119B">
        <w:t xml:space="preserve"> </w:t>
      </w:r>
      <w:r>
        <w:t>would be smaller</w:t>
      </w:r>
      <w:r w:rsidR="00243D08">
        <w:t xml:space="preserve"> </w:t>
      </w:r>
      <w:r w:rsidR="00883E8F">
        <w:t>if their household composition</w:t>
      </w:r>
      <w:r>
        <w:t>s were</w:t>
      </w:r>
      <w:r w:rsidR="00883E8F">
        <w:t xml:space="preserve"> the same as that of </w:t>
      </w:r>
      <w:smartTag w:uri="urn:schemas-microsoft-com:office:smarttags" w:element="country-region">
        <w:smartTag w:uri="urn:schemas-microsoft-com:office:smarttags" w:element="place">
          <w:r w:rsidR="00883E8F">
            <w:t>Australia</w:t>
          </w:r>
        </w:smartTag>
      </w:smartTag>
      <w:r w:rsidR="00EB3189">
        <w:t>.</w:t>
      </w:r>
    </w:p>
    <w:p w:rsidR="000D36BD" w:rsidRDefault="000D36BD" w:rsidP="000D36BD">
      <w:pPr>
        <w:rPr>
          <w:rFonts w:ascii="Arial" w:hAnsi="Arial" w:cs="Arial"/>
          <w:b/>
          <w:sz w:val="20"/>
          <w:szCs w:val="20"/>
        </w:rPr>
      </w:pPr>
    </w:p>
    <w:p w:rsidR="00883E8F" w:rsidRDefault="00883E8F" w:rsidP="000D36BD">
      <w:pPr>
        <w:rPr>
          <w:rFonts w:ascii="Arial" w:hAnsi="Arial" w:cs="Arial"/>
          <w:b/>
          <w:sz w:val="20"/>
          <w:szCs w:val="20"/>
        </w:rPr>
      </w:pPr>
      <w:r>
        <w:rPr>
          <w:rFonts w:ascii="Arial" w:hAnsi="Arial" w:cs="Arial"/>
          <w:b/>
          <w:sz w:val="20"/>
          <w:szCs w:val="20"/>
        </w:rPr>
        <w:t xml:space="preserve">Table S2. </w:t>
      </w:r>
      <w:r w:rsidR="00243D08">
        <w:rPr>
          <w:rFonts w:ascii="Arial" w:hAnsi="Arial" w:cs="Arial"/>
          <w:b/>
          <w:sz w:val="18"/>
          <w:szCs w:val="18"/>
        </w:rPr>
        <w:t xml:space="preserve">Change in Dwellings Required If Regional Household Composition Was the Same as </w:t>
      </w:r>
      <w:smartTag w:uri="urn:schemas-microsoft-com:office:smarttags" w:element="place">
        <w:smartTag w:uri="urn:schemas-microsoft-com:office:smarttags" w:element="country-region">
          <w:r w:rsidR="00243D08">
            <w:rPr>
              <w:rFonts w:ascii="Arial" w:hAnsi="Arial" w:cs="Arial"/>
              <w:b/>
              <w:sz w:val="18"/>
              <w:szCs w:val="18"/>
            </w:rPr>
            <w:t>Australia</w:t>
          </w:r>
        </w:smartTag>
      </w:smartTag>
    </w:p>
    <w:p w:rsidR="00883E8F" w:rsidRPr="00883E8F" w:rsidRDefault="00883E8F" w:rsidP="000D36BD"/>
    <w:tbl>
      <w:tblPr>
        <w:tblW w:w="4286" w:type="dxa"/>
        <w:tblInd w:w="93" w:type="dxa"/>
        <w:tblLook w:val="0000"/>
      </w:tblPr>
      <w:tblGrid>
        <w:gridCol w:w="2283"/>
        <w:gridCol w:w="993"/>
        <w:gridCol w:w="1010"/>
      </w:tblGrid>
      <w:tr w:rsidR="00B03A8D" w:rsidTr="007D6ABE">
        <w:trPr>
          <w:trHeight w:val="255"/>
        </w:trPr>
        <w:tc>
          <w:tcPr>
            <w:tcW w:w="2283" w:type="dxa"/>
            <w:vMerge w:val="restart"/>
            <w:tcBorders>
              <w:left w:val="nil"/>
              <w:right w:val="nil"/>
            </w:tcBorders>
            <w:shd w:val="clear" w:color="auto" w:fill="auto"/>
            <w:noWrap/>
            <w:vAlign w:val="bottom"/>
          </w:tcPr>
          <w:p w:rsidR="00B03A8D" w:rsidRPr="00511632" w:rsidRDefault="00B03A8D" w:rsidP="0054659B">
            <w:pPr>
              <w:rPr>
                <w:rFonts w:ascii="Arial" w:hAnsi="Arial" w:cs="Arial"/>
                <w:b/>
                <w:sz w:val="18"/>
                <w:szCs w:val="18"/>
              </w:rPr>
            </w:pPr>
            <w:r w:rsidRPr="00511632">
              <w:rPr>
                <w:rFonts w:ascii="Arial" w:hAnsi="Arial" w:cs="Arial"/>
                <w:b/>
                <w:sz w:val="18"/>
                <w:szCs w:val="18"/>
              </w:rPr>
              <w:t>Region</w:t>
            </w:r>
          </w:p>
        </w:tc>
        <w:tc>
          <w:tcPr>
            <w:tcW w:w="2003" w:type="dxa"/>
            <w:gridSpan w:val="2"/>
            <w:tcBorders>
              <w:left w:val="nil"/>
              <w:right w:val="nil"/>
            </w:tcBorders>
            <w:shd w:val="clear" w:color="auto" w:fill="auto"/>
            <w:noWrap/>
            <w:vAlign w:val="bottom"/>
          </w:tcPr>
          <w:p w:rsidR="00B03A8D" w:rsidRDefault="00243D08" w:rsidP="0054659B">
            <w:pPr>
              <w:jc w:val="center"/>
              <w:rPr>
                <w:rFonts w:ascii="Arial" w:hAnsi="Arial" w:cs="Arial"/>
                <w:b/>
                <w:sz w:val="18"/>
                <w:szCs w:val="18"/>
              </w:rPr>
            </w:pPr>
            <w:r>
              <w:rPr>
                <w:rFonts w:ascii="Arial" w:hAnsi="Arial" w:cs="Arial"/>
                <w:b/>
                <w:sz w:val="18"/>
                <w:szCs w:val="18"/>
              </w:rPr>
              <w:t>Change</w:t>
            </w:r>
            <w:r w:rsidR="00B03A8D">
              <w:rPr>
                <w:rFonts w:ascii="Arial" w:hAnsi="Arial" w:cs="Arial"/>
                <w:b/>
                <w:sz w:val="18"/>
                <w:szCs w:val="18"/>
              </w:rPr>
              <w:t xml:space="preserve"> in Dwellings Required If Regional Household Composition Was the Same as </w:t>
            </w:r>
            <w:smartTag w:uri="urn:schemas-microsoft-com:office:smarttags" w:element="place">
              <w:smartTag w:uri="urn:schemas-microsoft-com:office:smarttags" w:element="country-region">
                <w:r w:rsidR="00B03A8D">
                  <w:rPr>
                    <w:rFonts w:ascii="Arial" w:hAnsi="Arial" w:cs="Arial"/>
                    <w:b/>
                    <w:sz w:val="18"/>
                    <w:szCs w:val="18"/>
                  </w:rPr>
                  <w:t>Australia</w:t>
                </w:r>
              </w:smartTag>
            </w:smartTag>
          </w:p>
        </w:tc>
      </w:tr>
      <w:tr w:rsidR="000D36BD" w:rsidTr="007D6ABE">
        <w:trPr>
          <w:trHeight w:val="255"/>
        </w:trPr>
        <w:tc>
          <w:tcPr>
            <w:tcW w:w="2283" w:type="dxa"/>
            <w:vMerge/>
            <w:tcBorders>
              <w:left w:val="nil"/>
              <w:right w:val="nil"/>
            </w:tcBorders>
            <w:shd w:val="clear" w:color="auto" w:fill="auto"/>
            <w:noWrap/>
            <w:vAlign w:val="bottom"/>
          </w:tcPr>
          <w:p w:rsidR="000D36BD" w:rsidRPr="00511632" w:rsidRDefault="000D36BD" w:rsidP="0054659B">
            <w:pPr>
              <w:rPr>
                <w:rFonts w:ascii="Arial" w:hAnsi="Arial" w:cs="Arial"/>
                <w:b/>
                <w:sz w:val="18"/>
                <w:szCs w:val="18"/>
              </w:rPr>
            </w:pPr>
          </w:p>
        </w:tc>
        <w:tc>
          <w:tcPr>
            <w:tcW w:w="993" w:type="dxa"/>
            <w:tcBorders>
              <w:left w:val="nil"/>
              <w:right w:val="nil"/>
            </w:tcBorders>
            <w:shd w:val="clear" w:color="auto" w:fill="auto"/>
            <w:noWrap/>
            <w:vAlign w:val="bottom"/>
          </w:tcPr>
          <w:p w:rsidR="000D36BD" w:rsidRPr="00511632" w:rsidRDefault="000D36BD" w:rsidP="007D6ABE">
            <w:pPr>
              <w:jc w:val="right"/>
              <w:rPr>
                <w:rFonts w:ascii="Arial" w:hAnsi="Arial" w:cs="Arial"/>
                <w:b/>
                <w:sz w:val="18"/>
                <w:szCs w:val="18"/>
              </w:rPr>
            </w:pPr>
            <w:r>
              <w:rPr>
                <w:rFonts w:ascii="Arial" w:hAnsi="Arial" w:cs="Arial"/>
                <w:b/>
                <w:sz w:val="18"/>
                <w:szCs w:val="18"/>
              </w:rPr>
              <w:t>2009</w:t>
            </w:r>
          </w:p>
        </w:tc>
        <w:tc>
          <w:tcPr>
            <w:tcW w:w="1010" w:type="dxa"/>
            <w:tcBorders>
              <w:top w:val="nil"/>
              <w:left w:val="nil"/>
              <w:bottom w:val="nil"/>
              <w:right w:val="nil"/>
            </w:tcBorders>
            <w:shd w:val="clear" w:color="auto" w:fill="auto"/>
            <w:noWrap/>
            <w:vAlign w:val="bottom"/>
          </w:tcPr>
          <w:p w:rsidR="000D36BD" w:rsidRDefault="00B03A8D" w:rsidP="007D6ABE">
            <w:pPr>
              <w:jc w:val="right"/>
              <w:rPr>
                <w:rFonts w:ascii="Arial" w:hAnsi="Arial" w:cs="Arial"/>
                <w:b/>
                <w:sz w:val="18"/>
                <w:szCs w:val="18"/>
              </w:rPr>
            </w:pPr>
            <w:r>
              <w:rPr>
                <w:rFonts w:ascii="Arial" w:hAnsi="Arial" w:cs="Arial"/>
                <w:b/>
                <w:sz w:val="18"/>
                <w:szCs w:val="18"/>
              </w:rPr>
              <w:t>202</w:t>
            </w:r>
            <w:r w:rsidR="000D36BD">
              <w:rPr>
                <w:rFonts w:ascii="Arial" w:hAnsi="Arial" w:cs="Arial"/>
                <w:b/>
                <w:sz w:val="18"/>
                <w:szCs w:val="18"/>
              </w:rPr>
              <w:t>4</w:t>
            </w:r>
          </w:p>
        </w:tc>
      </w:tr>
      <w:tr w:rsidR="000D36BD" w:rsidTr="007D6ABE">
        <w:trPr>
          <w:trHeight w:val="255"/>
        </w:trPr>
        <w:tc>
          <w:tcPr>
            <w:tcW w:w="2283" w:type="dxa"/>
            <w:tcBorders>
              <w:top w:val="nil"/>
              <w:left w:val="nil"/>
              <w:bottom w:val="nil"/>
              <w:right w:val="nil"/>
            </w:tcBorders>
            <w:shd w:val="clear" w:color="auto" w:fill="auto"/>
            <w:noWrap/>
            <w:vAlign w:val="bottom"/>
          </w:tcPr>
          <w:p w:rsidR="000D36BD" w:rsidRPr="006F2E40" w:rsidRDefault="000D36BD" w:rsidP="0054659B">
            <w:pPr>
              <w:rPr>
                <w:rFonts w:ascii="Arial" w:hAnsi="Arial" w:cs="Arial"/>
                <w:sz w:val="18"/>
                <w:szCs w:val="18"/>
              </w:rPr>
            </w:pPr>
            <w:r w:rsidRPr="006F2E40">
              <w:rPr>
                <w:rFonts w:ascii="Arial" w:hAnsi="Arial" w:cs="Arial"/>
                <w:sz w:val="18"/>
                <w:szCs w:val="18"/>
              </w:rPr>
              <w:t>NSW</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0D36BD" w:rsidRPr="006F2E40" w:rsidRDefault="00B03A8D" w:rsidP="007D6ABE">
            <w:pPr>
              <w:jc w:val="right"/>
              <w:rPr>
                <w:rFonts w:ascii="Arial" w:hAnsi="Arial" w:cs="Arial"/>
                <w:sz w:val="18"/>
                <w:szCs w:val="18"/>
              </w:rPr>
            </w:pPr>
            <w:r>
              <w:rPr>
                <w:rFonts w:ascii="Arial" w:hAnsi="Arial" w:cs="Arial"/>
                <w:sz w:val="18"/>
                <w:szCs w:val="18"/>
              </w:rPr>
              <w:t>59949</w:t>
            </w:r>
          </w:p>
        </w:tc>
        <w:tc>
          <w:tcPr>
            <w:tcW w:w="1010" w:type="dxa"/>
            <w:tcBorders>
              <w:top w:val="nil"/>
              <w:left w:val="nil"/>
              <w:bottom w:val="nil"/>
              <w:right w:val="nil"/>
            </w:tcBorders>
            <w:shd w:val="clear" w:color="auto" w:fill="auto"/>
            <w:noWrap/>
            <w:vAlign w:val="bottom"/>
          </w:tcPr>
          <w:p w:rsidR="000D36BD" w:rsidRPr="002158DF" w:rsidRDefault="00B03A8D" w:rsidP="007D6ABE">
            <w:pPr>
              <w:jc w:val="right"/>
              <w:rPr>
                <w:rFonts w:ascii="Arial" w:hAnsi="Arial" w:cs="Arial"/>
                <w:sz w:val="18"/>
                <w:szCs w:val="18"/>
              </w:rPr>
            </w:pPr>
            <w:r>
              <w:rPr>
                <w:rFonts w:ascii="Arial" w:hAnsi="Arial" w:cs="Arial"/>
                <w:sz w:val="18"/>
                <w:szCs w:val="18"/>
              </w:rPr>
              <w:t>48360</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VIC</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B03A8D" w:rsidRPr="006F2E40" w:rsidRDefault="00B03A8D" w:rsidP="007D6ABE">
            <w:pPr>
              <w:jc w:val="right"/>
              <w:rPr>
                <w:rFonts w:ascii="Arial" w:hAnsi="Arial" w:cs="Arial"/>
                <w:sz w:val="18"/>
                <w:szCs w:val="18"/>
              </w:rPr>
            </w:pPr>
            <w:r>
              <w:rPr>
                <w:rFonts w:ascii="Arial" w:hAnsi="Arial" w:cs="Arial"/>
                <w:sz w:val="18"/>
                <w:szCs w:val="18"/>
              </w:rPr>
              <w:t>33420</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14043</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VIC</w:t>
            </w:r>
            <w:r w:rsidR="00C62945">
              <w:rPr>
                <w:rFonts w:ascii="Arial" w:hAnsi="Arial" w:cs="Arial"/>
                <w:sz w:val="18"/>
                <w:szCs w:val="18"/>
              </w:rPr>
              <w:t xml:space="preserve"> balance of state</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13909</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14077</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QLD</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2320</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7956</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QLD</w:t>
            </w:r>
            <w:r w:rsidR="00C62945">
              <w:rPr>
                <w:rFonts w:ascii="Arial" w:hAnsi="Arial" w:cs="Arial"/>
                <w:sz w:val="18"/>
                <w:szCs w:val="18"/>
              </w:rPr>
              <w:t xml:space="preserve"> balance of state</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11113</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6695</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SA</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16158</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21264</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SA</w:t>
            </w:r>
            <w:r w:rsidR="00C62945">
              <w:rPr>
                <w:rFonts w:ascii="Arial" w:hAnsi="Arial" w:cs="Arial"/>
                <w:sz w:val="18"/>
                <w:szCs w:val="18"/>
              </w:rPr>
              <w:t xml:space="preserve"> balance of state</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4883</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4200</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WA</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14863</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18241</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WA</w:t>
            </w:r>
            <w:r w:rsidR="00C62945">
              <w:rPr>
                <w:rFonts w:ascii="Arial" w:hAnsi="Arial" w:cs="Arial"/>
                <w:sz w:val="18"/>
                <w:szCs w:val="18"/>
              </w:rPr>
              <w:t xml:space="preserve"> balance of state</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3864</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1358</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TAS</w:t>
            </w:r>
            <w:r w:rsidR="00584ABA">
              <w:rPr>
                <w:rFonts w:ascii="Arial" w:hAnsi="Arial" w:cs="Arial"/>
                <w:sz w:val="18"/>
                <w:szCs w:val="18"/>
              </w:rPr>
              <w:t xml:space="preserve"> capital city</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4030</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3907</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TAS</w:t>
            </w:r>
            <w:r w:rsidR="00C62945">
              <w:rPr>
                <w:rFonts w:ascii="Arial" w:hAnsi="Arial" w:cs="Arial"/>
                <w:sz w:val="18"/>
                <w:szCs w:val="18"/>
              </w:rPr>
              <w:t xml:space="preserve"> balance of state</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4816</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4279</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NT</w:t>
            </w:r>
          </w:p>
        </w:tc>
        <w:tc>
          <w:tcPr>
            <w:tcW w:w="993" w:type="dxa"/>
            <w:tcBorders>
              <w:top w:val="nil"/>
              <w:left w:val="nil"/>
              <w:bottom w:val="nil"/>
              <w:right w:val="nil"/>
            </w:tcBorders>
            <w:shd w:val="clear" w:color="auto" w:fill="auto"/>
            <w:noWrap/>
            <w:vAlign w:val="bottom"/>
          </w:tcPr>
          <w:p w:rsidR="00B03A8D" w:rsidRPr="006F2E40" w:rsidRDefault="00B03A8D" w:rsidP="007D6ABE">
            <w:pPr>
              <w:jc w:val="right"/>
              <w:rPr>
                <w:rFonts w:ascii="Arial" w:hAnsi="Arial" w:cs="Arial"/>
                <w:sz w:val="18"/>
                <w:szCs w:val="18"/>
              </w:rPr>
            </w:pPr>
            <w:r>
              <w:rPr>
                <w:rFonts w:ascii="Arial" w:hAnsi="Arial" w:cs="Arial"/>
                <w:sz w:val="18"/>
                <w:szCs w:val="18"/>
              </w:rPr>
              <w:t>607</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7989</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B03A8D" w:rsidP="0054659B">
            <w:pPr>
              <w:rPr>
                <w:rFonts w:ascii="Arial" w:hAnsi="Arial" w:cs="Arial"/>
                <w:sz w:val="18"/>
                <w:szCs w:val="18"/>
              </w:rPr>
            </w:pPr>
            <w:r w:rsidRPr="006F2E40">
              <w:rPr>
                <w:rFonts w:ascii="Arial" w:hAnsi="Arial" w:cs="Arial"/>
                <w:sz w:val="18"/>
                <w:szCs w:val="18"/>
              </w:rPr>
              <w:t>ACT</w:t>
            </w:r>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2773</w:t>
            </w:r>
          </w:p>
        </w:tc>
        <w:tc>
          <w:tcPr>
            <w:tcW w:w="1010" w:type="dxa"/>
            <w:tcBorders>
              <w:top w:val="nil"/>
              <w:left w:val="nil"/>
              <w:bottom w:val="nil"/>
              <w:right w:val="nil"/>
            </w:tcBorders>
            <w:shd w:val="clear" w:color="auto" w:fill="auto"/>
            <w:noWrap/>
            <w:vAlign w:val="bottom"/>
          </w:tcPr>
          <w:p w:rsidR="00B03A8D" w:rsidRPr="002158DF"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2760</w:t>
            </w:r>
          </w:p>
        </w:tc>
      </w:tr>
      <w:tr w:rsidR="00B03A8D" w:rsidTr="007D6ABE">
        <w:trPr>
          <w:trHeight w:val="255"/>
        </w:trPr>
        <w:tc>
          <w:tcPr>
            <w:tcW w:w="2283" w:type="dxa"/>
            <w:tcBorders>
              <w:top w:val="nil"/>
              <w:left w:val="nil"/>
              <w:bottom w:val="nil"/>
              <w:right w:val="nil"/>
            </w:tcBorders>
            <w:shd w:val="clear" w:color="auto" w:fill="auto"/>
            <w:noWrap/>
            <w:vAlign w:val="bottom"/>
          </w:tcPr>
          <w:p w:rsidR="00B03A8D" w:rsidRPr="006F2E40" w:rsidRDefault="00C62945" w:rsidP="0054659B">
            <w:pPr>
              <w:rPr>
                <w:rFonts w:ascii="Arial" w:hAnsi="Arial" w:cs="Arial"/>
                <w:sz w:val="18"/>
                <w:szCs w:val="18"/>
              </w:rPr>
            </w:pPr>
            <w:smartTag w:uri="urn:schemas-microsoft-com:office:smarttags" w:element="place">
              <w:r>
                <w:rPr>
                  <w:rFonts w:ascii="Arial" w:hAnsi="Arial" w:cs="Arial"/>
                  <w:sz w:val="18"/>
                  <w:szCs w:val="18"/>
                </w:rPr>
                <w:t>SE QLD</w:t>
              </w:r>
            </w:smartTag>
          </w:p>
        </w:tc>
        <w:tc>
          <w:tcPr>
            <w:tcW w:w="993" w:type="dxa"/>
            <w:tcBorders>
              <w:top w:val="nil"/>
              <w:left w:val="nil"/>
              <w:bottom w:val="nil"/>
              <w:right w:val="nil"/>
            </w:tcBorders>
            <w:shd w:val="clear" w:color="auto" w:fill="auto"/>
            <w:noWrap/>
            <w:vAlign w:val="bottom"/>
          </w:tcPr>
          <w:p w:rsidR="00B03A8D" w:rsidRPr="006F2E40" w:rsidRDefault="0054659B" w:rsidP="007D6ABE">
            <w:pPr>
              <w:jc w:val="right"/>
              <w:rPr>
                <w:rFonts w:ascii="Arial" w:hAnsi="Arial" w:cs="Arial"/>
                <w:sz w:val="18"/>
                <w:szCs w:val="18"/>
              </w:rPr>
            </w:pPr>
            <w:r>
              <w:rPr>
                <w:rFonts w:ascii="Arial" w:hAnsi="Arial" w:cs="Arial"/>
                <w:sz w:val="18"/>
                <w:szCs w:val="18"/>
              </w:rPr>
              <w:t>-</w:t>
            </w:r>
            <w:r w:rsidR="00B03A8D">
              <w:rPr>
                <w:rFonts w:ascii="Arial" w:hAnsi="Arial" w:cs="Arial"/>
                <w:sz w:val="18"/>
                <w:szCs w:val="18"/>
              </w:rPr>
              <w:t>8038</w:t>
            </w:r>
          </w:p>
        </w:tc>
        <w:tc>
          <w:tcPr>
            <w:tcW w:w="1010" w:type="dxa"/>
            <w:tcBorders>
              <w:top w:val="nil"/>
              <w:left w:val="nil"/>
              <w:bottom w:val="nil"/>
              <w:right w:val="nil"/>
            </w:tcBorders>
            <w:shd w:val="clear" w:color="auto" w:fill="auto"/>
            <w:noWrap/>
            <w:vAlign w:val="bottom"/>
          </w:tcPr>
          <w:p w:rsidR="00B03A8D" w:rsidRPr="002158DF" w:rsidRDefault="00B03A8D" w:rsidP="007D6ABE">
            <w:pPr>
              <w:jc w:val="right"/>
              <w:rPr>
                <w:rFonts w:ascii="Arial" w:hAnsi="Arial" w:cs="Arial"/>
                <w:sz w:val="18"/>
                <w:szCs w:val="18"/>
              </w:rPr>
            </w:pPr>
            <w:r>
              <w:rPr>
                <w:rFonts w:ascii="Arial" w:hAnsi="Arial" w:cs="Arial"/>
                <w:sz w:val="18"/>
                <w:szCs w:val="18"/>
              </w:rPr>
              <w:t>5949</w:t>
            </w:r>
          </w:p>
        </w:tc>
      </w:tr>
    </w:tbl>
    <w:p w:rsidR="001F29BB" w:rsidRDefault="001F29BB"/>
    <w:p w:rsidR="001F29BB" w:rsidRDefault="001F29BB"/>
    <w:p w:rsidR="001F29BB" w:rsidRDefault="001B4B06" w:rsidP="001F29BB">
      <w:r>
        <w:t xml:space="preserve">Household size differences across </w:t>
      </w:r>
      <w:r w:rsidR="00036BE5">
        <w:t>cities and regions can be due to a number of factors including the balance of supply and demand. Where supply is constrained, household sizes will tend to be larger. However, t</w:t>
      </w:r>
      <w:r w:rsidR="00C8323A">
        <w:t xml:space="preserve">he differences across </w:t>
      </w:r>
      <w:r w:rsidR="00036BE5">
        <w:t xml:space="preserve">cities and </w:t>
      </w:r>
      <w:r w:rsidR="00C8323A">
        <w:t xml:space="preserve">regions in relation to household size are </w:t>
      </w:r>
      <w:r w:rsidR="00036BE5">
        <w:t>mainly</w:t>
      </w:r>
      <w:r w:rsidR="00C8323A">
        <w:t xml:space="preserve"> the result of different distributions of household types. This is evident from Table S3 which shows the househ</w:t>
      </w:r>
      <w:r w:rsidR="00036BE5">
        <w:t>old type of individuals by their</w:t>
      </w:r>
      <w:r w:rsidR="00C8323A">
        <w:t xml:space="preserve"> age, sex and region at the beginning of the projection period.</w:t>
      </w:r>
    </w:p>
    <w:p w:rsidR="00C8323A" w:rsidRDefault="00C8323A" w:rsidP="001F29BB"/>
    <w:p w:rsidR="00C8323A" w:rsidRPr="009E67CF" w:rsidRDefault="00C8323A" w:rsidP="001F29BB">
      <w:pPr>
        <w:rPr>
          <w:b/>
          <w:i/>
        </w:rPr>
      </w:pPr>
      <w:r w:rsidRPr="009E67CF">
        <w:rPr>
          <w:b/>
          <w:i/>
        </w:rPr>
        <w:t>Males Aged 15-34</w:t>
      </w:r>
    </w:p>
    <w:p w:rsidR="00F040A1" w:rsidRDefault="00C8323A" w:rsidP="001F29BB">
      <w:r>
        <w:t xml:space="preserve">For males aged 15-34, being a parent in a two- and a one-parent family is more common in the balance of state regions than in the cities. This results from the earlier ages at which men in the balance of state regions had their children. By state, earlier parenthood for men was evident in </w:t>
      </w:r>
      <w:smartTag w:uri="urn:schemas-microsoft-com:office:smarttags" w:element="State">
        <w:r>
          <w:t>Tasmania</w:t>
        </w:r>
      </w:smartTag>
      <w:r>
        <w:t xml:space="preserve"> and </w:t>
      </w:r>
      <w:smartTag w:uri="urn:schemas-microsoft-com:office:smarttags" w:element="State">
        <w:r>
          <w:t>Queensland</w:t>
        </w:r>
      </w:smartTag>
      <w:r>
        <w:t xml:space="preserve"> and later parenting in </w:t>
      </w:r>
      <w:smartTag w:uri="urn:schemas-microsoft-com:office:smarttags" w:element="place">
        <w:smartTag w:uri="urn:schemas-microsoft-com:office:smarttags" w:element="State">
          <w:r>
            <w:t>Victoria</w:t>
          </w:r>
        </w:smartTag>
      </w:smartTag>
      <w:r>
        <w:t xml:space="preserve">. At this age, many men are still living at home with parents as indicated by their status as a child in a two- or one-parent family. </w:t>
      </w:r>
      <w:r w:rsidR="009E67CF">
        <w:t xml:space="preserve">Living at home with parents was less common for men of this age in the balance of state regions than in the cities, but the differences were small except in </w:t>
      </w:r>
      <w:smartTag w:uri="urn:schemas-microsoft-com:office:smarttags" w:element="place">
        <w:smartTag w:uri="urn:schemas-microsoft-com:office:smarttags" w:element="State">
          <w:r w:rsidR="009E67CF">
            <w:t>Western Australia</w:t>
          </w:r>
        </w:smartTag>
      </w:smartTag>
      <w:r w:rsidR="009E67CF">
        <w:t xml:space="preserve">. By State, still being at home with parents was more commonly the case in </w:t>
      </w:r>
      <w:smartTag w:uri="urn:schemas-microsoft-com:office:smarttags" w:element="State">
        <w:r w:rsidR="009E67CF">
          <w:t>New South Wales</w:t>
        </w:r>
      </w:smartTag>
      <w:r w:rsidR="009E67CF">
        <w:t xml:space="preserve"> and </w:t>
      </w:r>
      <w:smartTag w:uri="urn:schemas-microsoft-com:office:smarttags" w:element="State">
        <w:r w:rsidR="009E67CF">
          <w:t>Victoria</w:t>
        </w:r>
      </w:smartTag>
      <w:r w:rsidR="009E67CF">
        <w:t xml:space="preserve"> and least common in </w:t>
      </w:r>
      <w:smartTag w:uri="urn:schemas-microsoft-com:office:smarttags" w:element="State">
        <w:r w:rsidR="009E67CF">
          <w:t>Queensland</w:t>
        </w:r>
      </w:smartTag>
      <w:r w:rsidR="00470F89">
        <w:t xml:space="preserve">, </w:t>
      </w:r>
      <w:smartTag w:uri="urn:schemas-microsoft-com:office:smarttags" w:element="State">
        <w:smartTag w:uri="urn:schemas-microsoft-com:office:smarttags" w:element="place">
          <w:r w:rsidR="00470F89">
            <w:t>Northern Territory</w:t>
          </w:r>
        </w:smartTag>
      </w:smartTag>
      <w:r w:rsidR="00470F89">
        <w:t xml:space="preserve"> and the ACT</w:t>
      </w:r>
      <w:r w:rsidR="009E67CF">
        <w:t>. This may reflect the varying ethnic compositions of these states.</w:t>
      </w:r>
    </w:p>
    <w:p w:rsidR="00F040A1" w:rsidRDefault="00F040A1" w:rsidP="001F29BB"/>
    <w:p w:rsidR="00C8323A" w:rsidRDefault="009E67CF" w:rsidP="001F29BB">
      <w:r>
        <w:lastRenderedPageBreak/>
        <w:t>The proportions living as a</w:t>
      </w:r>
      <w:r w:rsidR="00F040A1">
        <w:t xml:space="preserve"> </w:t>
      </w:r>
      <w:r>
        <w:t xml:space="preserve">couple with no children did not vary much across the cities and regions but living alone was more common in </w:t>
      </w:r>
      <w:smartTag w:uri="urn:schemas-microsoft-com:office:smarttags" w:element="State">
        <w:r w:rsidR="00F040A1">
          <w:t>South Australia</w:t>
        </w:r>
      </w:smartTag>
      <w:r w:rsidR="00F040A1">
        <w:t xml:space="preserve"> and </w:t>
      </w:r>
      <w:smartTag w:uri="urn:schemas-microsoft-com:office:smarttags" w:element="place">
        <w:smartTag w:uri="urn:schemas-microsoft-com:office:smarttags" w:element="State">
          <w:r w:rsidR="00F040A1">
            <w:t>Western Australia</w:t>
          </w:r>
        </w:smartTag>
      </w:smartTag>
      <w:r w:rsidR="00F040A1">
        <w:t xml:space="preserve">. Living in a family household as a single person (not a parent or child of the family) was most common in </w:t>
      </w:r>
      <w:smartTag w:uri="urn:schemas-microsoft-com:office:smarttags" w:element="State">
        <w:r w:rsidR="00F040A1">
          <w:t>Queensland</w:t>
        </w:r>
      </w:smartTag>
      <w:r w:rsidR="00F040A1">
        <w:t xml:space="preserve"> and the </w:t>
      </w:r>
      <w:smartTag w:uri="urn:schemas-microsoft-com:office:smarttags" w:element="place">
        <w:smartTag w:uri="urn:schemas-microsoft-com:office:smarttags" w:element="State">
          <w:r w:rsidR="00F040A1">
            <w:t>Northern Territory</w:t>
          </w:r>
        </w:smartTag>
      </w:smartTag>
      <w:r w:rsidR="00F040A1">
        <w:t xml:space="preserve"> presumably reflecting the higher proportions of indigenous people in these places or shortage of rental accommodation. Group household living was more common in the cities than in the balances of state and more common in </w:t>
      </w:r>
      <w:smartTag w:uri="urn:schemas-microsoft-com:office:smarttags" w:element="place">
        <w:smartTag w:uri="urn:schemas-microsoft-com:office:smarttags" w:element="State">
          <w:r w:rsidR="00F040A1">
            <w:t>Queensland</w:t>
          </w:r>
        </w:smartTag>
      </w:smartTag>
      <w:r w:rsidR="00F040A1">
        <w:t xml:space="preserve"> and the ACT than in other States/Territories. Residence in a non-private dwelling was most common in the </w:t>
      </w:r>
      <w:smartTag w:uri="urn:schemas-microsoft-com:office:smarttags" w:element="State">
        <w:r w:rsidR="00F040A1">
          <w:t>Northern Territory</w:t>
        </w:r>
      </w:smartTag>
      <w:r w:rsidR="00F040A1">
        <w:t xml:space="preserve">, the ACT (student residences) and in the balance of </w:t>
      </w:r>
      <w:smartTag w:uri="urn:schemas-microsoft-com:office:smarttags" w:element="place">
        <w:smartTag w:uri="urn:schemas-microsoft-com:office:smarttags" w:element="State">
          <w:r w:rsidR="00F040A1">
            <w:t>Western Australia</w:t>
          </w:r>
        </w:smartTag>
      </w:smartTag>
      <w:r w:rsidR="00F040A1">
        <w:t xml:space="preserve"> (mining camps).</w:t>
      </w:r>
    </w:p>
    <w:p w:rsidR="00F040A1" w:rsidRDefault="00F040A1" w:rsidP="001F29BB"/>
    <w:p w:rsidR="00F040A1" w:rsidRPr="00F040A1" w:rsidRDefault="00F040A1" w:rsidP="001F29BB">
      <w:pPr>
        <w:rPr>
          <w:b/>
          <w:i/>
        </w:rPr>
      </w:pPr>
      <w:r w:rsidRPr="00F040A1">
        <w:rPr>
          <w:b/>
          <w:i/>
        </w:rPr>
        <w:t>Females Aged 15-34</w:t>
      </w:r>
    </w:p>
    <w:p w:rsidR="00F040A1" w:rsidRDefault="00F040A1" w:rsidP="001F29BB"/>
    <w:p w:rsidR="001F29BB" w:rsidRDefault="001B4B06" w:rsidP="001F29BB">
      <w:r>
        <w:t xml:space="preserve">Compared to men aged 15-34, women aged 15-34 were much more likely to be living as a parent in a one- or two- parent family or in a couple family with no children. They were much less likely to be living in all the other household categories than men of the same </w:t>
      </w:r>
      <w:proofErr w:type="gramStart"/>
      <w:r>
        <w:t>age,</w:t>
      </w:r>
      <w:proofErr w:type="gramEnd"/>
      <w:r>
        <w:t xml:space="preserve"> in particular, they were much less likely to be still at home with parents than men of the same age. The patterns of differences across states and territories for each household type were the same for women as for men except that </w:t>
      </w:r>
      <w:r w:rsidR="00ED7EE0">
        <w:t xml:space="preserve">women were more likely to live alone in the cities than live alone in the balances of </w:t>
      </w:r>
      <w:r w:rsidR="00503D90">
        <w:t>state. The</w:t>
      </w:r>
      <w:r>
        <w:t xml:space="preserve"> opposite </w:t>
      </w:r>
      <w:r w:rsidR="00ED7EE0">
        <w:t>situation</w:t>
      </w:r>
      <w:r>
        <w:t xml:space="preserve"> applied to men </w:t>
      </w:r>
      <w:r w:rsidR="00ED7EE0">
        <w:t>who were more likely to be living alone in the balances of state than in the cities</w:t>
      </w:r>
      <w:proofErr w:type="gramStart"/>
      <w:r w:rsidR="00ED7EE0">
        <w:t>.</w:t>
      </w:r>
      <w:r>
        <w:t>.</w:t>
      </w:r>
      <w:proofErr w:type="gramEnd"/>
      <w:r w:rsidR="00470F89">
        <w:t xml:space="preserve"> </w:t>
      </w:r>
    </w:p>
    <w:p w:rsidR="001B4B06" w:rsidRDefault="001B4B06" w:rsidP="001F29BB"/>
    <w:p w:rsidR="001B4B06" w:rsidRPr="001B4B06" w:rsidRDefault="001B4B06" w:rsidP="001F29BB">
      <w:pPr>
        <w:rPr>
          <w:b/>
          <w:i/>
        </w:rPr>
      </w:pPr>
      <w:r w:rsidRPr="001B4B06">
        <w:rPr>
          <w:b/>
          <w:i/>
        </w:rPr>
        <w:t>Males Aged 35-59</w:t>
      </w:r>
    </w:p>
    <w:p w:rsidR="001B4B06" w:rsidRDefault="001B4B06" w:rsidP="001F29BB"/>
    <w:p w:rsidR="001B4B06" w:rsidRDefault="00DE0B4E" w:rsidP="001F29BB">
      <w:r>
        <w:t xml:space="preserve">In these middle ages, the two-parent family with children is much more common in the cities than in the balances of state. In contrast, couples with no children are more common in the balances of state. The </w:t>
      </w:r>
      <w:r w:rsidR="00ED7EE0">
        <w:t xml:space="preserve">third </w:t>
      </w:r>
      <w:r>
        <w:t xml:space="preserve">main form of household for this age range, living alone, is also more common in the balances of state. These differences imply smaller household sizes in the balances of state in these middle ages. In the balances of state of </w:t>
      </w:r>
      <w:smartTag w:uri="urn:schemas-microsoft-com:office:smarttags" w:element="State">
        <w:r>
          <w:t>South Australia</w:t>
        </w:r>
      </w:smartTag>
      <w:r>
        <w:t xml:space="preserve"> and </w:t>
      </w:r>
      <w:smartTag w:uri="urn:schemas-microsoft-com:office:smarttags" w:element="place">
        <w:smartTag w:uri="urn:schemas-microsoft-com:office:smarttags" w:element="State">
          <w:r>
            <w:t>Western Australia</w:t>
          </w:r>
        </w:smartTag>
      </w:smartTag>
      <w:r>
        <w:t>, one in six men of this age live alone.</w:t>
      </w:r>
    </w:p>
    <w:p w:rsidR="00DE0B4E" w:rsidRDefault="00DE0B4E" w:rsidP="001F29BB"/>
    <w:p w:rsidR="00DE0B4E" w:rsidRPr="00DE0B4E" w:rsidRDefault="00DE0B4E" w:rsidP="001F29BB">
      <w:pPr>
        <w:rPr>
          <w:b/>
          <w:i/>
        </w:rPr>
      </w:pPr>
      <w:r w:rsidRPr="00DE0B4E">
        <w:rPr>
          <w:b/>
          <w:i/>
        </w:rPr>
        <w:t>Females Aged 35-5</w:t>
      </w:r>
      <w:r w:rsidR="008743C1">
        <w:rPr>
          <w:b/>
          <w:i/>
        </w:rPr>
        <w:t>9</w:t>
      </w:r>
    </w:p>
    <w:p w:rsidR="00DE0B4E" w:rsidRDefault="00DE0B4E" w:rsidP="001F29BB"/>
    <w:p w:rsidR="00DE0B4E" w:rsidRDefault="00DE0B4E" w:rsidP="001F29BB">
      <w:r>
        <w:t xml:space="preserve">Like the younger age group, middle age females </w:t>
      </w:r>
      <w:r w:rsidR="00262D46">
        <w:t xml:space="preserve">generally </w:t>
      </w:r>
      <w:r>
        <w:t>have higher proportions living alone in the cities than in the balances of state, the opposite situation to men and, overall, women of this age are much less likely to be living alone compared to men. Balancing this, women of this age are much more lik</w:t>
      </w:r>
      <w:r w:rsidR="004E0966">
        <w:t xml:space="preserve">ely </w:t>
      </w:r>
      <w:r w:rsidR="00262D46">
        <w:t xml:space="preserve">than men </w:t>
      </w:r>
      <w:r w:rsidR="004E0966">
        <w:t xml:space="preserve">to be lone parents with the rate of lone parenthood not varying much between the cities and the balances of state. Compared to men, women of this age are also more likely to be living in a couple </w:t>
      </w:r>
      <w:proofErr w:type="gramStart"/>
      <w:r w:rsidR="004E0966">
        <w:t>family</w:t>
      </w:r>
      <w:proofErr w:type="gramEnd"/>
      <w:r w:rsidR="004E0966">
        <w:t xml:space="preserve"> without children and less likely to be living in a two-parent family with children. However, the differences between cities and balances of the state for these two household types are the same as for men with the family </w:t>
      </w:r>
      <w:r w:rsidR="00503D90">
        <w:t>with</w:t>
      </w:r>
      <w:r w:rsidR="004E0966">
        <w:t xml:space="preserve"> children being more common in the cities and the family without children less common.</w:t>
      </w:r>
    </w:p>
    <w:p w:rsidR="00BC02C7" w:rsidRDefault="00BC02C7" w:rsidP="001F29BB"/>
    <w:p w:rsidR="00BC02C7" w:rsidRDefault="00BC02C7" w:rsidP="005104A0">
      <w:pPr>
        <w:spacing w:after="240"/>
        <w:rPr>
          <w:b/>
          <w:i/>
        </w:rPr>
      </w:pPr>
      <w:r w:rsidRPr="00BC02C7">
        <w:rPr>
          <w:b/>
          <w:i/>
        </w:rPr>
        <w:t>Males Aged 60+</w:t>
      </w:r>
    </w:p>
    <w:p w:rsidR="00BC02C7" w:rsidRDefault="00BC02C7" w:rsidP="001F29BB">
      <w:r>
        <w:t xml:space="preserve">The three main household types for men aged 60 and over are couple family without children, couple family with children and living alone. Much higher proportions of men </w:t>
      </w:r>
      <w:r>
        <w:lastRenderedPageBreak/>
        <w:t xml:space="preserve">aged 60 and over in the cities live in two-parent </w:t>
      </w:r>
      <w:r w:rsidR="00503D90">
        <w:t>families</w:t>
      </w:r>
      <w:r>
        <w:t xml:space="preserve"> with children compared to those living in the balances of state. Balancing this, couple families without children were more common in the balances of state than in the cities as were households consisting of men living alone. Again, this implies that households in the cities would be larger on average than those in the balances of the state for men of this age. The fourth largest category for men of this age was those living in non-private dwellings. There was little variation in the proportion represented by this category either across states and territories or across cities </w:t>
      </w:r>
      <w:r w:rsidR="00503D90">
        <w:t>and</w:t>
      </w:r>
      <w:r>
        <w:t xml:space="preserve"> balances of state.</w:t>
      </w:r>
    </w:p>
    <w:p w:rsidR="00BC02C7" w:rsidRDefault="00BC02C7" w:rsidP="001F29BB"/>
    <w:p w:rsidR="00BC02C7" w:rsidRPr="00BC02C7" w:rsidRDefault="00BC02C7" w:rsidP="001F29BB">
      <w:pPr>
        <w:rPr>
          <w:b/>
          <w:i/>
        </w:rPr>
      </w:pPr>
      <w:r w:rsidRPr="00BC02C7">
        <w:rPr>
          <w:b/>
          <w:i/>
        </w:rPr>
        <w:t>Females Aged 60+</w:t>
      </w:r>
    </w:p>
    <w:p w:rsidR="00BC02C7" w:rsidRDefault="00BC02C7" w:rsidP="001F29BB"/>
    <w:p w:rsidR="00BC02C7" w:rsidRDefault="00A8256B" w:rsidP="001F29BB">
      <w:r>
        <w:t xml:space="preserve">The household compositions of women aged 60 and over are very different from those of men aged 60 and over. This has demographic drivers: the earlier mortality of men, the age difference between male and female partners to a relationship and the combination of these two factors. Women of this age are more likely to have older children than men of this age and hence more children would have left home. As a consequence, women aged 60 and over are less likely than men of the same age to be living in a two-parent family with children. They are also considerably less likely than </w:t>
      </w:r>
      <w:r w:rsidR="00E13DC5">
        <w:t xml:space="preserve">men </w:t>
      </w:r>
      <w:r>
        <w:t xml:space="preserve">of this age to be living in a couple </w:t>
      </w:r>
      <w:proofErr w:type="gramStart"/>
      <w:r>
        <w:t>family</w:t>
      </w:r>
      <w:proofErr w:type="gramEnd"/>
      <w:r>
        <w:t xml:space="preserve"> without children (because of the earlier mortality of male partners). On the other hand, women aged 60+ are much more likely than men aged 60+ to be living alone, in a one-parent family, living with a family or living in a non-private dwelling.</w:t>
      </w:r>
    </w:p>
    <w:p w:rsidR="00A8256B" w:rsidRDefault="00A8256B" w:rsidP="001F29BB"/>
    <w:p w:rsidR="00A8256B" w:rsidRDefault="00EC0572" w:rsidP="001F29BB">
      <w:r>
        <w:t xml:space="preserve">Overall, women aged 60 and over in the cities were much more likely to be living with children or with a family than women in the balances of state. For example, 24.2 per cent of women aged 60 and over in </w:t>
      </w:r>
      <w:smartTag w:uri="urn:schemas-microsoft-com:office:smarttags" w:element="City">
        <w:r>
          <w:t>Sydney</w:t>
        </w:r>
      </w:smartTag>
      <w:r>
        <w:t xml:space="preserve"> lived with their children or a family compared to 14.2 per cent of women of the same age in the balance of </w:t>
      </w:r>
      <w:smartTag w:uri="urn:schemas-microsoft-com:office:smarttags" w:element="place">
        <w:smartTag w:uri="urn:schemas-microsoft-com:office:smarttags" w:element="State">
          <w:r>
            <w:t>New South Wales</w:t>
          </w:r>
        </w:smartTag>
      </w:smartTag>
      <w:r>
        <w:t>.</w:t>
      </w:r>
    </w:p>
    <w:p w:rsidR="00EC0572" w:rsidRDefault="00EC0572" w:rsidP="001F29BB"/>
    <w:p w:rsidR="00EC0572" w:rsidRPr="00EC0572" w:rsidRDefault="00EC0572" w:rsidP="001F29BB">
      <w:pPr>
        <w:rPr>
          <w:b/>
        </w:rPr>
      </w:pPr>
      <w:r w:rsidRPr="00EC0572">
        <w:rPr>
          <w:b/>
        </w:rPr>
        <w:t>Summary: Effects of Differences in</w:t>
      </w:r>
      <w:r>
        <w:rPr>
          <w:b/>
        </w:rPr>
        <w:t xml:space="preserve"> </w:t>
      </w:r>
      <w:r w:rsidRPr="00EC0572">
        <w:rPr>
          <w:b/>
        </w:rPr>
        <w:t xml:space="preserve">Household Composition </w:t>
      </w:r>
      <w:proofErr w:type="gramStart"/>
      <w:r w:rsidRPr="00EC0572">
        <w:rPr>
          <w:b/>
        </w:rPr>
        <w:t>Upon</w:t>
      </w:r>
      <w:proofErr w:type="gramEnd"/>
      <w:r w:rsidRPr="00EC0572">
        <w:rPr>
          <w:b/>
        </w:rPr>
        <w:t xml:space="preserve"> Househo</w:t>
      </w:r>
      <w:r w:rsidR="00E13DC5">
        <w:rPr>
          <w:b/>
        </w:rPr>
        <w:t>l</w:t>
      </w:r>
      <w:r w:rsidRPr="00EC0572">
        <w:rPr>
          <w:b/>
        </w:rPr>
        <w:t>d Size.</w:t>
      </w:r>
    </w:p>
    <w:p w:rsidR="00BC02C7" w:rsidRDefault="00BC02C7" w:rsidP="001F29BB"/>
    <w:p w:rsidR="00EC0572" w:rsidRDefault="00EC0572" w:rsidP="001F29BB">
      <w:r>
        <w:t>Couple families with children are the largest households on average and, obviously, lone-person households are the smallest. The above discussion shows that two-parent</w:t>
      </w:r>
      <w:r w:rsidRPr="00503D90">
        <w:rPr>
          <w:lang w:val="en-AU"/>
        </w:rPr>
        <w:t xml:space="preserve"> </w:t>
      </w:r>
      <w:r w:rsidR="00503D90" w:rsidRPr="00503D90">
        <w:rPr>
          <w:lang w:val="en-AU"/>
        </w:rPr>
        <w:t>families</w:t>
      </w:r>
      <w:r>
        <w:t xml:space="preserve"> with children are generally much more common in the cities that in the balances of </w:t>
      </w:r>
      <w:proofErr w:type="gramStart"/>
      <w:r>
        <w:t>state</w:t>
      </w:r>
      <w:r w:rsidR="00E13DC5">
        <w:t>.</w:t>
      </w:r>
      <w:r>
        <w:t>,</w:t>
      </w:r>
      <w:proofErr w:type="gramEnd"/>
      <w:r>
        <w:t xml:space="preserve"> </w:t>
      </w:r>
      <w:r w:rsidR="00E13DC5">
        <w:t>F</w:t>
      </w:r>
      <w:r>
        <w:t xml:space="preserve">or men, living alone is more common in the balances of state. Couple </w:t>
      </w:r>
      <w:r w:rsidR="00503D90">
        <w:t>families</w:t>
      </w:r>
      <w:r>
        <w:t xml:space="preserve"> without children are also more common in the balances of state and aged parents are more likely to share with children or another family in the cities than in the balances of state. Thus, as observed in Table S1, average household sizes are larger in the cities than in the balances of state.</w:t>
      </w:r>
    </w:p>
    <w:p w:rsidR="00AB3EEF" w:rsidRDefault="00AB3EEF" w:rsidP="001F29BB"/>
    <w:p w:rsidR="00033878" w:rsidRDefault="00AB3EEF" w:rsidP="001F29BB">
      <w:pPr>
        <w:sectPr w:rsidR="00033878" w:rsidSect="00033878">
          <w:pgSz w:w="12240" w:h="15840"/>
          <w:pgMar w:top="1440" w:right="1800" w:bottom="1440" w:left="1800" w:header="720" w:footer="720" w:gutter="0"/>
          <w:cols w:space="720"/>
          <w:docGrid w:linePitch="360"/>
        </w:sectPr>
      </w:pPr>
      <w:r>
        <w:t>While Table S2 shows what would happen to housing needs if there were no differences in household composition across regions, this is a very hypothetical exercise. There are solid demographic, economic and social reasons explaining the differences in household compositions between cities and balances of state and these are not about to change. If anything, with the progression of time, these differences get wider.</w:t>
      </w:r>
    </w:p>
    <w:p w:rsidR="001B48E1" w:rsidRPr="001B48E1" w:rsidRDefault="001B48E1" w:rsidP="001F29BB">
      <w:pPr>
        <w:rPr>
          <w:rFonts w:ascii="Arial" w:hAnsi="Arial" w:cs="Arial"/>
          <w:b/>
          <w:sz w:val="20"/>
          <w:szCs w:val="20"/>
        </w:rPr>
      </w:pPr>
      <w:r w:rsidRPr="001B48E1">
        <w:rPr>
          <w:rFonts w:ascii="Arial" w:hAnsi="Arial" w:cs="Arial"/>
          <w:b/>
          <w:sz w:val="20"/>
          <w:szCs w:val="20"/>
        </w:rPr>
        <w:lastRenderedPageBreak/>
        <w:t>Table S3. Household classification type for individuals</w:t>
      </w:r>
    </w:p>
    <w:p w:rsidR="001B48E1" w:rsidRDefault="001B48E1" w:rsidP="001F29BB"/>
    <w:p w:rsidR="001F29BB" w:rsidRPr="00AE03BB" w:rsidRDefault="001F29BB" w:rsidP="001F29BB">
      <w:pPr>
        <w:rPr>
          <w:rFonts w:ascii="Arial" w:hAnsi="Arial" w:cs="Arial"/>
          <w:b/>
          <w:sz w:val="20"/>
          <w:szCs w:val="20"/>
        </w:rPr>
      </w:pPr>
      <w:r w:rsidRPr="00AE03BB">
        <w:rPr>
          <w:rFonts w:ascii="Arial" w:hAnsi="Arial" w:cs="Arial"/>
          <w:b/>
          <w:sz w:val="20"/>
          <w:szCs w:val="20"/>
        </w:rPr>
        <w:t>Males—15-34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28.4</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13.7</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r>
    </w:tbl>
    <w:p w:rsidR="001F29BB" w:rsidRDefault="001F29BB" w:rsidP="001F29BB"/>
    <w:p w:rsidR="001F29BB" w:rsidRDefault="001F29BB" w:rsidP="001F29BB"/>
    <w:p w:rsidR="001F29BB" w:rsidRPr="00AE03BB" w:rsidRDefault="001F29BB" w:rsidP="001F29BB">
      <w:pPr>
        <w:rPr>
          <w:rFonts w:ascii="Arial" w:hAnsi="Arial" w:cs="Arial"/>
          <w:b/>
          <w:sz w:val="20"/>
          <w:szCs w:val="20"/>
        </w:rPr>
      </w:pPr>
      <w:r w:rsidRPr="00AE03BB">
        <w:rPr>
          <w:rFonts w:ascii="Arial" w:hAnsi="Arial" w:cs="Arial"/>
          <w:b/>
          <w:sz w:val="20"/>
          <w:szCs w:val="20"/>
        </w:rPr>
        <w:t>Males—35-59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49.2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57.9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53.8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55.5</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21.5</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r>
    </w:tbl>
    <w:p w:rsidR="001F29BB" w:rsidRDefault="001F29BB" w:rsidP="001F29BB"/>
    <w:p w:rsidR="001F29BB" w:rsidRPr="00AE03BB" w:rsidRDefault="00F040A1" w:rsidP="001F29BB">
      <w:pPr>
        <w:rPr>
          <w:rFonts w:ascii="Arial" w:hAnsi="Arial" w:cs="Arial"/>
          <w:b/>
          <w:sz w:val="20"/>
          <w:szCs w:val="20"/>
        </w:rPr>
      </w:pPr>
      <w:r>
        <w:rPr>
          <w:rFonts w:ascii="Arial" w:hAnsi="Arial" w:cs="Arial"/>
          <w:b/>
          <w:sz w:val="20"/>
          <w:szCs w:val="20"/>
        </w:rPr>
        <w:br w:type="page"/>
      </w:r>
      <w:r w:rsidR="001F29BB" w:rsidRPr="00AE03BB">
        <w:rPr>
          <w:rFonts w:ascii="Arial" w:hAnsi="Arial" w:cs="Arial"/>
          <w:b/>
          <w:sz w:val="20"/>
          <w:szCs w:val="20"/>
        </w:rPr>
        <w:lastRenderedPageBreak/>
        <w:t>Males—60+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16.2</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12.2</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66.0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64.0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62.7</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r>
    </w:tbl>
    <w:p w:rsidR="001F29BB" w:rsidRDefault="001F29BB" w:rsidP="001F29BB"/>
    <w:p w:rsidR="001F29BB" w:rsidRPr="00AE03BB" w:rsidRDefault="001F29BB" w:rsidP="001F29BB">
      <w:pPr>
        <w:rPr>
          <w:rFonts w:ascii="Arial" w:hAnsi="Arial" w:cs="Arial"/>
          <w:b/>
          <w:sz w:val="20"/>
          <w:szCs w:val="20"/>
        </w:rPr>
      </w:pPr>
      <w:r w:rsidRPr="00AE03BB">
        <w:rPr>
          <w:rFonts w:ascii="Arial" w:hAnsi="Arial" w:cs="Arial"/>
          <w:b/>
          <w:sz w:val="20"/>
          <w:szCs w:val="20"/>
        </w:rPr>
        <w:t>Females—15-34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7.2</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7.7</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18.7</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6.4</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r>
    </w:tbl>
    <w:p w:rsidR="001F29BB" w:rsidRDefault="001F29BB" w:rsidP="001F29BB"/>
    <w:p w:rsidR="001F29BB" w:rsidRPr="00AE03BB" w:rsidRDefault="00584FE5" w:rsidP="001F29BB">
      <w:pPr>
        <w:rPr>
          <w:rFonts w:ascii="Arial" w:hAnsi="Arial" w:cs="Arial"/>
          <w:b/>
          <w:sz w:val="20"/>
          <w:szCs w:val="20"/>
        </w:rPr>
      </w:pPr>
      <w:r>
        <w:rPr>
          <w:rFonts w:ascii="Arial" w:hAnsi="Arial" w:cs="Arial"/>
          <w:b/>
          <w:sz w:val="20"/>
          <w:szCs w:val="20"/>
        </w:rPr>
        <w:br w:type="page"/>
      </w:r>
      <w:r w:rsidR="001F29BB" w:rsidRPr="00AE03BB">
        <w:rPr>
          <w:rFonts w:ascii="Arial" w:hAnsi="Arial" w:cs="Arial"/>
          <w:b/>
          <w:sz w:val="20"/>
          <w:szCs w:val="20"/>
        </w:rPr>
        <w:lastRenderedPageBreak/>
        <w:t>Females—35-59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46.3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51.8</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48.5</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12.6</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13.1</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0.5</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0.7</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20.6</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23.7</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10.6</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8.6</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2.2</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100.0</w:t>
            </w:r>
          </w:p>
        </w:tc>
      </w:tr>
    </w:tbl>
    <w:p w:rsidR="001F29BB" w:rsidRDefault="001F29BB" w:rsidP="001F29BB"/>
    <w:p w:rsidR="001F29BB" w:rsidRPr="00AE03BB" w:rsidRDefault="001F29BB" w:rsidP="001F29BB">
      <w:pPr>
        <w:rPr>
          <w:rFonts w:ascii="Arial" w:hAnsi="Arial" w:cs="Arial"/>
          <w:b/>
          <w:sz w:val="20"/>
          <w:szCs w:val="20"/>
        </w:rPr>
      </w:pPr>
      <w:r w:rsidRPr="00AE03BB">
        <w:rPr>
          <w:rFonts w:ascii="Arial" w:hAnsi="Arial" w:cs="Arial"/>
          <w:b/>
          <w:sz w:val="20"/>
          <w:szCs w:val="20"/>
        </w:rPr>
        <w:t>Females—60+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20"/>
        <w:gridCol w:w="720"/>
        <w:gridCol w:w="720"/>
        <w:gridCol w:w="720"/>
        <w:gridCol w:w="720"/>
        <w:gridCol w:w="720"/>
        <w:gridCol w:w="720"/>
        <w:gridCol w:w="720"/>
        <w:gridCol w:w="720"/>
        <w:gridCol w:w="720"/>
        <w:gridCol w:w="720"/>
        <w:gridCol w:w="720"/>
        <w:gridCol w:w="720"/>
        <w:gridCol w:w="720"/>
        <w:gridCol w:w="828"/>
      </w:tblGrid>
      <w:tr w:rsidR="001F29BB" w:rsidTr="00815F33">
        <w:tc>
          <w:tcPr>
            <w:tcW w:w="2268" w:type="dxa"/>
            <w:vMerge w:val="restart"/>
          </w:tcPr>
          <w:p w:rsidR="001F29BB" w:rsidRPr="00815F33" w:rsidRDefault="001F29BB" w:rsidP="001F29BB">
            <w:pPr>
              <w:rPr>
                <w:rFonts w:ascii="Arial" w:hAnsi="Arial" w:cs="Arial"/>
                <w:b/>
                <w:sz w:val="20"/>
                <w:szCs w:val="20"/>
              </w:rPr>
            </w:pPr>
            <w:r w:rsidRPr="00815F33">
              <w:rPr>
                <w:rFonts w:ascii="Arial" w:hAnsi="Arial" w:cs="Arial"/>
                <w:b/>
                <w:sz w:val="20"/>
                <w:szCs w:val="20"/>
              </w:rPr>
              <w:t>Household classification type</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NSW</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VIC</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QLD</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WA</w:t>
            </w:r>
          </w:p>
        </w:tc>
        <w:tc>
          <w:tcPr>
            <w:tcW w:w="1440" w:type="dxa"/>
            <w:gridSpan w:val="2"/>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TAS</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NT</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ACT</w:t>
            </w:r>
          </w:p>
        </w:tc>
        <w:tc>
          <w:tcPr>
            <w:tcW w:w="828"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SEQ</w:t>
            </w:r>
          </w:p>
        </w:tc>
      </w:tr>
      <w:tr w:rsidR="001F29BB" w:rsidTr="00815F33">
        <w:tc>
          <w:tcPr>
            <w:tcW w:w="2268" w:type="dxa"/>
            <w:vMerge/>
          </w:tcPr>
          <w:p w:rsidR="001F29BB" w:rsidRPr="00815F33" w:rsidRDefault="001F29BB" w:rsidP="001F29BB">
            <w:pP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CC</w:t>
            </w:r>
          </w:p>
        </w:tc>
        <w:tc>
          <w:tcPr>
            <w:tcW w:w="720" w:type="dxa"/>
          </w:tcPr>
          <w:p w:rsidR="001F29BB" w:rsidRPr="00815F33" w:rsidRDefault="001F29BB" w:rsidP="00815F33">
            <w:pPr>
              <w:jc w:val="center"/>
              <w:rPr>
                <w:rFonts w:ascii="Arial" w:hAnsi="Arial" w:cs="Arial"/>
                <w:b/>
                <w:sz w:val="20"/>
                <w:szCs w:val="20"/>
              </w:rPr>
            </w:pPr>
            <w:r w:rsidRPr="00815F33">
              <w:rPr>
                <w:rFonts w:ascii="Arial" w:hAnsi="Arial" w:cs="Arial"/>
                <w:b/>
                <w:sz w:val="20"/>
                <w:szCs w:val="20"/>
              </w:rPr>
              <w:t>B</w:t>
            </w:r>
          </w:p>
        </w:tc>
        <w:tc>
          <w:tcPr>
            <w:tcW w:w="720" w:type="dxa"/>
          </w:tcPr>
          <w:p w:rsidR="001F29BB" w:rsidRPr="00815F33" w:rsidRDefault="001F29BB" w:rsidP="00815F33">
            <w:pPr>
              <w:jc w:val="center"/>
              <w:rPr>
                <w:rFonts w:ascii="Arial" w:hAnsi="Arial" w:cs="Arial"/>
                <w:b/>
                <w:sz w:val="20"/>
                <w:szCs w:val="20"/>
              </w:rPr>
            </w:pPr>
          </w:p>
        </w:tc>
        <w:tc>
          <w:tcPr>
            <w:tcW w:w="720" w:type="dxa"/>
          </w:tcPr>
          <w:p w:rsidR="001F29BB" w:rsidRPr="00815F33" w:rsidRDefault="001F29BB" w:rsidP="00815F33">
            <w:pPr>
              <w:jc w:val="center"/>
              <w:rPr>
                <w:rFonts w:ascii="Arial" w:hAnsi="Arial" w:cs="Arial"/>
                <w:b/>
                <w:sz w:val="20"/>
                <w:szCs w:val="20"/>
              </w:rPr>
            </w:pPr>
          </w:p>
        </w:tc>
        <w:tc>
          <w:tcPr>
            <w:tcW w:w="828" w:type="dxa"/>
          </w:tcPr>
          <w:p w:rsidR="001F29BB" w:rsidRPr="00815F33" w:rsidRDefault="001F29BB" w:rsidP="00815F33">
            <w:pPr>
              <w:jc w:val="center"/>
              <w:rPr>
                <w:rFonts w:ascii="Arial" w:hAnsi="Arial" w:cs="Arial"/>
                <w:b/>
                <w:sz w:val="20"/>
                <w:szCs w:val="20"/>
              </w:rPr>
            </w:pP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1-parent-parent</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5.7</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2-parent-child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0.0</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1-parent-child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0.3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Couple, no children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40.2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46.4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42.3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40.7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48.0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44.8</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Lone person</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32.0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28.2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31.8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32.4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23.2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30.9</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29.4</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Single person living with a family</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3.5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4.7</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In group household</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2.7</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1.5</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1.9</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Non-private dwelling</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6.5</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8.4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6.8</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4.9</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6.3</w:t>
            </w:r>
          </w:p>
        </w:tc>
      </w:tr>
      <w:tr w:rsidR="001F29BB" w:rsidTr="00815F33">
        <w:tc>
          <w:tcPr>
            <w:tcW w:w="2268" w:type="dxa"/>
          </w:tcPr>
          <w:p w:rsidR="001F29BB" w:rsidRPr="00815F33" w:rsidRDefault="001F29BB" w:rsidP="001F29BB">
            <w:pPr>
              <w:rPr>
                <w:rFonts w:ascii="Arial" w:hAnsi="Arial" w:cs="Arial"/>
                <w:b/>
                <w:sz w:val="20"/>
                <w:szCs w:val="20"/>
              </w:rPr>
            </w:pPr>
            <w:r w:rsidRPr="00815F33">
              <w:rPr>
                <w:rFonts w:ascii="Arial" w:hAnsi="Arial" w:cs="Arial"/>
                <w:b/>
                <w:sz w:val="20"/>
                <w:szCs w:val="20"/>
              </w:rPr>
              <w:t>TOTAL</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9.2</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6.0</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4.1</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5.3</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4.4</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7.6</w:t>
            </w:r>
          </w:p>
        </w:tc>
        <w:tc>
          <w:tcPr>
            <w:tcW w:w="720"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7.3</w:t>
            </w:r>
          </w:p>
        </w:tc>
        <w:tc>
          <w:tcPr>
            <w:tcW w:w="828" w:type="dxa"/>
            <w:vAlign w:val="bottom"/>
          </w:tcPr>
          <w:p w:rsidR="001F29BB" w:rsidRPr="00815F33" w:rsidRDefault="001F29BB" w:rsidP="00815F33">
            <w:pPr>
              <w:jc w:val="center"/>
              <w:rPr>
                <w:rFonts w:ascii="Arial" w:hAnsi="Arial" w:cs="Arial"/>
                <w:color w:val="000000"/>
                <w:sz w:val="18"/>
                <w:szCs w:val="18"/>
              </w:rPr>
            </w:pPr>
            <w:r w:rsidRPr="00815F33">
              <w:rPr>
                <w:rFonts w:ascii="Arial" w:hAnsi="Arial" w:cs="Arial"/>
                <w:color w:val="000000"/>
                <w:sz w:val="18"/>
                <w:szCs w:val="18"/>
              </w:rPr>
              <w:t>6.1</w:t>
            </w:r>
          </w:p>
        </w:tc>
      </w:tr>
    </w:tbl>
    <w:p w:rsidR="001F29BB" w:rsidRDefault="001F29BB"/>
    <w:sectPr w:rsidR="001F29BB" w:rsidSect="001F29BB">
      <w:pgSz w:w="15840" w:h="12240"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59" w:rsidRDefault="008D2459" w:rsidP="00373033">
      <w:r>
        <w:separator/>
      </w:r>
    </w:p>
  </w:endnote>
  <w:endnote w:type="continuationSeparator" w:id="0">
    <w:p w:rsidR="008D2459" w:rsidRDefault="008D2459" w:rsidP="00373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59" w:rsidRDefault="008D2459" w:rsidP="00373033">
      <w:r>
        <w:separator/>
      </w:r>
    </w:p>
  </w:footnote>
  <w:footnote w:type="continuationSeparator" w:id="0">
    <w:p w:rsidR="008D2459" w:rsidRDefault="008D2459" w:rsidP="00373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CCF"/>
    <w:multiLevelType w:val="hybridMultilevel"/>
    <w:tmpl w:val="7BF252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A35C69"/>
    <w:multiLevelType w:val="hybridMultilevel"/>
    <w:tmpl w:val="C562CB7E"/>
    <w:lvl w:ilvl="0" w:tplc="372AD054">
      <w:start w:val="1"/>
      <w:numFmt w:val="bullet"/>
      <w:lvlText w:val="•"/>
      <w:lvlJc w:val="left"/>
      <w:pPr>
        <w:tabs>
          <w:tab w:val="num" w:pos="720"/>
        </w:tabs>
        <w:ind w:left="720" w:hanging="360"/>
      </w:pPr>
      <w:rPr>
        <w:rFonts w:ascii="Arial Narrow" w:hAnsi="Arial Narrow" w:hint="default"/>
      </w:rPr>
    </w:lvl>
    <w:lvl w:ilvl="1" w:tplc="9C6A025E" w:tentative="1">
      <w:start w:val="1"/>
      <w:numFmt w:val="bullet"/>
      <w:lvlText w:val="•"/>
      <w:lvlJc w:val="left"/>
      <w:pPr>
        <w:tabs>
          <w:tab w:val="num" w:pos="1440"/>
        </w:tabs>
        <w:ind w:left="1440" w:hanging="360"/>
      </w:pPr>
      <w:rPr>
        <w:rFonts w:ascii="Arial Narrow" w:hAnsi="Arial Narrow" w:hint="default"/>
      </w:rPr>
    </w:lvl>
    <w:lvl w:ilvl="2" w:tplc="2C4853A8" w:tentative="1">
      <w:start w:val="1"/>
      <w:numFmt w:val="bullet"/>
      <w:lvlText w:val="•"/>
      <w:lvlJc w:val="left"/>
      <w:pPr>
        <w:tabs>
          <w:tab w:val="num" w:pos="2160"/>
        </w:tabs>
        <w:ind w:left="2160" w:hanging="360"/>
      </w:pPr>
      <w:rPr>
        <w:rFonts w:ascii="Arial Narrow" w:hAnsi="Arial Narrow" w:hint="default"/>
      </w:rPr>
    </w:lvl>
    <w:lvl w:ilvl="3" w:tplc="D6F638A4" w:tentative="1">
      <w:start w:val="1"/>
      <w:numFmt w:val="bullet"/>
      <w:lvlText w:val="•"/>
      <w:lvlJc w:val="left"/>
      <w:pPr>
        <w:tabs>
          <w:tab w:val="num" w:pos="2880"/>
        </w:tabs>
        <w:ind w:left="2880" w:hanging="360"/>
      </w:pPr>
      <w:rPr>
        <w:rFonts w:ascii="Arial Narrow" w:hAnsi="Arial Narrow" w:hint="default"/>
      </w:rPr>
    </w:lvl>
    <w:lvl w:ilvl="4" w:tplc="41A233D8" w:tentative="1">
      <w:start w:val="1"/>
      <w:numFmt w:val="bullet"/>
      <w:lvlText w:val="•"/>
      <w:lvlJc w:val="left"/>
      <w:pPr>
        <w:tabs>
          <w:tab w:val="num" w:pos="3600"/>
        </w:tabs>
        <w:ind w:left="3600" w:hanging="360"/>
      </w:pPr>
      <w:rPr>
        <w:rFonts w:ascii="Arial Narrow" w:hAnsi="Arial Narrow" w:hint="default"/>
      </w:rPr>
    </w:lvl>
    <w:lvl w:ilvl="5" w:tplc="652E0F96" w:tentative="1">
      <w:start w:val="1"/>
      <w:numFmt w:val="bullet"/>
      <w:lvlText w:val="•"/>
      <w:lvlJc w:val="left"/>
      <w:pPr>
        <w:tabs>
          <w:tab w:val="num" w:pos="4320"/>
        </w:tabs>
        <w:ind w:left="4320" w:hanging="360"/>
      </w:pPr>
      <w:rPr>
        <w:rFonts w:ascii="Arial Narrow" w:hAnsi="Arial Narrow" w:hint="default"/>
      </w:rPr>
    </w:lvl>
    <w:lvl w:ilvl="6" w:tplc="5DECA320" w:tentative="1">
      <w:start w:val="1"/>
      <w:numFmt w:val="bullet"/>
      <w:lvlText w:val="•"/>
      <w:lvlJc w:val="left"/>
      <w:pPr>
        <w:tabs>
          <w:tab w:val="num" w:pos="5040"/>
        </w:tabs>
        <w:ind w:left="5040" w:hanging="360"/>
      </w:pPr>
      <w:rPr>
        <w:rFonts w:ascii="Arial Narrow" w:hAnsi="Arial Narrow" w:hint="default"/>
      </w:rPr>
    </w:lvl>
    <w:lvl w:ilvl="7" w:tplc="ABD6E300" w:tentative="1">
      <w:start w:val="1"/>
      <w:numFmt w:val="bullet"/>
      <w:lvlText w:val="•"/>
      <w:lvlJc w:val="left"/>
      <w:pPr>
        <w:tabs>
          <w:tab w:val="num" w:pos="5760"/>
        </w:tabs>
        <w:ind w:left="5760" w:hanging="360"/>
      </w:pPr>
      <w:rPr>
        <w:rFonts w:ascii="Arial Narrow" w:hAnsi="Arial Narrow" w:hint="default"/>
      </w:rPr>
    </w:lvl>
    <w:lvl w:ilvl="8" w:tplc="208C00C6" w:tentative="1">
      <w:start w:val="1"/>
      <w:numFmt w:val="bullet"/>
      <w:lvlText w:val="•"/>
      <w:lvlJc w:val="left"/>
      <w:pPr>
        <w:tabs>
          <w:tab w:val="num" w:pos="6480"/>
        </w:tabs>
        <w:ind w:left="6480" w:hanging="360"/>
      </w:pPr>
      <w:rPr>
        <w:rFonts w:ascii="Arial Narrow" w:hAnsi="Arial Narrow" w:hint="default"/>
      </w:rPr>
    </w:lvl>
  </w:abstractNum>
  <w:abstractNum w:abstractNumId="2">
    <w:nsid w:val="530663BB"/>
    <w:multiLevelType w:val="hybridMultilevel"/>
    <w:tmpl w:val="9B44F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B06E4B"/>
    <w:rsid w:val="000062F6"/>
    <w:rsid w:val="00033878"/>
    <w:rsid w:val="00036BE5"/>
    <w:rsid w:val="0004290F"/>
    <w:rsid w:val="00043274"/>
    <w:rsid w:val="00047361"/>
    <w:rsid w:val="00053EBF"/>
    <w:rsid w:val="00066116"/>
    <w:rsid w:val="00075D36"/>
    <w:rsid w:val="00077BC9"/>
    <w:rsid w:val="00077D68"/>
    <w:rsid w:val="00090BA4"/>
    <w:rsid w:val="000A4948"/>
    <w:rsid w:val="000B24AE"/>
    <w:rsid w:val="000C375E"/>
    <w:rsid w:val="000D26A5"/>
    <w:rsid w:val="000D36BD"/>
    <w:rsid w:val="00100694"/>
    <w:rsid w:val="00111DCF"/>
    <w:rsid w:val="00125242"/>
    <w:rsid w:val="00144F20"/>
    <w:rsid w:val="00145F99"/>
    <w:rsid w:val="0015166C"/>
    <w:rsid w:val="001625BF"/>
    <w:rsid w:val="00162927"/>
    <w:rsid w:val="001631E5"/>
    <w:rsid w:val="00165C1B"/>
    <w:rsid w:val="00185097"/>
    <w:rsid w:val="00187F29"/>
    <w:rsid w:val="00197499"/>
    <w:rsid w:val="001B46AB"/>
    <w:rsid w:val="001B48E1"/>
    <w:rsid w:val="001B4B06"/>
    <w:rsid w:val="001B6FB5"/>
    <w:rsid w:val="001C2423"/>
    <w:rsid w:val="001C2A63"/>
    <w:rsid w:val="001D10B6"/>
    <w:rsid w:val="001D1300"/>
    <w:rsid w:val="001E5B43"/>
    <w:rsid w:val="001F1017"/>
    <w:rsid w:val="001F29BB"/>
    <w:rsid w:val="001F2F04"/>
    <w:rsid w:val="00202F1B"/>
    <w:rsid w:val="002158DF"/>
    <w:rsid w:val="0023104E"/>
    <w:rsid w:val="002332EC"/>
    <w:rsid w:val="00234241"/>
    <w:rsid w:val="00237D6C"/>
    <w:rsid w:val="00242D1C"/>
    <w:rsid w:val="00243D08"/>
    <w:rsid w:val="0025167F"/>
    <w:rsid w:val="0026179E"/>
    <w:rsid w:val="00262D46"/>
    <w:rsid w:val="00270D3C"/>
    <w:rsid w:val="00271A81"/>
    <w:rsid w:val="00275CDC"/>
    <w:rsid w:val="0028766B"/>
    <w:rsid w:val="00292310"/>
    <w:rsid w:val="002A3D8B"/>
    <w:rsid w:val="002C6B60"/>
    <w:rsid w:val="002D1255"/>
    <w:rsid w:val="002D2CED"/>
    <w:rsid w:val="002F60C9"/>
    <w:rsid w:val="0032616B"/>
    <w:rsid w:val="00340B34"/>
    <w:rsid w:val="00370CEF"/>
    <w:rsid w:val="00373033"/>
    <w:rsid w:val="00376196"/>
    <w:rsid w:val="0037624C"/>
    <w:rsid w:val="003B4A49"/>
    <w:rsid w:val="003C16DB"/>
    <w:rsid w:val="003C2BC8"/>
    <w:rsid w:val="003C5CC2"/>
    <w:rsid w:val="003C62DB"/>
    <w:rsid w:val="003E7F85"/>
    <w:rsid w:val="003E7FB5"/>
    <w:rsid w:val="003F2EC8"/>
    <w:rsid w:val="003F3FAC"/>
    <w:rsid w:val="00400793"/>
    <w:rsid w:val="00423754"/>
    <w:rsid w:val="004314EF"/>
    <w:rsid w:val="004315DE"/>
    <w:rsid w:val="00453654"/>
    <w:rsid w:val="00457215"/>
    <w:rsid w:val="004708D3"/>
    <w:rsid w:val="00470CED"/>
    <w:rsid w:val="00470F89"/>
    <w:rsid w:val="004815FD"/>
    <w:rsid w:val="00494AE5"/>
    <w:rsid w:val="00497598"/>
    <w:rsid w:val="004B19AA"/>
    <w:rsid w:val="004B1EC2"/>
    <w:rsid w:val="004C2E2B"/>
    <w:rsid w:val="004E0966"/>
    <w:rsid w:val="00503D90"/>
    <w:rsid w:val="005044C4"/>
    <w:rsid w:val="005104A0"/>
    <w:rsid w:val="005140A3"/>
    <w:rsid w:val="00536774"/>
    <w:rsid w:val="0054659B"/>
    <w:rsid w:val="00567BB4"/>
    <w:rsid w:val="00580E05"/>
    <w:rsid w:val="005847CD"/>
    <w:rsid w:val="00584ABA"/>
    <w:rsid w:val="00584FE5"/>
    <w:rsid w:val="005A147A"/>
    <w:rsid w:val="005B096A"/>
    <w:rsid w:val="005E0714"/>
    <w:rsid w:val="005E1EF6"/>
    <w:rsid w:val="005E5F15"/>
    <w:rsid w:val="005F11CD"/>
    <w:rsid w:val="006000CA"/>
    <w:rsid w:val="00606AB5"/>
    <w:rsid w:val="00612300"/>
    <w:rsid w:val="00615259"/>
    <w:rsid w:val="006222CE"/>
    <w:rsid w:val="006233A5"/>
    <w:rsid w:val="006359FD"/>
    <w:rsid w:val="00641DF2"/>
    <w:rsid w:val="00644817"/>
    <w:rsid w:val="0064783D"/>
    <w:rsid w:val="00661D57"/>
    <w:rsid w:val="006706EB"/>
    <w:rsid w:val="00670ED6"/>
    <w:rsid w:val="00671527"/>
    <w:rsid w:val="0067715C"/>
    <w:rsid w:val="00677B94"/>
    <w:rsid w:val="006878B8"/>
    <w:rsid w:val="006928E6"/>
    <w:rsid w:val="00696E99"/>
    <w:rsid w:val="006A54E5"/>
    <w:rsid w:val="006D28AC"/>
    <w:rsid w:val="006D59C1"/>
    <w:rsid w:val="006E0C0B"/>
    <w:rsid w:val="006E4B73"/>
    <w:rsid w:val="006F2F58"/>
    <w:rsid w:val="00721869"/>
    <w:rsid w:val="00724C5A"/>
    <w:rsid w:val="00753A86"/>
    <w:rsid w:val="00773CC8"/>
    <w:rsid w:val="007747F1"/>
    <w:rsid w:val="00787956"/>
    <w:rsid w:val="0079119B"/>
    <w:rsid w:val="007A328B"/>
    <w:rsid w:val="007A5479"/>
    <w:rsid w:val="007B2187"/>
    <w:rsid w:val="007B309E"/>
    <w:rsid w:val="007C448F"/>
    <w:rsid w:val="007D6ABE"/>
    <w:rsid w:val="007E1514"/>
    <w:rsid w:val="007E44CF"/>
    <w:rsid w:val="00803C36"/>
    <w:rsid w:val="00807494"/>
    <w:rsid w:val="00810E36"/>
    <w:rsid w:val="00815F33"/>
    <w:rsid w:val="00817A03"/>
    <w:rsid w:val="00821EB6"/>
    <w:rsid w:val="0082208C"/>
    <w:rsid w:val="0082608B"/>
    <w:rsid w:val="008374DF"/>
    <w:rsid w:val="00864A25"/>
    <w:rsid w:val="008743C1"/>
    <w:rsid w:val="00875A21"/>
    <w:rsid w:val="00881924"/>
    <w:rsid w:val="00883E8F"/>
    <w:rsid w:val="0088721B"/>
    <w:rsid w:val="008877DC"/>
    <w:rsid w:val="00893356"/>
    <w:rsid w:val="00894976"/>
    <w:rsid w:val="008A3B7B"/>
    <w:rsid w:val="008A5055"/>
    <w:rsid w:val="008A70EE"/>
    <w:rsid w:val="008B02D6"/>
    <w:rsid w:val="008D2459"/>
    <w:rsid w:val="0091183E"/>
    <w:rsid w:val="009118AD"/>
    <w:rsid w:val="009173E2"/>
    <w:rsid w:val="009257CB"/>
    <w:rsid w:val="00930DED"/>
    <w:rsid w:val="00942BA5"/>
    <w:rsid w:val="009572E2"/>
    <w:rsid w:val="00973B84"/>
    <w:rsid w:val="009765D3"/>
    <w:rsid w:val="00977215"/>
    <w:rsid w:val="00977A8F"/>
    <w:rsid w:val="009820EB"/>
    <w:rsid w:val="009938FE"/>
    <w:rsid w:val="00996B02"/>
    <w:rsid w:val="009B2F6C"/>
    <w:rsid w:val="009D1FC1"/>
    <w:rsid w:val="009D4949"/>
    <w:rsid w:val="009E412E"/>
    <w:rsid w:val="009E67CF"/>
    <w:rsid w:val="009F128A"/>
    <w:rsid w:val="00A00DB0"/>
    <w:rsid w:val="00A157D3"/>
    <w:rsid w:val="00A1777C"/>
    <w:rsid w:val="00A179AF"/>
    <w:rsid w:val="00A27BC4"/>
    <w:rsid w:val="00A31542"/>
    <w:rsid w:val="00A46299"/>
    <w:rsid w:val="00A500E6"/>
    <w:rsid w:val="00A71A8B"/>
    <w:rsid w:val="00A737EC"/>
    <w:rsid w:val="00A757BE"/>
    <w:rsid w:val="00A8256B"/>
    <w:rsid w:val="00A9585F"/>
    <w:rsid w:val="00A96FD0"/>
    <w:rsid w:val="00AA52F6"/>
    <w:rsid w:val="00AB3EEF"/>
    <w:rsid w:val="00AB608F"/>
    <w:rsid w:val="00AC09B1"/>
    <w:rsid w:val="00AC6F25"/>
    <w:rsid w:val="00AD103A"/>
    <w:rsid w:val="00AD4492"/>
    <w:rsid w:val="00B02AB0"/>
    <w:rsid w:val="00B03A8D"/>
    <w:rsid w:val="00B05C1B"/>
    <w:rsid w:val="00B06E4B"/>
    <w:rsid w:val="00B16741"/>
    <w:rsid w:val="00B55C56"/>
    <w:rsid w:val="00B6317F"/>
    <w:rsid w:val="00B75CF1"/>
    <w:rsid w:val="00B83808"/>
    <w:rsid w:val="00B8584C"/>
    <w:rsid w:val="00B97E74"/>
    <w:rsid w:val="00BA23A8"/>
    <w:rsid w:val="00BA2A0B"/>
    <w:rsid w:val="00BA57A3"/>
    <w:rsid w:val="00BB00C9"/>
    <w:rsid w:val="00BB2499"/>
    <w:rsid w:val="00BC02C7"/>
    <w:rsid w:val="00BC1403"/>
    <w:rsid w:val="00BC486A"/>
    <w:rsid w:val="00BD1D45"/>
    <w:rsid w:val="00BE1110"/>
    <w:rsid w:val="00C30F84"/>
    <w:rsid w:val="00C4202A"/>
    <w:rsid w:val="00C42B5C"/>
    <w:rsid w:val="00C51A86"/>
    <w:rsid w:val="00C539F6"/>
    <w:rsid w:val="00C62945"/>
    <w:rsid w:val="00C62B3F"/>
    <w:rsid w:val="00C81BD3"/>
    <w:rsid w:val="00C8231F"/>
    <w:rsid w:val="00C82E54"/>
    <w:rsid w:val="00C8323A"/>
    <w:rsid w:val="00C96E63"/>
    <w:rsid w:val="00CB2366"/>
    <w:rsid w:val="00CB44A2"/>
    <w:rsid w:val="00CC0B8D"/>
    <w:rsid w:val="00CC432C"/>
    <w:rsid w:val="00CC7641"/>
    <w:rsid w:val="00CE2BC5"/>
    <w:rsid w:val="00CF4B02"/>
    <w:rsid w:val="00D11E9D"/>
    <w:rsid w:val="00D2038B"/>
    <w:rsid w:val="00D45668"/>
    <w:rsid w:val="00D636B9"/>
    <w:rsid w:val="00D64702"/>
    <w:rsid w:val="00D74515"/>
    <w:rsid w:val="00D821BA"/>
    <w:rsid w:val="00DB287B"/>
    <w:rsid w:val="00DB4866"/>
    <w:rsid w:val="00DC6389"/>
    <w:rsid w:val="00DD3F6D"/>
    <w:rsid w:val="00DD5344"/>
    <w:rsid w:val="00DE0B4E"/>
    <w:rsid w:val="00DE7300"/>
    <w:rsid w:val="00DF00F1"/>
    <w:rsid w:val="00DF5367"/>
    <w:rsid w:val="00E02395"/>
    <w:rsid w:val="00E13DC5"/>
    <w:rsid w:val="00E24544"/>
    <w:rsid w:val="00E34E80"/>
    <w:rsid w:val="00E3691F"/>
    <w:rsid w:val="00E50A38"/>
    <w:rsid w:val="00E5449A"/>
    <w:rsid w:val="00E54C59"/>
    <w:rsid w:val="00E55FB2"/>
    <w:rsid w:val="00E62845"/>
    <w:rsid w:val="00E63BA8"/>
    <w:rsid w:val="00E67292"/>
    <w:rsid w:val="00E83869"/>
    <w:rsid w:val="00E85202"/>
    <w:rsid w:val="00E93BF7"/>
    <w:rsid w:val="00E95559"/>
    <w:rsid w:val="00E95FFD"/>
    <w:rsid w:val="00EB3189"/>
    <w:rsid w:val="00EB3C45"/>
    <w:rsid w:val="00EB7641"/>
    <w:rsid w:val="00EC0572"/>
    <w:rsid w:val="00ED307F"/>
    <w:rsid w:val="00ED4252"/>
    <w:rsid w:val="00ED7464"/>
    <w:rsid w:val="00ED7EE0"/>
    <w:rsid w:val="00F027E2"/>
    <w:rsid w:val="00F040A1"/>
    <w:rsid w:val="00F26190"/>
    <w:rsid w:val="00F30880"/>
    <w:rsid w:val="00F614A7"/>
    <w:rsid w:val="00F86FB7"/>
    <w:rsid w:val="00F904F4"/>
    <w:rsid w:val="00FA1BA1"/>
    <w:rsid w:val="00FB20BA"/>
    <w:rsid w:val="00FC414D"/>
    <w:rsid w:val="00FC5228"/>
    <w:rsid w:val="00FE1DDF"/>
    <w:rsid w:val="00FF1B2C"/>
    <w:rsid w:val="00FF56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F85"/>
    <w:rPr>
      <w:sz w:val="24"/>
      <w:szCs w:val="24"/>
      <w:lang w:val="en-US" w:eastAsia="en-US"/>
    </w:rPr>
  </w:style>
  <w:style w:type="paragraph" w:styleId="Heading1">
    <w:name w:val="heading 1"/>
    <w:basedOn w:val="Normal"/>
    <w:next w:val="Normal"/>
    <w:qFormat/>
    <w:rsid w:val="00BA2A0B"/>
    <w:pPr>
      <w:keepNext/>
      <w:outlineLvl w:val="0"/>
    </w:pPr>
    <w:rPr>
      <w:b/>
      <w:bCs/>
      <w:lang w:val="en-AU"/>
    </w:rPr>
  </w:style>
  <w:style w:type="paragraph" w:styleId="Heading2">
    <w:name w:val="heading 2"/>
    <w:basedOn w:val="Normal"/>
    <w:next w:val="Normal"/>
    <w:qFormat/>
    <w:rsid w:val="00BA2A0B"/>
    <w:pPr>
      <w:keepNext/>
      <w:outlineLvl w:val="1"/>
    </w:pPr>
    <w:rPr>
      <w:i/>
      <w:iCs/>
      <w:color w:val="000000"/>
    </w:rPr>
  </w:style>
  <w:style w:type="paragraph" w:styleId="Heading3">
    <w:name w:val="heading 3"/>
    <w:basedOn w:val="Normal"/>
    <w:next w:val="Normal"/>
    <w:qFormat/>
    <w:rsid w:val="00BA2A0B"/>
    <w:pPr>
      <w:keepNext/>
      <w:outlineLvl w:val="2"/>
    </w:pPr>
    <w:rPr>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2A0B"/>
    <w:pPr>
      <w:widowControl w:val="0"/>
      <w:autoSpaceDE w:val="0"/>
      <w:autoSpaceDN w:val="0"/>
      <w:adjustRightInd w:val="0"/>
      <w:spacing w:line="480" w:lineRule="auto"/>
      <w:ind w:firstLine="720"/>
      <w:jc w:val="both"/>
    </w:pPr>
    <w:rPr>
      <w:color w:val="000000"/>
      <w:szCs w:val="20"/>
    </w:rPr>
  </w:style>
  <w:style w:type="paragraph" w:styleId="BodyText">
    <w:name w:val="Body Text"/>
    <w:basedOn w:val="Normal"/>
    <w:rsid w:val="00BA2A0B"/>
    <w:pPr>
      <w:spacing w:line="480" w:lineRule="auto"/>
      <w:jc w:val="both"/>
    </w:pPr>
    <w:rPr>
      <w:szCs w:val="20"/>
      <w:lang w:val="en-AU"/>
    </w:rPr>
  </w:style>
  <w:style w:type="paragraph" w:styleId="BodyTextIndent2">
    <w:name w:val="Body Text Indent 2"/>
    <w:basedOn w:val="Normal"/>
    <w:rsid w:val="00BA2A0B"/>
    <w:pPr>
      <w:ind w:firstLine="720"/>
      <w:jc w:val="both"/>
    </w:pPr>
    <w:rPr>
      <w:lang w:val="en-AU"/>
    </w:rPr>
  </w:style>
  <w:style w:type="table" w:styleId="TableGrid">
    <w:name w:val="Table Grid"/>
    <w:basedOn w:val="TableNormal"/>
    <w:rsid w:val="00BC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73033"/>
    <w:rPr>
      <w:sz w:val="16"/>
      <w:szCs w:val="16"/>
    </w:rPr>
  </w:style>
  <w:style w:type="paragraph" w:styleId="CommentText">
    <w:name w:val="annotation text"/>
    <w:basedOn w:val="Normal"/>
    <w:link w:val="CommentTextChar"/>
    <w:rsid w:val="00373033"/>
    <w:rPr>
      <w:sz w:val="20"/>
      <w:szCs w:val="20"/>
    </w:rPr>
  </w:style>
  <w:style w:type="character" w:customStyle="1" w:styleId="CommentTextChar">
    <w:name w:val="Comment Text Char"/>
    <w:basedOn w:val="DefaultParagraphFont"/>
    <w:link w:val="CommentText"/>
    <w:rsid w:val="00373033"/>
    <w:rPr>
      <w:lang w:val="en-US" w:eastAsia="en-US"/>
    </w:rPr>
  </w:style>
  <w:style w:type="paragraph" w:styleId="CommentSubject">
    <w:name w:val="annotation subject"/>
    <w:basedOn w:val="CommentText"/>
    <w:next w:val="CommentText"/>
    <w:link w:val="CommentSubjectChar"/>
    <w:rsid w:val="00373033"/>
    <w:rPr>
      <w:b/>
      <w:bCs/>
    </w:rPr>
  </w:style>
  <w:style w:type="character" w:customStyle="1" w:styleId="CommentSubjectChar">
    <w:name w:val="Comment Subject Char"/>
    <w:basedOn w:val="CommentTextChar"/>
    <w:link w:val="CommentSubject"/>
    <w:rsid w:val="00373033"/>
    <w:rPr>
      <w:b/>
      <w:bCs/>
    </w:rPr>
  </w:style>
  <w:style w:type="paragraph" w:styleId="BalloonText">
    <w:name w:val="Balloon Text"/>
    <w:basedOn w:val="Normal"/>
    <w:link w:val="BalloonTextChar"/>
    <w:rsid w:val="00373033"/>
    <w:rPr>
      <w:rFonts w:ascii="Tahoma" w:hAnsi="Tahoma" w:cs="Tahoma"/>
      <w:sz w:val="16"/>
      <w:szCs w:val="16"/>
    </w:rPr>
  </w:style>
  <w:style w:type="character" w:customStyle="1" w:styleId="BalloonTextChar">
    <w:name w:val="Balloon Text Char"/>
    <w:basedOn w:val="DefaultParagraphFont"/>
    <w:link w:val="BalloonText"/>
    <w:rsid w:val="00373033"/>
    <w:rPr>
      <w:rFonts w:ascii="Tahoma" w:hAnsi="Tahoma" w:cs="Tahoma"/>
      <w:sz w:val="16"/>
      <w:szCs w:val="16"/>
      <w:lang w:val="en-US" w:eastAsia="en-US"/>
    </w:rPr>
  </w:style>
  <w:style w:type="paragraph" w:styleId="FootnoteText">
    <w:name w:val="footnote text"/>
    <w:basedOn w:val="Normal"/>
    <w:link w:val="FootnoteTextChar"/>
    <w:rsid w:val="00373033"/>
    <w:rPr>
      <w:sz w:val="20"/>
      <w:szCs w:val="20"/>
    </w:rPr>
  </w:style>
  <w:style w:type="character" w:customStyle="1" w:styleId="FootnoteTextChar">
    <w:name w:val="Footnote Text Char"/>
    <w:basedOn w:val="DefaultParagraphFont"/>
    <w:link w:val="FootnoteText"/>
    <w:rsid w:val="00373033"/>
    <w:rPr>
      <w:lang w:val="en-US" w:eastAsia="en-US"/>
    </w:rPr>
  </w:style>
  <w:style w:type="character" w:styleId="FootnoteReference">
    <w:name w:val="footnote reference"/>
    <w:basedOn w:val="DefaultParagraphFont"/>
    <w:rsid w:val="00373033"/>
    <w:rPr>
      <w:vertAlign w:val="superscript"/>
    </w:rPr>
  </w:style>
</w:styles>
</file>

<file path=word/webSettings.xml><?xml version="1.0" encoding="utf-8"?>
<w:webSettings xmlns:r="http://schemas.openxmlformats.org/officeDocument/2006/relationships" xmlns:w="http://schemas.openxmlformats.org/wordprocessingml/2006/main">
  <w:divs>
    <w:div w:id="702747728">
      <w:bodyDiv w:val="1"/>
      <w:marLeft w:val="0"/>
      <w:marRight w:val="0"/>
      <w:marTop w:val="0"/>
      <w:marBottom w:val="0"/>
      <w:divBdr>
        <w:top w:val="none" w:sz="0" w:space="0" w:color="auto"/>
        <w:left w:val="none" w:sz="0" w:space="0" w:color="auto"/>
        <w:bottom w:val="none" w:sz="0" w:space="0" w:color="auto"/>
        <w:right w:val="none" w:sz="0" w:space="0" w:color="auto"/>
      </w:divBdr>
    </w:div>
    <w:div w:id="841896438">
      <w:bodyDiv w:val="1"/>
      <w:marLeft w:val="0"/>
      <w:marRight w:val="0"/>
      <w:marTop w:val="0"/>
      <w:marBottom w:val="0"/>
      <w:divBdr>
        <w:top w:val="none" w:sz="0" w:space="0" w:color="auto"/>
        <w:left w:val="none" w:sz="0" w:space="0" w:color="auto"/>
        <w:bottom w:val="none" w:sz="0" w:space="0" w:color="auto"/>
        <w:right w:val="none" w:sz="0" w:space="0" w:color="auto"/>
      </w:divBdr>
      <w:divsChild>
        <w:div w:id="911308229">
          <w:marLeft w:val="0"/>
          <w:marRight w:val="0"/>
          <w:marTop w:val="0"/>
          <w:marBottom w:val="0"/>
          <w:divBdr>
            <w:top w:val="none" w:sz="0" w:space="0" w:color="auto"/>
            <w:left w:val="none" w:sz="0" w:space="0" w:color="auto"/>
            <w:bottom w:val="none" w:sz="0" w:space="0" w:color="auto"/>
            <w:right w:val="none" w:sz="0" w:space="0" w:color="auto"/>
          </w:divBdr>
          <w:divsChild>
            <w:div w:id="2343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24</Pages>
  <Words>7907</Words>
  <Characters>38627</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Projections of Housing Demand in New South Wales, 2006-2021</vt:lpstr>
    </vt:vector>
  </TitlesOfParts>
  <Company>ANU</Company>
  <LinksUpToDate>false</LinksUpToDate>
  <CharactersWithSpaces>46442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Projections of Housing Demand in New South Wales, 2006-2021</dc:title>
  <dc:creator>Department of Housing and Homelessness</dc:creator>
  <cp:lastModifiedBy>a01255</cp:lastModifiedBy>
  <cp:revision>7</cp:revision>
  <cp:lastPrinted>2011-06-17T07:01:00Z</cp:lastPrinted>
  <dcterms:created xsi:type="dcterms:W3CDTF">2011-12-12T23:54:00Z</dcterms:created>
  <dcterms:modified xsi:type="dcterms:W3CDTF">2011-12-13T23:05:00Z</dcterms:modified>
</cp:coreProperties>
</file>