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33" w:rsidRDefault="00A609B4" w:rsidP="006F4933">
      <w:pPr>
        <w:pStyle w:val="end"/>
      </w:pPr>
      <w:bookmarkStart w:id="0" w:name="_GoBack"/>
      <w:bookmarkEnd w:id="0"/>
      <w:r>
        <w:t>G</w:t>
      </w:r>
      <w:r w:rsidR="006F4933">
        <w:t>lossary</w:t>
      </w:r>
    </w:p>
    <w:tbl>
      <w:tblPr>
        <w:tblW w:w="0" w:type="auto"/>
        <w:tblInd w:w="108" w:type="dxa"/>
        <w:tblLook w:val="01E0" w:firstRow="1" w:lastRow="1" w:firstColumn="1" w:lastColumn="1" w:noHBand="0" w:noVBand="0"/>
      </w:tblPr>
      <w:tblGrid>
        <w:gridCol w:w="2840"/>
        <w:gridCol w:w="4762"/>
        <w:gridCol w:w="216"/>
      </w:tblGrid>
      <w:tr w:rsidR="006F4933" w:rsidTr="00986CB7">
        <w:trPr>
          <w:tblHeader/>
        </w:trPr>
        <w:tc>
          <w:tcPr>
            <w:tcW w:w="2840" w:type="dxa"/>
            <w:hideMark/>
          </w:tcPr>
          <w:p w:rsidR="006F4933" w:rsidRDefault="006F4933">
            <w:pPr>
              <w:pStyle w:val="TableColumnHeadingLeft"/>
              <w:spacing w:line="256" w:lineRule="auto"/>
              <w:rPr>
                <w:lang w:eastAsia="en-US"/>
              </w:rPr>
            </w:pPr>
            <w:r>
              <w:rPr>
                <w:lang w:eastAsia="en-US"/>
              </w:rPr>
              <w:t>Term</w:t>
            </w:r>
          </w:p>
        </w:tc>
        <w:tc>
          <w:tcPr>
            <w:tcW w:w="4978" w:type="dxa"/>
            <w:gridSpan w:val="2"/>
            <w:hideMark/>
          </w:tcPr>
          <w:p w:rsidR="006F4933" w:rsidRDefault="006F4933">
            <w:pPr>
              <w:pStyle w:val="TableColumnHeadingLeft"/>
              <w:spacing w:line="256" w:lineRule="auto"/>
              <w:rPr>
                <w:lang w:eastAsia="en-US"/>
              </w:rPr>
            </w:pPr>
            <w:r>
              <w:rPr>
                <w:lang w:eastAsia="en-US"/>
              </w:rPr>
              <w:t>Meaning</w:t>
            </w:r>
          </w:p>
        </w:tc>
      </w:tr>
      <w:tr w:rsidR="006F4933" w:rsidTr="00986CB7">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Accumulated depreciation</w:t>
            </w:r>
          </w:p>
        </w:tc>
        <w:tc>
          <w:tcPr>
            <w:tcW w:w="4978" w:type="dxa"/>
            <w:gridSpan w:val="2"/>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aggregate depreciation recorded for a particular depreciating asset.</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Administered item</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Appropriation</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An amount of public money parliament authorises for spending (i.e. funds to be withdrawn from the CRF). Parliament makes laws for appropriating money under the Annual Appropriation Acts and under Special Appropriations, with spending restricted to the purposes in the Appropriation Acts.</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Bill </w:t>
            </w:r>
            <w:r>
              <w:rPr>
                <w:rFonts w:ascii="Book Antiqua" w:hAnsi="Book Antiqua"/>
                <w:sz w:val="20"/>
                <w:lang w:eastAsia="en-US"/>
              </w:rPr>
              <w:br/>
              <w:t>(No. 1)</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This Bill proposes spending from the CRF for the ordinary annual services of government. Bills proposing appropriations for ordinary annual services cannot be amended by the Senate under Section 53 of the Australian Constitution. Once the Bill is passed by Parliament and given Royal Assent, it becomes Appropriation Act (No. 1).</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Bill </w:t>
            </w:r>
            <w:r>
              <w:rPr>
                <w:rFonts w:ascii="Book Antiqua" w:hAnsi="Book Antiqua"/>
                <w:sz w:val="20"/>
                <w:lang w:eastAsia="en-US"/>
              </w:rPr>
              <w:br/>
              <w:t>(No. 2)</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This Bill proposes spending from the CRF for purposes other than the ordinary annual services of government. Under existing arrangements between the two Houses of Parliament,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Appropriation Act (No. 2).</w:t>
            </w:r>
          </w:p>
        </w:tc>
      </w:tr>
      <w:tr w:rsidR="00EE5210" w:rsidTr="00986CB7">
        <w:tc>
          <w:tcPr>
            <w:tcW w:w="2840" w:type="dxa"/>
            <w:hideMark/>
          </w:tcPr>
          <w:p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lastRenderedPageBreak/>
              <w:t>Appropriation Bills (Nos. 3 and 4)</w:t>
            </w:r>
          </w:p>
        </w:tc>
        <w:tc>
          <w:tcPr>
            <w:tcW w:w="4978" w:type="dxa"/>
            <w:gridSpan w:val="2"/>
            <w:hideMark/>
          </w:tcPr>
          <w:p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If an amount provided in Appropriation Acts (Nos. 1 or 2) is not enough to meet approved expenditure in a financial year, supplementary appropriation may be sought in Appropriation Bills (Nos. 3 or 4). Once these Bills are passed by Parliament and given royal assent, they become the Appropriation Acts (Nos. 3 and 4). They are also commonly referred to as the Additional Estimates Bills.</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Assets</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Future economic benefits controlled by an entity as a result of past transactions or other past events.</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Average staffing level</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The average number of employees receiving salary/wages (or compensation in lieu of salary/wages) over a financial year, with adjustments for casual and part-</w:t>
            </w:r>
            <w:r w:rsidR="006844A0">
              <w:rPr>
                <w:rFonts w:ascii="Book Antiqua" w:hAnsi="Book Antiqua"/>
                <w:sz w:val="20"/>
                <w:lang w:eastAsia="en-US"/>
              </w:rPr>
              <w:t>time employees to show the full</w:t>
            </w:r>
            <w:r w:rsidR="006844A0">
              <w:rPr>
                <w:rFonts w:ascii="Book Antiqua" w:hAnsi="Book Antiqua"/>
                <w:sz w:val="20"/>
                <w:lang w:eastAsia="en-US"/>
              </w:rPr>
              <w:noBreakHyphen/>
            </w:r>
            <w:r>
              <w:rPr>
                <w:rFonts w:ascii="Book Antiqua" w:hAnsi="Book Antiqua"/>
                <w:sz w:val="20"/>
                <w:lang w:eastAsia="en-US"/>
              </w:rPr>
              <w:t>time equivalent.</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1 (BP1)</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Strategy and Outlook. Provides information and analysis on whole-of-government expenditure and revenue.</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2 (BP2)</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Measures. Provides a description of each budget measure by portfolio.</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3 (BP3)</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Australia’s Federal Relations. Provides information and analysis on federal funding provided to the states and territories.</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4 (BP4)</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Entity Resourcing. Details total resourcing available to agencies.</w:t>
            </w:r>
          </w:p>
        </w:tc>
      </w:tr>
      <w:tr w:rsidR="00EE5210" w:rsidTr="00986CB7">
        <w:tc>
          <w:tcPr>
            <w:tcW w:w="2840" w:type="dxa"/>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Capital Expenditure</w:t>
            </w:r>
          </w:p>
        </w:tc>
        <w:tc>
          <w:tcPr>
            <w:tcW w:w="4978" w:type="dxa"/>
            <w:gridSpan w:val="2"/>
            <w:hideMark/>
          </w:tcPr>
          <w:p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Expenditure by an entity on capital projects; for example, purchasing a building.</w:t>
            </w:r>
          </w:p>
        </w:tc>
      </w:tr>
      <w:tr w:rsidR="00EE5210" w:rsidTr="00986CB7">
        <w:tc>
          <w:tcPr>
            <w:tcW w:w="2840" w:type="dxa"/>
            <w:hideMark/>
          </w:tcPr>
          <w:p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lastRenderedPageBreak/>
              <w:t>Consolidated Revenue Fund (CRF)</w:t>
            </w:r>
          </w:p>
        </w:tc>
        <w:tc>
          <w:tcPr>
            <w:tcW w:w="4978" w:type="dxa"/>
            <w:gridSpan w:val="2"/>
            <w:hideMark/>
          </w:tcPr>
          <w:p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6F4933" w:rsidTr="00986CB7">
        <w:trPr>
          <w:gridAfter w:val="1"/>
          <w:wAfter w:w="216" w:type="dxa"/>
        </w:trPr>
        <w:tc>
          <w:tcPr>
            <w:tcW w:w="2840"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Departmental Capital Budget (DCB)</w:t>
            </w:r>
          </w:p>
        </w:tc>
        <w:tc>
          <w:tcPr>
            <w:tcW w:w="4762"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Departmental item</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Depreciation</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Apportionment of an asset’s capital value as an expense over its estimated useful life to take account of normal usage, obsolescence, or the passage of time.</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Equity or net assets</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Residual interest in the assets of an entity after deduction of its liabilities.</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Entity</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 department, agency, company or authority under the </w:t>
            </w:r>
            <w:r>
              <w:rPr>
                <w:rFonts w:ascii="Book Antiqua" w:hAnsi="Book Antiqua"/>
                <w:i/>
                <w:sz w:val="20"/>
                <w:lang w:eastAsia="en-US"/>
              </w:rPr>
              <w:t>Public Governance, Performance and Accountability Act 2013</w:t>
            </w:r>
            <w:r>
              <w:rPr>
                <w:rFonts w:ascii="Book Antiqua" w:hAnsi="Book Antiqua"/>
                <w:sz w:val="20"/>
                <w:lang w:eastAsia="en-US"/>
              </w:rPr>
              <w:t xml:space="preserve"> (PGPA Act) or any other Commonwealth statutory authority.</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Estimated actual expenses</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Details of the current year’s estimated final figures as included in the Budget documentation. As the Budget is released in May each year, but the financial year does not close off until 30 June, the current year numbers that are used for comparison with Budget amounts can only be estimates.</w:t>
            </w:r>
          </w:p>
        </w:tc>
      </w:tr>
      <w:tr w:rsidR="006F4933" w:rsidTr="00986CB7">
        <w:trPr>
          <w:gridAfter w:val="1"/>
          <w:wAfter w:w="216" w:type="dxa"/>
        </w:trPr>
        <w:tc>
          <w:tcPr>
            <w:tcW w:w="2840"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Expenditure</w:t>
            </w:r>
          </w:p>
        </w:tc>
        <w:tc>
          <w:tcPr>
            <w:tcW w:w="4762"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Spending money from the Consolidated Revenue Fund or a notional payment to a PGPA entity.</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Decreases in economic benefits in the form of outflows or depletions of assets or incurrence of liabilities that result in decreases in equity, other than those relating to distributions to equity participants.</w:t>
            </w:r>
          </w:p>
        </w:tc>
      </w:tr>
      <w:tr w:rsidR="006F4933" w:rsidTr="006F4933">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Expenses not requiring appropriation in the Budget year</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Expenses not involving a cash flow impact are not included within the calculation of an appropriation. An example of such an event is goods or services received free of charge that are then expensed; for example, ANAO audit services. The ANAO does not charge for audit services; however, the expense must be recognised. Similarly, bad debts are recognised as an expense but are not recognised for the purpose of calculating appropriation amounts to be sought from Parliament.</w:t>
            </w:r>
          </w:p>
        </w:tc>
      </w:tr>
      <w:tr w:rsidR="006F4933" w:rsidTr="006F4933">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Forward estimates period</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three years following the Budget year. For example if 2015-16 is the Budget ye</w:t>
            </w:r>
            <w:r w:rsidR="006844A0">
              <w:rPr>
                <w:rFonts w:ascii="Book Antiqua" w:hAnsi="Book Antiqua"/>
                <w:sz w:val="20"/>
                <w:lang w:eastAsia="en-US"/>
              </w:rPr>
              <w:t xml:space="preserve">ar, 2016-17 is forward year 1, </w:t>
            </w:r>
            <w:r>
              <w:rPr>
                <w:rFonts w:ascii="Book Antiqua" w:hAnsi="Book Antiqua"/>
                <w:sz w:val="20"/>
                <w:lang w:eastAsia="en-US"/>
              </w:rPr>
              <w:t>201</w:t>
            </w:r>
            <w:r w:rsidR="006844A0">
              <w:rPr>
                <w:rFonts w:ascii="Book Antiqua" w:hAnsi="Book Antiqua"/>
                <w:sz w:val="20"/>
                <w:lang w:eastAsia="en-US"/>
              </w:rPr>
              <w:t>7-18 is forward year 2 and 2018</w:t>
            </w:r>
            <w:r w:rsidR="006844A0">
              <w:rPr>
                <w:rFonts w:ascii="Book Antiqua" w:hAnsi="Book Antiqua"/>
                <w:sz w:val="20"/>
                <w:lang w:eastAsia="en-US"/>
              </w:rPr>
              <w:noBreakHyphen/>
            </w:r>
            <w:r>
              <w:rPr>
                <w:rFonts w:ascii="Book Antiqua" w:hAnsi="Book Antiqua"/>
                <w:sz w:val="20"/>
                <w:lang w:eastAsia="en-US"/>
              </w:rPr>
              <w:t>19 is forward year 3. This period does not include the current or Budget year.</w:t>
            </w:r>
          </w:p>
        </w:tc>
      </w:tr>
      <w:tr w:rsidR="006F4933" w:rsidTr="006F4933">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Funds</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Money that has been appropriated but not drawn from the Consolidated Revenue Fund.</w:t>
            </w:r>
          </w:p>
        </w:tc>
      </w:tr>
      <w:tr w:rsidR="006F4933" w:rsidTr="006F4933">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Income</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Total value of resources earned or received to cover the production of goods and services.</w:t>
            </w:r>
          </w:p>
        </w:tc>
      </w:tr>
      <w:tr w:rsidR="006F4933" w:rsidTr="006F4933">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Make good</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6F4933" w:rsidTr="00986CB7">
        <w:trPr>
          <w:gridAfter w:val="1"/>
          <w:wAfter w:w="216" w:type="dxa"/>
        </w:trPr>
        <w:tc>
          <w:tcPr>
            <w:tcW w:w="2840"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Mid-Year Economic and Fiscal Outlook (MYEFO)</w:t>
            </w:r>
          </w:p>
        </w:tc>
        <w:tc>
          <w:tcPr>
            <w:tcW w:w="4762"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‘Movement of Funds’ between years</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 ‘movement of funds’ process is carried out twice each year in relation to un-expensed administered operating appropriations. This involves portfolio ministers submitting requests to the Finance Minister advising of timing changes to funding requirements. If agreed by the Finance Minister, there will be an increase in the amount appropriated in later year(s).</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sidRPr="00EE5210">
              <w:rPr>
                <w:rFonts w:ascii="Book Antiqua" w:hAnsi="Book Antiqua"/>
                <w:sz w:val="20"/>
                <w:lang w:eastAsia="en-US"/>
              </w:rPr>
              <w:t xml:space="preserve">Net cash </w:t>
            </w:r>
            <w:r w:rsidR="00EE5210" w:rsidRPr="00EE5210">
              <w:rPr>
                <w:rFonts w:ascii="Book Antiqua" w:hAnsi="Book Antiqua"/>
                <w:sz w:val="20"/>
                <w:lang w:eastAsia="en-US"/>
              </w:rPr>
              <w:t>appropriation arrangements</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net cash framework, implemented from the 2010-11 Budget, replaces funding for depreciation and amortisation expenses with a departmental capital budget (DCB) and the funding of make good expenses will cease to be paid in advance.</w:t>
            </w:r>
          </w:p>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net cash framework applies to general government sector entities that receive funding from annual appropriations directly or via a special account, with the exception of the Department of Defence.</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Non-operating</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Sometimes called ‘capital’ costs.</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Official Public Account (OPA)</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OPA is the Australian Government’s central bank account held within the Reserve Bank of Australia. The OPA reflects the operations of the Consolidated Revenue Fund.</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Operating</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Normally related to ongoing, or recurring expenses, such as paying salaries or making program payments.</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Operating result</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Equals income less expenses.</w:t>
            </w:r>
          </w:p>
        </w:tc>
      </w:tr>
      <w:tr w:rsidR="006F4933" w:rsidTr="00986CB7">
        <w:trPr>
          <w:gridAfter w:val="1"/>
          <w:wAfter w:w="216" w:type="dxa"/>
        </w:trPr>
        <w:tc>
          <w:tcPr>
            <w:tcW w:w="2840"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Outcome</w:t>
            </w:r>
          </w:p>
        </w:tc>
        <w:tc>
          <w:tcPr>
            <w:tcW w:w="4762"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An outcome is the intended result, consequence or impact of government actions on the Australian community.</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Public Governance, Performance and Accountability Act </w:t>
            </w:r>
          </w:p>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2013 (PGPA Act)</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PGPA Act is the principal legislation concerning the governance, performance and accountability of, and the use and management of public resources by the Commonwealth.</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Portfolio Budget Statements</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Budget related paper detailing budget initiatives and explanations of appropriations specified by outcome and program by each entity within a portfolio.</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Program</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Activity that delivers benefits, services or transfer payments to individuals, industry and/or the community as a whole, with the aim of achieving the intended result specified in an outcome statement.</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Program support</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entity running costs allocated to a program. This is funded as part of the entity’s departmental appropriations.</w:t>
            </w:r>
          </w:p>
        </w:tc>
      </w:tr>
      <w:tr w:rsidR="006F4933" w:rsidTr="00986CB7">
        <w:trPr>
          <w:gridAfter w:val="1"/>
          <w:wAfter w:w="216" w:type="dxa"/>
        </w:trPr>
        <w:tc>
          <w:tcPr>
            <w:tcW w:w="2840"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Special account</w:t>
            </w:r>
          </w:p>
        </w:tc>
        <w:tc>
          <w:tcPr>
            <w:tcW w:w="4762" w:type="dxa"/>
            <w:hideMark/>
          </w:tcPr>
          <w:p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Balances existing within the CRF that are supported by standing appropriations, PGPA Act s.78, s.79 and s.80). Special accounts allow money in the CRF to be acknowledged as set-aside (hypothecated) for a particular purpose. Amounts credited to a special account can only be spent for the purposes of the special account. Special accounts can only be established by a written determination of the Finance Minister (s. 78 of the PGPA Act) or through an Act of Parliament (referred to in s. 80 of the PGPA Act).</w:t>
            </w:r>
          </w:p>
        </w:tc>
      </w:tr>
      <w:tr w:rsidR="006F4933" w:rsidTr="00986CB7">
        <w:trPr>
          <w:gridAfter w:val="1"/>
          <w:wAfter w:w="216" w:type="dxa"/>
        </w:trPr>
        <w:tc>
          <w:tcPr>
            <w:tcW w:w="2840"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Special appropriations (including standing appropriations)</w:t>
            </w:r>
          </w:p>
        </w:tc>
        <w:tc>
          <w:tcPr>
            <w:tcW w:w="4762" w:type="dxa"/>
            <w:hideMark/>
          </w:tcPr>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An amount of money appropriated by a particular Act of Parliament for a specific purpose and number of years. For special appropriations, the authority to withdraw funds from the CRF does not generally cease at the end of the financial year.</w:t>
            </w:r>
          </w:p>
          <w:p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Standing appropriations are a subcategory consisting of ongoing special appropriations – the amount appropriated will depend on circumstances specified in the legislation.</w:t>
            </w:r>
          </w:p>
        </w:tc>
      </w:tr>
    </w:tbl>
    <w:p w:rsidR="00A71F94" w:rsidRDefault="00642091" w:rsidP="00986CB7">
      <w:pPr>
        <w:jc w:val="left"/>
      </w:pPr>
    </w:p>
    <w:sectPr w:rsidR="00A71F94" w:rsidSect="006C633E">
      <w:headerReference w:type="even" r:id="rId7"/>
      <w:headerReference w:type="default" r:id="rId8"/>
      <w:footerReference w:type="even" r:id="rId9"/>
      <w:footerReference w:type="default" r:id="rId10"/>
      <w:footerReference w:type="first" r:id="rId11"/>
      <w:pgSz w:w="11906" w:h="16838" w:code="9"/>
      <w:pgMar w:top="2466" w:right="2098" w:bottom="2515" w:left="2098" w:header="1899" w:footer="1899" w:gutter="0"/>
      <w:pgNumType w:start="3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DC" w:rsidRDefault="002852DC" w:rsidP="002852DC">
      <w:pPr>
        <w:spacing w:after="0" w:line="240" w:lineRule="auto"/>
      </w:pPr>
      <w:r>
        <w:separator/>
      </w:r>
    </w:p>
  </w:endnote>
  <w:endnote w:type="continuationSeparator" w:id="0">
    <w:p w:rsidR="002852DC" w:rsidRDefault="002852DC" w:rsidP="0028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03187"/>
      <w:docPartObj>
        <w:docPartGallery w:val="Page Numbers (Bottom of Page)"/>
        <w:docPartUnique/>
      </w:docPartObj>
    </w:sdtPr>
    <w:sdtEndPr>
      <w:rPr>
        <w:rFonts w:ascii="Arial" w:hAnsi="Arial" w:cs="Arial"/>
        <w:noProof/>
      </w:rPr>
    </w:sdtEndPr>
    <w:sdtContent>
      <w:p w:rsidR="006C633E" w:rsidRPr="006C633E" w:rsidRDefault="006C633E" w:rsidP="006C633E">
        <w:pPr>
          <w:pStyle w:val="Footer"/>
          <w:jc w:val="center"/>
          <w:rPr>
            <w:rFonts w:ascii="Arial" w:hAnsi="Arial" w:cs="Arial"/>
          </w:rPr>
        </w:pPr>
        <w:r w:rsidRPr="006C633E">
          <w:rPr>
            <w:rFonts w:ascii="Arial" w:hAnsi="Arial" w:cs="Arial"/>
          </w:rPr>
          <w:fldChar w:fldCharType="begin"/>
        </w:r>
        <w:r w:rsidRPr="006C633E">
          <w:rPr>
            <w:rFonts w:ascii="Arial" w:hAnsi="Arial" w:cs="Arial"/>
          </w:rPr>
          <w:instrText xml:space="preserve"> PAGE   \* MERGEFORMAT </w:instrText>
        </w:r>
        <w:r w:rsidRPr="006C633E">
          <w:rPr>
            <w:rFonts w:ascii="Arial" w:hAnsi="Arial" w:cs="Arial"/>
          </w:rPr>
          <w:fldChar w:fldCharType="separate"/>
        </w:r>
        <w:r w:rsidR="00642091">
          <w:rPr>
            <w:rFonts w:ascii="Arial" w:hAnsi="Arial" w:cs="Arial"/>
            <w:noProof/>
          </w:rPr>
          <w:t>348</w:t>
        </w:r>
        <w:r w:rsidRPr="006C633E">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7935"/>
      <w:docPartObj>
        <w:docPartGallery w:val="Page Numbers (Bottom of Page)"/>
        <w:docPartUnique/>
      </w:docPartObj>
    </w:sdtPr>
    <w:sdtEndPr>
      <w:rPr>
        <w:rFonts w:ascii="Arial" w:hAnsi="Arial" w:cs="Arial"/>
        <w:noProof/>
      </w:rPr>
    </w:sdtEndPr>
    <w:sdtContent>
      <w:p w:rsidR="006C633E" w:rsidRPr="006C633E" w:rsidRDefault="006C633E" w:rsidP="006C633E">
        <w:pPr>
          <w:pStyle w:val="Footer"/>
          <w:jc w:val="center"/>
          <w:rPr>
            <w:rFonts w:ascii="Arial" w:hAnsi="Arial" w:cs="Arial"/>
          </w:rPr>
        </w:pPr>
        <w:r w:rsidRPr="006C633E">
          <w:rPr>
            <w:rFonts w:ascii="Arial" w:hAnsi="Arial" w:cs="Arial"/>
          </w:rPr>
          <w:fldChar w:fldCharType="begin"/>
        </w:r>
        <w:r w:rsidRPr="006C633E">
          <w:rPr>
            <w:rFonts w:ascii="Arial" w:hAnsi="Arial" w:cs="Arial"/>
          </w:rPr>
          <w:instrText xml:space="preserve"> PAGE   \* MERGEFORMAT </w:instrText>
        </w:r>
        <w:r w:rsidRPr="006C633E">
          <w:rPr>
            <w:rFonts w:ascii="Arial" w:hAnsi="Arial" w:cs="Arial"/>
          </w:rPr>
          <w:fldChar w:fldCharType="separate"/>
        </w:r>
        <w:r w:rsidR="00642091">
          <w:rPr>
            <w:rFonts w:ascii="Arial" w:hAnsi="Arial" w:cs="Arial"/>
            <w:noProof/>
          </w:rPr>
          <w:t>349</w:t>
        </w:r>
        <w:r w:rsidRPr="006C633E">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25947"/>
      <w:docPartObj>
        <w:docPartGallery w:val="Page Numbers (Bottom of Page)"/>
        <w:docPartUnique/>
      </w:docPartObj>
    </w:sdtPr>
    <w:sdtEndPr>
      <w:rPr>
        <w:rFonts w:ascii="Arial" w:hAnsi="Arial" w:cs="Arial"/>
        <w:noProof/>
      </w:rPr>
    </w:sdtEndPr>
    <w:sdtContent>
      <w:p w:rsidR="006C633E" w:rsidRPr="006C633E" w:rsidRDefault="006C633E" w:rsidP="006C633E">
        <w:pPr>
          <w:pStyle w:val="Footer"/>
          <w:jc w:val="center"/>
          <w:rPr>
            <w:rFonts w:ascii="Arial" w:hAnsi="Arial" w:cs="Arial"/>
          </w:rPr>
        </w:pPr>
        <w:r w:rsidRPr="006C633E">
          <w:rPr>
            <w:rFonts w:ascii="Arial" w:hAnsi="Arial" w:cs="Arial"/>
          </w:rPr>
          <w:fldChar w:fldCharType="begin"/>
        </w:r>
        <w:r w:rsidRPr="006C633E">
          <w:rPr>
            <w:rFonts w:ascii="Arial" w:hAnsi="Arial" w:cs="Arial"/>
          </w:rPr>
          <w:instrText xml:space="preserve"> PAGE   \* MERGEFORMAT </w:instrText>
        </w:r>
        <w:r w:rsidRPr="006C633E">
          <w:rPr>
            <w:rFonts w:ascii="Arial" w:hAnsi="Arial" w:cs="Arial"/>
          </w:rPr>
          <w:fldChar w:fldCharType="separate"/>
        </w:r>
        <w:r w:rsidR="00642091">
          <w:rPr>
            <w:rFonts w:ascii="Arial" w:hAnsi="Arial" w:cs="Arial"/>
            <w:noProof/>
          </w:rPr>
          <w:t>343</w:t>
        </w:r>
        <w:r w:rsidRPr="006C633E">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DC" w:rsidRDefault="002852DC" w:rsidP="002852DC">
      <w:pPr>
        <w:spacing w:after="0" w:line="240" w:lineRule="auto"/>
      </w:pPr>
      <w:r>
        <w:separator/>
      </w:r>
    </w:p>
  </w:footnote>
  <w:footnote w:type="continuationSeparator" w:id="0">
    <w:p w:rsidR="002852DC" w:rsidRDefault="002852DC" w:rsidP="00285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3E" w:rsidRPr="006C633E" w:rsidRDefault="006C633E">
    <w:pPr>
      <w:pStyle w:val="Header"/>
      <w:rPr>
        <w:i/>
      </w:rPr>
    </w:pPr>
    <w:r w:rsidRPr="006C633E">
      <w:rPr>
        <w:i/>
      </w:rP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3E" w:rsidRPr="006C633E" w:rsidRDefault="006C633E" w:rsidP="006C633E">
    <w:pPr>
      <w:pStyle w:val="Header"/>
      <w:jc w:val="right"/>
      <w:rPr>
        <w:i/>
      </w:rPr>
    </w:pPr>
    <w:r w:rsidRPr="006C633E">
      <w:rPr>
        <w:i/>
      </w:rPr>
      <w:t>Glossary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BA"/>
    <w:rsid w:val="00096BBA"/>
    <w:rsid w:val="00097F91"/>
    <w:rsid w:val="002852DC"/>
    <w:rsid w:val="00300DEE"/>
    <w:rsid w:val="00317CDB"/>
    <w:rsid w:val="003F6AC1"/>
    <w:rsid w:val="00584CCC"/>
    <w:rsid w:val="00642091"/>
    <w:rsid w:val="006844A0"/>
    <w:rsid w:val="006C633E"/>
    <w:rsid w:val="006F4727"/>
    <w:rsid w:val="006F4933"/>
    <w:rsid w:val="00986CB7"/>
    <w:rsid w:val="009C41D1"/>
    <w:rsid w:val="00A609B4"/>
    <w:rsid w:val="00A81EDD"/>
    <w:rsid w:val="00CE2091"/>
    <w:rsid w:val="00EE5210"/>
    <w:rsid w:val="00FA615C"/>
    <w:rsid w:val="00FB4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33"/>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Normal"/>
    <w:next w:val="Normal"/>
    <w:link w:val="Heading1Char"/>
    <w:qFormat/>
    <w:rsid w:val="006F4933"/>
    <w:pPr>
      <w:keepNext/>
      <w:spacing w:after="360" w:line="240" w:lineRule="auto"/>
      <w:jc w:val="center"/>
      <w:outlineLvl w:val="0"/>
    </w:pPr>
    <w:rPr>
      <w:rFonts w:ascii="Arial" w:hAnsi="Arial"/>
      <w:b/>
      <w:smallCaps/>
      <w:kern w:val="28"/>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933"/>
    <w:rPr>
      <w:rFonts w:ascii="Arial" w:eastAsia="Times New Roman" w:hAnsi="Arial" w:cs="Times New Roman"/>
      <w:b/>
      <w:smallCaps/>
      <w:kern w:val="28"/>
      <w:sz w:val="34"/>
      <w:szCs w:val="20"/>
      <w:lang w:eastAsia="en-AU"/>
    </w:rPr>
  </w:style>
  <w:style w:type="character" w:customStyle="1" w:styleId="TableTextLeftChar">
    <w:name w:val="Table Text Left Char"/>
    <w:link w:val="TableTextLeft"/>
    <w:locked/>
    <w:rsid w:val="006F4933"/>
    <w:rPr>
      <w:rFonts w:ascii="Arial" w:eastAsia="Times New Roman" w:hAnsi="Arial" w:cs="Times New Roman"/>
      <w:sz w:val="18"/>
      <w:szCs w:val="20"/>
      <w:lang w:eastAsia="en-AU"/>
    </w:rPr>
  </w:style>
  <w:style w:type="paragraph" w:customStyle="1" w:styleId="TableTextLeft">
    <w:name w:val="Table Text Left"/>
    <w:basedOn w:val="Normal"/>
    <w:link w:val="TableTextLeftChar"/>
    <w:rsid w:val="006F4933"/>
    <w:pPr>
      <w:spacing w:before="60" w:after="60" w:line="240" w:lineRule="auto"/>
      <w:jc w:val="left"/>
    </w:pPr>
    <w:rPr>
      <w:rFonts w:ascii="Arial" w:hAnsi="Arial"/>
      <w:sz w:val="18"/>
    </w:rPr>
  </w:style>
  <w:style w:type="paragraph" w:customStyle="1" w:styleId="TableColumnHeadingLeft">
    <w:name w:val="Table Column Heading Left"/>
    <w:basedOn w:val="Normal"/>
    <w:next w:val="TableTextLeft"/>
    <w:rsid w:val="006F4933"/>
    <w:pPr>
      <w:spacing w:before="60" w:after="60" w:line="240" w:lineRule="auto"/>
      <w:jc w:val="left"/>
    </w:pPr>
    <w:rPr>
      <w:rFonts w:ascii="Arial" w:hAnsi="Arial"/>
      <w:b/>
    </w:rPr>
  </w:style>
  <w:style w:type="character" w:customStyle="1" w:styleId="endChar">
    <w:name w:val="end Char"/>
    <w:basedOn w:val="Heading1Char"/>
    <w:link w:val="end"/>
    <w:locked/>
    <w:rsid w:val="006F4933"/>
    <w:rPr>
      <w:rFonts w:ascii="Arial" w:eastAsia="Times New Roman" w:hAnsi="Arial" w:cs="Times New Roman"/>
      <w:b/>
      <w:smallCaps/>
      <w:kern w:val="28"/>
      <w:sz w:val="34"/>
      <w:szCs w:val="20"/>
      <w:lang w:eastAsia="en-AU"/>
    </w:rPr>
  </w:style>
  <w:style w:type="paragraph" w:customStyle="1" w:styleId="end">
    <w:name w:val="end"/>
    <w:basedOn w:val="Heading1"/>
    <w:link w:val="endChar"/>
    <w:qFormat/>
    <w:rsid w:val="006F4933"/>
    <w:pPr>
      <w:outlineLvl w:val="1"/>
    </w:pPr>
  </w:style>
  <w:style w:type="paragraph" w:styleId="Header">
    <w:name w:val="header"/>
    <w:basedOn w:val="Normal"/>
    <w:link w:val="HeaderChar"/>
    <w:uiPriority w:val="99"/>
    <w:unhideWhenUsed/>
    <w:rsid w:val="00285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DC"/>
    <w:rPr>
      <w:rFonts w:ascii="Book Antiqua" w:eastAsia="Times New Roman" w:hAnsi="Book Antiqua" w:cs="Times New Roman"/>
      <w:sz w:val="20"/>
      <w:szCs w:val="20"/>
      <w:lang w:eastAsia="en-AU"/>
    </w:rPr>
  </w:style>
  <w:style w:type="paragraph" w:styleId="Footer">
    <w:name w:val="footer"/>
    <w:basedOn w:val="Normal"/>
    <w:link w:val="FooterChar"/>
    <w:uiPriority w:val="99"/>
    <w:unhideWhenUsed/>
    <w:rsid w:val="0028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2DC"/>
    <w:rPr>
      <w:rFonts w:ascii="Book Antiqua" w:eastAsia="Times New Roman"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33"/>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Normal"/>
    <w:next w:val="Normal"/>
    <w:link w:val="Heading1Char"/>
    <w:qFormat/>
    <w:rsid w:val="006F4933"/>
    <w:pPr>
      <w:keepNext/>
      <w:spacing w:after="360" w:line="240" w:lineRule="auto"/>
      <w:jc w:val="center"/>
      <w:outlineLvl w:val="0"/>
    </w:pPr>
    <w:rPr>
      <w:rFonts w:ascii="Arial" w:hAnsi="Arial"/>
      <w:b/>
      <w:smallCaps/>
      <w:kern w:val="28"/>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933"/>
    <w:rPr>
      <w:rFonts w:ascii="Arial" w:eastAsia="Times New Roman" w:hAnsi="Arial" w:cs="Times New Roman"/>
      <w:b/>
      <w:smallCaps/>
      <w:kern w:val="28"/>
      <w:sz w:val="34"/>
      <w:szCs w:val="20"/>
      <w:lang w:eastAsia="en-AU"/>
    </w:rPr>
  </w:style>
  <w:style w:type="character" w:customStyle="1" w:styleId="TableTextLeftChar">
    <w:name w:val="Table Text Left Char"/>
    <w:link w:val="TableTextLeft"/>
    <w:locked/>
    <w:rsid w:val="006F4933"/>
    <w:rPr>
      <w:rFonts w:ascii="Arial" w:eastAsia="Times New Roman" w:hAnsi="Arial" w:cs="Times New Roman"/>
      <w:sz w:val="18"/>
      <w:szCs w:val="20"/>
      <w:lang w:eastAsia="en-AU"/>
    </w:rPr>
  </w:style>
  <w:style w:type="paragraph" w:customStyle="1" w:styleId="TableTextLeft">
    <w:name w:val="Table Text Left"/>
    <w:basedOn w:val="Normal"/>
    <w:link w:val="TableTextLeftChar"/>
    <w:rsid w:val="006F4933"/>
    <w:pPr>
      <w:spacing w:before="60" w:after="60" w:line="240" w:lineRule="auto"/>
      <w:jc w:val="left"/>
    </w:pPr>
    <w:rPr>
      <w:rFonts w:ascii="Arial" w:hAnsi="Arial"/>
      <w:sz w:val="18"/>
    </w:rPr>
  </w:style>
  <w:style w:type="paragraph" w:customStyle="1" w:styleId="TableColumnHeadingLeft">
    <w:name w:val="Table Column Heading Left"/>
    <w:basedOn w:val="Normal"/>
    <w:next w:val="TableTextLeft"/>
    <w:rsid w:val="006F4933"/>
    <w:pPr>
      <w:spacing w:before="60" w:after="60" w:line="240" w:lineRule="auto"/>
      <w:jc w:val="left"/>
    </w:pPr>
    <w:rPr>
      <w:rFonts w:ascii="Arial" w:hAnsi="Arial"/>
      <w:b/>
    </w:rPr>
  </w:style>
  <w:style w:type="character" w:customStyle="1" w:styleId="endChar">
    <w:name w:val="end Char"/>
    <w:basedOn w:val="Heading1Char"/>
    <w:link w:val="end"/>
    <w:locked/>
    <w:rsid w:val="006F4933"/>
    <w:rPr>
      <w:rFonts w:ascii="Arial" w:eastAsia="Times New Roman" w:hAnsi="Arial" w:cs="Times New Roman"/>
      <w:b/>
      <w:smallCaps/>
      <w:kern w:val="28"/>
      <w:sz w:val="34"/>
      <w:szCs w:val="20"/>
      <w:lang w:eastAsia="en-AU"/>
    </w:rPr>
  </w:style>
  <w:style w:type="paragraph" w:customStyle="1" w:styleId="end">
    <w:name w:val="end"/>
    <w:basedOn w:val="Heading1"/>
    <w:link w:val="endChar"/>
    <w:qFormat/>
    <w:rsid w:val="006F4933"/>
    <w:pPr>
      <w:outlineLvl w:val="1"/>
    </w:pPr>
  </w:style>
  <w:style w:type="paragraph" w:styleId="Header">
    <w:name w:val="header"/>
    <w:basedOn w:val="Normal"/>
    <w:link w:val="HeaderChar"/>
    <w:uiPriority w:val="99"/>
    <w:unhideWhenUsed/>
    <w:rsid w:val="00285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DC"/>
    <w:rPr>
      <w:rFonts w:ascii="Book Antiqua" w:eastAsia="Times New Roman" w:hAnsi="Book Antiqua" w:cs="Times New Roman"/>
      <w:sz w:val="20"/>
      <w:szCs w:val="20"/>
      <w:lang w:eastAsia="en-AU"/>
    </w:rPr>
  </w:style>
  <w:style w:type="paragraph" w:styleId="Footer">
    <w:name w:val="footer"/>
    <w:basedOn w:val="Normal"/>
    <w:link w:val="FooterChar"/>
    <w:uiPriority w:val="99"/>
    <w:unhideWhenUsed/>
    <w:rsid w:val="0028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2DC"/>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1562</Words>
  <Characters>8749</Characters>
  <Application>Microsoft Office Word</Application>
  <DocSecurity>0</DocSecurity>
  <Lines>273</Lines>
  <Paragraphs>104</Paragraphs>
  <ScaleCrop>false</ScaleCrop>
  <HeadingPairs>
    <vt:vector size="2" baseType="variant">
      <vt:variant>
        <vt:lpstr>Title</vt:lpstr>
      </vt:variant>
      <vt:variant>
        <vt:i4>1</vt:i4>
      </vt:variant>
    </vt:vector>
  </HeadingPairs>
  <TitlesOfParts>
    <vt:vector size="1" baseType="lpstr">
      <vt:lpstr>Glossary - Portfolio Budget Statements 2019-20 - Treasury Portfolio</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 Portfolio Budget Statements 2019-20 - Treasury Portfolio</dc:title>
  <dc:subject/>
  <dc:creator/>
  <cp:keywords/>
  <dc:description/>
  <cp:lastModifiedBy/>
  <cp:revision>1</cp:revision>
  <dcterms:created xsi:type="dcterms:W3CDTF">2019-04-01T06:32:00Z</dcterms:created>
  <dcterms:modified xsi:type="dcterms:W3CDTF">2019-04-01T07:01:00Z</dcterms:modified>
  <dc:language>English</dc:language>
</cp:coreProperties>
</file>