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090F" w14:textId="77777777" w:rsidR="00F012EA" w:rsidRPr="00D60FC3" w:rsidRDefault="00A213DE" w:rsidP="00D60FC3">
      <w:pPr>
        <w:pStyle w:val="Title"/>
      </w:pPr>
      <w:r w:rsidRPr="00D60FC3">
        <w:t>t</w:t>
      </w:r>
      <w:r w:rsidR="001718C3" w:rsidRPr="00D60FC3">
        <w:t xml:space="preserve">obacco excise: </w:t>
      </w:r>
      <w:r w:rsidRPr="00D60FC3">
        <w:t>h</w:t>
      </w:r>
      <w:r w:rsidR="001718C3" w:rsidRPr="00D60FC3">
        <w:t>istorical trends and forecasting</w:t>
      </w:r>
      <w:r w:rsidRPr="00D60FC3">
        <w:t xml:space="preserve"> methodology</w:t>
      </w:r>
      <w:r w:rsidR="001718C3" w:rsidRPr="00D60FC3">
        <w:t xml:space="preserve"> </w:t>
      </w:r>
    </w:p>
    <w:p w14:paraId="6E307331" w14:textId="77777777" w:rsidR="00F012EA" w:rsidRDefault="007D0EEE" w:rsidP="007805E0">
      <w:pPr>
        <w:pStyle w:val="AuthorName"/>
        <w:rPr>
          <w:szCs w:val="24"/>
        </w:rPr>
      </w:pPr>
      <w:r>
        <w:rPr>
          <w:szCs w:val="24"/>
        </w:rPr>
        <w:t>Jonathan O’Bannon, John Clark</w:t>
      </w:r>
      <w:r w:rsidR="00F012EA" w:rsidRPr="00F21A41">
        <w:rPr>
          <w:rStyle w:val="FootnoteReference"/>
          <w:szCs w:val="24"/>
        </w:rPr>
        <w:footnoteReference w:id="2"/>
      </w:r>
    </w:p>
    <w:p w14:paraId="53C00A9F" w14:textId="77777777" w:rsidR="00F012EA" w:rsidRPr="00F8009C" w:rsidRDefault="00F012EA" w:rsidP="007805E0">
      <w:pPr>
        <w:pStyle w:val="Subtitle"/>
        <w:tabs>
          <w:tab w:val="left" w:pos="1985"/>
        </w:tabs>
        <w:rPr>
          <w:szCs w:val="40"/>
        </w:rPr>
      </w:pPr>
      <w:r>
        <w:rPr>
          <w:szCs w:val="40"/>
        </w:rPr>
        <w:t>Treasury Working Paper</w:t>
      </w:r>
      <w:r>
        <w:rPr>
          <w:rStyle w:val="FootnoteReference"/>
          <w:szCs w:val="40"/>
        </w:rPr>
        <w:footnoteReference w:id="3"/>
      </w:r>
    </w:p>
    <w:p w14:paraId="09645E4A" w14:textId="4E13CCA4" w:rsidR="00F012EA" w:rsidRPr="00F8009C" w:rsidRDefault="00F012EA" w:rsidP="007805E0">
      <w:pPr>
        <w:pStyle w:val="Subtitle"/>
        <w:rPr>
          <w:szCs w:val="36"/>
        </w:rPr>
      </w:pPr>
      <w:r>
        <w:rPr>
          <w:szCs w:val="36"/>
        </w:rPr>
        <w:t>20</w:t>
      </w:r>
      <w:r w:rsidR="00DC00A1">
        <w:rPr>
          <w:szCs w:val="36"/>
        </w:rPr>
        <w:t>19</w:t>
      </w:r>
      <w:r>
        <w:rPr>
          <w:szCs w:val="36"/>
        </w:rPr>
        <w:noBreakHyphen/>
      </w:r>
      <w:bookmarkStart w:id="0" w:name="_GoBack"/>
      <w:bookmarkEnd w:id="0"/>
      <w:r w:rsidR="00DC00A1">
        <w:rPr>
          <w:szCs w:val="36"/>
        </w:rPr>
        <w:t>0</w:t>
      </w:r>
      <w:r w:rsidR="00192EB2">
        <w:rPr>
          <w:szCs w:val="36"/>
        </w:rPr>
        <w:t>3</w:t>
      </w:r>
    </w:p>
    <w:p w14:paraId="6A81FF44" w14:textId="0F5773E2" w:rsidR="00F012EA" w:rsidRPr="0018497C" w:rsidRDefault="00F012EA" w:rsidP="007805E0">
      <w:pPr>
        <w:pStyle w:val="SeriesNumber"/>
        <w:spacing w:before="120" w:after="120"/>
        <w:rPr>
          <w:sz w:val="24"/>
          <w:szCs w:val="24"/>
        </w:rPr>
      </w:pPr>
      <w:r w:rsidRPr="0018497C">
        <w:rPr>
          <w:sz w:val="24"/>
          <w:szCs w:val="24"/>
        </w:rPr>
        <w:t xml:space="preserve">Date created: </w:t>
      </w:r>
      <w:r w:rsidR="00DC00A1">
        <w:rPr>
          <w:sz w:val="24"/>
          <w:szCs w:val="24"/>
        </w:rPr>
        <w:t>June 2019</w:t>
      </w:r>
    </w:p>
    <w:p w14:paraId="3DAE815A" w14:textId="1817DFEB" w:rsidR="000464B6" w:rsidRDefault="000464B6" w:rsidP="00384C4E">
      <w:pPr>
        <w:pStyle w:val="AuthorName"/>
        <w:jc w:val="both"/>
        <w:rPr>
          <w:szCs w:val="24"/>
        </w:rPr>
        <w:sectPr w:rsidR="000464B6" w:rsidSect="008C0793">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567" w:footer="567" w:gutter="0"/>
          <w:cols w:space="708"/>
          <w:titlePg/>
          <w:docGrid w:linePitch="360"/>
        </w:sectPr>
      </w:pPr>
    </w:p>
    <w:p w14:paraId="7C7F39FC" w14:textId="116902B0" w:rsidR="008511BA" w:rsidRDefault="008511BA" w:rsidP="008511BA">
      <w:r w:rsidRPr="00661BF0">
        <w:lastRenderedPageBreak/>
        <w:t xml:space="preserve">© Commonwealth of Australia </w:t>
      </w:r>
      <w:r w:rsidRPr="008511BA">
        <w:t>2019</w:t>
      </w:r>
    </w:p>
    <w:p w14:paraId="66310C8E" w14:textId="77777777" w:rsidR="008511BA" w:rsidRPr="00086F82" w:rsidRDefault="008511BA" w:rsidP="008511BA">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4"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5"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02BB9FF9" w14:textId="77777777" w:rsidR="008511BA" w:rsidRDefault="008511BA" w:rsidP="008511BA">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7D002AC3" wp14:editId="0A756F48">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2F4B4A6" w14:textId="77777777" w:rsidR="008511BA" w:rsidRPr="006627B4" w:rsidRDefault="008511BA" w:rsidP="008511BA">
      <w:pPr>
        <w:tabs>
          <w:tab w:val="left" w:pos="1650"/>
        </w:tabs>
      </w:pPr>
      <w:r w:rsidRPr="006627B4">
        <w:t>Use of Treasury material under a</w:t>
      </w:r>
      <w:r w:rsidRPr="00476F09">
        <w:rPr>
          <w:rFonts w:cstheme="minorHAnsi"/>
          <w:sz w:val="24"/>
          <w:szCs w:val="24"/>
        </w:rPr>
        <w:t xml:space="preserve"> </w:t>
      </w:r>
      <w:hyperlink r:id="rId17"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30C3300E" w14:textId="77777777" w:rsidR="008511BA" w:rsidRPr="002F1BC2" w:rsidRDefault="008511BA" w:rsidP="008511BA">
      <w:pPr>
        <w:rPr>
          <w:i/>
        </w:rPr>
      </w:pPr>
      <w:r w:rsidRPr="002F1BC2">
        <w:rPr>
          <w:i/>
        </w:rPr>
        <w:t>Treasury material used 'as supplied'</w:t>
      </w:r>
    </w:p>
    <w:p w14:paraId="4B175B48" w14:textId="77777777" w:rsidR="008511BA" w:rsidRPr="00476F09" w:rsidRDefault="008511BA" w:rsidP="008511BA">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A15BCF6" w14:textId="77777777" w:rsidR="008511BA" w:rsidRPr="00A13A11" w:rsidRDefault="008511BA" w:rsidP="008511BA">
      <w:pPr>
        <w:ind w:firstLine="720"/>
      </w:pPr>
      <w:r w:rsidRPr="002F1BC2">
        <w:rPr>
          <w:i/>
        </w:rPr>
        <w:t xml:space="preserve">Source: The </w:t>
      </w:r>
      <w:r w:rsidRPr="002F1BC2">
        <w:rPr>
          <w:i/>
          <w:iCs/>
        </w:rPr>
        <w:t>Australian Government the Treasury</w:t>
      </w:r>
    </w:p>
    <w:p w14:paraId="0EFF011D" w14:textId="77777777" w:rsidR="008511BA" w:rsidRPr="006627B4" w:rsidRDefault="008511BA" w:rsidP="008511BA">
      <w:r w:rsidRPr="006627B4">
        <w:t>Derivative material</w:t>
      </w:r>
    </w:p>
    <w:p w14:paraId="67DA5D8B" w14:textId="77777777" w:rsidR="008511BA" w:rsidRPr="006627B4" w:rsidRDefault="008511BA" w:rsidP="008511BA">
      <w:r w:rsidRPr="006627B4">
        <w:t xml:space="preserve">If you have modified or transformed Treasury material, or derived new material from those of the Treasury in any way, then Treasury prefers the following attribution: </w:t>
      </w:r>
    </w:p>
    <w:p w14:paraId="3F439D8D" w14:textId="77777777" w:rsidR="008511BA" w:rsidRPr="006627B4" w:rsidRDefault="008511BA" w:rsidP="008511BA">
      <w:pPr>
        <w:ind w:firstLine="720"/>
      </w:pPr>
      <w:r w:rsidRPr="002F1BC2">
        <w:rPr>
          <w:i/>
        </w:rPr>
        <w:t>Based on The Australian Government the Treasury data</w:t>
      </w:r>
    </w:p>
    <w:p w14:paraId="1FFFEDF6" w14:textId="77777777" w:rsidR="008511BA" w:rsidRPr="006627B4" w:rsidRDefault="008511BA" w:rsidP="008511BA">
      <w:pPr>
        <w:spacing w:after="40"/>
        <w:rPr>
          <w:b/>
        </w:rPr>
      </w:pPr>
      <w:r w:rsidRPr="006627B4">
        <w:rPr>
          <w:b/>
        </w:rPr>
        <w:t>Use of the Coat of Arms</w:t>
      </w:r>
    </w:p>
    <w:p w14:paraId="6A457CDA" w14:textId="77777777" w:rsidR="008511BA" w:rsidRPr="006627B4" w:rsidRDefault="008511BA" w:rsidP="008511BA">
      <w:r w:rsidRPr="00A40BA2">
        <w:t>The terms under which the Coat of Arms can be used are set out on the Departme</w:t>
      </w:r>
      <w:r>
        <w:t>nt of the Prime </w:t>
      </w:r>
      <w:r w:rsidRPr="00A40BA2">
        <w:t xml:space="preserve">Minister and Cabinet website (see </w:t>
      </w:r>
      <w:hyperlink r:id="rId18" w:history="1">
        <w:r w:rsidRPr="005A283B">
          <w:rPr>
            <w:rStyle w:val="Hyperlink"/>
          </w:rPr>
          <w:t>www.pmc.gov.au/government/commonwealth-coat-arms</w:t>
        </w:r>
      </w:hyperlink>
      <w:r w:rsidRPr="00A40BA2">
        <w:t>).</w:t>
      </w:r>
    </w:p>
    <w:p w14:paraId="3DA387B1" w14:textId="77777777" w:rsidR="008511BA" w:rsidRPr="006627B4" w:rsidRDefault="008511BA" w:rsidP="008511BA">
      <w:pPr>
        <w:spacing w:after="40"/>
        <w:rPr>
          <w:b/>
        </w:rPr>
      </w:pPr>
      <w:r>
        <w:rPr>
          <w:b/>
        </w:rPr>
        <w:t>Other u</w:t>
      </w:r>
      <w:r w:rsidRPr="006627B4">
        <w:rPr>
          <w:b/>
        </w:rPr>
        <w:t>ses</w:t>
      </w:r>
    </w:p>
    <w:p w14:paraId="45996419" w14:textId="77777777" w:rsidR="008511BA" w:rsidRPr="006627B4" w:rsidRDefault="008511BA" w:rsidP="008511BA">
      <w:pPr>
        <w:spacing w:after="120"/>
      </w:pPr>
      <w:r>
        <w:t>E</w:t>
      </w:r>
      <w:r w:rsidRPr="006627B4">
        <w:t>nquiries regarding this licence and any other use of this document are welcome at:</w:t>
      </w:r>
    </w:p>
    <w:p w14:paraId="28A1E1E9" w14:textId="77777777" w:rsidR="008511BA" w:rsidRPr="006627B4" w:rsidRDefault="008511BA" w:rsidP="008511BA">
      <w:pPr>
        <w:spacing w:after="0"/>
        <w:ind w:left="720"/>
      </w:pPr>
      <w:r w:rsidRPr="006627B4">
        <w:t>Manager</w:t>
      </w:r>
    </w:p>
    <w:p w14:paraId="65645E6A" w14:textId="77777777" w:rsidR="008511BA" w:rsidRPr="006627B4" w:rsidRDefault="008511BA" w:rsidP="008511BA">
      <w:pPr>
        <w:spacing w:after="0"/>
        <w:ind w:left="720"/>
      </w:pPr>
      <w:r>
        <w:t>Media Unit</w:t>
      </w:r>
    </w:p>
    <w:p w14:paraId="5687003E" w14:textId="77777777" w:rsidR="008511BA" w:rsidRPr="006627B4" w:rsidRDefault="008511BA" w:rsidP="008511BA">
      <w:pPr>
        <w:spacing w:after="0"/>
        <w:ind w:left="720"/>
      </w:pPr>
      <w:r w:rsidRPr="006627B4">
        <w:t>The Treasury</w:t>
      </w:r>
    </w:p>
    <w:p w14:paraId="14212E68" w14:textId="77777777" w:rsidR="008511BA" w:rsidRPr="006627B4" w:rsidRDefault="008511BA" w:rsidP="008511BA">
      <w:pPr>
        <w:spacing w:after="0"/>
        <w:ind w:left="720"/>
      </w:pPr>
      <w:r w:rsidRPr="006627B4">
        <w:t xml:space="preserve">Langton Crescent </w:t>
      </w:r>
      <w:r>
        <w:br/>
      </w:r>
      <w:r w:rsidRPr="006627B4">
        <w:t>Parkes ACT 2600</w:t>
      </w:r>
    </w:p>
    <w:p w14:paraId="57FE0420" w14:textId="77777777" w:rsidR="008511BA" w:rsidRDefault="008511BA" w:rsidP="008511BA">
      <w:pPr>
        <w:spacing w:after="0"/>
        <w:ind w:left="720"/>
        <w:rPr>
          <w:rStyle w:val="Hyperlink"/>
        </w:rPr>
      </w:pPr>
      <w:r w:rsidRPr="006627B4">
        <w:t xml:space="preserve">Email: </w:t>
      </w:r>
      <w:hyperlink r:id="rId19" w:history="1">
        <w:r w:rsidRPr="00573329">
          <w:rPr>
            <w:rStyle w:val="Hyperlink"/>
          </w:rPr>
          <w:t>medialiaison@treasury.gov.au</w:t>
        </w:r>
      </w:hyperlink>
      <w:r w:rsidRPr="002F1BC2">
        <w:rPr>
          <w:rStyle w:val="Hyperlink"/>
        </w:rPr>
        <w:t xml:space="preserve"> </w:t>
      </w:r>
    </w:p>
    <w:p w14:paraId="46F1303E" w14:textId="77777777" w:rsidR="000464B6" w:rsidRPr="000464B6" w:rsidRDefault="000464B6" w:rsidP="00384C4E">
      <w:pPr>
        <w:jc w:val="both"/>
      </w:pPr>
    </w:p>
    <w:p w14:paraId="2DD49497" w14:textId="77777777" w:rsidR="000464B6" w:rsidRDefault="000464B6" w:rsidP="00384C4E">
      <w:pPr>
        <w:spacing w:after="0"/>
        <w:ind w:left="720"/>
        <w:jc w:val="both"/>
        <w:rPr>
          <w:rStyle w:val="Hyperlink"/>
        </w:rPr>
        <w:sectPr w:rsidR="000464B6" w:rsidSect="008C0793">
          <w:headerReference w:type="first" r:id="rId20"/>
          <w:pgSz w:w="11906" w:h="16838" w:code="9"/>
          <w:pgMar w:top="1418" w:right="1304" w:bottom="1418" w:left="1304" w:header="567" w:footer="567" w:gutter="0"/>
          <w:cols w:space="708"/>
          <w:titlePg/>
          <w:docGrid w:linePitch="360"/>
        </w:sectPr>
      </w:pPr>
    </w:p>
    <w:p w14:paraId="4F552512" w14:textId="7D62672B" w:rsidR="00F012EA" w:rsidRDefault="001C7D77" w:rsidP="00384C4E">
      <w:pPr>
        <w:pStyle w:val="SingleParagraph"/>
        <w:jc w:val="both"/>
      </w:pPr>
      <w:r>
        <w:lastRenderedPageBreak/>
        <w:t>Tobacco Excise: historical Trends and Forecasting Methodology</w:t>
      </w:r>
    </w:p>
    <w:p w14:paraId="7DC8BA05" w14:textId="00EB0DCD" w:rsidR="00F012EA" w:rsidRDefault="00F012EA" w:rsidP="00384C4E">
      <w:pPr>
        <w:pStyle w:val="SingleParagraph"/>
        <w:jc w:val="both"/>
      </w:pPr>
      <w:r w:rsidRPr="001C7D77">
        <w:t>20</w:t>
      </w:r>
      <w:r w:rsidR="001C7D77" w:rsidRPr="001C7D77">
        <w:t>19</w:t>
      </w:r>
      <w:r w:rsidRPr="001C7D77">
        <w:noBreakHyphen/>
      </w:r>
      <w:r w:rsidR="001C7D77" w:rsidRPr="001C7D77">
        <w:t>03</w:t>
      </w:r>
    </w:p>
    <w:p w14:paraId="18955FBC" w14:textId="71ADC7A3" w:rsidR="00F012EA" w:rsidRDefault="00566477" w:rsidP="00384C4E">
      <w:pPr>
        <w:pStyle w:val="SingleParagraph"/>
        <w:jc w:val="both"/>
      </w:pPr>
      <w:r>
        <w:t>June 2019</w:t>
      </w:r>
    </w:p>
    <w:p w14:paraId="358663F9" w14:textId="77777777" w:rsidR="00F012EA" w:rsidRDefault="00F012EA" w:rsidP="00384C4E">
      <w:pPr>
        <w:pStyle w:val="Heading1"/>
        <w:jc w:val="both"/>
      </w:pPr>
      <w:r>
        <w:t>Abstract</w:t>
      </w:r>
    </w:p>
    <w:p w14:paraId="7FB61587" w14:textId="77777777" w:rsidR="00F012EA" w:rsidRPr="00E65E4B" w:rsidRDefault="00906795" w:rsidP="00192EB2">
      <w:r>
        <w:t xml:space="preserve">Tobacco excise has grown strongly over the last few years as significant increases in the excise rate have been </w:t>
      </w:r>
      <w:r w:rsidR="0000796D">
        <w:t xml:space="preserve">only </w:t>
      </w:r>
      <w:r>
        <w:t>partly offset by declining rates of smoking. This paper examines historical trends in tobacco excise, focussing on the recent past including the impact of significant policy changes over the last decade, and then discusses how tobacco excise is forecast and the key challenges in doing so.</w:t>
      </w:r>
    </w:p>
    <w:p w14:paraId="2FF7B6C7" w14:textId="74C4AC36" w:rsidR="00F012EA" w:rsidRPr="00A151F8" w:rsidRDefault="00F012EA" w:rsidP="009450F1">
      <w:pPr>
        <w:pStyle w:val="SingleParagraph"/>
        <w:jc w:val="both"/>
      </w:pPr>
      <w:r>
        <w:t xml:space="preserve">Keywords: </w:t>
      </w:r>
      <w:r w:rsidR="00906795">
        <w:t>Tobacco excise</w:t>
      </w:r>
    </w:p>
    <w:p w14:paraId="4D2BC7E2" w14:textId="77777777" w:rsidR="00F012EA" w:rsidRDefault="00F012EA" w:rsidP="00384C4E">
      <w:pPr>
        <w:jc w:val="both"/>
      </w:pPr>
    </w:p>
    <w:p w14:paraId="23A00FE8" w14:textId="77777777" w:rsidR="00F012EA" w:rsidRDefault="00F012EA" w:rsidP="00384C4E">
      <w:pPr>
        <w:jc w:val="both"/>
        <w:sectPr w:rsidR="00F012EA" w:rsidSect="008C0793">
          <w:pgSz w:w="11906" w:h="16838" w:code="9"/>
          <w:pgMar w:top="1418" w:right="1304" w:bottom="1418" w:left="1304" w:header="567" w:footer="567" w:gutter="0"/>
          <w:cols w:space="708"/>
          <w:titlePg/>
          <w:docGrid w:linePitch="360"/>
        </w:sectPr>
      </w:pPr>
    </w:p>
    <w:p w14:paraId="4E8EF2D9" w14:textId="77777777" w:rsidR="00F012EA" w:rsidRPr="00474D11" w:rsidRDefault="00F012EA" w:rsidP="00B9120C">
      <w:pPr>
        <w:pStyle w:val="Heading2NotNumbered"/>
      </w:pPr>
      <w:bookmarkStart w:id="1" w:name="_Toc271526783"/>
      <w:bookmarkStart w:id="2" w:name="_Toc320810314"/>
      <w:r w:rsidRPr="00474D11">
        <w:lastRenderedPageBreak/>
        <w:t>Introduction</w:t>
      </w:r>
      <w:bookmarkEnd w:id="1"/>
      <w:bookmarkEnd w:id="2"/>
    </w:p>
    <w:p w14:paraId="5D07582E" w14:textId="3BFE4893" w:rsidR="00DD20A4" w:rsidRDefault="0014474C" w:rsidP="00B9120C">
      <w:r>
        <w:t xml:space="preserve">Excise </w:t>
      </w:r>
      <w:r w:rsidR="003D42D8">
        <w:t xml:space="preserve">has been a significant and stable </w:t>
      </w:r>
      <w:r>
        <w:t xml:space="preserve">source of </w:t>
      </w:r>
      <w:r w:rsidR="003D42D8">
        <w:t xml:space="preserve">tax </w:t>
      </w:r>
      <w:r>
        <w:t xml:space="preserve">revenue </w:t>
      </w:r>
      <w:r w:rsidR="003744B3">
        <w:t xml:space="preserve">as it relies on comparatively regular patterns of economic behaviour </w:t>
      </w:r>
      <w:r w:rsidR="009F3C07">
        <w:t xml:space="preserve">and tax payments </w:t>
      </w:r>
      <w:r w:rsidR="003744B3">
        <w:t>from year to year.</w:t>
      </w:r>
      <w:r w:rsidR="003D42D8">
        <w:t xml:space="preserve"> </w:t>
      </w:r>
      <w:r w:rsidR="009F3C07">
        <w:t xml:space="preserve">This </w:t>
      </w:r>
      <w:r>
        <w:t xml:space="preserve">contrasts with revenue sources such as company tax, where factors </w:t>
      </w:r>
      <w:r w:rsidR="003744B3">
        <w:t xml:space="preserve">ranging from commodity prices to the operation of the tax payments system </w:t>
      </w:r>
      <w:r>
        <w:t>can have a large bearing on receipts in any given year.</w:t>
      </w:r>
      <w:r w:rsidR="003744B3">
        <w:t xml:space="preserve"> Being relatively stable, excise has generally been forecast with greater accuracy than many other taxes.</w:t>
      </w:r>
    </w:p>
    <w:p w14:paraId="7DCEC562" w14:textId="77777777" w:rsidR="00F012EA" w:rsidRPr="00474D11" w:rsidRDefault="00F606C1" w:rsidP="00B9120C">
      <w:r>
        <w:t>Tobacco excise</w:t>
      </w:r>
      <w:r w:rsidR="00DD20A4">
        <w:t>, the focus of this paper,</w:t>
      </w:r>
      <w:r>
        <w:t xml:space="preserve"> has grown st</w:t>
      </w:r>
      <w:r w:rsidR="00ED4E70">
        <w:t xml:space="preserve">rongly over the last few years as </w:t>
      </w:r>
      <w:r w:rsidR="0057483A">
        <w:t>significant</w:t>
      </w:r>
      <w:r>
        <w:t xml:space="preserve"> increase</w:t>
      </w:r>
      <w:r w:rsidR="0057483A">
        <w:t>s in</w:t>
      </w:r>
      <w:r w:rsidR="00ED4E70">
        <w:t xml:space="preserve"> the excise rate have</w:t>
      </w:r>
      <w:r>
        <w:t xml:space="preserve"> </w:t>
      </w:r>
      <w:r w:rsidR="00ED4E70">
        <w:t xml:space="preserve">been </w:t>
      </w:r>
      <w:r w:rsidR="0000796D">
        <w:t xml:space="preserve">only </w:t>
      </w:r>
      <w:r>
        <w:t xml:space="preserve">partly offset by declining </w:t>
      </w:r>
      <w:r w:rsidR="00ED4E70">
        <w:t>rates of smoking</w:t>
      </w:r>
      <w:r>
        <w:t xml:space="preserve">. </w:t>
      </w:r>
      <w:r w:rsidR="0014474C">
        <w:t>Th</w:t>
      </w:r>
      <w:r w:rsidR="00202FC4">
        <w:t>is</w:t>
      </w:r>
      <w:r w:rsidR="0014474C">
        <w:t xml:space="preserve"> paper will examine the historical trends in tobacco excise, </w:t>
      </w:r>
      <w:r w:rsidR="009F3C07">
        <w:t xml:space="preserve">focussing on the recent past </w:t>
      </w:r>
      <w:r w:rsidR="0014474C">
        <w:t xml:space="preserve">including the impact of significant policy changes over the last decade, and then discuss how tobacco excise is forecast and the key challenges in doing so.  </w:t>
      </w:r>
    </w:p>
    <w:p w14:paraId="0077374B" w14:textId="77777777" w:rsidR="00F012EA" w:rsidRPr="00474D11" w:rsidRDefault="00E82F57" w:rsidP="00B9120C">
      <w:pPr>
        <w:pStyle w:val="Heading2NotNumbered"/>
      </w:pPr>
      <w:r w:rsidRPr="00B9120C">
        <w:t>Tobacco</w:t>
      </w:r>
      <w:r>
        <w:t xml:space="preserve"> Excise</w:t>
      </w:r>
    </w:p>
    <w:p w14:paraId="7890E0EE" w14:textId="613C0C62" w:rsidR="00200163" w:rsidRDefault="0074652C" w:rsidP="00B9120C">
      <w:r w:rsidRPr="00474D11">
        <w:t>Tobacco</w:t>
      </w:r>
      <w:r w:rsidR="006D5DBD" w:rsidRPr="00474D11">
        <w:t xml:space="preserve"> excise is applied</w:t>
      </w:r>
      <w:r w:rsidRPr="00474D11">
        <w:t xml:space="preserve"> to</w:t>
      </w:r>
      <w:r w:rsidR="006D5DBD" w:rsidRPr="00474D11">
        <w:t xml:space="preserve"> </w:t>
      </w:r>
      <w:r w:rsidR="00384C4E">
        <w:t xml:space="preserve">processed </w:t>
      </w:r>
      <w:r w:rsidR="006D5DBD" w:rsidRPr="00474D11">
        <w:t>tobacco leaf</w:t>
      </w:r>
      <w:r w:rsidR="00384C4E">
        <w:rPr>
          <w:rStyle w:val="FootnoteReference"/>
        </w:rPr>
        <w:footnoteReference w:id="4"/>
      </w:r>
      <w:r w:rsidR="00F87674">
        <w:t xml:space="preserve">, predominately </w:t>
      </w:r>
      <w:r w:rsidR="00384C4E">
        <w:t xml:space="preserve">in the case of </w:t>
      </w:r>
      <w:r w:rsidR="00F87674">
        <w:t>cigarettes</w:t>
      </w:r>
      <w:r w:rsidR="002D0876">
        <w:t>, cigars</w:t>
      </w:r>
      <w:r w:rsidR="00200163">
        <w:t xml:space="preserve"> </w:t>
      </w:r>
      <w:r w:rsidR="00F87674">
        <w:t>and loose leaf</w:t>
      </w:r>
      <w:r w:rsidR="00673181">
        <w:t xml:space="preserve"> tobacco</w:t>
      </w:r>
      <w:r w:rsidR="00F87674">
        <w:t xml:space="preserve">. As an excise, it is imposed on the </w:t>
      </w:r>
      <w:r w:rsidR="006D0471">
        <w:t>product</w:t>
      </w:r>
      <w:r w:rsidR="00F87674">
        <w:t xml:space="preserve"> according to the </w:t>
      </w:r>
      <w:r w:rsidR="00F87674" w:rsidRPr="00384C4E">
        <w:rPr>
          <w:i/>
        </w:rPr>
        <w:t>quantity</w:t>
      </w:r>
      <w:r w:rsidR="00F87674">
        <w:t xml:space="preserve"> of the </w:t>
      </w:r>
      <w:r w:rsidR="006D0471">
        <w:t>excisable substance in the product</w:t>
      </w:r>
      <w:r w:rsidR="00F87674">
        <w:t xml:space="preserve">, consistent with </w:t>
      </w:r>
      <w:r w:rsidR="00200163">
        <w:t xml:space="preserve">the </w:t>
      </w:r>
      <w:r w:rsidR="00F87674">
        <w:t>excise</w:t>
      </w:r>
      <w:r w:rsidR="00200163">
        <w:t xml:space="preserve"> regimes applying to</w:t>
      </w:r>
      <w:r w:rsidR="00673181">
        <w:t xml:space="preserve"> </w:t>
      </w:r>
      <w:r w:rsidR="00F87674">
        <w:t>fuel and alcohol</w:t>
      </w:r>
      <w:r w:rsidR="003E728C">
        <w:t xml:space="preserve">. This contrasts with other taxes, such as the </w:t>
      </w:r>
      <w:r w:rsidR="004014A0">
        <w:t>G</w:t>
      </w:r>
      <w:r w:rsidR="003E728C">
        <w:t xml:space="preserve">oods and </w:t>
      </w:r>
      <w:r w:rsidR="004014A0">
        <w:t>S</w:t>
      </w:r>
      <w:r w:rsidR="003E728C">
        <w:t xml:space="preserve">ervices </w:t>
      </w:r>
      <w:r w:rsidR="004014A0">
        <w:t>T</w:t>
      </w:r>
      <w:r w:rsidR="003E728C">
        <w:t>ax</w:t>
      </w:r>
      <w:r w:rsidR="004014A0">
        <w:t xml:space="preserve"> (GST)</w:t>
      </w:r>
      <w:r w:rsidR="003E728C">
        <w:t xml:space="preserve">, which are levied on the </w:t>
      </w:r>
      <w:r w:rsidR="003E728C">
        <w:rPr>
          <w:i/>
        </w:rPr>
        <w:t>value</w:t>
      </w:r>
      <w:r w:rsidR="003E728C">
        <w:t xml:space="preserve"> of the products. T</w:t>
      </w:r>
      <w:r w:rsidR="00200163">
        <w:t>he rate</w:t>
      </w:r>
      <w:r w:rsidR="003E728C">
        <w:t>s</w:t>
      </w:r>
      <w:r w:rsidR="00200163">
        <w:t xml:space="preserve"> of </w:t>
      </w:r>
      <w:r w:rsidR="003E728C">
        <w:t xml:space="preserve">excise </w:t>
      </w:r>
      <w:r w:rsidR="00200163">
        <w:t>tax</w:t>
      </w:r>
      <w:r w:rsidR="003E728C">
        <w:t>es</w:t>
      </w:r>
      <w:r w:rsidR="00200163">
        <w:t xml:space="preserve"> </w:t>
      </w:r>
      <w:r w:rsidR="003E728C">
        <w:t xml:space="preserve">in Australia are </w:t>
      </w:r>
      <w:r w:rsidR="00200163">
        <w:t>typically indexed to increase with either inflation or wages</w:t>
      </w:r>
      <w:r w:rsidR="00F87674">
        <w:t>.</w:t>
      </w:r>
    </w:p>
    <w:p w14:paraId="6911FC80" w14:textId="57B3E78A" w:rsidR="001971EF" w:rsidRPr="00474D11" w:rsidRDefault="001971EF" w:rsidP="00B9120C">
      <w:r w:rsidRPr="00474D11">
        <w:t>Cigarettes, cigars and loose tobacc</w:t>
      </w:r>
      <w:r w:rsidR="006D0471">
        <w:t>o are excisable goods if they are</w:t>
      </w:r>
      <w:r w:rsidRPr="00474D11">
        <w:t xml:space="preserve"> produc</w:t>
      </w:r>
      <w:r w:rsidR="0074652C" w:rsidRPr="00474D11">
        <w:t>ed or manufactured in Australia</w:t>
      </w:r>
      <w:r w:rsidR="00033732">
        <w:t>. T</w:t>
      </w:r>
      <w:r w:rsidR="00B65966" w:rsidRPr="00474D11">
        <w:t xml:space="preserve">his excise </w:t>
      </w:r>
      <w:r w:rsidR="006D0471">
        <w:t>is</w:t>
      </w:r>
      <w:r w:rsidR="00B65966" w:rsidRPr="00474D11">
        <w:t xml:space="preserve"> collected by the Australian Taxation Office (ATO)</w:t>
      </w:r>
      <w:r w:rsidR="0074652C" w:rsidRPr="00474D11">
        <w:t xml:space="preserve">. </w:t>
      </w:r>
      <w:r w:rsidRPr="00474D11">
        <w:t xml:space="preserve">Imported tobacco products </w:t>
      </w:r>
      <w:r w:rsidR="00F87674">
        <w:t>are</w:t>
      </w:r>
      <w:r w:rsidRPr="00474D11">
        <w:t xml:space="preserve"> subject to an equivalent customs duty instead of excise duty</w:t>
      </w:r>
      <w:r w:rsidR="00DF6672">
        <w:t xml:space="preserve">, </w:t>
      </w:r>
      <w:r w:rsidR="00FF061F" w:rsidRPr="00474D11">
        <w:t xml:space="preserve">collected by the Department </w:t>
      </w:r>
      <w:r w:rsidR="007C7DEA">
        <w:t>of Home Affairs</w:t>
      </w:r>
      <w:r w:rsidR="00FF061F">
        <w:t xml:space="preserve">, </w:t>
      </w:r>
      <w:r w:rsidR="00DF6672">
        <w:t xml:space="preserve">in order to maintain a consistent tax treatment regardless of </w:t>
      </w:r>
      <w:r w:rsidR="00384C4E">
        <w:t>whether</w:t>
      </w:r>
      <w:r w:rsidR="00DF6672">
        <w:t xml:space="preserve"> the product is manufactured domestically or importe</w:t>
      </w:r>
      <w:r w:rsidR="00FF061F">
        <w:t>d</w:t>
      </w:r>
      <w:r w:rsidRPr="00474D11">
        <w:t>.</w:t>
      </w:r>
      <w:r w:rsidR="00B65966" w:rsidRPr="00474D11">
        <w:t xml:space="preserve"> </w:t>
      </w:r>
      <w:r w:rsidR="00DF6672">
        <w:t>Along with other taxes, t</w:t>
      </w:r>
      <w:r w:rsidR="00B65966" w:rsidRPr="00474D11">
        <w:t>obacco excise and tobacco excise equivale</w:t>
      </w:r>
      <w:r w:rsidR="00F87674">
        <w:t xml:space="preserve">nt customs duty </w:t>
      </w:r>
      <w:r w:rsidR="00DF6672">
        <w:t>are both parts of</w:t>
      </w:r>
      <w:r w:rsidR="00F87674">
        <w:t xml:space="preserve"> the c</w:t>
      </w:r>
      <w:r w:rsidR="00B65966" w:rsidRPr="00474D11">
        <w:t xml:space="preserve">onsolidated </w:t>
      </w:r>
      <w:r w:rsidR="00F87674">
        <w:t>r</w:t>
      </w:r>
      <w:r w:rsidR="00B65966" w:rsidRPr="00474D11">
        <w:t xml:space="preserve">evenue of the Commonwealth. For the </w:t>
      </w:r>
      <w:r w:rsidR="0000796D">
        <w:t>purposes</w:t>
      </w:r>
      <w:r w:rsidR="0000796D" w:rsidRPr="00474D11">
        <w:t xml:space="preserve"> </w:t>
      </w:r>
      <w:r w:rsidR="00B65966" w:rsidRPr="00474D11">
        <w:t xml:space="preserve">of this paper, both </w:t>
      </w:r>
      <w:r w:rsidR="006D0471">
        <w:t>are simply</w:t>
      </w:r>
      <w:r w:rsidR="00B65966" w:rsidRPr="00474D11">
        <w:t xml:space="preserve"> referred to </w:t>
      </w:r>
      <w:r w:rsidR="00DF6672">
        <w:t xml:space="preserve">together </w:t>
      </w:r>
      <w:r w:rsidR="00B65966" w:rsidRPr="00474D11">
        <w:t xml:space="preserve">as </w:t>
      </w:r>
      <w:r w:rsidR="00DF6672">
        <w:t>‘</w:t>
      </w:r>
      <w:r w:rsidR="00B65966" w:rsidRPr="00474D11">
        <w:t>tobacco excise</w:t>
      </w:r>
      <w:r w:rsidR="00DF6672">
        <w:t>’</w:t>
      </w:r>
      <w:r w:rsidR="00B65966" w:rsidRPr="00474D11">
        <w:t>.</w:t>
      </w:r>
    </w:p>
    <w:p w14:paraId="7210B169" w14:textId="77777777" w:rsidR="006D5DBD" w:rsidRPr="00474D11" w:rsidRDefault="006D5DBD" w:rsidP="00B9120C">
      <w:r w:rsidRPr="00474D11">
        <w:t xml:space="preserve">There are two </w:t>
      </w:r>
      <w:r w:rsidR="002B7AF3">
        <w:t xml:space="preserve">broad </w:t>
      </w:r>
      <w:r w:rsidRPr="00474D11">
        <w:t>categories of excisable tobacco</w:t>
      </w:r>
      <w:r w:rsidR="002B7AF3">
        <w:t xml:space="preserve">:  </w:t>
      </w:r>
      <w:r w:rsidRPr="00474D11">
        <w:t xml:space="preserve">sticks </w:t>
      </w:r>
      <w:r w:rsidR="0074652C" w:rsidRPr="00474D11">
        <w:t>(cigarettes)</w:t>
      </w:r>
      <w:r w:rsidR="00956AAE">
        <w:t>, which are taxed on a ‘per stick’ basis,</w:t>
      </w:r>
      <w:r w:rsidR="0074652C" w:rsidRPr="00474D11">
        <w:t xml:space="preserve"> </w:t>
      </w:r>
      <w:r w:rsidRPr="00474D11">
        <w:t>and loose leaf</w:t>
      </w:r>
      <w:r w:rsidR="0074652C" w:rsidRPr="00474D11">
        <w:t xml:space="preserve"> (cigars, loose tobacco and other tob</w:t>
      </w:r>
      <w:r w:rsidR="0074652C" w:rsidRPr="00A213DE">
        <w:t>acco products)</w:t>
      </w:r>
      <w:r w:rsidR="00956AAE">
        <w:t>, which are taxed according to weight</w:t>
      </w:r>
      <w:r w:rsidR="002B7AF3">
        <w:rPr>
          <w:rStyle w:val="FootnoteReference"/>
        </w:rPr>
        <w:footnoteReference w:id="5"/>
      </w:r>
      <w:r w:rsidRPr="00A213DE">
        <w:t xml:space="preserve">. </w:t>
      </w:r>
      <w:r w:rsidR="009B4383" w:rsidRPr="00A213DE">
        <w:t>For taxation purposes, the</w:t>
      </w:r>
      <w:r w:rsidR="00A213DE" w:rsidRPr="00A213DE">
        <w:t xml:space="preserve"> loose leaf and tobacco excise rates are set to be</w:t>
      </w:r>
      <w:r w:rsidR="009B4383" w:rsidRPr="00A213DE">
        <w:t xml:space="preserve"> </w:t>
      </w:r>
      <w:r w:rsidR="009277EE">
        <w:t xml:space="preserve">broadly </w:t>
      </w:r>
      <w:r w:rsidR="009B4383" w:rsidRPr="00A213DE">
        <w:t>equivalent</w:t>
      </w:r>
      <w:r w:rsidR="009B4383" w:rsidRPr="00474D11">
        <w:t xml:space="preserve"> according to the </w:t>
      </w:r>
      <w:r w:rsidR="00717154">
        <w:t>weight</w:t>
      </w:r>
      <w:r w:rsidR="009B4383" w:rsidRPr="00474D11">
        <w:t xml:space="preserve"> of tobacco in each</w:t>
      </w:r>
      <w:r w:rsidR="00B166B8">
        <w:rPr>
          <w:rStyle w:val="FootnoteReference"/>
        </w:rPr>
        <w:footnoteReference w:id="6"/>
      </w:r>
      <w:r w:rsidR="009B4383" w:rsidRPr="00474D11">
        <w:t>.</w:t>
      </w:r>
    </w:p>
    <w:p w14:paraId="0572ED1A" w14:textId="77777777" w:rsidR="00F012EA" w:rsidRPr="00474D11" w:rsidRDefault="005E0669" w:rsidP="00B9120C">
      <w:pPr>
        <w:pStyle w:val="Heading3NotNumbered"/>
      </w:pPr>
      <w:r w:rsidRPr="00474D11">
        <w:lastRenderedPageBreak/>
        <w:t>How tobacco excise is collected</w:t>
      </w:r>
    </w:p>
    <w:p w14:paraId="24FEBDE9" w14:textId="77777777" w:rsidR="00E96F35" w:rsidRDefault="007129E4" w:rsidP="00B9120C">
      <w:r w:rsidRPr="00474D11">
        <w:t xml:space="preserve">Tobacco excise is levied on tobacco products as they are cleared from </w:t>
      </w:r>
      <w:r w:rsidR="00EF0002">
        <w:t>licenced</w:t>
      </w:r>
      <w:r w:rsidR="00EF0002" w:rsidRPr="00474D11">
        <w:t xml:space="preserve"> </w:t>
      </w:r>
      <w:r w:rsidRPr="00474D11">
        <w:t xml:space="preserve">warehouses </w:t>
      </w:r>
      <w:r w:rsidR="008953D7">
        <w:t xml:space="preserve">in which they are stored </w:t>
      </w:r>
      <w:r w:rsidRPr="00474D11">
        <w:t xml:space="preserve">after they are </w:t>
      </w:r>
      <w:r w:rsidR="00B539B6">
        <w:t>manufactured</w:t>
      </w:r>
      <w:r w:rsidRPr="00474D11">
        <w:t xml:space="preserve"> (if they are </w:t>
      </w:r>
      <w:r w:rsidR="00B539B6">
        <w:t>manufactured</w:t>
      </w:r>
      <w:r w:rsidRPr="00474D11">
        <w:t xml:space="preserve"> in Australia) or imported (if they are </w:t>
      </w:r>
      <w:r w:rsidR="003D79C6">
        <w:t>manufactured</w:t>
      </w:r>
      <w:r w:rsidR="00147151">
        <w:t xml:space="preserve"> overseas).</w:t>
      </w:r>
      <w:r w:rsidR="00147151">
        <w:rPr>
          <w:rStyle w:val="FootnoteReference"/>
        </w:rPr>
        <w:footnoteReference w:id="7"/>
      </w:r>
    </w:p>
    <w:p w14:paraId="5BC867B6" w14:textId="77777777" w:rsidR="00E96F35" w:rsidRDefault="00F87674" w:rsidP="00B9120C">
      <w:r>
        <w:t xml:space="preserve">As </w:t>
      </w:r>
      <w:r w:rsidR="00D96575">
        <w:t>shown</w:t>
      </w:r>
      <w:r>
        <w:t xml:space="preserve"> in </w:t>
      </w:r>
      <w:r w:rsidRPr="002E5B25">
        <w:t>Chart 1</w:t>
      </w:r>
      <w:r>
        <w:t>, in r</w:t>
      </w:r>
      <w:r w:rsidR="00E96F35" w:rsidRPr="00474D11">
        <w:t xml:space="preserve">ecent years </w:t>
      </w:r>
      <w:r>
        <w:t>there has been</w:t>
      </w:r>
      <w:r w:rsidR="00E96F35" w:rsidRPr="00474D11">
        <w:t xml:space="preserve"> </w:t>
      </w:r>
      <w:r w:rsidR="001925E2">
        <w:t>a</w:t>
      </w:r>
      <w:r w:rsidR="006C72C5" w:rsidRPr="00474D11">
        <w:t xml:space="preserve"> </w:t>
      </w:r>
      <w:r w:rsidR="00E96F35" w:rsidRPr="00474D11">
        <w:t xml:space="preserve">shift in the </w:t>
      </w:r>
      <w:r w:rsidR="008953D7">
        <w:t xml:space="preserve">collection of tobacco excise from the ATO to </w:t>
      </w:r>
      <w:r w:rsidR="004A4CA4">
        <w:t>the Department of Home Affairs</w:t>
      </w:r>
      <w:r w:rsidR="00B93572">
        <w:t>. This is because</w:t>
      </w:r>
      <w:r>
        <w:t xml:space="preserve"> the </w:t>
      </w:r>
      <w:r w:rsidR="006C72C5">
        <w:t xml:space="preserve">manufacture </w:t>
      </w:r>
      <w:r>
        <w:t>of</w:t>
      </w:r>
      <w:r w:rsidR="00DF0F65">
        <w:t xml:space="preserve"> </w:t>
      </w:r>
      <w:r w:rsidR="00DF0F65" w:rsidRPr="00DF0F65">
        <w:t>licit commercial</w:t>
      </w:r>
      <w:r>
        <w:t xml:space="preserve"> tobacco </w:t>
      </w:r>
      <w:r w:rsidR="006C72C5">
        <w:t xml:space="preserve">products </w:t>
      </w:r>
      <w:r>
        <w:t>sold in Australia</w:t>
      </w:r>
      <w:r w:rsidR="00E96F35" w:rsidRPr="00474D11">
        <w:t xml:space="preserve">, </w:t>
      </w:r>
      <w:r>
        <w:t>dominated</w:t>
      </w:r>
      <w:r w:rsidR="00E96F35" w:rsidRPr="00474D11">
        <w:t xml:space="preserve"> by a few large multinational corporations</w:t>
      </w:r>
      <w:r w:rsidR="000959E0">
        <w:rPr>
          <w:rStyle w:val="FootnoteReference"/>
        </w:rPr>
        <w:footnoteReference w:id="8"/>
      </w:r>
      <w:r w:rsidR="00E96F35" w:rsidRPr="00474D11">
        <w:t xml:space="preserve">, has moved from </w:t>
      </w:r>
      <w:r w:rsidR="001925E2">
        <w:t xml:space="preserve">being mostly in </w:t>
      </w:r>
      <w:r w:rsidR="00E96F35" w:rsidRPr="00474D11">
        <w:t xml:space="preserve">Australia to </w:t>
      </w:r>
      <w:r w:rsidR="001925E2">
        <w:t xml:space="preserve">being entirely </w:t>
      </w:r>
      <w:r w:rsidR="00E96F35" w:rsidRPr="00474D11">
        <w:t xml:space="preserve">overseas. As of 2016-17, all tobacco excise is being collected by </w:t>
      </w:r>
      <w:r w:rsidR="007C7DEA">
        <w:t>the Department of Home Affairs</w:t>
      </w:r>
      <w:r w:rsidR="00E96F35" w:rsidRPr="00474D11">
        <w:t xml:space="preserve">. There is currently no </w:t>
      </w:r>
      <w:r w:rsidR="001E5744">
        <w:t xml:space="preserve">legal </w:t>
      </w:r>
      <w:r w:rsidR="00E96F35" w:rsidRPr="00474D11">
        <w:t xml:space="preserve">tobacco </w:t>
      </w:r>
      <w:r w:rsidR="00411AC1">
        <w:t xml:space="preserve">product </w:t>
      </w:r>
      <w:r w:rsidR="00E96F35" w:rsidRPr="00474D11">
        <w:t>manufactur</w:t>
      </w:r>
      <w:r w:rsidR="001E5744">
        <w:t>ing</w:t>
      </w:r>
      <w:r w:rsidR="00E96F35" w:rsidRPr="00474D11">
        <w:t xml:space="preserve"> in Australia.</w:t>
      </w:r>
    </w:p>
    <w:p w14:paraId="323FA9AE" w14:textId="77777777" w:rsidR="00747405" w:rsidRPr="00E16A41" w:rsidRDefault="00747405" w:rsidP="00B9120C">
      <w:r>
        <w:t>After the tobacco products are cleared there is still some time before they are purchased by consumers, due to the distribution process, which may include further warehousing. The relocation of tobacco production offshore in particular has altered the tim</w:t>
      </w:r>
      <w:r w:rsidR="007C7DEA">
        <w:t>ing of the distribution process, as discussed later.</w:t>
      </w:r>
    </w:p>
    <w:p w14:paraId="4F5D35A7" w14:textId="77777777" w:rsidR="00E96F35" w:rsidRDefault="0040459C" w:rsidP="00B9120C">
      <w:pPr>
        <w:pStyle w:val="ChartMainHeading"/>
      </w:pPr>
      <w:r>
        <w:t>Chart 1</w:t>
      </w:r>
      <w:r w:rsidR="00A74D58">
        <w:t>.</w:t>
      </w:r>
      <w:r>
        <w:t xml:space="preserve"> </w:t>
      </w:r>
      <w:r w:rsidR="000868C6">
        <w:t>T</w:t>
      </w:r>
      <w:r>
        <w:t xml:space="preserve">obacco excise </w:t>
      </w:r>
      <w:r w:rsidR="000868C6">
        <w:t xml:space="preserve">collected </w:t>
      </w:r>
      <w:r>
        <w:t xml:space="preserve">by </w:t>
      </w:r>
      <w:r w:rsidR="004230F7">
        <w:t xml:space="preserve">the </w:t>
      </w:r>
      <w:r w:rsidR="0027445D">
        <w:t>Department of Home Affairs</w:t>
      </w:r>
      <w:r>
        <w:t xml:space="preserve"> and the </w:t>
      </w:r>
      <w:r w:rsidR="00804804">
        <w:t>Australian Taxation Office</w:t>
      </w:r>
    </w:p>
    <w:p w14:paraId="45E01F69" w14:textId="77777777" w:rsidR="00BB5E1F" w:rsidRPr="0040459C" w:rsidRDefault="00BB5E1F" w:rsidP="00BB5E1F">
      <w:pPr>
        <w:keepNext/>
        <w:spacing w:after="0" w:line="276" w:lineRule="auto"/>
        <w:jc w:val="center"/>
        <w:rPr>
          <w:b/>
        </w:rPr>
      </w:pPr>
      <w:r w:rsidRPr="00BB5E1F">
        <w:rPr>
          <w:noProof/>
          <w:lang w:eastAsia="en-AU"/>
        </w:rPr>
        <w:drawing>
          <wp:inline distT="0" distB="0" distL="0" distR="0" wp14:anchorId="6FA60DB3" wp14:editId="50688470">
            <wp:extent cx="5572125" cy="2781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72125" cy="2781300"/>
                    </a:xfrm>
                    <a:prstGeom prst="rect">
                      <a:avLst/>
                    </a:prstGeom>
                    <a:noFill/>
                    <a:ln>
                      <a:noFill/>
                    </a:ln>
                  </pic:spPr>
                </pic:pic>
              </a:graphicData>
            </a:graphic>
          </wp:inline>
        </w:drawing>
      </w:r>
    </w:p>
    <w:p w14:paraId="3D525B9A" w14:textId="77777777" w:rsidR="0012223C" w:rsidRDefault="0012223C">
      <w:pPr>
        <w:spacing w:after="200" w:line="276" w:lineRule="auto"/>
        <w:rPr>
          <w:rFonts w:ascii="Arial Bold" w:hAnsi="Arial Bold"/>
          <w:b/>
          <w:smallCaps/>
          <w:color w:val="003157"/>
          <w:sz w:val="32"/>
        </w:rPr>
      </w:pPr>
      <w:r>
        <w:br w:type="page"/>
      </w:r>
    </w:p>
    <w:p w14:paraId="25D64102" w14:textId="72BFA60E" w:rsidR="00DE6B30" w:rsidRPr="00474D11" w:rsidRDefault="00D24B4B" w:rsidP="00B9120C">
      <w:pPr>
        <w:pStyle w:val="Heading2NotNumbered"/>
      </w:pPr>
      <w:r>
        <w:lastRenderedPageBreak/>
        <w:t>Historical Trends in the Tobacco Market in Australia</w:t>
      </w:r>
    </w:p>
    <w:p w14:paraId="2788AD77" w14:textId="77777777" w:rsidR="00AD1382" w:rsidRPr="00474D11" w:rsidRDefault="00AD1382" w:rsidP="00B9120C">
      <w:pPr>
        <w:pStyle w:val="Heading3NotNumbered"/>
      </w:pPr>
      <w:r w:rsidRPr="00474D11">
        <w:t>Policy history</w:t>
      </w:r>
    </w:p>
    <w:p w14:paraId="41736980" w14:textId="767AB488" w:rsidR="00C6604E" w:rsidRDefault="00AD1382" w:rsidP="00B9120C">
      <w:r w:rsidRPr="00474D11">
        <w:t xml:space="preserve">Long-term trends in tobacco excise have </w:t>
      </w:r>
      <w:r w:rsidR="003A56BF">
        <w:t xml:space="preserve">mostly </w:t>
      </w:r>
      <w:r w:rsidR="00B65966" w:rsidRPr="00474D11">
        <w:t>been driven by</w:t>
      </w:r>
      <w:r w:rsidR="003A56BF">
        <w:t xml:space="preserve"> </w:t>
      </w:r>
      <w:r w:rsidR="00AC3769">
        <w:t xml:space="preserve">a declining volume of tobacco products </w:t>
      </w:r>
      <w:r w:rsidR="005965BA">
        <w:t>cleared</w:t>
      </w:r>
      <w:r w:rsidR="00AC3769">
        <w:t xml:space="preserve">, </w:t>
      </w:r>
      <w:r w:rsidR="00347B1F">
        <w:t xml:space="preserve">more than offset by </w:t>
      </w:r>
      <w:r w:rsidR="00AC3769">
        <w:t>an increasing rate of tobacco excise</w:t>
      </w:r>
      <w:r w:rsidR="00E21D4E">
        <w:t xml:space="preserve"> (Chart </w:t>
      </w:r>
      <w:r w:rsidR="000370E8">
        <w:t>2</w:t>
      </w:r>
      <w:r w:rsidR="00A974B6">
        <w:t>)</w:t>
      </w:r>
      <w:r w:rsidR="00C6604E">
        <w:t>, such that total tobacco excise has increased over time</w:t>
      </w:r>
      <w:r w:rsidR="00AC3769">
        <w:t xml:space="preserve">. </w:t>
      </w:r>
      <w:r w:rsidR="00C6604E">
        <w:t>Declining volumes</w:t>
      </w:r>
      <w:r w:rsidR="00AC3769">
        <w:t xml:space="preserve"> have been driven by </w:t>
      </w:r>
      <w:r w:rsidR="00333440" w:rsidRPr="00474D11">
        <w:t xml:space="preserve">growing societal awareness of the negative health effects of smoking and Government policy </w:t>
      </w:r>
      <w:r w:rsidR="00432CED">
        <w:t xml:space="preserve">to reduce </w:t>
      </w:r>
      <w:r w:rsidR="00333440" w:rsidRPr="00474D11">
        <w:t xml:space="preserve">its </w:t>
      </w:r>
      <w:r w:rsidR="00B65966" w:rsidRPr="00474D11">
        <w:t>total consumption</w:t>
      </w:r>
      <w:r w:rsidR="00F4193B">
        <w:t>.</w:t>
      </w:r>
      <w:r w:rsidR="00C6604E">
        <w:t xml:space="preserve"> On a per</w:t>
      </w:r>
      <w:r w:rsidR="004014A0">
        <w:noBreakHyphen/>
      </w:r>
      <w:r w:rsidR="00C6604E">
        <w:t>capita basis</w:t>
      </w:r>
      <w:r w:rsidR="004E2C07">
        <w:rPr>
          <w:rStyle w:val="FootnoteReference"/>
        </w:rPr>
        <w:footnoteReference w:id="9"/>
      </w:r>
      <w:r w:rsidR="00C6604E">
        <w:t xml:space="preserve">, rates of smoking decreased by around </w:t>
      </w:r>
      <w:r w:rsidR="00577FC0">
        <w:t>53</w:t>
      </w:r>
      <w:r w:rsidR="00C6604E">
        <w:t xml:space="preserve"> per cent over</w:t>
      </w:r>
      <w:r w:rsidR="00EA13F6">
        <w:t xml:space="preserve"> the</w:t>
      </w:r>
      <w:r w:rsidR="00C6604E">
        <w:t xml:space="preserve"> decade</w:t>
      </w:r>
      <w:r w:rsidR="004E2C07">
        <w:t xml:space="preserve"> from 200</w:t>
      </w:r>
      <w:r w:rsidR="00577FC0">
        <w:t>6</w:t>
      </w:r>
      <w:r w:rsidR="004E2C07">
        <w:t>-0</w:t>
      </w:r>
      <w:r w:rsidR="00577FC0">
        <w:t>7</w:t>
      </w:r>
      <w:r w:rsidR="004E2C07">
        <w:t xml:space="preserve"> to 201</w:t>
      </w:r>
      <w:r w:rsidR="00577FC0">
        <w:t>6</w:t>
      </w:r>
      <w:r w:rsidR="004014A0">
        <w:noBreakHyphen/>
      </w:r>
      <w:r w:rsidR="004E2C07">
        <w:t>1</w:t>
      </w:r>
      <w:r w:rsidR="00577FC0">
        <w:t>7</w:t>
      </w:r>
      <w:r w:rsidR="00C6604E">
        <w:t>.</w:t>
      </w:r>
    </w:p>
    <w:p w14:paraId="03A320FB" w14:textId="77777777" w:rsidR="00A974B6" w:rsidRDefault="00367F87" w:rsidP="00B9120C">
      <w:r>
        <w:t>T</w:t>
      </w:r>
      <w:r w:rsidR="00F4193B">
        <w:t xml:space="preserve">he effectiveness of </w:t>
      </w:r>
      <w:r>
        <w:t xml:space="preserve">particular </w:t>
      </w:r>
      <w:r w:rsidR="00F4193B">
        <w:t>polic</w:t>
      </w:r>
      <w:r>
        <w:t>ies</w:t>
      </w:r>
      <w:r w:rsidR="00F4193B">
        <w:t xml:space="preserve"> </w:t>
      </w:r>
      <w:r>
        <w:t>is</w:t>
      </w:r>
      <w:r w:rsidR="00F4193B">
        <w:t xml:space="preserve"> difficult to distinguish from other policy and from the general societal trend towards less smoking, but </w:t>
      </w:r>
      <w:r w:rsidR="00AC3769">
        <w:t>t</w:t>
      </w:r>
      <w:r w:rsidR="00F4193B">
        <w:t>here is a</w:t>
      </w:r>
      <w:r w:rsidR="00AC3769">
        <w:t xml:space="preserve"> clear </w:t>
      </w:r>
      <w:r w:rsidR="00F4193B">
        <w:t xml:space="preserve">relationship between higher prices </w:t>
      </w:r>
      <w:r w:rsidR="00AC3769">
        <w:t xml:space="preserve">– partly because of the excise rate – </w:t>
      </w:r>
      <w:r w:rsidR="00F4193B">
        <w:t>and lower consumption</w:t>
      </w:r>
      <w:r w:rsidR="0000697A">
        <w:t>, as discussed below</w:t>
      </w:r>
      <w:r w:rsidR="00235AB6">
        <w:t>.</w:t>
      </w:r>
    </w:p>
    <w:p w14:paraId="2434E99E" w14:textId="77777777" w:rsidR="00F4193B" w:rsidRDefault="00E21D4E" w:rsidP="00826CB3">
      <w:pPr>
        <w:pStyle w:val="ChartMainHeading"/>
      </w:pPr>
      <w:r>
        <w:t xml:space="preserve">Chart </w:t>
      </w:r>
      <w:r w:rsidR="00A73B16">
        <w:t>2</w:t>
      </w:r>
      <w:r w:rsidR="00A74D58">
        <w:t>.</w:t>
      </w:r>
      <w:r>
        <w:t xml:space="preserve"> Tobacco clearances</w:t>
      </w:r>
      <w:r w:rsidR="000D6EE6">
        <w:rPr>
          <w:rStyle w:val="FootnoteReference"/>
        </w:rPr>
        <w:footnoteReference w:id="10"/>
      </w:r>
      <w:r>
        <w:t xml:space="preserve"> </w:t>
      </w:r>
      <w:r w:rsidR="000C1BB2">
        <w:t xml:space="preserve">(sticks and stick equivalents) </w:t>
      </w:r>
      <w:r w:rsidR="00A73B16">
        <w:t>and excise rate</w:t>
      </w:r>
    </w:p>
    <w:p w14:paraId="1CF3213A" w14:textId="5EB0D067" w:rsidR="00B83EA6" w:rsidRPr="00F606C1" w:rsidRDefault="00B83EA6" w:rsidP="00826CB3">
      <w:pPr>
        <w:pStyle w:val="SingleParagraph"/>
      </w:pPr>
      <w:r w:rsidRPr="00B83EA6">
        <w:rPr>
          <w:noProof/>
          <w:lang w:eastAsia="en-AU"/>
        </w:rPr>
        <w:drawing>
          <wp:inline distT="0" distB="0" distL="0" distR="0" wp14:anchorId="54AD92A1" wp14:editId="21DF1171">
            <wp:extent cx="5581650" cy="287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81650" cy="2876550"/>
                    </a:xfrm>
                    <a:prstGeom prst="rect">
                      <a:avLst/>
                    </a:prstGeom>
                    <a:noFill/>
                    <a:ln>
                      <a:noFill/>
                    </a:ln>
                  </pic:spPr>
                </pic:pic>
              </a:graphicData>
            </a:graphic>
          </wp:inline>
        </w:drawing>
      </w:r>
    </w:p>
    <w:p w14:paraId="46B46229" w14:textId="77777777" w:rsidR="00A151F8" w:rsidRDefault="00A151F8" w:rsidP="00A151F8">
      <w:pPr>
        <w:pStyle w:val="SingleParagraph"/>
      </w:pPr>
    </w:p>
    <w:p w14:paraId="364E64D8" w14:textId="5C6CC47C" w:rsidR="00FC08D9" w:rsidRDefault="00A42D8A" w:rsidP="00B9120C">
      <w:r>
        <w:t>Policies</w:t>
      </w:r>
      <w:r w:rsidR="00D54981">
        <w:t xml:space="preserve"> can be broadly divided into two mechanisms; those that increase the price of tobacco and those that reduce demand for tobacco by reducing its appeal</w:t>
      </w:r>
      <w:r w:rsidR="00584786">
        <w:t>, for example by health warnings or limiting the locations for smoking</w:t>
      </w:r>
      <w:r w:rsidR="00D54981">
        <w:t xml:space="preserve">. </w:t>
      </w:r>
      <w:r w:rsidR="00D46263" w:rsidRPr="002E5B25">
        <w:t xml:space="preserve">Chart </w:t>
      </w:r>
      <w:r w:rsidR="00235AB6">
        <w:t>3</w:t>
      </w:r>
      <w:r w:rsidR="00333440" w:rsidRPr="00474D11">
        <w:t xml:space="preserve"> </w:t>
      </w:r>
      <w:r w:rsidR="00D96575">
        <w:t>shows</w:t>
      </w:r>
      <w:r w:rsidR="00333440" w:rsidRPr="00474D11">
        <w:t xml:space="preserve"> </w:t>
      </w:r>
      <w:r w:rsidR="001D40E1" w:rsidRPr="00474D11">
        <w:t xml:space="preserve">the </w:t>
      </w:r>
      <w:r w:rsidR="00077501" w:rsidRPr="00474D11">
        <w:t xml:space="preserve">annual growth in </w:t>
      </w:r>
      <w:r w:rsidR="00D54981">
        <w:t>consumption</w:t>
      </w:r>
      <w:r w:rsidR="00077501" w:rsidRPr="00474D11">
        <w:t xml:space="preserve"> and </w:t>
      </w:r>
      <w:r w:rsidR="001D40E1" w:rsidRPr="00474D11">
        <w:t xml:space="preserve">price </w:t>
      </w:r>
      <w:r w:rsidR="00077501" w:rsidRPr="00474D11">
        <w:t>for</w:t>
      </w:r>
      <w:r w:rsidR="001D40E1" w:rsidRPr="00474D11">
        <w:t xml:space="preserve"> tobacco</w:t>
      </w:r>
      <w:r w:rsidR="00D54981">
        <w:t xml:space="preserve"> since 1975</w:t>
      </w:r>
      <w:r w:rsidR="004014A0">
        <w:noBreakHyphen/>
      </w:r>
      <w:r w:rsidR="00D54981">
        <w:t>76</w:t>
      </w:r>
      <w:r w:rsidR="00265EDA">
        <w:t>.</w:t>
      </w:r>
      <w:r w:rsidR="00077501" w:rsidRPr="00474D11">
        <w:t xml:space="preserve"> </w:t>
      </w:r>
      <w:r w:rsidR="00D2393B">
        <w:t>P</w:t>
      </w:r>
      <w:r w:rsidR="00077501" w:rsidRPr="00474D11">
        <w:t>olicy changes</w:t>
      </w:r>
      <w:r w:rsidR="00D54981">
        <w:t xml:space="preserve"> </w:t>
      </w:r>
      <w:r w:rsidR="00265EDA">
        <w:t xml:space="preserve">are </w:t>
      </w:r>
      <w:r w:rsidR="00D54981">
        <w:t xml:space="preserve">mapped against the </w:t>
      </w:r>
      <w:r w:rsidR="00265EDA">
        <w:t xml:space="preserve">annual </w:t>
      </w:r>
      <w:r w:rsidR="00D54981">
        <w:t>price</w:t>
      </w:r>
      <w:r w:rsidR="00265EDA">
        <w:t xml:space="preserve"> growth series</w:t>
      </w:r>
      <w:r w:rsidR="00D54981">
        <w:t xml:space="preserve"> for those </w:t>
      </w:r>
      <w:r w:rsidR="00432CED">
        <w:t>affecting the excise rate and other taxes on tobacco</w:t>
      </w:r>
      <w:r w:rsidR="00D54981">
        <w:t xml:space="preserve">, and against </w:t>
      </w:r>
      <w:r w:rsidR="00265EDA">
        <w:t xml:space="preserve">the annual </w:t>
      </w:r>
      <w:r w:rsidR="00D54981">
        <w:t>consumption</w:t>
      </w:r>
      <w:r w:rsidR="00432CED">
        <w:t xml:space="preserve"> per capita</w:t>
      </w:r>
      <w:r w:rsidR="00265EDA">
        <w:t xml:space="preserve"> growth series</w:t>
      </w:r>
      <w:r w:rsidR="00D54981">
        <w:t xml:space="preserve"> for those targeted at demand for tobacco products</w:t>
      </w:r>
      <w:r w:rsidR="00077501" w:rsidRPr="00474D11">
        <w:t>.</w:t>
      </w:r>
    </w:p>
    <w:p w14:paraId="787F83D6" w14:textId="77777777" w:rsidR="00FC08D9" w:rsidRDefault="00FC08D9" w:rsidP="00B9120C">
      <w:r>
        <w:t>A brief description of some of the major policies follows.</w:t>
      </w:r>
    </w:p>
    <w:p w14:paraId="4EF1B2FC" w14:textId="77777777" w:rsidR="00ED32D8" w:rsidRDefault="004226BF" w:rsidP="00826CB3">
      <w:pPr>
        <w:pStyle w:val="Heading4"/>
      </w:pPr>
      <w:r>
        <w:lastRenderedPageBreak/>
        <w:t xml:space="preserve">Excise rate </w:t>
      </w:r>
      <w:r w:rsidRPr="00826CB3">
        <w:t>policy</w:t>
      </w:r>
      <w:r>
        <w:t xml:space="preserve"> b</w:t>
      </w:r>
      <w:r w:rsidR="00ED32D8">
        <w:t>efore 1999</w:t>
      </w:r>
    </w:p>
    <w:p w14:paraId="296C4C55" w14:textId="77777777" w:rsidR="00ED32D8" w:rsidRDefault="00ED32D8" w:rsidP="00564CC1">
      <w:pPr>
        <w:keepNext/>
        <w:keepLines/>
      </w:pPr>
      <w:r>
        <w:t xml:space="preserve">Tobacco has been subject to excise and customs duty in Australia since Federation, with excise schedules regularly updated to increase the rate. In 1983 the excise and customs duty rates were indexed to consumer price index (CPI) to automatically update bi-annually, in 1987 the tobacco rate was set constant across cigarettes, cigars and loose leaf, and in 1995 the </w:t>
      </w:r>
      <w:r w:rsidR="00D2393B">
        <w:t xml:space="preserve">rates of </w:t>
      </w:r>
      <w:r>
        <w:t xml:space="preserve">excise and customs duty were equalised. There was a series of additional rate rises that amounted to around 50 per cent in three years from 1992 to 1995. </w:t>
      </w:r>
    </w:p>
    <w:p w14:paraId="3AB92A1A" w14:textId="1CCA449C" w:rsidR="00ED32D8" w:rsidRDefault="00ED32D8" w:rsidP="00B9120C">
      <w:r>
        <w:t>Between 1974 and 1989 every state and territory introduced business franchising fees that included a percentage of sales levy on tobacco products. These fees were continuously raised until business franchising fees were ruled unconstitutional in 1997</w:t>
      </w:r>
      <w:r>
        <w:rPr>
          <w:rStyle w:val="FootnoteReference"/>
        </w:rPr>
        <w:footnoteReference w:id="11"/>
      </w:r>
      <w:r>
        <w:t xml:space="preserve">, as they were essentially an excise and beyond the powers of states and territories to impose. It was agreed between the Commonwealth and States that the loss of these business franchise fees would be compensated through the </w:t>
      </w:r>
      <w:r w:rsidR="004014A0">
        <w:t>GST</w:t>
      </w:r>
      <w:r>
        <w:t>, and that the excise payable on cigarettes would be no lower than the existing level of duty.</w:t>
      </w:r>
    </w:p>
    <w:p w14:paraId="6C90FD63" w14:textId="77777777" w:rsidR="005F3FBB" w:rsidRDefault="00584786" w:rsidP="00B9120C">
      <w:r>
        <w:t>Between August 1997 and June 2000 compensation to the States operated via an excise surcharge.</w:t>
      </w:r>
    </w:p>
    <w:p w14:paraId="0FBFF8F1" w14:textId="77777777" w:rsidR="00B9120C" w:rsidRPr="00A42D8A" w:rsidRDefault="00B9120C" w:rsidP="00B9120C"/>
    <w:p w14:paraId="1155A5EB" w14:textId="77777777" w:rsidR="005F3FBB" w:rsidRDefault="005F3FBB" w:rsidP="00384C4E">
      <w:pPr>
        <w:jc w:val="both"/>
        <w:rPr>
          <w:b/>
        </w:rPr>
        <w:sectPr w:rsidR="005F3FBB" w:rsidSect="008C0793">
          <w:headerReference w:type="first" r:id="rId23"/>
          <w:footerReference w:type="first" r:id="rId24"/>
          <w:pgSz w:w="11906" w:h="16838" w:code="9"/>
          <w:pgMar w:top="1418" w:right="1304" w:bottom="1418" w:left="1304" w:header="567" w:footer="567" w:gutter="0"/>
          <w:pgNumType w:start="1"/>
          <w:cols w:space="708"/>
          <w:titlePg/>
          <w:docGrid w:linePitch="360"/>
        </w:sectPr>
      </w:pPr>
    </w:p>
    <w:p w14:paraId="1DCAF207" w14:textId="77777777" w:rsidR="00FD0DCE" w:rsidRDefault="00232216" w:rsidP="00B9120C">
      <w:pPr>
        <w:pStyle w:val="ChartMainHeading"/>
      </w:pPr>
      <w:r>
        <w:lastRenderedPageBreak/>
        <w:t xml:space="preserve">Chart </w:t>
      </w:r>
      <w:r w:rsidR="00235AB6">
        <w:t>3</w:t>
      </w:r>
      <w:r w:rsidR="00A74D58">
        <w:t>.</w:t>
      </w:r>
      <w:r w:rsidR="00FD0DCE" w:rsidRPr="00474D11">
        <w:t xml:space="preserve"> </w:t>
      </w:r>
      <w:r w:rsidR="00520B58">
        <w:t xml:space="preserve">Yearly growth in per capita household </w:t>
      </w:r>
      <w:r w:rsidR="005F3FBB">
        <w:t>consumption</w:t>
      </w:r>
      <w:r w:rsidR="006958A6">
        <w:t xml:space="preserve"> </w:t>
      </w:r>
      <w:r w:rsidR="00520B58">
        <w:t xml:space="preserve">of tobacco </w:t>
      </w:r>
      <w:r w:rsidR="00077501" w:rsidRPr="00474D11">
        <w:t xml:space="preserve">and </w:t>
      </w:r>
      <w:r w:rsidR="00520B58">
        <w:t>the relative price of tobacco</w:t>
      </w:r>
    </w:p>
    <w:p w14:paraId="7A738404" w14:textId="77777777" w:rsidR="00564CC1" w:rsidRDefault="00DC39EF" w:rsidP="00564CC1">
      <w:pPr>
        <w:pStyle w:val="ChartGraphic"/>
      </w:pPr>
      <w:r w:rsidRPr="00DC39EF">
        <w:rPr>
          <w:noProof/>
        </w:rPr>
        <w:drawing>
          <wp:inline distT="0" distB="0" distL="0" distR="0" wp14:anchorId="05ACE58F" wp14:editId="54EF59B1">
            <wp:extent cx="8891270" cy="4471786"/>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1270" cy="4471786"/>
                    </a:xfrm>
                    <a:prstGeom prst="rect">
                      <a:avLst/>
                    </a:prstGeom>
                    <a:noFill/>
                    <a:ln>
                      <a:noFill/>
                    </a:ln>
                  </pic:spPr>
                </pic:pic>
              </a:graphicData>
            </a:graphic>
          </wp:inline>
        </w:drawing>
      </w:r>
      <w:r w:rsidR="00267E1D" w:rsidRPr="00267E1D" w:rsidDel="00EC453E">
        <w:t xml:space="preserve"> </w:t>
      </w:r>
    </w:p>
    <w:p w14:paraId="43BBCEE4" w14:textId="4F530ED2" w:rsidR="00D46263" w:rsidRPr="00564CC1" w:rsidRDefault="00D46263" w:rsidP="00564CC1">
      <w:pPr>
        <w:pStyle w:val="Note"/>
        <w:spacing w:before="120"/>
        <w:rPr>
          <w:sz w:val="18"/>
        </w:rPr>
      </w:pPr>
      <w:r w:rsidRPr="00564CC1">
        <w:rPr>
          <w:sz w:val="18"/>
        </w:rPr>
        <w:t>Consumption</w:t>
      </w:r>
      <w:r w:rsidR="00267E1D" w:rsidRPr="00564CC1">
        <w:rPr>
          <w:sz w:val="18"/>
        </w:rPr>
        <w:t xml:space="preserve"> per capita</w:t>
      </w:r>
      <w:r w:rsidRPr="00564CC1">
        <w:rPr>
          <w:sz w:val="18"/>
        </w:rPr>
        <w:t xml:space="preserve"> is based on the </w:t>
      </w:r>
      <w:r w:rsidR="00952ECD" w:rsidRPr="00564CC1">
        <w:rPr>
          <w:sz w:val="18"/>
        </w:rPr>
        <w:t>yearly</w:t>
      </w:r>
      <w:r w:rsidR="003A56BF" w:rsidRPr="00564CC1">
        <w:rPr>
          <w:sz w:val="18"/>
        </w:rPr>
        <w:t xml:space="preserve"> </w:t>
      </w:r>
      <w:r w:rsidRPr="00564CC1">
        <w:rPr>
          <w:sz w:val="18"/>
        </w:rPr>
        <w:t xml:space="preserve">chain volume </w:t>
      </w:r>
      <w:r w:rsidR="003A56BF" w:rsidRPr="00564CC1">
        <w:rPr>
          <w:sz w:val="18"/>
        </w:rPr>
        <w:t>in</w:t>
      </w:r>
      <w:r w:rsidRPr="00564CC1">
        <w:rPr>
          <w:sz w:val="18"/>
        </w:rPr>
        <w:t xml:space="preserve"> ABS series 5204</w:t>
      </w:r>
      <w:r w:rsidR="00952ECD" w:rsidRPr="00564CC1">
        <w:rPr>
          <w:sz w:val="18"/>
        </w:rPr>
        <w:t>.0</w:t>
      </w:r>
      <w:r w:rsidR="006958A6" w:rsidRPr="00564CC1">
        <w:rPr>
          <w:sz w:val="18"/>
        </w:rPr>
        <w:t xml:space="preserve"> divided by </w:t>
      </w:r>
      <w:r w:rsidR="00687244" w:rsidRPr="00564CC1">
        <w:rPr>
          <w:sz w:val="18"/>
        </w:rPr>
        <w:t xml:space="preserve">the </w:t>
      </w:r>
      <w:r w:rsidR="006958A6" w:rsidRPr="00564CC1">
        <w:rPr>
          <w:sz w:val="18"/>
        </w:rPr>
        <w:t>18+ population</w:t>
      </w:r>
      <w:r w:rsidR="005965BA" w:rsidRPr="00564CC1">
        <w:rPr>
          <w:sz w:val="18"/>
        </w:rPr>
        <w:t xml:space="preserve"> in series 3101</w:t>
      </w:r>
      <w:r w:rsidR="00952ECD" w:rsidRPr="00564CC1">
        <w:rPr>
          <w:sz w:val="18"/>
        </w:rPr>
        <w:t>.0</w:t>
      </w:r>
      <w:r w:rsidR="003A56BF" w:rsidRPr="00564CC1">
        <w:rPr>
          <w:sz w:val="18"/>
        </w:rPr>
        <w:t xml:space="preserve">. </w:t>
      </w:r>
      <w:r w:rsidR="006958A6" w:rsidRPr="00564CC1">
        <w:rPr>
          <w:sz w:val="18"/>
        </w:rPr>
        <w:t>Relative p</w:t>
      </w:r>
      <w:r w:rsidR="003A56BF" w:rsidRPr="00564CC1">
        <w:rPr>
          <w:sz w:val="18"/>
        </w:rPr>
        <w:t>rice is based on quarte</w:t>
      </w:r>
      <w:r w:rsidR="006958A6" w:rsidRPr="00564CC1">
        <w:rPr>
          <w:sz w:val="18"/>
        </w:rPr>
        <w:t>rly ABS series 6401</w:t>
      </w:r>
      <w:r w:rsidR="00952ECD" w:rsidRPr="00564CC1">
        <w:rPr>
          <w:sz w:val="18"/>
        </w:rPr>
        <w:t>.0</w:t>
      </w:r>
      <w:r w:rsidR="006958A6" w:rsidRPr="00564CC1">
        <w:rPr>
          <w:sz w:val="18"/>
        </w:rPr>
        <w:t>, using tobacco price inflation less CPI</w:t>
      </w:r>
      <w:r w:rsidR="00354089" w:rsidRPr="00564CC1">
        <w:rPr>
          <w:sz w:val="18"/>
        </w:rPr>
        <w:t xml:space="preserve"> inflation</w:t>
      </w:r>
      <w:r w:rsidR="006958A6" w:rsidRPr="00564CC1">
        <w:rPr>
          <w:sz w:val="18"/>
        </w:rPr>
        <w:t xml:space="preserve"> </w:t>
      </w:r>
      <w:r w:rsidR="003A56BF" w:rsidRPr="00564CC1">
        <w:rPr>
          <w:sz w:val="18"/>
        </w:rPr>
        <w:t xml:space="preserve">through the year </w:t>
      </w:r>
      <w:r w:rsidR="006958A6" w:rsidRPr="00564CC1">
        <w:rPr>
          <w:sz w:val="18"/>
        </w:rPr>
        <w:t xml:space="preserve">to the </w:t>
      </w:r>
      <w:r w:rsidR="003A56BF" w:rsidRPr="00564CC1">
        <w:rPr>
          <w:sz w:val="18"/>
        </w:rPr>
        <w:t>June quarter</w:t>
      </w:r>
      <w:r w:rsidR="006958A6" w:rsidRPr="00564CC1">
        <w:rPr>
          <w:sz w:val="18"/>
        </w:rPr>
        <w:t>.</w:t>
      </w:r>
    </w:p>
    <w:p w14:paraId="16FCCADC" w14:textId="77777777" w:rsidR="005F3FBB" w:rsidRPr="00564CC1" w:rsidRDefault="005F3FBB" w:rsidP="00384C4E">
      <w:pPr>
        <w:spacing w:after="200" w:line="276" w:lineRule="auto"/>
        <w:jc w:val="both"/>
        <w:rPr>
          <w:rFonts w:ascii="Arial" w:hAnsi="Arial"/>
          <w:b/>
          <w:color w:val="003157"/>
          <w:sz w:val="20"/>
        </w:rPr>
        <w:sectPr w:rsidR="005F3FBB" w:rsidRPr="00564CC1" w:rsidSect="005F3FBB">
          <w:pgSz w:w="16838" w:h="11906" w:orient="landscape" w:code="9"/>
          <w:pgMar w:top="1304" w:right="1418" w:bottom="1304" w:left="1418" w:header="567" w:footer="567" w:gutter="0"/>
          <w:cols w:space="708"/>
          <w:titlePg/>
          <w:docGrid w:linePitch="360"/>
        </w:sectPr>
      </w:pPr>
    </w:p>
    <w:p w14:paraId="7AFF1F14" w14:textId="77777777" w:rsidR="00ED32D8" w:rsidRPr="0074545C" w:rsidRDefault="00ED32D8" w:rsidP="00826CB3">
      <w:pPr>
        <w:pStyle w:val="Heading4"/>
      </w:pPr>
      <w:r>
        <w:lastRenderedPageBreak/>
        <w:t xml:space="preserve">Excise Rate </w:t>
      </w:r>
      <w:r w:rsidRPr="00826CB3">
        <w:t>Policy</w:t>
      </w:r>
      <w:r>
        <w:t xml:space="preserve"> since 1999</w:t>
      </w:r>
    </w:p>
    <w:p w14:paraId="28583535" w14:textId="7D378AD4" w:rsidR="00ED32D8" w:rsidRDefault="00ED32D8" w:rsidP="00B9120C">
      <w:r>
        <w:t xml:space="preserve">The current per-stick regime replaced the previous weight-based tobacco excise system in </w:t>
      </w:r>
      <w:r w:rsidR="00B14D62">
        <w:t xml:space="preserve">November </w:t>
      </w:r>
      <w:r>
        <w:t>1999 and was designed to prevent manufacturers minimising costs by reducing the weight of each cigarette and putting more into larger packs. Low cost cigarettes were particularly attractive to price sensitive smokers, including youth, and taxing all cigarettes as though they had 0.8 grams of tobacco raised the cost of these particular products. Taxing all cigarettes under the assumption that they contain 0.8</w:t>
      </w:r>
      <w:r w:rsidR="00F53E3A">
        <w:t> </w:t>
      </w:r>
      <w:r>
        <w:t>grams of tobacco, rather than each one on an individually weighted basis, was estimated to yield around $2</w:t>
      </w:r>
      <w:r w:rsidR="004014A0">
        <w:t>.4</w:t>
      </w:r>
      <w:r>
        <w:t> billion in 201</w:t>
      </w:r>
      <w:r w:rsidR="004014A0">
        <w:t>7</w:t>
      </w:r>
      <w:r>
        <w:t>-1</w:t>
      </w:r>
      <w:r w:rsidR="004014A0">
        <w:t>8</w:t>
      </w:r>
      <w:r>
        <w:rPr>
          <w:rStyle w:val="FootnoteReference"/>
        </w:rPr>
        <w:footnoteReference w:id="12"/>
      </w:r>
      <w:r>
        <w:t>. All other tobacco products are taxed under the tobacco rate</w:t>
      </w:r>
      <w:r>
        <w:noBreakHyphen/>
        <w:t>equivalent loose</w:t>
      </w:r>
      <w:r>
        <w:noBreakHyphen/>
        <w:t>leaf tobacco regime.</w:t>
      </w:r>
    </w:p>
    <w:p w14:paraId="5AFDFE4E" w14:textId="77777777" w:rsidR="00ED32D8" w:rsidRPr="009C4E8F" w:rsidRDefault="00ED32D8" w:rsidP="00B9120C">
      <w:r>
        <w:t>Unlike many other products, the burden of other taxes on tobacco was not lowered to offset the price effect of the GST when it was introduced in 2000. As a value-add tax, it is an additional 10 per cent on the final price of tobacco, including the excise r</w:t>
      </w:r>
      <w:r w:rsidR="006273BD">
        <w:t>ate.</w:t>
      </w:r>
    </w:p>
    <w:p w14:paraId="5D11DE2F" w14:textId="77777777" w:rsidR="00ED32D8" w:rsidRDefault="0070195A" w:rsidP="00B9120C">
      <w:r>
        <w:t>Successive</w:t>
      </w:r>
      <w:r w:rsidR="00ED32D8" w:rsidRPr="00995442">
        <w:t xml:space="preserve"> Government</w:t>
      </w:r>
      <w:r>
        <w:t>s have</w:t>
      </w:r>
      <w:r w:rsidR="00ED32D8" w:rsidRPr="00995442">
        <w:t xml:space="preserve"> legislated a series of excise rate increases in recent years, beginning with a one-off 25 per cent increase </w:t>
      </w:r>
      <w:r w:rsidR="00B14D62">
        <w:t>effective from 29 April 2010</w:t>
      </w:r>
      <w:r w:rsidR="00ED32D8" w:rsidRPr="00995442">
        <w:t>, followed by two succe</w:t>
      </w:r>
      <w:r w:rsidR="00B14D62">
        <w:t>ssive four-year periods of 12.5 </w:t>
      </w:r>
      <w:r w:rsidR="00ED32D8" w:rsidRPr="00995442">
        <w:t xml:space="preserve">per cent annual increases from 2013 to 2020. These are in addition to the bi-annual indexation of the excise rate, which was to CPI until </w:t>
      </w:r>
      <w:r w:rsidR="002229C9">
        <w:t xml:space="preserve">1 </w:t>
      </w:r>
      <w:r w:rsidR="00ED32D8" w:rsidRPr="00995442">
        <w:t>March 2014, when it was re-indexed to Average Weekly Ordinary Time Earnings (AWOTE).</w:t>
      </w:r>
    </w:p>
    <w:p w14:paraId="1185A7D7" w14:textId="77777777" w:rsidR="00A0633B" w:rsidRPr="00506142" w:rsidRDefault="00A0633B" w:rsidP="00384C4E">
      <w:pPr>
        <w:pStyle w:val="Heading4"/>
      </w:pPr>
      <w:r w:rsidRPr="00506142">
        <w:t>Health campaigning advertising</w:t>
      </w:r>
    </w:p>
    <w:p w14:paraId="4F8492C2" w14:textId="77777777" w:rsidR="00A0633B" w:rsidRPr="00506142" w:rsidRDefault="00506142" w:rsidP="00B9120C">
      <w:r w:rsidRPr="00506142">
        <w:t>Health awareness campaigning on the risks of smoking ha</w:t>
      </w:r>
      <w:r w:rsidR="001573B9">
        <w:t>s</w:t>
      </w:r>
      <w:r w:rsidRPr="00506142">
        <w:t xml:space="preserve"> been prevalent in Australia since the early 1970s. These were largely driven by State Governments until the National Tobacco Campaign in 1997. </w:t>
      </w:r>
    </w:p>
    <w:p w14:paraId="2BFF0A66" w14:textId="67B8710D" w:rsidR="00A0633B" w:rsidRPr="0024092E" w:rsidRDefault="00A0633B" w:rsidP="00B9120C">
      <w:r w:rsidRPr="0024092E">
        <w:t>A significant feature of the health campaigning has been the requirement for tobacco packets to display certain health warnings as set by the Government. These have progressively increased in prominence to the current requirements that cigarette packaging displays health warnings that cover at least 75</w:t>
      </w:r>
      <w:r w:rsidR="0017058B">
        <w:t> </w:t>
      </w:r>
      <w:r w:rsidRPr="0024092E">
        <w:t>per</w:t>
      </w:r>
      <w:r w:rsidR="0017058B">
        <w:t> </w:t>
      </w:r>
      <w:r w:rsidRPr="0024092E">
        <w:t>cent of the front of the pack and 90 per cent of the back</w:t>
      </w:r>
      <w:r w:rsidR="0024092E" w:rsidRPr="0024092E">
        <w:t xml:space="preserve">, </w:t>
      </w:r>
      <w:r w:rsidR="003A56BF">
        <w:t>including</w:t>
      </w:r>
      <w:r w:rsidR="0024092E" w:rsidRPr="0024092E">
        <w:t xml:space="preserve"> graphic images of </w:t>
      </w:r>
      <w:r w:rsidR="003A56BF">
        <w:t xml:space="preserve">negative </w:t>
      </w:r>
      <w:r w:rsidR="0024092E" w:rsidRPr="0024092E">
        <w:t xml:space="preserve">health </w:t>
      </w:r>
      <w:r w:rsidR="003A56BF">
        <w:t>effects</w:t>
      </w:r>
      <w:r w:rsidR="0024092E" w:rsidRPr="0024092E">
        <w:t>.</w:t>
      </w:r>
    </w:p>
    <w:p w14:paraId="723EB070" w14:textId="77777777" w:rsidR="005F4188" w:rsidRPr="0024092E" w:rsidRDefault="00D01696" w:rsidP="00384C4E">
      <w:pPr>
        <w:pStyle w:val="Heading4"/>
      </w:pPr>
      <w:r w:rsidRPr="0024092E">
        <w:t>Advertising</w:t>
      </w:r>
      <w:r w:rsidR="005F3FBB" w:rsidRPr="0024092E">
        <w:t xml:space="preserve"> bans</w:t>
      </w:r>
    </w:p>
    <w:p w14:paraId="6A039A2B" w14:textId="77777777" w:rsidR="00B670A9" w:rsidRPr="00C11B5B" w:rsidRDefault="002D382A" w:rsidP="00B9120C">
      <w:r>
        <w:t>Advertising bans on tobacco</w:t>
      </w:r>
      <w:r w:rsidR="00C11B5B">
        <w:t xml:space="preserve"> ha</w:t>
      </w:r>
      <w:r>
        <w:t>ve</w:t>
      </w:r>
      <w:r w:rsidR="00C11B5B">
        <w:t xml:space="preserve"> been progressively broadened to in</w:t>
      </w:r>
      <w:r>
        <w:t xml:space="preserve">clude radio, television, print and </w:t>
      </w:r>
      <w:r w:rsidR="00C11B5B">
        <w:t>point-of-sale advertising</w:t>
      </w:r>
      <w:r>
        <w:t>,</w:t>
      </w:r>
      <w:r w:rsidR="00C11B5B">
        <w:t xml:space="preserve"> and in 2012 it was made an offence for any person to publish tobacco advertising on the internet or other electronic media</w:t>
      </w:r>
      <w:r w:rsidR="00A0633B">
        <w:t>, with limited exceptions</w:t>
      </w:r>
      <w:r w:rsidR="00C11B5B">
        <w:t xml:space="preserve">. </w:t>
      </w:r>
    </w:p>
    <w:p w14:paraId="273E499A" w14:textId="77777777" w:rsidR="00D54981" w:rsidRPr="00384DFD" w:rsidRDefault="001B7B44" w:rsidP="00384C4E">
      <w:pPr>
        <w:pStyle w:val="Heading4"/>
      </w:pPr>
      <w:r w:rsidRPr="00384DFD">
        <w:t>Smoke</w:t>
      </w:r>
      <w:r w:rsidR="00FA1BB0">
        <w:t>-</w:t>
      </w:r>
      <w:r w:rsidRPr="00384DFD">
        <w:t>free environments</w:t>
      </w:r>
    </w:p>
    <w:p w14:paraId="1B9A5497" w14:textId="77777777" w:rsidR="00EF7C05" w:rsidRPr="00384DFD" w:rsidRDefault="001B7B44" w:rsidP="00B9120C">
      <w:r w:rsidRPr="00384DFD">
        <w:t xml:space="preserve">The move to ban smoking from certain environments has been </w:t>
      </w:r>
      <w:r w:rsidR="003A56BF">
        <w:t xml:space="preserve">particularly </w:t>
      </w:r>
      <w:r w:rsidRPr="00384DFD">
        <w:t xml:space="preserve">driven by concerns over the effect of second-hand smoke. </w:t>
      </w:r>
      <w:r w:rsidR="00EA3BF0">
        <w:t>B</w:t>
      </w:r>
      <w:r w:rsidRPr="00384DFD">
        <w:t xml:space="preserve">y the early 1990s many workplaces had </w:t>
      </w:r>
      <w:r w:rsidR="00EA3BF0">
        <w:t>introduced smoke-free workplaces policies</w:t>
      </w:r>
      <w:r w:rsidRPr="00384DFD">
        <w:t xml:space="preserve">. </w:t>
      </w:r>
      <w:r w:rsidR="00EF7C05" w:rsidRPr="00384DFD">
        <w:t xml:space="preserve">States and Territories </w:t>
      </w:r>
      <w:r w:rsidR="00384DFD" w:rsidRPr="00384DFD">
        <w:t xml:space="preserve">have </w:t>
      </w:r>
      <w:r w:rsidR="00EF7C05" w:rsidRPr="00384DFD">
        <w:t xml:space="preserve">successively introduced their own restrictions on smoking in </w:t>
      </w:r>
      <w:r w:rsidR="00CE3F84" w:rsidRPr="00384DFD">
        <w:t>m</w:t>
      </w:r>
      <w:r w:rsidR="00CE3F84">
        <w:t>any</w:t>
      </w:r>
      <w:r w:rsidR="00CE3F84" w:rsidRPr="00384DFD">
        <w:t xml:space="preserve"> </w:t>
      </w:r>
      <w:r w:rsidR="00EF7C05" w:rsidRPr="00384DFD">
        <w:t>public places</w:t>
      </w:r>
      <w:r w:rsidR="00384DFD" w:rsidRPr="00384DFD">
        <w:t>.</w:t>
      </w:r>
      <w:r w:rsidR="00EF7C05" w:rsidRPr="00384DFD">
        <w:t xml:space="preserve"> </w:t>
      </w:r>
    </w:p>
    <w:p w14:paraId="0AABEED0" w14:textId="77777777" w:rsidR="00077501" w:rsidRDefault="00921CDF" w:rsidP="00384C4E">
      <w:pPr>
        <w:pStyle w:val="Heading4"/>
      </w:pPr>
      <w:r>
        <w:t>Plain packaging</w:t>
      </w:r>
    </w:p>
    <w:p w14:paraId="00F55FC2" w14:textId="77777777" w:rsidR="00685FB1" w:rsidRDefault="00685FB1" w:rsidP="00B9120C">
      <w:r>
        <w:t xml:space="preserve">Plain packaging legislation came into effect </w:t>
      </w:r>
      <w:r w:rsidR="00F656C5">
        <w:t>from 1</w:t>
      </w:r>
      <w:r>
        <w:t xml:space="preserve"> December 2012</w:t>
      </w:r>
      <w:r w:rsidR="00F656C5">
        <w:t>, requiring all tobacco products to be sold in standardised, plain packaging,</w:t>
      </w:r>
      <w:r>
        <w:t xml:space="preserve"> with the aim of </w:t>
      </w:r>
      <w:r w:rsidR="00B63643">
        <w:t xml:space="preserve">increasing the effectiveness of health warnings on the packets and </w:t>
      </w:r>
      <w:r>
        <w:t xml:space="preserve">reducing the </w:t>
      </w:r>
      <w:r w:rsidR="00583DF9">
        <w:t xml:space="preserve">brand </w:t>
      </w:r>
      <w:r>
        <w:t>appeal of tobacco products to consumers</w:t>
      </w:r>
      <w:r w:rsidR="002229C9">
        <w:t>, providing a disincentive to those considering taking up smoking (particularly “young image-conscious teenagers”</w:t>
      </w:r>
      <w:r w:rsidR="002229C9">
        <w:rPr>
          <w:rStyle w:val="FootnoteReference"/>
        </w:rPr>
        <w:footnoteReference w:id="13"/>
      </w:r>
      <w:r w:rsidR="002229C9">
        <w:t>)</w:t>
      </w:r>
      <w:r w:rsidR="00B63643">
        <w:t>.</w:t>
      </w:r>
    </w:p>
    <w:p w14:paraId="60673FCF" w14:textId="77777777" w:rsidR="00226072" w:rsidRDefault="00685FB1" w:rsidP="00A151F8">
      <w:pPr>
        <w:keepLines/>
      </w:pPr>
      <w:r>
        <w:lastRenderedPageBreak/>
        <w:t xml:space="preserve">The </w:t>
      </w:r>
      <w:r w:rsidR="004B472B">
        <w:t xml:space="preserve">immediate </w:t>
      </w:r>
      <w:r>
        <w:t xml:space="preserve">effect of plain packaging </w:t>
      </w:r>
      <w:r w:rsidR="00D46C67">
        <w:t>cannot be</w:t>
      </w:r>
      <w:r w:rsidR="005F4188">
        <w:t xml:space="preserve"> isolate</w:t>
      </w:r>
      <w:r w:rsidR="00D46C67">
        <w:t>d</w:t>
      </w:r>
      <w:r w:rsidR="005F4188">
        <w:t xml:space="preserve"> from the effect of other policies, particularly </w:t>
      </w:r>
      <w:r w:rsidR="00514478">
        <w:t xml:space="preserve">the 25 per cent increase in the excise rate in 2010 and </w:t>
      </w:r>
      <w:r w:rsidR="005F4188">
        <w:t xml:space="preserve">the staged excise rate increases </w:t>
      </w:r>
      <w:r w:rsidR="00514478">
        <w:t>over the last few years</w:t>
      </w:r>
      <w:r w:rsidR="005F4188">
        <w:t xml:space="preserve">. </w:t>
      </w:r>
      <w:r w:rsidR="007D19D6">
        <w:t>T</w:t>
      </w:r>
      <w:r w:rsidR="00226072">
        <w:t xml:space="preserve">he effects of </w:t>
      </w:r>
      <w:r w:rsidR="005F4188">
        <w:t>plain packaging</w:t>
      </w:r>
      <w:r w:rsidR="00226072">
        <w:t xml:space="preserve"> are expected to grow over time as </w:t>
      </w:r>
      <w:r w:rsidR="00673181">
        <w:t>the</w:t>
      </w:r>
      <w:r w:rsidR="00E46FC7">
        <w:t xml:space="preserve"> take-up rate of smoking</w:t>
      </w:r>
      <w:r w:rsidR="00942364">
        <w:t xml:space="preserve"> </w:t>
      </w:r>
      <w:r w:rsidR="004B472B">
        <w:t xml:space="preserve">declines </w:t>
      </w:r>
      <w:r w:rsidR="00942364">
        <w:t>for young people</w:t>
      </w:r>
      <w:r w:rsidR="00583DF9">
        <w:t xml:space="preserve">, who are thought to be </w:t>
      </w:r>
      <w:r w:rsidR="00673181">
        <w:t>more</w:t>
      </w:r>
      <w:r w:rsidR="00583DF9">
        <w:t xml:space="preserve"> susceptible to </w:t>
      </w:r>
      <w:r w:rsidR="00D46C67">
        <w:t xml:space="preserve">packaging and </w:t>
      </w:r>
      <w:r w:rsidR="00583DF9">
        <w:t>brand appeal</w:t>
      </w:r>
      <w:r w:rsidR="003D19EF">
        <w:rPr>
          <w:rStyle w:val="FootnoteReference"/>
        </w:rPr>
        <w:footnoteReference w:id="14"/>
      </w:r>
      <w:r w:rsidR="004B472B">
        <w:t>.</w:t>
      </w:r>
      <w:r w:rsidR="007D19D6">
        <w:t xml:space="preserve">  </w:t>
      </w:r>
    </w:p>
    <w:p w14:paraId="7407DA17" w14:textId="77777777" w:rsidR="00CB1572" w:rsidRDefault="00CB1572" w:rsidP="00826CB3">
      <w:pPr>
        <w:pStyle w:val="Heading3"/>
      </w:pPr>
      <w:r>
        <w:t xml:space="preserve">The </w:t>
      </w:r>
      <w:r w:rsidRPr="00826CB3">
        <w:t>price</w:t>
      </w:r>
      <w:r>
        <w:t xml:space="preserve"> of tobacco</w:t>
      </w:r>
      <w:r w:rsidR="002677C9">
        <w:t xml:space="preserve"> products</w:t>
      </w:r>
      <w:r w:rsidR="00745DDD">
        <w:rPr>
          <w:rStyle w:val="FootnoteReference"/>
        </w:rPr>
        <w:footnoteReference w:id="15"/>
      </w:r>
    </w:p>
    <w:p w14:paraId="6C468D41" w14:textId="1809D536" w:rsidR="004A6708" w:rsidRDefault="004A6708" w:rsidP="00B9120C">
      <w:pPr>
        <w:rPr>
          <w:lang w:val="en-US" w:eastAsia="en-AU"/>
        </w:rPr>
      </w:pPr>
      <w:r>
        <w:rPr>
          <w:lang w:val="en-US" w:eastAsia="en-AU"/>
        </w:rPr>
        <w:t>Many of the recent policy changes affecting tobacco products have raised their price, with the aim of reducing consumption and increasing community health. The rate of tobacco excise increased from around 2</w:t>
      </w:r>
      <w:r w:rsidR="000D4C1F">
        <w:rPr>
          <w:lang w:val="en-US" w:eastAsia="en-AU"/>
        </w:rPr>
        <w:t>6</w:t>
      </w:r>
      <w:r>
        <w:rPr>
          <w:lang w:val="en-US" w:eastAsia="en-AU"/>
        </w:rPr>
        <w:t xml:space="preserve"> cents per stick in </w:t>
      </w:r>
      <w:r w:rsidR="00190444">
        <w:rPr>
          <w:lang w:val="en-US" w:eastAsia="en-AU"/>
        </w:rPr>
        <w:t>200</w:t>
      </w:r>
      <w:r w:rsidR="000D4C1F">
        <w:rPr>
          <w:lang w:val="en-US" w:eastAsia="en-AU"/>
        </w:rPr>
        <w:t>9</w:t>
      </w:r>
      <w:r w:rsidR="00190444">
        <w:rPr>
          <w:lang w:val="en-US" w:eastAsia="en-AU"/>
        </w:rPr>
        <w:t xml:space="preserve"> to around 62</w:t>
      </w:r>
      <w:r>
        <w:rPr>
          <w:lang w:val="en-US" w:eastAsia="en-AU"/>
        </w:rPr>
        <w:t xml:space="preserve"> cents per stick in 2017. The </w:t>
      </w:r>
      <w:r w:rsidR="00190444">
        <w:rPr>
          <w:lang w:val="en-US" w:eastAsia="en-AU"/>
        </w:rPr>
        <w:t xml:space="preserve">increase in the excise rate, and the associated GST, therefore increased the </w:t>
      </w:r>
      <w:r>
        <w:rPr>
          <w:lang w:val="en-US" w:eastAsia="en-AU"/>
        </w:rPr>
        <w:t>price of a packet of 25 cigarettes by around $</w:t>
      </w:r>
      <w:r w:rsidR="00190444">
        <w:rPr>
          <w:lang w:val="en-US" w:eastAsia="en-AU"/>
        </w:rPr>
        <w:t>10</w:t>
      </w:r>
      <w:r w:rsidR="00D46C67">
        <w:rPr>
          <w:lang w:val="en-US" w:eastAsia="en-AU"/>
        </w:rPr>
        <w:t xml:space="preserve"> </w:t>
      </w:r>
      <w:r w:rsidR="00190444">
        <w:rPr>
          <w:lang w:val="en-US" w:eastAsia="en-AU"/>
        </w:rPr>
        <w:t xml:space="preserve">over the </w:t>
      </w:r>
      <w:r w:rsidR="000D4C1F">
        <w:rPr>
          <w:lang w:val="en-US" w:eastAsia="en-AU"/>
        </w:rPr>
        <w:t>eight year</w:t>
      </w:r>
      <w:r w:rsidR="00927C76">
        <w:rPr>
          <w:lang w:val="en-US" w:eastAsia="en-AU"/>
        </w:rPr>
        <w:t xml:space="preserve"> period</w:t>
      </w:r>
      <w:r>
        <w:rPr>
          <w:lang w:val="en-US" w:eastAsia="en-AU"/>
        </w:rPr>
        <w:t>.</w:t>
      </w:r>
    </w:p>
    <w:p w14:paraId="69A5DBD7" w14:textId="77777777" w:rsidR="00400AFB" w:rsidRDefault="00400AFB" w:rsidP="00B9120C">
      <w:pPr>
        <w:rPr>
          <w:lang w:val="en-US" w:eastAsia="en-AU"/>
        </w:rPr>
      </w:pPr>
      <w:r>
        <w:rPr>
          <w:lang w:val="en-US" w:eastAsia="en-AU"/>
        </w:rPr>
        <w:t xml:space="preserve">While policy targeted at the excise rate has been influential in price increases of tobacco in recent years, </w:t>
      </w:r>
      <w:r w:rsidR="00F23BF7">
        <w:rPr>
          <w:lang w:val="en-US" w:eastAsia="en-AU"/>
        </w:rPr>
        <w:t>prices have increased significantly excluding the excise</w:t>
      </w:r>
      <w:r>
        <w:rPr>
          <w:lang w:val="en-US" w:eastAsia="en-AU"/>
        </w:rPr>
        <w:t xml:space="preserve">. This is illustrated </w:t>
      </w:r>
      <w:r w:rsidR="007733CD">
        <w:rPr>
          <w:lang w:val="en-US" w:eastAsia="en-AU"/>
        </w:rPr>
        <w:t>through the example of a packet</w:t>
      </w:r>
      <w:r>
        <w:rPr>
          <w:lang w:val="en-US" w:eastAsia="en-AU"/>
        </w:rPr>
        <w:t xml:space="preserve"> of Winfield 25s, which was </w:t>
      </w:r>
      <w:r w:rsidR="00204B73">
        <w:rPr>
          <w:lang w:val="en-US" w:eastAsia="en-AU"/>
        </w:rPr>
        <w:t xml:space="preserve">one of </w:t>
      </w:r>
      <w:r>
        <w:rPr>
          <w:lang w:val="en-US" w:eastAsia="en-AU"/>
        </w:rPr>
        <w:t>the most popular brand</w:t>
      </w:r>
      <w:r w:rsidR="00204B73">
        <w:rPr>
          <w:lang w:val="en-US" w:eastAsia="en-AU"/>
        </w:rPr>
        <w:t>s</w:t>
      </w:r>
      <w:r>
        <w:rPr>
          <w:lang w:val="en-US" w:eastAsia="en-AU"/>
        </w:rPr>
        <w:t xml:space="preserve"> by market share in </w:t>
      </w:r>
      <w:r w:rsidR="00C446DE">
        <w:rPr>
          <w:lang w:val="en-US" w:eastAsia="en-AU"/>
        </w:rPr>
        <w:t>recent years</w:t>
      </w:r>
      <w:r>
        <w:rPr>
          <w:lang w:val="en-US" w:eastAsia="en-AU"/>
        </w:rPr>
        <w:t>. Its price has moved similarly to other leading brands over the period</w:t>
      </w:r>
      <w:r>
        <w:rPr>
          <w:rStyle w:val="FootnoteReference"/>
          <w:lang w:val="en-US" w:eastAsia="en-AU"/>
        </w:rPr>
        <w:footnoteReference w:id="16"/>
      </w:r>
      <w:r>
        <w:rPr>
          <w:lang w:val="en-US" w:eastAsia="en-AU"/>
        </w:rPr>
        <w:t>.</w:t>
      </w:r>
    </w:p>
    <w:p w14:paraId="1AEFB03C" w14:textId="4C4541BF" w:rsidR="003310AF" w:rsidRDefault="00250D6A" w:rsidP="00B9120C">
      <w:pPr>
        <w:rPr>
          <w:lang w:val="en-US" w:eastAsia="en-AU"/>
        </w:rPr>
      </w:pPr>
      <w:r>
        <w:rPr>
          <w:lang w:val="en-US" w:eastAsia="en-AU"/>
        </w:rPr>
        <w:t xml:space="preserve">The recommended retail price </w:t>
      </w:r>
      <w:r w:rsidR="007C1F64">
        <w:rPr>
          <w:lang w:val="en-US" w:eastAsia="en-AU"/>
        </w:rPr>
        <w:t xml:space="preserve">(RRP) </w:t>
      </w:r>
      <w:r>
        <w:rPr>
          <w:lang w:val="en-US" w:eastAsia="en-AU"/>
        </w:rPr>
        <w:t>of Winfield 25s increased from $</w:t>
      </w:r>
      <w:r w:rsidR="00F87866">
        <w:rPr>
          <w:lang w:val="en-US" w:eastAsia="en-AU"/>
        </w:rPr>
        <w:t>12.40</w:t>
      </w:r>
      <w:r>
        <w:rPr>
          <w:lang w:val="en-US" w:eastAsia="en-AU"/>
        </w:rPr>
        <w:t xml:space="preserve"> in </w:t>
      </w:r>
      <w:r w:rsidR="00CE747E">
        <w:rPr>
          <w:lang w:val="en-US" w:eastAsia="en-AU"/>
        </w:rPr>
        <w:t>March</w:t>
      </w:r>
      <w:r>
        <w:rPr>
          <w:lang w:val="en-US" w:eastAsia="en-AU"/>
        </w:rPr>
        <w:t xml:space="preserve"> 200</w:t>
      </w:r>
      <w:r w:rsidR="00F87866">
        <w:rPr>
          <w:lang w:val="en-US" w:eastAsia="en-AU"/>
        </w:rPr>
        <w:t>9</w:t>
      </w:r>
      <w:r>
        <w:rPr>
          <w:lang w:val="en-US" w:eastAsia="en-AU"/>
        </w:rPr>
        <w:t xml:space="preserve"> to $29.60 in March 2017. The increase</w:t>
      </w:r>
      <w:r w:rsidR="00F87866">
        <w:rPr>
          <w:lang w:val="en-US" w:eastAsia="en-AU"/>
        </w:rPr>
        <w:t xml:space="preserve">, </w:t>
      </w:r>
      <w:r>
        <w:rPr>
          <w:lang w:val="en-US" w:eastAsia="en-AU"/>
        </w:rPr>
        <w:t>of $1</w:t>
      </w:r>
      <w:r w:rsidR="00F87866">
        <w:rPr>
          <w:lang w:val="en-US" w:eastAsia="en-AU"/>
        </w:rPr>
        <w:t>7</w:t>
      </w:r>
      <w:r w:rsidR="0071186D">
        <w:rPr>
          <w:lang w:val="en-US" w:eastAsia="en-AU"/>
        </w:rPr>
        <w:t xml:space="preserve">.20 </w:t>
      </w:r>
      <w:r>
        <w:rPr>
          <w:lang w:val="en-US" w:eastAsia="en-AU"/>
        </w:rPr>
        <w:t xml:space="preserve">over the </w:t>
      </w:r>
      <w:r w:rsidR="007C1F64">
        <w:rPr>
          <w:lang w:val="en-US" w:eastAsia="en-AU"/>
        </w:rPr>
        <w:t>eight years</w:t>
      </w:r>
      <w:r>
        <w:rPr>
          <w:lang w:val="en-US" w:eastAsia="en-AU"/>
        </w:rPr>
        <w:t xml:space="preserve">, includes an increase of </w:t>
      </w:r>
      <w:r w:rsidRPr="00A74D58">
        <w:rPr>
          <w:lang w:val="en-US" w:eastAsia="en-AU"/>
        </w:rPr>
        <w:t>$</w:t>
      </w:r>
      <w:r w:rsidR="003310AF" w:rsidRPr="00E90F25">
        <w:rPr>
          <w:lang w:val="en-US" w:eastAsia="en-AU"/>
        </w:rPr>
        <w:t>6.6</w:t>
      </w:r>
      <w:r w:rsidR="000D4C1F">
        <w:rPr>
          <w:lang w:val="en-US" w:eastAsia="en-AU"/>
        </w:rPr>
        <w:t>0</w:t>
      </w:r>
      <w:r>
        <w:rPr>
          <w:lang w:val="en-US" w:eastAsia="en-AU"/>
        </w:rPr>
        <w:t xml:space="preserve"> per packet unrelated to </w:t>
      </w:r>
      <w:r w:rsidR="0002301D">
        <w:rPr>
          <w:lang w:val="en-US" w:eastAsia="en-AU"/>
        </w:rPr>
        <w:t>increases in tax rates</w:t>
      </w:r>
      <w:r w:rsidR="00204B73">
        <w:rPr>
          <w:lang w:val="en-US" w:eastAsia="en-AU"/>
        </w:rPr>
        <w:t>.  T</w:t>
      </w:r>
      <w:r w:rsidR="00C76A32">
        <w:rPr>
          <w:lang w:val="en-US" w:eastAsia="en-AU"/>
        </w:rPr>
        <w:t>obacco excise and GST accounted for 61 per cent of the price of a packet of cigarettes in March 200</w:t>
      </w:r>
      <w:r w:rsidR="000D4C1F">
        <w:rPr>
          <w:lang w:val="en-US" w:eastAsia="en-AU"/>
        </w:rPr>
        <w:t>9</w:t>
      </w:r>
      <w:r w:rsidR="00C76A32">
        <w:rPr>
          <w:lang w:val="en-US" w:eastAsia="en-AU"/>
        </w:rPr>
        <w:t xml:space="preserve"> and</w:t>
      </w:r>
      <w:r w:rsidR="00204B73">
        <w:rPr>
          <w:lang w:val="en-US" w:eastAsia="en-AU"/>
        </w:rPr>
        <w:t xml:space="preserve"> remained at</w:t>
      </w:r>
      <w:r w:rsidR="00C76A32">
        <w:rPr>
          <w:lang w:val="en-US" w:eastAsia="en-AU"/>
        </w:rPr>
        <w:t xml:space="preserve"> 61 per cent </w:t>
      </w:r>
      <w:r w:rsidR="00F87866">
        <w:rPr>
          <w:lang w:val="en-US" w:eastAsia="en-AU"/>
        </w:rPr>
        <w:t>eight years later</w:t>
      </w:r>
      <w:r w:rsidR="00C76A32">
        <w:rPr>
          <w:lang w:val="en-US" w:eastAsia="en-AU"/>
        </w:rPr>
        <w:t>.</w:t>
      </w:r>
      <w:r w:rsidR="003310AF">
        <w:rPr>
          <w:lang w:val="en-US" w:eastAsia="en-AU"/>
        </w:rPr>
        <w:t xml:space="preserve"> </w:t>
      </w:r>
    </w:p>
    <w:p w14:paraId="78489B33" w14:textId="041E17EF" w:rsidR="00C76A32" w:rsidRDefault="00C76A32" w:rsidP="00B9120C">
      <w:pPr>
        <w:rPr>
          <w:lang w:val="en-US" w:eastAsia="en-AU"/>
        </w:rPr>
      </w:pPr>
      <w:r>
        <w:rPr>
          <w:lang w:val="en-US" w:eastAsia="en-AU"/>
        </w:rPr>
        <w:t>The non-tax component of the price therefore increased by 1</w:t>
      </w:r>
      <w:r w:rsidR="00F87866">
        <w:rPr>
          <w:lang w:val="en-US" w:eastAsia="en-AU"/>
        </w:rPr>
        <w:t>37</w:t>
      </w:r>
      <w:r>
        <w:rPr>
          <w:lang w:val="en-US" w:eastAsia="en-AU"/>
        </w:rPr>
        <w:t xml:space="preserve"> per cent over the</w:t>
      </w:r>
      <w:r w:rsidR="00E90F25">
        <w:rPr>
          <w:lang w:val="en-US" w:eastAsia="en-AU"/>
        </w:rPr>
        <w:t xml:space="preserve"> eight year</w:t>
      </w:r>
      <w:r w:rsidR="00927C76">
        <w:rPr>
          <w:lang w:val="en-US" w:eastAsia="en-AU"/>
        </w:rPr>
        <w:t xml:space="preserve"> period</w:t>
      </w:r>
      <w:r>
        <w:rPr>
          <w:lang w:val="en-US" w:eastAsia="en-AU"/>
        </w:rPr>
        <w:t xml:space="preserve">, around the same as the increase in </w:t>
      </w:r>
      <w:r w:rsidR="0002301D">
        <w:rPr>
          <w:lang w:val="en-US" w:eastAsia="en-AU"/>
        </w:rPr>
        <w:t xml:space="preserve">the </w:t>
      </w:r>
      <w:r w:rsidR="0071186D">
        <w:rPr>
          <w:lang w:val="en-US" w:eastAsia="en-AU"/>
        </w:rPr>
        <w:t xml:space="preserve">excise </w:t>
      </w:r>
      <w:r w:rsidR="0002301D">
        <w:rPr>
          <w:lang w:val="en-US" w:eastAsia="en-AU"/>
        </w:rPr>
        <w:t>component</w:t>
      </w:r>
      <w:r w:rsidR="00F87866">
        <w:rPr>
          <w:lang w:val="en-US" w:eastAsia="en-AU"/>
        </w:rPr>
        <w:t xml:space="preserve"> of 140 per cent</w:t>
      </w:r>
      <w:r w:rsidR="0002301D">
        <w:rPr>
          <w:lang w:val="en-US" w:eastAsia="en-AU"/>
        </w:rPr>
        <w:t xml:space="preserve">. By comparison, the consumer price index (CPI) grew by </w:t>
      </w:r>
      <w:r w:rsidR="00F87866">
        <w:rPr>
          <w:lang w:val="en-US" w:eastAsia="en-AU"/>
        </w:rPr>
        <w:t>19.5</w:t>
      </w:r>
      <w:r w:rsidR="0002301D">
        <w:rPr>
          <w:lang w:val="en-US" w:eastAsia="en-AU"/>
        </w:rPr>
        <w:t> per cent over the same period</w:t>
      </w:r>
      <w:r w:rsidR="007C1F64">
        <w:rPr>
          <w:rStyle w:val="FootnoteReference"/>
          <w:lang w:val="en-US" w:eastAsia="en-AU"/>
        </w:rPr>
        <w:footnoteReference w:id="17"/>
      </w:r>
      <w:r w:rsidR="0002301D">
        <w:rPr>
          <w:lang w:val="en-US" w:eastAsia="en-AU"/>
        </w:rPr>
        <w:t>.</w:t>
      </w:r>
      <w:r w:rsidR="00F87866">
        <w:rPr>
          <w:lang w:val="en-US" w:eastAsia="en-AU"/>
        </w:rPr>
        <w:t xml:space="preserve"> Chart 4 shows the increase in the price, excise rate and non-tax components of a cigarette since </w:t>
      </w:r>
      <w:r w:rsidR="00CE747E">
        <w:rPr>
          <w:lang w:val="en-US" w:eastAsia="en-AU"/>
        </w:rPr>
        <w:t xml:space="preserve">the </w:t>
      </w:r>
      <w:r w:rsidR="00F87866">
        <w:rPr>
          <w:lang w:val="en-US" w:eastAsia="en-AU"/>
        </w:rPr>
        <w:t xml:space="preserve">March </w:t>
      </w:r>
      <w:r w:rsidR="00CE747E">
        <w:rPr>
          <w:lang w:val="en-US" w:eastAsia="en-AU"/>
        </w:rPr>
        <w:t xml:space="preserve">quarter </w:t>
      </w:r>
      <w:r w:rsidR="00F87866">
        <w:rPr>
          <w:lang w:val="en-US" w:eastAsia="en-AU"/>
        </w:rPr>
        <w:t>2009</w:t>
      </w:r>
      <w:r w:rsidR="000D4C1F">
        <w:rPr>
          <w:lang w:val="en-US" w:eastAsia="en-AU"/>
        </w:rPr>
        <w:t xml:space="preserve"> until March of each</w:t>
      </w:r>
      <w:r w:rsidR="00F87866">
        <w:rPr>
          <w:lang w:val="en-US" w:eastAsia="en-AU"/>
        </w:rPr>
        <w:t xml:space="preserve"> year on the axis, with the CPI growth since then </w:t>
      </w:r>
      <w:r w:rsidR="000D4C1F">
        <w:rPr>
          <w:lang w:val="en-US" w:eastAsia="en-AU"/>
        </w:rPr>
        <w:t>charted</w:t>
      </w:r>
      <w:r w:rsidR="00F87866">
        <w:rPr>
          <w:lang w:val="en-US" w:eastAsia="en-AU"/>
        </w:rPr>
        <w:t xml:space="preserve"> for comparison.</w:t>
      </w:r>
    </w:p>
    <w:p w14:paraId="1476F694" w14:textId="77777777" w:rsidR="003310AF" w:rsidRPr="00B32157" w:rsidRDefault="003310AF" w:rsidP="00826CB3">
      <w:pPr>
        <w:pStyle w:val="ChartMainHeading"/>
        <w:rPr>
          <w:lang w:val="en-US"/>
        </w:rPr>
      </w:pPr>
      <w:r>
        <w:rPr>
          <w:lang w:val="en-US"/>
        </w:rPr>
        <w:lastRenderedPageBreak/>
        <w:t>Chart 4. Percentage increase</w:t>
      </w:r>
      <w:r w:rsidR="00C83F94">
        <w:rPr>
          <w:lang w:val="en-US"/>
        </w:rPr>
        <w:t>s</w:t>
      </w:r>
      <w:r>
        <w:rPr>
          <w:lang w:val="en-US"/>
        </w:rPr>
        <w:t xml:space="preserve"> in </w:t>
      </w:r>
      <w:r w:rsidR="00EF2480">
        <w:rPr>
          <w:lang w:val="en-US"/>
        </w:rPr>
        <w:t xml:space="preserve">the </w:t>
      </w:r>
      <w:r>
        <w:rPr>
          <w:lang w:val="en-US"/>
        </w:rPr>
        <w:t xml:space="preserve">components </w:t>
      </w:r>
      <w:r w:rsidR="00EF2480">
        <w:rPr>
          <w:lang w:val="en-US"/>
        </w:rPr>
        <w:t xml:space="preserve">of the RRP </w:t>
      </w:r>
      <w:r>
        <w:rPr>
          <w:lang w:val="en-US"/>
        </w:rPr>
        <w:t xml:space="preserve">of </w:t>
      </w:r>
      <w:r w:rsidR="00EF2480">
        <w:rPr>
          <w:lang w:val="en-US"/>
        </w:rPr>
        <w:t xml:space="preserve">a pack of </w:t>
      </w:r>
      <w:r>
        <w:rPr>
          <w:lang w:val="en-US"/>
        </w:rPr>
        <w:t>Winfield 25s since March</w:t>
      </w:r>
      <w:r w:rsidR="007121FD">
        <w:rPr>
          <w:lang w:val="en-US"/>
        </w:rPr>
        <w:t> </w:t>
      </w:r>
      <w:r>
        <w:rPr>
          <w:lang w:val="en-US"/>
        </w:rPr>
        <w:t>2009</w:t>
      </w:r>
    </w:p>
    <w:p w14:paraId="32DE59C4" w14:textId="77777777" w:rsidR="00F87866" w:rsidRDefault="004277D0" w:rsidP="004277D0">
      <w:pPr>
        <w:keepLines/>
        <w:jc w:val="center"/>
        <w:rPr>
          <w:lang w:val="en-US" w:eastAsia="en-AU"/>
        </w:rPr>
      </w:pPr>
      <w:r w:rsidRPr="004277D0">
        <w:rPr>
          <w:noProof/>
          <w:lang w:eastAsia="en-AU"/>
        </w:rPr>
        <w:drawing>
          <wp:inline distT="0" distB="0" distL="0" distR="0" wp14:anchorId="7D50C4B9" wp14:editId="1E97DCDA">
            <wp:extent cx="5600700" cy="2886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00700" cy="2886075"/>
                    </a:xfrm>
                    <a:prstGeom prst="rect">
                      <a:avLst/>
                    </a:prstGeom>
                    <a:noFill/>
                    <a:ln>
                      <a:noFill/>
                    </a:ln>
                  </pic:spPr>
                </pic:pic>
              </a:graphicData>
            </a:graphic>
          </wp:inline>
        </w:drawing>
      </w:r>
    </w:p>
    <w:p w14:paraId="3DA567D9" w14:textId="77777777" w:rsidR="00BC20B9" w:rsidRDefault="000428C8" w:rsidP="00B9120C">
      <w:pPr>
        <w:rPr>
          <w:lang w:val="en-US" w:eastAsia="en-AU"/>
        </w:rPr>
      </w:pPr>
      <w:r>
        <w:rPr>
          <w:lang w:val="en-US" w:eastAsia="en-AU"/>
        </w:rPr>
        <w:t>Chart</w:t>
      </w:r>
      <w:r w:rsidR="0002301D">
        <w:rPr>
          <w:lang w:val="en-US" w:eastAsia="en-AU"/>
        </w:rPr>
        <w:t xml:space="preserve"> </w:t>
      </w:r>
      <w:r>
        <w:rPr>
          <w:lang w:val="en-US" w:eastAsia="en-AU"/>
        </w:rPr>
        <w:t xml:space="preserve">5 </w:t>
      </w:r>
      <w:r w:rsidR="00D96575">
        <w:rPr>
          <w:lang w:val="en-US" w:eastAsia="en-AU"/>
        </w:rPr>
        <w:t>show</w:t>
      </w:r>
      <w:r w:rsidR="0002301D">
        <w:rPr>
          <w:lang w:val="en-US" w:eastAsia="en-AU"/>
        </w:rPr>
        <w:t>s</w:t>
      </w:r>
      <w:r>
        <w:rPr>
          <w:lang w:val="en-US" w:eastAsia="en-AU"/>
        </w:rPr>
        <w:t xml:space="preserve"> th</w:t>
      </w:r>
      <w:r w:rsidR="00BA709E">
        <w:rPr>
          <w:lang w:val="en-US" w:eastAsia="en-AU"/>
        </w:rPr>
        <w:t xml:space="preserve">e </w:t>
      </w:r>
      <w:r w:rsidR="000D4C1F">
        <w:rPr>
          <w:lang w:val="en-US" w:eastAsia="en-AU"/>
        </w:rPr>
        <w:t xml:space="preserve">history </w:t>
      </w:r>
      <w:r w:rsidR="0002301D">
        <w:rPr>
          <w:lang w:val="en-US" w:eastAsia="en-AU"/>
        </w:rPr>
        <w:t xml:space="preserve">of the price </w:t>
      </w:r>
      <w:r w:rsidR="000D4C1F">
        <w:rPr>
          <w:lang w:val="en-US" w:eastAsia="en-AU"/>
        </w:rPr>
        <w:t xml:space="preserve">composition </w:t>
      </w:r>
      <w:r w:rsidR="0002301D">
        <w:rPr>
          <w:lang w:val="en-US" w:eastAsia="en-AU"/>
        </w:rPr>
        <w:t>of a packet of</w:t>
      </w:r>
      <w:r w:rsidR="00BA709E">
        <w:rPr>
          <w:lang w:val="en-US" w:eastAsia="en-AU"/>
        </w:rPr>
        <w:t xml:space="preserve"> Winfield 25s</w:t>
      </w:r>
      <w:r w:rsidR="00CE747E">
        <w:rPr>
          <w:lang w:val="en-US" w:eastAsia="en-AU"/>
        </w:rPr>
        <w:t xml:space="preserve"> in the month of March of each year</w:t>
      </w:r>
      <w:r w:rsidR="00BA709E">
        <w:rPr>
          <w:lang w:val="en-US" w:eastAsia="en-AU"/>
        </w:rPr>
        <w:t>.</w:t>
      </w:r>
      <w:r w:rsidR="00F87866">
        <w:rPr>
          <w:lang w:val="en-US" w:eastAsia="en-AU"/>
        </w:rPr>
        <w:t xml:space="preserve"> It shows that the </w:t>
      </w:r>
      <w:r w:rsidR="0095554B">
        <w:rPr>
          <w:lang w:val="en-US" w:eastAsia="en-AU"/>
        </w:rPr>
        <w:t>May </w:t>
      </w:r>
      <w:r w:rsidR="00F87866">
        <w:rPr>
          <w:lang w:val="en-US" w:eastAsia="en-AU"/>
        </w:rPr>
        <w:t xml:space="preserve">2010 rate rise </w:t>
      </w:r>
      <w:r w:rsidR="00CE747E">
        <w:rPr>
          <w:lang w:val="en-US" w:eastAsia="en-AU"/>
        </w:rPr>
        <w:t xml:space="preserve">(seen in the chart in March 2011) </w:t>
      </w:r>
      <w:r w:rsidR="00F87866">
        <w:rPr>
          <w:lang w:val="en-US" w:eastAsia="en-AU"/>
        </w:rPr>
        <w:t>was</w:t>
      </w:r>
      <w:r w:rsidR="00212030">
        <w:rPr>
          <w:lang w:val="en-US" w:eastAsia="en-AU"/>
        </w:rPr>
        <w:t xml:space="preserve"> proportionally matched by</w:t>
      </w:r>
      <w:r w:rsidR="0071186D">
        <w:rPr>
          <w:lang w:val="en-US" w:eastAsia="en-AU"/>
        </w:rPr>
        <w:t xml:space="preserve"> increase</w:t>
      </w:r>
      <w:r w:rsidR="00212030">
        <w:rPr>
          <w:lang w:val="en-US" w:eastAsia="en-AU"/>
        </w:rPr>
        <w:t>s</w:t>
      </w:r>
      <w:r w:rsidR="0071186D">
        <w:rPr>
          <w:lang w:val="en-US" w:eastAsia="en-AU"/>
        </w:rPr>
        <w:t xml:space="preserve"> </w:t>
      </w:r>
      <w:r w:rsidR="00212030">
        <w:rPr>
          <w:lang w:val="en-US" w:eastAsia="en-AU"/>
        </w:rPr>
        <w:t xml:space="preserve">to the </w:t>
      </w:r>
      <w:r w:rsidR="0071186D">
        <w:rPr>
          <w:lang w:val="en-US" w:eastAsia="en-AU"/>
        </w:rPr>
        <w:t>pric</w:t>
      </w:r>
      <w:r w:rsidR="001F12F6">
        <w:rPr>
          <w:lang w:val="en-US" w:eastAsia="en-AU"/>
        </w:rPr>
        <w:t xml:space="preserve">e </w:t>
      </w:r>
      <w:r w:rsidR="00212030">
        <w:rPr>
          <w:lang w:val="en-US" w:eastAsia="en-AU"/>
        </w:rPr>
        <w:t xml:space="preserve">excluding tax </w:t>
      </w:r>
      <w:r w:rsidR="001F12F6">
        <w:rPr>
          <w:lang w:val="en-US" w:eastAsia="en-AU"/>
        </w:rPr>
        <w:t>over the next couple of years</w:t>
      </w:r>
      <w:r w:rsidR="0071186D">
        <w:rPr>
          <w:lang w:val="en-US" w:eastAsia="en-AU"/>
        </w:rPr>
        <w:t>.</w:t>
      </w:r>
    </w:p>
    <w:p w14:paraId="1461B2F1" w14:textId="4217AE94" w:rsidR="00BA709E" w:rsidRDefault="00BC20B9" w:rsidP="00826CB3">
      <w:pPr>
        <w:pStyle w:val="ChartMainHeading"/>
        <w:rPr>
          <w:lang w:val="en-US"/>
        </w:rPr>
      </w:pPr>
      <w:r>
        <w:rPr>
          <w:lang w:val="en-US"/>
        </w:rPr>
        <w:t>Chart 5</w:t>
      </w:r>
      <w:r w:rsidR="00E0030A">
        <w:rPr>
          <w:lang w:val="en-US"/>
        </w:rPr>
        <w:t xml:space="preserve">. Composition of the </w:t>
      </w:r>
      <w:r w:rsidR="00DE4986">
        <w:rPr>
          <w:lang w:val="en-US"/>
        </w:rPr>
        <w:t xml:space="preserve">recommended retail </w:t>
      </w:r>
      <w:r w:rsidR="00E0030A">
        <w:rPr>
          <w:lang w:val="en-US"/>
        </w:rPr>
        <w:t xml:space="preserve">price of cigarettes, </w:t>
      </w:r>
      <w:r w:rsidR="001C7D77">
        <w:rPr>
          <w:lang w:val="en-US"/>
        </w:rPr>
        <w:br/>
      </w:r>
      <w:r w:rsidR="00E0030A">
        <w:rPr>
          <w:lang w:val="en-US"/>
        </w:rPr>
        <w:t xml:space="preserve">per stick basis, </w:t>
      </w:r>
      <w:r w:rsidR="000569DE">
        <w:rPr>
          <w:lang w:val="en-US"/>
        </w:rPr>
        <w:t>Winfield 25s</w:t>
      </w:r>
    </w:p>
    <w:p w14:paraId="031A8E4A" w14:textId="77777777" w:rsidR="00765724" w:rsidRPr="00A53274" w:rsidRDefault="00063C12" w:rsidP="00053E45">
      <w:pPr>
        <w:jc w:val="center"/>
        <w:rPr>
          <w:lang w:val="en-US" w:eastAsia="en-AU"/>
        </w:rPr>
      </w:pPr>
      <w:r w:rsidRPr="00063C12">
        <w:rPr>
          <w:noProof/>
          <w:lang w:eastAsia="en-AU"/>
        </w:rPr>
        <w:drawing>
          <wp:inline distT="0" distB="0" distL="0" distR="0" wp14:anchorId="4300638C" wp14:editId="00F7CF39">
            <wp:extent cx="5904230" cy="305194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4230" cy="3051945"/>
                    </a:xfrm>
                    <a:prstGeom prst="rect">
                      <a:avLst/>
                    </a:prstGeom>
                    <a:noFill/>
                    <a:ln>
                      <a:noFill/>
                    </a:ln>
                  </pic:spPr>
                </pic:pic>
              </a:graphicData>
            </a:graphic>
          </wp:inline>
        </w:drawing>
      </w:r>
    </w:p>
    <w:p w14:paraId="2CD14BFB" w14:textId="77777777" w:rsidR="00AD1382" w:rsidRPr="00474D11" w:rsidRDefault="00077501" w:rsidP="00C56F76">
      <w:pPr>
        <w:pStyle w:val="Heading3"/>
      </w:pPr>
      <w:r w:rsidRPr="00474D11">
        <w:t xml:space="preserve">The relationship between price and </w:t>
      </w:r>
      <w:r w:rsidR="00434CCD" w:rsidRPr="00474D11">
        <w:t>c</w:t>
      </w:r>
      <w:r w:rsidR="00434CCD">
        <w:t>onsumption</w:t>
      </w:r>
    </w:p>
    <w:p w14:paraId="745C9E45" w14:textId="77777777" w:rsidR="005A107C" w:rsidRDefault="00045642" w:rsidP="00B9120C">
      <w:r>
        <w:t>As s</w:t>
      </w:r>
      <w:r w:rsidR="00D96575">
        <w:t>hown</w:t>
      </w:r>
      <w:r>
        <w:t xml:space="preserve"> in </w:t>
      </w:r>
      <w:r w:rsidRPr="002E5B25">
        <w:t xml:space="preserve">Chart </w:t>
      </w:r>
      <w:r w:rsidR="00235AB6">
        <w:t>3</w:t>
      </w:r>
      <w:r>
        <w:t>, t</w:t>
      </w:r>
      <w:r w:rsidR="00B65966" w:rsidRPr="00045642">
        <w:t>obacco</w:t>
      </w:r>
      <w:r w:rsidR="00B65966" w:rsidRPr="00474D11">
        <w:t xml:space="preserve"> consumption has been on a long-term </w:t>
      </w:r>
      <w:r w:rsidR="00FF79F6">
        <w:t xml:space="preserve">per-capita </w:t>
      </w:r>
      <w:r w:rsidR="00B65966" w:rsidRPr="00474D11">
        <w:t xml:space="preserve">decline, </w:t>
      </w:r>
      <w:r>
        <w:t>while price has been increasing over the same period,</w:t>
      </w:r>
      <w:r w:rsidR="0028638E" w:rsidRPr="00474D11">
        <w:t xml:space="preserve"> with </w:t>
      </w:r>
      <w:r>
        <w:t>the rate of both having been pronounced in recent years</w:t>
      </w:r>
      <w:r w:rsidR="0028638E" w:rsidRPr="00474D11">
        <w:t>.</w:t>
      </w:r>
      <w:r>
        <w:t xml:space="preserve"> </w:t>
      </w:r>
      <w:r w:rsidR="005A107C">
        <w:t xml:space="preserve">While the trend is clear, quantifying this relationship </w:t>
      </w:r>
      <w:r w:rsidR="00DA2707">
        <w:t>and what the consumption response will be to excise increases</w:t>
      </w:r>
      <w:r w:rsidR="005A107C">
        <w:t xml:space="preserve"> is less straightforward.</w:t>
      </w:r>
    </w:p>
    <w:p w14:paraId="2030B5DA" w14:textId="77777777" w:rsidR="00434CCD" w:rsidRDefault="00423BDD" w:rsidP="00B9120C">
      <w:r>
        <w:lastRenderedPageBreak/>
        <w:t>An illustrative example, using the 25 per cent increase in the excise rate in May 2010, may be used to draw out some of the complexities.</w:t>
      </w:r>
    </w:p>
    <w:p w14:paraId="07BD3E8C" w14:textId="77777777" w:rsidR="00423BDD" w:rsidRDefault="00423BDD" w:rsidP="00B9120C">
      <w:r>
        <w:t xml:space="preserve">Chart </w:t>
      </w:r>
      <w:r w:rsidR="00A74D58">
        <w:t>6</w:t>
      </w:r>
      <w:r>
        <w:t xml:space="preserve"> shows the consumption</w:t>
      </w:r>
      <w:r w:rsidR="00E26362">
        <w:t xml:space="preserve"> per capita</w:t>
      </w:r>
      <w:r>
        <w:t xml:space="preserve"> of tobacco products</w:t>
      </w:r>
      <w:r w:rsidR="001B227B">
        <w:rPr>
          <w:rStyle w:val="FootnoteReference"/>
        </w:rPr>
        <w:footnoteReference w:id="18"/>
      </w:r>
      <w:r>
        <w:t xml:space="preserve"> in the years around the excise rate increase, including the trend decline leading up to May 2010 and the rapid fall in consumption over the next two years.</w:t>
      </w:r>
      <w:r w:rsidR="001D2EC5">
        <w:t xml:space="preserve"> In reality the impact of the May 2010 rate increase beyond 2012 is complicated by further rate inc</w:t>
      </w:r>
      <w:r w:rsidR="00E470FA">
        <w:t>reases over the following years</w:t>
      </w:r>
      <w:r w:rsidR="001D2EC5">
        <w:t xml:space="preserve">. The chart </w:t>
      </w:r>
      <w:r w:rsidR="00FD155F">
        <w:t>shows</w:t>
      </w:r>
      <w:r w:rsidR="001D2EC5">
        <w:t xml:space="preserve"> three illustrative scenarios </w:t>
      </w:r>
      <w:r w:rsidR="00A530D0">
        <w:t>which assist in framing the discussion of</w:t>
      </w:r>
      <w:r w:rsidR="001D2EC5">
        <w:t xml:space="preserve"> what may have occurred after 2012 had there been no further policy change.</w:t>
      </w:r>
    </w:p>
    <w:p w14:paraId="021525E1" w14:textId="77777777" w:rsidR="00A74D58" w:rsidRPr="0015665B" w:rsidRDefault="00A74D58" w:rsidP="00826CB3">
      <w:pPr>
        <w:pStyle w:val="ChartMainHeading"/>
      </w:pPr>
      <w:r w:rsidRPr="0015665B">
        <w:t>Chart 6.</w:t>
      </w:r>
      <w:r w:rsidRPr="00A74D58">
        <w:t xml:space="preserve"> </w:t>
      </w:r>
      <w:r w:rsidR="00E26362">
        <w:t>I</w:t>
      </w:r>
      <w:r w:rsidRPr="00A74D58">
        <w:t xml:space="preserve">llustrative scenarios </w:t>
      </w:r>
      <w:r>
        <w:t>for</w:t>
      </w:r>
      <w:r w:rsidRPr="0015665B">
        <w:t xml:space="preserve"> </w:t>
      </w:r>
      <w:r w:rsidR="00ED046F">
        <w:t xml:space="preserve">the </w:t>
      </w:r>
      <w:r>
        <w:t xml:space="preserve">long-term </w:t>
      </w:r>
      <w:r w:rsidRPr="0015665B">
        <w:t xml:space="preserve">impact of </w:t>
      </w:r>
      <w:r w:rsidR="00A67ADD">
        <w:t xml:space="preserve">the </w:t>
      </w:r>
      <w:r w:rsidR="00E26362">
        <w:t>May 2010 excise rate increase:  consumption per capita of cigarettes and tobacco (2009-10 = 100)</w:t>
      </w:r>
    </w:p>
    <w:p w14:paraId="005AD1E1" w14:textId="77777777" w:rsidR="00423BDD" w:rsidRDefault="008F0437" w:rsidP="00E26362">
      <w:pPr>
        <w:jc w:val="center"/>
      </w:pPr>
      <w:r w:rsidRPr="008F0437">
        <w:rPr>
          <w:noProof/>
          <w:lang w:eastAsia="en-AU"/>
        </w:rPr>
        <w:drawing>
          <wp:inline distT="0" distB="0" distL="0" distR="0" wp14:anchorId="3DD57D9F" wp14:editId="42411448">
            <wp:extent cx="5705475" cy="3057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05475" cy="3057525"/>
                    </a:xfrm>
                    <a:prstGeom prst="rect">
                      <a:avLst/>
                    </a:prstGeom>
                    <a:noFill/>
                    <a:ln>
                      <a:noFill/>
                    </a:ln>
                  </pic:spPr>
                </pic:pic>
              </a:graphicData>
            </a:graphic>
          </wp:inline>
        </w:drawing>
      </w:r>
    </w:p>
    <w:p w14:paraId="37324D81" w14:textId="77777777" w:rsidR="009C3E8E" w:rsidRDefault="009C3E8E" w:rsidP="00B9120C">
      <w:r>
        <w:t xml:space="preserve">First, the large decline in smoking may have been driven by people who would have stopped smoking anyway over the following years. </w:t>
      </w:r>
      <w:r w:rsidR="007D0EB7">
        <w:t>In this scenario, t</w:t>
      </w:r>
      <w:r>
        <w:t xml:space="preserve">he rate increase simply brought their change in behaviour forward, with the result that there </w:t>
      </w:r>
      <w:r w:rsidR="0015665B">
        <w:t>are</w:t>
      </w:r>
      <w:r>
        <w:t xml:space="preserve"> no further falls in smoking and after some years (ten years in the illustrative example) consumption of tobacco products is the same as what it would have been had the rate increase not occurred. In this case, the rate increase had </w:t>
      </w:r>
      <w:r w:rsidR="001D2EC5">
        <w:t xml:space="preserve">a significant short-run impact but </w:t>
      </w:r>
      <w:r>
        <w:t>no long-run impact.</w:t>
      </w:r>
      <w:r w:rsidR="007259AF">
        <w:t xml:space="preserve"> </w:t>
      </w:r>
    </w:p>
    <w:p w14:paraId="1FD41125" w14:textId="77777777" w:rsidR="009C3E8E" w:rsidRPr="00D6352A" w:rsidRDefault="009C3E8E" w:rsidP="00B9120C">
      <w:r>
        <w:t xml:space="preserve">The second illustrative possibility is that, following the rate increase, the decline in smoking continues at the same trend rate, but from a lower ‘base’. In this case, the rate increase had substantial short-run impact but no </w:t>
      </w:r>
      <w:r>
        <w:rPr>
          <w:i/>
        </w:rPr>
        <w:t>additional</w:t>
      </w:r>
      <w:r>
        <w:t xml:space="preserve"> long-run impact.</w:t>
      </w:r>
    </w:p>
    <w:p w14:paraId="25A2865E" w14:textId="77777777" w:rsidR="009C3E8E" w:rsidRDefault="009C3E8E" w:rsidP="00B9120C">
      <w:r>
        <w:t>The third possibility is that the rate increase, in addition to the strong short-run impact, continues to cause smokers to reduce their consumption over several more years.</w:t>
      </w:r>
    </w:p>
    <w:p w14:paraId="67099A64" w14:textId="77777777" w:rsidR="009C3E8E" w:rsidRDefault="009C3E8E" w:rsidP="00B9120C">
      <w:r>
        <w:t xml:space="preserve">Further policy from 2013 means that it is not possible to distinguish between the longer-term impact of the 2010 rate rise and the additional impact of later rate rises </w:t>
      </w:r>
      <w:r w:rsidR="00AA374C">
        <w:t>(as well as</w:t>
      </w:r>
      <w:r>
        <w:t xml:space="preserve"> other policies such as plain packaging</w:t>
      </w:r>
      <w:r w:rsidR="00AA374C">
        <w:t>)</w:t>
      </w:r>
      <w:r>
        <w:t xml:space="preserve">. In reality, there will have been </w:t>
      </w:r>
      <w:r w:rsidR="007D0EB7">
        <w:t xml:space="preserve">subsets of </w:t>
      </w:r>
      <w:r>
        <w:t>smokers who responded in each of these illustrative ways.</w:t>
      </w:r>
    </w:p>
    <w:p w14:paraId="7674CAC9" w14:textId="77777777" w:rsidR="00B9312A" w:rsidRDefault="00480954" w:rsidP="00B9120C">
      <w:r>
        <w:lastRenderedPageBreak/>
        <w:t xml:space="preserve">The </w:t>
      </w:r>
      <w:r w:rsidRPr="00E82464">
        <w:rPr>
          <w:i/>
        </w:rPr>
        <w:t>price elasticity of demand</w:t>
      </w:r>
      <w:r>
        <w:t xml:space="preserve"> (elasticity) is the measure of </w:t>
      </w:r>
      <w:r w:rsidR="00221A0B">
        <w:t xml:space="preserve">the impact </w:t>
      </w:r>
      <w:r>
        <w:t xml:space="preserve">a price change </w:t>
      </w:r>
      <w:r w:rsidR="00FF79F6">
        <w:t>has</w:t>
      </w:r>
      <w:r>
        <w:t xml:space="preserve"> on quantity consume</w:t>
      </w:r>
      <w:r w:rsidR="00FB79EC">
        <w:t xml:space="preserve">d: if the price of a product increases by 1 per cent then the elasticity is the per cent change in the volume of the product consumed. </w:t>
      </w:r>
      <w:r w:rsidR="001F12F6">
        <w:t>Price elasticities are</w:t>
      </w:r>
      <w:r w:rsidR="00EC453E">
        <w:t xml:space="preserve"> usually negative because volumes </w:t>
      </w:r>
      <w:r w:rsidR="00C207B1">
        <w:t>typically</w:t>
      </w:r>
      <w:r w:rsidR="00EC453E">
        <w:t xml:space="preserve"> fall when prices increase</w:t>
      </w:r>
      <w:r w:rsidR="005133B2">
        <w:t>.</w:t>
      </w:r>
    </w:p>
    <w:p w14:paraId="799486C3" w14:textId="77777777" w:rsidR="00B9312A" w:rsidRDefault="00BE52B7" w:rsidP="00B9120C">
      <w:r>
        <w:t>There is a range of elasticity estimates for tobacco in the relevant literature</w:t>
      </w:r>
      <w:r w:rsidR="00680311">
        <w:t>. The World Bank estimated an elasticity of demand of -0.4 in 1999 for developed countries</w:t>
      </w:r>
      <w:r w:rsidR="00680311">
        <w:rPr>
          <w:rStyle w:val="FootnoteReference"/>
        </w:rPr>
        <w:footnoteReference w:id="19"/>
      </w:r>
      <w:r w:rsidR="00680311">
        <w:t xml:space="preserve">, and </w:t>
      </w:r>
      <w:r w:rsidR="003D644A">
        <w:t xml:space="preserve">in 2011 </w:t>
      </w:r>
      <w:r w:rsidR="007C7256">
        <w:t xml:space="preserve">the International Agency for Research on Cancer </w:t>
      </w:r>
      <w:r w:rsidR="00680311">
        <w:t xml:space="preserve">suggested this had not changed substantially over the </w:t>
      </w:r>
      <w:r w:rsidR="001E504A">
        <w:t>decade</w:t>
      </w:r>
      <w:r w:rsidR="00680311">
        <w:rPr>
          <w:rStyle w:val="FootnoteReference"/>
        </w:rPr>
        <w:footnoteReference w:id="20"/>
      </w:r>
      <w:r w:rsidR="00680311">
        <w:t xml:space="preserve">. </w:t>
      </w:r>
      <w:r w:rsidR="00B9312A">
        <w:t xml:space="preserve"> </w:t>
      </w:r>
    </w:p>
    <w:p w14:paraId="5202EFE2" w14:textId="77777777" w:rsidR="001F12F6" w:rsidRDefault="009E2A24" w:rsidP="00B9120C">
      <w:r>
        <w:t>A</w:t>
      </w:r>
      <w:r w:rsidR="00831D6B">
        <w:t xml:space="preserve"> price elasticity of demand in Australia can be calculated using </w:t>
      </w:r>
      <w:r w:rsidR="00734DAC">
        <w:t xml:space="preserve">time-series </w:t>
      </w:r>
      <w:r w:rsidR="00831D6B">
        <w:t>tobacco consumption and price data from the Australian National Accounts</w:t>
      </w:r>
      <w:r w:rsidR="00831D6B" w:rsidRPr="00F75101">
        <w:rPr>
          <w:vertAlign w:val="superscript"/>
        </w:rPr>
        <w:footnoteReference w:id="21"/>
      </w:r>
      <w:r>
        <w:t xml:space="preserve">, resulting in an </w:t>
      </w:r>
      <w:r w:rsidR="00831D6B">
        <w:t xml:space="preserve">elasticity </w:t>
      </w:r>
      <w:r>
        <w:t xml:space="preserve">which </w:t>
      </w:r>
      <w:r w:rsidR="00831D6B">
        <w:t xml:space="preserve">has </w:t>
      </w:r>
      <w:r w:rsidR="00734DAC">
        <w:t>varied</w:t>
      </w:r>
      <w:r w:rsidR="00831D6B">
        <w:t xml:space="preserve"> over </w:t>
      </w:r>
      <w:r w:rsidR="001E504A">
        <w:t xml:space="preserve">a long </w:t>
      </w:r>
      <w:r w:rsidR="00831D6B">
        <w:t>time</w:t>
      </w:r>
      <w:r w:rsidR="001E504A">
        <w:t>scale</w:t>
      </w:r>
      <w:r w:rsidR="00831D6B">
        <w:t xml:space="preserve">. </w:t>
      </w:r>
      <w:r w:rsidR="007D0EB7">
        <w:t>Estimated o</w:t>
      </w:r>
      <w:r w:rsidR="00831D6B">
        <w:t>ver the twenty</w:t>
      </w:r>
      <w:r w:rsidR="007D0EB7">
        <w:t>-five</w:t>
      </w:r>
      <w:r w:rsidR="00831D6B">
        <w:t xml:space="preserve"> years to 1980-81, the relative short-term (same year) price elasticity for tobacco consumption was around -0.25</w:t>
      </w:r>
      <w:r w:rsidR="008C31E7">
        <w:t xml:space="preserve"> to -0.30</w:t>
      </w:r>
      <w:r w:rsidR="00831D6B">
        <w:t xml:space="preserve">, only around half of the elasticity of around -0.5 </w:t>
      </w:r>
      <w:r w:rsidR="005133B2">
        <w:t>for</w:t>
      </w:r>
      <w:r w:rsidR="00831D6B">
        <w:t xml:space="preserve"> the twenty</w:t>
      </w:r>
      <w:r w:rsidR="00697122">
        <w:t>-five years to 2017-18</w:t>
      </w:r>
      <w:r w:rsidR="00831D6B">
        <w:t xml:space="preserve">, indicating that smokers </w:t>
      </w:r>
      <w:r w:rsidR="00C207B1">
        <w:t xml:space="preserve">may </w:t>
      </w:r>
      <w:r w:rsidR="00831D6B">
        <w:t>have become more sensitive to price over time</w:t>
      </w:r>
      <w:r w:rsidR="00C207B1">
        <w:rPr>
          <w:rStyle w:val="FootnoteReference"/>
        </w:rPr>
        <w:footnoteReference w:id="22"/>
      </w:r>
      <w:r w:rsidR="00831D6B">
        <w:t>.</w:t>
      </w:r>
    </w:p>
    <w:p w14:paraId="55B9937B" w14:textId="77777777" w:rsidR="00831D6B" w:rsidRDefault="001F12F6" w:rsidP="00B9120C">
      <w:r>
        <w:t xml:space="preserve">The price elasticity may not be linear, since a large price increase may result in a different impact compared to a sequence of small price increases, although Chart 3 showed that the last forty years have featured time intervals of somewhat regular periods of stable price increases and volatile price increases.  </w:t>
      </w:r>
      <w:r w:rsidR="001E504A">
        <w:t>T</w:t>
      </w:r>
      <w:r w:rsidR="00831D6B">
        <w:t>he pric</w:t>
      </w:r>
      <w:r>
        <w:t>e elasticity of any product may also</w:t>
      </w:r>
      <w:r w:rsidR="00831D6B">
        <w:t xml:space="preserve"> change over time</w:t>
      </w:r>
      <w:r w:rsidR="003644EF">
        <w:t xml:space="preserve"> if</w:t>
      </w:r>
      <w:r w:rsidR="00831D6B">
        <w:t xml:space="preserve"> key features </w:t>
      </w:r>
      <w:r w:rsidR="001E504A">
        <w:t>of the population and/or the</w:t>
      </w:r>
      <w:r w:rsidR="00831D6B">
        <w:t xml:space="preserve"> economic context change. For tobacco elasticity, some of the factors will include how long the individuals have been smoking, how much they smoke, their income level and age, and their awareness of health issues. </w:t>
      </w:r>
    </w:p>
    <w:p w14:paraId="4B5BC27B" w14:textId="77777777" w:rsidR="00831D6B" w:rsidRDefault="00831D6B" w:rsidP="00B9120C">
      <w:r>
        <w:t>For example, a feature of many studies</w:t>
      </w:r>
      <w:r w:rsidR="00302368">
        <w:rPr>
          <w:rStyle w:val="FootnoteReference"/>
        </w:rPr>
        <w:footnoteReference w:id="23"/>
      </w:r>
      <w:r>
        <w:t xml:space="preserve"> is that younger people are more sensitive to price than adults</w:t>
      </w:r>
      <w:r w:rsidR="00D51E59">
        <w:t>.</w:t>
      </w:r>
      <w:r>
        <w:t xml:space="preserve"> This means that if young people were already priced out of the market by earlier excise rate increases, or deterred from taking up smoking by non-price factors such as health campaigns, then further excise rate increases will be targeting a population that is older on average than it had been for earlier excise rate increases, and hence a more inelastic demand curve. </w:t>
      </w:r>
    </w:p>
    <w:p w14:paraId="1A40B8A2" w14:textId="4DA39700" w:rsidR="00831D6B" w:rsidRDefault="00831D6B" w:rsidP="00B9120C">
      <w:r w:rsidRPr="005056C6">
        <w:t xml:space="preserve">Looking at the last few years shows </w:t>
      </w:r>
      <w:r>
        <w:t xml:space="preserve">that with a series of proportional excise rate increases, the decline in </w:t>
      </w:r>
      <w:r w:rsidR="00D25CE2">
        <w:t>consumption has not been the same</w:t>
      </w:r>
      <w:r>
        <w:t xml:space="preserve">. </w:t>
      </w:r>
      <w:r w:rsidR="00D25CE2">
        <w:t>In each of the last four years, the price deflator for tobacco products increased by between 10 per cent and 12 per cent. The falls in consumption fell by between 3 per cent and 13 per cent</w:t>
      </w:r>
      <w:r w:rsidR="00C207B1">
        <w:t xml:space="preserve"> in each year</w:t>
      </w:r>
      <w:r w:rsidR="00D25CE2">
        <w:t xml:space="preserve">, illustrating that the relationship between price and consumption is </w:t>
      </w:r>
      <w:r w:rsidR="0058350B">
        <w:t xml:space="preserve">likely to be </w:t>
      </w:r>
      <w:r w:rsidR="00D25CE2">
        <w:t>complicated by other factors</w:t>
      </w:r>
      <w:r w:rsidR="005133B2">
        <w:t xml:space="preserve"> and that the relationship is not instantaneous.  As a general rule</w:t>
      </w:r>
      <w:r w:rsidR="00927C76">
        <w:noBreakHyphen/>
      </w:r>
      <w:r w:rsidR="005133B2">
        <w:t>of</w:t>
      </w:r>
      <w:r w:rsidR="00927C76">
        <w:noBreakHyphen/>
      </w:r>
      <w:r w:rsidR="005133B2">
        <w:t xml:space="preserve">thumb, the Australian data indicates that </w:t>
      </w:r>
      <w:r w:rsidR="00532243">
        <w:t>over</w:t>
      </w:r>
      <w:r w:rsidR="005133B2">
        <w:t xml:space="preserve"> two thirds of the impact on smoking occurs in the year of the price rise, with </w:t>
      </w:r>
      <w:r w:rsidR="00532243">
        <w:t>up to one third of the</w:t>
      </w:r>
      <w:r w:rsidR="005133B2">
        <w:t xml:space="preserve"> remaining impact in the following year.</w:t>
      </w:r>
    </w:p>
    <w:p w14:paraId="3FF7F16C" w14:textId="77777777" w:rsidR="00F012EA" w:rsidRPr="00225CB8" w:rsidRDefault="00FC4EF6" w:rsidP="00B32157">
      <w:pPr>
        <w:pStyle w:val="Heading3"/>
      </w:pPr>
      <w:r w:rsidRPr="00225CB8">
        <w:t xml:space="preserve">Tobacco excise as part of the Commonwealth tax </w:t>
      </w:r>
      <w:r w:rsidR="001D40E1" w:rsidRPr="00225CB8">
        <w:t>mix</w:t>
      </w:r>
    </w:p>
    <w:p w14:paraId="25F59C85" w14:textId="14EA6A28" w:rsidR="00225CB8" w:rsidRPr="00F75101" w:rsidRDefault="00483091" w:rsidP="00B9120C">
      <w:r w:rsidRPr="00225CB8">
        <w:t xml:space="preserve">The significance of tobacco excise to the Commonwealth tax system </w:t>
      </w:r>
      <w:r w:rsidR="00CA677B">
        <w:t>is</w:t>
      </w:r>
      <w:r w:rsidRPr="00225CB8">
        <w:t xml:space="preserve"> determined by the</w:t>
      </w:r>
      <w:r>
        <w:t xml:space="preserve"> </w:t>
      </w:r>
      <w:r w:rsidR="00225CB8">
        <w:t>balance</w:t>
      </w:r>
      <w:r>
        <w:t xml:space="preserve"> between declining clearances and increasing excise rates. </w:t>
      </w:r>
      <w:r w:rsidR="005C0145">
        <w:t xml:space="preserve">Given </w:t>
      </w:r>
      <w:r w:rsidR="006958A6">
        <w:t xml:space="preserve">there has been a strong trend decline in tobacco consumption per </w:t>
      </w:r>
      <w:r w:rsidR="00F75101">
        <w:t>capita</w:t>
      </w:r>
      <w:r w:rsidR="006958A6">
        <w:t xml:space="preserve"> over the last four decades (see </w:t>
      </w:r>
      <w:r w:rsidR="006958A6" w:rsidRPr="002E5B25">
        <w:t xml:space="preserve">Chart </w:t>
      </w:r>
      <w:r w:rsidR="00235AB6">
        <w:t>3</w:t>
      </w:r>
      <w:r w:rsidR="006958A6">
        <w:t>)</w:t>
      </w:r>
      <w:r w:rsidR="005C0145">
        <w:t xml:space="preserve">, </w:t>
      </w:r>
      <w:r w:rsidR="00225CB8">
        <w:t xml:space="preserve">tobacco excise increasing as </w:t>
      </w:r>
      <w:r w:rsidR="00225CB8">
        <w:lastRenderedPageBreak/>
        <w:t xml:space="preserve">a percentage of GDP </w:t>
      </w:r>
      <w:r w:rsidR="00A443D7">
        <w:t>is a result of</w:t>
      </w:r>
      <w:r w:rsidR="00225CB8">
        <w:t xml:space="preserve"> the excise rate increasing </w:t>
      </w:r>
      <w:r w:rsidR="00697E8F">
        <w:t>enough to offset the lower consumption</w:t>
      </w:r>
      <w:r w:rsidR="00225CB8">
        <w:t xml:space="preserve">. </w:t>
      </w:r>
      <w:r w:rsidR="00F75101" w:rsidRPr="002E5B25">
        <w:t>Chart</w:t>
      </w:r>
      <w:r w:rsidR="00927C76">
        <w:t> </w:t>
      </w:r>
      <w:r w:rsidR="0015665B">
        <w:t>7</w:t>
      </w:r>
      <w:r w:rsidR="00F75101">
        <w:t xml:space="preserve"> shows the decline and increase in tobacco excise as a </w:t>
      </w:r>
      <w:r w:rsidR="00133219">
        <w:t>percentage of GDP since 2001-02</w:t>
      </w:r>
      <w:r w:rsidR="00B87956">
        <w:t>.</w:t>
      </w:r>
    </w:p>
    <w:p w14:paraId="5A825D73" w14:textId="77777777" w:rsidR="00DF5679" w:rsidRPr="00474D11" w:rsidRDefault="008A6965" w:rsidP="00826CB3">
      <w:pPr>
        <w:pStyle w:val="ChartMainHeading"/>
      </w:pPr>
      <w:r>
        <w:t xml:space="preserve">Chart </w:t>
      </w:r>
      <w:r w:rsidR="0015665B">
        <w:t>7</w:t>
      </w:r>
      <w:r w:rsidR="00DF5679" w:rsidRPr="00474D11">
        <w:t>: Tobacco excise as a percentage of GDP</w:t>
      </w:r>
      <w:r w:rsidR="00FA6BD8">
        <w:rPr>
          <w:rStyle w:val="FootnoteReference"/>
        </w:rPr>
        <w:footnoteReference w:id="24"/>
      </w:r>
    </w:p>
    <w:p w14:paraId="5647FB63" w14:textId="77777777" w:rsidR="00DF5679" w:rsidRDefault="00133219" w:rsidP="00CA677B">
      <w:pPr>
        <w:jc w:val="center"/>
      </w:pPr>
      <w:r w:rsidRPr="00133219">
        <w:rPr>
          <w:noProof/>
          <w:lang w:eastAsia="en-AU"/>
        </w:rPr>
        <w:drawing>
          <wp:inline distT="0" distB="0" distL="0" distR="0" wp14:anchorId="55B3D317" wp14:editId="6EB5F763">
            <wp:extent cx="4986655" cy="243459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86655" cy="2434590"/>
                    </a:xfrm>
                    <a:prstGeom prst="rect">
                      <a:avLst/>
                    </a:prstGeom>
                    <a:noFill/>
                    <a:ln>
                      <a:noFill/>
                    </a:ln>
                  </pic:spPr>
                </pic:pic>
              </a:graphicData>
            </a:graphic>
          </wp:inline>
        </w:drawing>
      </w:r>
    </w:p>
    <w:p w14:paraId="2283F369" w14:textId="5305ABCF" w:rsidR="005C0145" w:rsidRPr="00474D11" w:rsidRDefault="005C0145" w:rsidP="00B9120C">
      <w:r>
        <w:t xml:space="preserve">The period from 2000-01 </w:t>
      </w:r>
      <w:r w:rsidR="004E3205">
        <w:t xml:space="preserve">to 2008-09 </w:t>
      </w:r>
      <w:r>
        <w:t>contained no excise rate increases</w:t>
      </w:r>
      <w:r w:rsidR="00225CB8">
        <w:t xml:space="preserve"> beyond indexation</w:t>
      </w:r>
      <w:r>
        <w:t xml:space="preserve">, and </w:t>
      </w:r>
      <w:r w:rsidR="00225CB8">
        <w:t xml:space="preserve">with the exception of 2002-03, </w:t>
      </w:r>
      <w:r>
        <w:t>tobacco</w:t>
      </w:r>
      <w:r w:rsidR="00225CB8">
        <w:t xml:space="preserve"> excise</w:t>
      </w:r>
      <w:r>
        <w:t xml:space="preserve"> declined as a percentage of GDP </w:t>
      </w:r>
      <w:r w:rsidR="00225CB8">
        <w:t xml:space="preserve">in every year </w:t>
      </w:r>
      <w:r>
        <w:t>over that time. 2010</w:t>
      </w:r>
      <w:r w:rsidR="00927C76">
        <w:noBreakHyphen/>
      </w:r>
      <w:r>
        <w:t xml:space="preserve">11 </w:t>
      </w:r>
      <w:r w:rsidR="007D6CAB">
        <w:t>w</w:t>
      </w:r>
      <w:r w:rsidR="00361BD0">
        <w:t>as the first full year after the</w:t>
      </w:r>
      <w:r w:rsidR="007D6CAB">
        <w:t xml:space="preserve"> 25 per cent excise rate increase</w:t>
      </w:r>
      <w:r w:rsidR="00266BB5">
        <w:t xml:space="preserve"> in May 2010</w:t>
      </w:r>
      <w:r w:rsidR="007D6CAB">
        <w:t>, and saw a significant increase in excise collections. The next excise rate increase above the index</w:t>
      </w:r>
      <w:r w:rsidR="00405A43">
        <w:t>ation rate was in 2013-14. T</w:t>
      </w:r>
      <w:r w:rsidR="007D6CAB">
        <w:t>obacco excise has increased as a percentage of GDP</w:t>
      </w:r>
      <w:r w:rsidR="00361BD0">
        <w:t xml:space="preserve"> in every year</w:t>
      </w:r>
      <w:r w:rsidR="007D6CAB">
        <w:t xml:space="preserve"> since then, and is forecast to continue to do so until the last scheduled</w:t>
      </w:r>
      <w:r w:rsidR="000B54C5">
        <w:t xml:space="preserve"> non-indexation</w:t>
      </w:r>
      <w:r w:rsidR="007D6CAB">
        <w:t xml:space="preserve"> increase in 2020-21.</w:t>
      </w:r>
      <w:r w:rsidR="006760EC">
        <w:t xml:space="preserve"> A</w:t>
      </w:r>
      <w:r>
        <w:t xml:space="preserve">bsent further </w:t>
      </w:r>
      <w:r w:rsidR="00E25F01">
        <w:t xml:space="preserve">large </w:t>
      </w:r>
      <w:r>
        <w:t xml:space="preserve">excise rate increases, it would be expected that tobacco excise would </w:t>
      </w:r>
      <w:r w:rsidR="00927C76">
        <w:t>decline</w:t>
      </w:r>
      <w:r>
        <w:t xml:space="preserve"> as a </w:t>
      </w:r>
      <w:r w:rsidR="00BF677A">
        <w:t>percentage</w:t>
      </w:r>
      <w:r>
        <w:t xml:space="preserve"> of GDP beyond </w:t>
      </w:r>
      <w:r w:rsidR="006760EC">
        <w:t>2020</w:t>
      </w:r>
      <w:r w:rsidR="006760EC">
        <w:noBreakHyphen/>
      </w:r>
      <w:r w:rsidR="00361BD0">
        <w:t>21</w:t>
      </w:r>
      <w:r w:rsidR="00E25F01">
        <w:t xml:space="preserve">, albeit at a slower rate </w:t>
      </w:r>
      <w:r w:rsidR="00927C76">
        <w:t xml:space="preserve">than from 2002-03 to 2009-10 </w:t>
      </w:r>
      <w:r w:rsidR="00E25F01">
        <w:t>because of indexation to wages rather than prices.</w:t>
      </w:r>
      <w:r w:rsidR="0000796D">
        <w:rPr>
          <w:rStyle w:val="FootnoteReference"/>
        </w:rPr>
        <w:footnoteReference w:id="25"/>
      </w:r>
    </w:p>
    <w:p w14:paraId="3B1DD2F2" w14:textId="77777777" w:rsidR="00F012EA" w:rsidRPr="00474D11" w:rsidRDefault="00FC4EF6" w:rsidP="00826CB3">
      <w:pPr>
        <w:pStyle w:val="Heading2NotNumbered"/>
      </w:pPr>
      <w:r w:rsidRPr="00474D11">
        <w:t>Forecasting Tobacco Excise</w:t>
      </w:r>
    </w:p>
    <w:p w14:paraId="0232528D" w14:textId="77777777" w:rsidR="00033FE4" w:rsidRPr="00474D11" w:rsidRDefault="00033FE4" w:rsidP="00826CB3">
      <w:pPr>
        <w:pStyle w:val="Heading3"/>
      </w:pPr>
      <w:r w:rsidRPr="00474D11">
        <w:t>Parameter and collections</w:t>
      </w:r>
    </w:p>
    <w:p w14:paraId="5F95AD62" w14:textId="77777777" w:rsidR="00333E55" w:rsidRDefault="00333E55" w:rsidP="00B9120C">
      <w:r>
        <w:t>Revenue forecasts are based on forecasts of the relevant components of the economy, called ‘parameters’. Tobacco excise forecasts are based on forecasts of two parameters: the quantity of tobacco products consumed and the rate of increase in average weekly ordinary time earnings (AWOTE)</w:t>
      </w:r>
      <w:r w:rsidR="004A6D3D">
        <w:t xml:space="preserve">, which currently </w:t>
      </w:r>
      <w:r w:rsidR="00A62257">
        <w:t xml:space="preserve">determines the </w:t>
      </w:r>
      <w:r w:rsidR="004A6D3D">
        <w:t xml:space="preserve">indexation </w:t>
      </w:r>
      <w:r w:rsidR="00A62257">
        <w:t xml:space="preserve">of the excise rate </w:t>
      </w:r>
      <w:r w:rsidR="004A6D3D">
        <w:t>(formerly the CPI)</w:t>
      </w:r>
      <w:r>
        <w:t xml:space="preserve">. </w:t>
      </w:r>
      <w:r w:rsidR="00A4032F">
        <w:t xml:space="preserve">These parameters are </w:t>
      </w:r>
      <w:r w:rsidR="00863BE8">
        <w:t>generated as part of a</w:t>
      </w:r>
      <w:r w:rsidR="00A4032F">
        <w:t xml:space="preserve"> coherent whole-of-economy approach to </w:t>
      </w:r>
      <w:r>
        <w:t xml:space="preserve">macroeconomic </w:t>
      </w:r>
      <w:r w:rsidR="00A4032F">
        <w:t xml:space="preserve">forecasting. </w:t>
      </w:r>
    </w:p>
    <w:p w14:paraId="0C29715B" w14:textId="77777777" w:rsidR="00333E55" w:rsidRDefault="003B2889" w:rsidP="00B9120C">
      <w:r>
        <w:t>Growth in h</w:t>
      </w:r>
      <w:r w:rsidR="00A4032F">
        <w:t xml:space="preserve">ousehold consumption is forecast with reference to recent developments and expectations for household income and wealth, with the tobacco component </w:t>
      </w:r>
      <w:r>
        <w:t xml:space="preserve">of this </w:t>
      </w:r>
      <w:r w:rsidR="00A4032F">
        <w:t xml:space="preserve">determined </w:t>
      </w:r>
      <w:r w:rsidR="000756E3" w:rsidRPr="000756E3">
        <w:t xml:space="preserve">using a forecast combination modelling approach as outlined in Treasury Working Paper 17-04, </w:t>
      </w:r>
      <w:r w:rsidR="000756E3" w:rsidRPr="000756E3">
        <w:rPr>
          <w:i/>
        </w:rPr>
        <w:t>Forecasting Household Consumption Components: A Forecast Combination Approach</w:t>
      </w:r>
      <w:r w:rsidR="000756E3">
        <w:t>.</w:t>
      </w:r>
      <w:r w:rsidR="000756E3">
        <w:rPr>
          <w:rStyle w:val="FootnoteReference"/>
        </w:rPr>
        <w:footnoteReference w:id="26"/>
      </w:r>
    </w:p>
    <w:p w14:paraId="2CEE77FE" w14:textId="77777777" w:rsidR="00333E55" w:rsidRDefault="003B2889" w:rsidP="00B9120C">
      <w:r>
        <w:lastRenderedPageBreak/>
        <w:t xml:space="preserve">Growth in </w:t>
      </w:r>
      <w:r w:rsidR="00A4032F">
        <w:t>AWOTE is forecast in the context of the labour market as a whole, including employment supply and demand, and general wage and price pressures.</w:t>
      </w:r>
    </w:p>
    <w:p w14:paraId="537E0D22" w14:textId="77777777" w:rsidR="00333E55" w:rsidRDefault="00A4032F" w:rsidP="00B9120C">
      <w:r>
        <w:t>In the medium-term</w:t>
      </w:r>
      <w:r w:rsidR="008301A1">
        <w:t>, which covers the period beyond two years in the future</w:t>
      </w:r>
      <w:r>
        <w:t xml:space="preserve">, </w:t>
      </w:r>
      <w:r w:rsidR="008301A1">
        <w:t>these parameters are projected consistent with Treasury’s economic projections framework, which assumes that</w:t>
      </w:r>
      <w:r>
        <w:t xml:space="preserve"> the </w:t>
      </w:r>
      <w:r w:rsidR="008301A1">
        <w:t>‘</w:t>
      </w:r>
      <w:r>
        <w:t>output gap</w:t>
      </w:r>
      <w:r w:rsidR="008301A1">
        <w:t>’</w:t>
      </w:r>
      <w:r>
        <w:t xml:space="preserve"> is</w:t>
      </w:r>
      <w:r w:rsidR="008301A1">
        <w:t xml:space="preserve"> closed over several years</w:t>
      </w:r>
      <w:r>
        <w:rPr>
          <w:rStyle w:val="FootnoteReference"/>
        </w:rPr>
        <w:footnoteReference w:id="27"/>
      </w:r>
      <w:r>
        <w:t>.</w:t>
      </w:r>
    </w:p>
    <w:p w14:paraId="25CAC498" w14:textId="77777777" w:rsidR="00FB77CE" w:rsidRPr="00474D11" w:rsidRDefault="00CC7C3C" w:rsidP="00B9120C">
      <w:r>
        <w:t>In addition to the economic parameters, estimates for revenue for the current year also incorporate r</w:t>
      </w:r>
      <w:r w:rsidR="00863BE8">
        <w:t xml:space="preserve">ecent trends in tax collections and </w:t>
      </w:r>
      <w:r w:rsidR="00361BD0">
        <w:t xml:space="preserve">other </w:t>
      </w:r>
      <w:r w:rsidR="00863BE8">
        <w:t xml:space="preserve">relevant </w:t>
      </w:r>
      <w:r w:rsidR="00361BD0">
        <w:t>factor</w:t>
      </w:r>
      <w:r w:rsidR="00287EE1">
        <w:t>s</w:t>
      </w:r>
      <w:r w:rsidR="00361BD0">
        <w:t xml:space="preserve"> </w:t>
      </w:r>
      <w:r w:rsidR="00863BE8">
        <w:t xml:space="preserve">such </w:t>
      </w:r>
      <w:r w:rsidR="00287EE1">
        <w:t xml:space="preserve">as </w:t>
      </w:r>
      <w:r w:rsidR="00361BD0">
        <w:t>the number of collection days</w:t>
      </w:r>
      <w:r w:rsidR="00287EE1">
        <w:t xml:space="preserve"> in each month</w:t>
      </w:r>
      <w:r w:rsidR="00287EE1">
        <w:rPr>
          <w:rStyle w:val="FootnoteReference"/>
        </w:rPr>
        <w:footnoteReference w:id="28"/>
      </w:r>
      <w:r w:rsidR="00FC537A">
        <w:t>.</w:t>
      </w:r>
    </w:p>
    <w:p w14:paraId="6EE4BCA1" w14:textId="77777777" w:rsidR="009248D2" w:rsidRPr="00474D11" w:rsidRDefault="00FC537A" w:rsidP="00B9120C">
      <w:r>
        <w:t xml:space="preserve">In recent years the </w:t>
      </w:r>
      <w:r w:rsidR="00C7442E">
        <w:t>forecast</w:t>
      </w:r>
      <w:r w:rsidR="00863BE8">
        <w:t>s</w:t>
      </w:r>
      <w:r w:rsidR="00C7442E">
        <w:t xml:space="preserve"> </w:t>
      </w:r>
      <w:r w:rsidR="00863BE8">
        <w:t xml:space="preserve">have </w:t>
      </w:r>
      <w:r>
        <w:t>account</w:t>
      </w:r>
      <w:r w:rsidR="00863BE8">
        <w:t>ed</w:t>
      </w:r>
      <w:r>
        <w:t xml:space="preserve"> for the switch</w:t>
      </w:r>
      <w:r w:rsidR="00C7442E">
        <w:t xml:space="preserve"> in collections of tobacco excise</w:t>
      </w:r>
      <w:r>
        <w:t xml:space="preserve"> from </w:t>
      </w:r>
      <w:r w:rsidR="00C7442E">
        <w:t xml:space="preserve">majority </w:t>
      </w:r>
      <w:r>
        <w:t xml:space="preserve">ATO to </w:t>
      </w:r>
      <w:r w:rsidR="00C7442E">
        <w:t xml:space="preserve">entirely </w:t>
      </w:r>
      <w:r w:rsidR="004A4CA4">
        <w:t>Department of Home Affairs</w:t>
      </w:r>
      <w:r>
        <w:t>.</w:t>
      </w:r>
      <w:r w:rsidR="00681A61">
        <w:t xml:space="preserve"> This </w:t>
      </w:r>
      <w:r w:rsidR="00026A45">
        <w:t xml:space="preserve">temporarily </w:t>
      </w:r>
      <w:r w:rsidR="00681A61">
        <w:t xml:space="preserve">increased the difficulty of </w:t>
      </w:r>
      <w:r w:rsidR="00863BE8">
        <w:t>interpreting</w:t>
      </w:r>
      <w:r w:rsidR="00681A61">
        <w:t xml:space="preserve"> clearances, as </w:t>
      </w:r>
      <w:r w:rsidR="00E3135A">
        <w:t>importers</w:t>
      </w:r>
      <w:r w:rsidR="0042507E">
        <w:t xml:space="preserve"> </w:t>
      </w:r>
      <w:r w:rsidR="00681A61">
        <w:t xml:space="preserve">may </w:t>
      </w:r>
      <w:r w:rsidR="00595198">
        <w:t xml:space="preserve">have </w:t>
      </w:r>
      <w:r w:rsidR="00681A61">
        <w:t>clear</w:t>
      </w:r>
      <w:r w:rsidR="00595198">
        <w:t>ed</w:t>
      </w:r>
      <w:r w:rsidR="00681A61">
        <w:t xml:space="preserve"> </w:t>
      </w:r>
      <w:r w:rsidR="0042507E">
        <w:t xml:space="preserve">their </w:t>
      </w:r>
      <w:r w:rsidR="00681A61">
        <w:t xml:space="preserve">stock in a different annual pattern </w:t>
      </w:r>
      <w:r w:rsidR="00E3135A">
        <w:t>compared to when they were manufacturing in Australia</w:t>
      </w:r>
      <w:r w:rsidR="001C1109">
        <w:t xml:space="preserve"> – this is discussed further below.</w:t>
      </w:r>
    </w:p>
    <w:p w14:paraId="58255C48" w14:textId="77777777" w:rsidR="00C7442E" w:rsidRDefault="00C767B5" w:rsidP="00B9120C">
      <w:r w:rsidRPr="00474D11">
        <w:t xml:space="preserve">Changes in policy, particularly to the excise rate, have had a large effect on how much tobacco excise has been collected recently and will be collected over the </w:t>
      </w:r>
      <w:r w:rsidR="00361BD0">
        <w:t>next few years</w:t>
      </w:r>
      <w:r w:rsidR="004A4CA4">
        <w:rPr>
          <w:rStyle w:val="FootnoteReference"/>
        </w:rPr>
        <w:footnoteReference w:id="29"/>
      </w:r>
      <w:r w:rsidRPr="00474D11">
        <w:t xml:space="preserve">. </w:t>
      </w:r>
      <w:r w:rsidR="00A5609F">
        <w:t>In general, forecasts are</w:t>
      </w:r>
      <w:r w:rsidR="00DF3D4C">
        <w:t xml:space="preserve"> </w:t>
      </w:r>
      <w:r w:rsidR="00A5609F">
        <w:t>first generated</w:t>
      </w:r>
      <w:r w:rsidR="00DF3D4C">
        <w:t xml:space="preserve"> on a ‘no policy change’ basis, </w:t>
      </w:r>
      <w:r w:rsidR="00A5609F">
        <w:t>followed by the addition of new policy decisions.  T</w:t>
      </w:r>
      <w:r w:rsidR="00DF3D4C">
        <w:t xml:space="preserve">he impacts of policy changes </w:t>
      </w:r>
      <w:r w:rsidR="00A5609F">
        <w:t>may later be</w:t>
      </w:r>
      <w:r w:rsidR="00DF3D4C">
        <w:t xml:space="preserve"> incorporated into the modelling</w:t>
      </w:r>
      <w:r w:rsidR="00C7442E">
        <w:t xml:space="preserve"> </w:t>
      </w:r>
      <w:r w:rsidR="00DF3D4C">
        <w:t>(‘</w:t>
      </w:r>
      <w:proofErr w:type="spellStart"/>
      <w:r w:rsidR="00DF3D4C">
        <w:t>endogenised</w:t>
      </w:r>
      <w:proofErr w:type="spellEnd"/>
      <w:r w:rsidR="00DF3D4C">
        <w:t>’)</w:t>
      </w:r>
      <w:r w:rsidR="00C7442E" w:rsidRPr="00BA6F1F">
        <w:t>.</w:t>
      </w:r>
    </w:p>
    <w:p w14:paraId="2C52104C" w14:textId="77777777" w:rsidR="00FB447B" w:rsidRPr="00474D11" w:rsidRDefault="005E0669" w:rsidP="00826CB3">
      <w:pPr>
        <w:pStyle w:val="Heading2NotNumbered"/>
      </w:pPr>
      <w:r w:rsidRPr="00474D11">
        <w:t xml:space="preserve">Forecasting </w:t>
      </w:r>
      <w:r w:rsidR="005464F7">
        <w:t xml:space="preserve">Challenges and </w:t>
      </w:r>
      <w:r w:rsidRPr="00474D11">
        <w:t>Risks</w:t>
      </w:r>
    </w:p>
    <w:p w14:paraId="6347FACA" w14:textId="77777777" w:rsidR="001D40E1" w:rsidRPr="00474D11" w:rsidRDefault="0078079E" w:rsidP="00826CB3">
      <w:pPr>
        <w:pStyle w:val="Heading3NotNumbered"/>
      </w:pPr>
      <w:proofErr w:type="spellStart"/>
      <w:r>
        <w:t>Stockbuilding</w:t>
      </w:r>
      <w:proofErr w:type="spellEnd"/>
    </w:p>
    <w:p w14:paraId="5B6D06A6" w14:textId="77777777" w:rsidR="00B832EC" w:rsidRDefault="000F72FC" w:rsidP="00B9120C">
      <w:r>
        <w:t>While t</w:t>
      </w:r>
      <w:r w:rsidR="00E76C07" w:rsidRPr="00474D11">
        <w:t xml:space="preserve">obacco consumption is </w:t>
      </w:r>
      <w:r>
        <w:t>used as the</w:t>
      </w:r>
      <w:r w:rsidR="00E76C07" w:rsidRPr="00474D11">
        <w:t xml:space="preserve"> tax base for tobacco excise</w:t>
      </w:r>
      <w:r>
        <w:t>,</w:t>
      </w:r>
      <w:r w:rsidR="00E76C07" w:rsidRPr="00474D11">
        <w:t xml:space="preserve"> </w:t>
      </w:r>
      <w:r>
        <w:t>i</w:t>
      </w:r>
      <w:r w:rsidR="00E76C07" w:rsidRPr="00474D11">
        <w:t xml:space="preserve">n </w:t>
      </w:r>
      <w:r>
        <w:t>practice</w:t>
      </w:r>
      <w:r w:rsidR="00E76C07" w:rsidRPr="00474D11">
        <w:t xml:space="preserve"> excise is levied on clearances of tobacco goods through the excise system.</w:t>
      </w:r>
      <w:r w:rsidR="006F2057">
        <w:t xml:space="preserve"> Clearances </w:t>
      </w:r>
      <w:r>
        <w:t xml:space="preserve">patterns do not precisely reflect </w:t>
      </w:r>
      <w:r w:rsidR="006F2057">
        <w:t>consumption</w:t>
      </w:r>
      <w:r>
        <w:t xml:space="preserve"> as there is typically a lag between the product being cleared by the importer or wholesaler and being sold to the consumer</w:t>
      </w:r>
      <w:r w:rsidR="006F2057">
        <w:t>.</w:t>
      </w:r>
      <w:r>
        <w:t xml:space="preserve"> Tobacco products cleared but not sold will enter the inventories (stocks</w:t>
      </w:r>
      <w:r w:rsidR="00903704">
        <w:t>) of the wholesaler or retailer, which vary over the course of each year partly reflecting seasonal patterns in demand.</w:t>
      </w:r>
    </w:p>
    <w:p w14:paraId="00A50465" w14:textId="77777777" w:rsidR="000C276A" w:rsidRDefault="006F2057" w:rsidP="00B9120C">
      <w:r>
        <w:t>In recent years, there has been an increase in the stoc</w:t>
      </w:r>
      <w:r w:rsidR="00FF70F3">
        <w:t>ks held by tobacco distributors</w:t>
      </w:r>
      <w:r>
        <w:t xml:space="preserve">. </w:t>
      </w:r>
      <w:r w:rsidR="008933C7" w:rsidRPr="002E5B25">
        <w:t>Chart 1</w:t>
      </w:r>
      <w:r w:rsidR="00BB03AA">
        <w:t>0</w:t>
      </w:r>
      <w:r>
        <w:t xml:space="preserve"> </w:t>
      </w:r>
      <w:r w:rsidR="008933C7">
        <w:t>shows</w:t>
      </w:r>
      <w:r>
        <w:t xml:space="preserve"> the </w:t>
      </w:r>
      <w:r w:rsidR="000F72FC">
        <w:t xml:space="preserve">estimated </w:t>
      </w:r>
      <w:r w:rsidR="00FF70F3">
        <w:t>aggregate</w:t>
      </w:r>
      <w:r>
        <w:t xml:space="preserve"> </w:t>
      </w:r>
      <w:r w:rsidR="000C276A">
        <w:t xml:space="preserve">value of </w:t>
      </w:r>
      <w:r w:rsidR="00FF70F3">
        <w:t xml:space="preserve">tobacco products held as </w:t>
      </w:r>
      <w:r w:rsidR="000C276A">
        <w:t>stock at year’s end</w:t>
      </w:r>
      <w:r>
        <w:t>.</w:t>
      </w:r>
      <w:r w:rsidR="00740219">
        <w:t xml:space="preserve"> This increase in </w:t>
      </w:r>
      <w:proofErr w:type="spellStart"/>
      <w:r w:rsidR="00740219">
        <w:t>stockbuilding</w:t>
      </w:r>
      <w:proofErr w:type="spellEnd"/>
      <w:r w:rsidR="00740219">
        <w:t xml:space="preserve"> has contributed to the difficulty in forecasting.</w:t>
      </w:r>
    </w:p>
    <w:p w14:paraId="55A6545B" w14:textId="78FB7716" w:rsidR="00B009EB" w:rsidRPr="00B009EB" w:rsidRDefault="00FF70F3" w:rsidP="008511BA">
      <w:pPr>
        <w:pStyle w:val="ChartMainHeading"/>
      </w:pPr>
      <w:r>
        <w:lastRenderedPageBreak/>
        <w:t>C</w:t>
      </w:r>
      <w:r w:rsidR="008933C7">
        <w:t>hart 1</w:t>
      </w:r>
      <w:r w:rsidR="00BB03AA">
        <w:t>0</w:t>
      </w:r>
      <w:r w:rsidR="00B009EB" w:rsidRPr="00B009EB">
        <w:t xml:space="preserve">: </w:t>
      </w:r>
      <w:r>
        <w:t>Aggregate value of stock held</w:t>
      </w:r>
      <w:r w:rsidR="000F72FC">
        <w:rPr>
          <w:rStyle w:val="FootnoteReference"/>
        </w:rPr>
        <w:footnoteReference w:id="30"/>
      </w:r>
    </w:p>
    <w:p w14:paraId="68FF13B4" w14:textId="77777777" w:rsidR="002C1EBD" w:rsidRDefault="008A3839" w:rsidP="003D23AD">
      <w:pPr>
        <w:jc w:val="center"/>
      </w:pPr>
      <w:r w:rsidRPr="008A3839">
        <w:rPr>
          <w:noProof/>
          <w:lang w:eastAsia="en-AU"/>
        </w:rPr>
        <w:drawing>
          <wp:inline distT="0" distB="0" distL="0" distR="0" wp14:anchorId="55E08F98" wp14:editId="22F19329">
            <wp:extent cx="5067300" cy="249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7300" cy="2495550"/>
                    </a:xfrm>
                    <a:prstGeom prst="rect">
                      <a:avLst/>
                    </a:prstGeom>
                    <a:noFill/>
                    <a:ln>
                      <a:noFill/>
                    </a:ln>
                  </pic:spPr>
                </pic:pic>
              </a:graphicData>
            </a:graphic>
          </wp:inline>
        </w:drawing>
      </w:r>
      <w:r w:rsidR="006A7318" w:rsidRPr="006A7318" w:rsidDel="00877C01">
        <w:t xml:space="preserve"> </w:t>
      </w:r>
    </w:p>
    <w:p w14:paraId="1CA3D43B" w14:textId="77777777" w:rsidR="00DE0547" w:rsidRDefault="00D16909" w:rsidP="00B9120C">
      <w:r w:rsidRPr="00DE0547">
        <w:t xml:space="preserve">If tobacco is cleared as stock </w:t>
      </w:r>
      <w:r w:rsidR="003D6871">
        <w:t xml:space="preserve">and </w:t>
      </w:r>
      <w:r w:rsidRPr="00DE0547">
        <w:t xml:space="preserve">then not sold, it </w:t>
      </w:r>
      <w:r w:rsidR="00B009EB" w:rsidRPr="00DE0547">
        <w:t>can be</w:t>
      </w:r>
      <w:r w:rsidRPr="00DE0547">
        <w:t xml:space="preserve"> cleared back through the tax system for a refund</w:t>
      </w:r>
      <w:r w:rsidR="00B009EB" w:rsidRPr="00DE0547">
        <w:t xml:space="preserve"> of the excise</w:t>
      </w:r>
      <w:r w:rsidRPr="00DE0547">
        <w:t xml:space="preserve">. </w:t>
      </w:r>
      <w:r w:rsidR="00362BB6">
        <w:t xml:space="preserve">Refunds of excise are negligible compared to the excise, </w:t>
      </w:r>
      <w:r w:rsidR="00740219">
        <w:t xml:space="preserve">however, </w:t>
      </w:r>
      <w:r w:rsidR="00362BB6">
        <w:t>so it is assumed that all tobacco products cleared are eventually consumed.</w:t>
      </w:r>
      <w:r w:rsidR="00B009EB" w:rsidRPr="00DE0547">
        <w:t xml:space="preserve"> </w:t>
      </w:r>
    </w:p>
    <w:p w14:paraId="5411AE3A" w14:textId="77777777" w:rsidR="00D16909" w:rsidRPr="00DE0547" w:rsidRDefault="00362BB6" w:rsidP="00B9120C">
      <w:r>
        <w:t>The build-</w:t>
      </w:r>
      <w:r w:rsidRPr="00362BB6">
        <w:t xml:space="preserve">up </w:t>
      </w:r>
      <w:r>
        <w:t xml:space="preserve">in stocks is likely to </w:t>
      </w:r>
      <w:r w:rsidRPr="00362BB6">
        <w:t xml:space="preserve">be </w:t>
      </w:r>
      <w:r>
        <w:t xml:space="preserve">partly a result of </w:t>
      </w:r>
      <w:r w:rsidRPr="00362BB6">
        <w:t xml:space="preserve">the relocation of the </w:t>
      </w:r>
      <w:r>
        <w:t xml:space="preserve">tobacco manufacturers </w:t>
      </w:r>
      <w:r w:rsidRPr="00362BB6">
        <w:t xml:space="preserve">offshore, ending domestic </w:t>
      </w:r>
      <w:r>
        <w:t>production</w:t>
      </w:r>
      <w:r w:rsidRPr="00362BB6">
        <w:t xml:space="preserve"> and hence requiring transitional stocks and a different strategy on stocks-to-sales in the long term. </w:t>
      </w:r>
      <w:r w:rsidR="00A13FB3">
        <w:t>T</w:t>
      </w:r>
      <w:r>
        <w:t xml:space="preserve">he build-up </w:t>
      </w:r>
      <w:r w:rsidRPr="00362BB6">
        <w:t xml:space="preserve">may also </w:t>
      </w:r>
      <w:r>
        <w:t>reflect clearances before excise rate increases</w:t>
      </w:r>
      <w:r w:rsidRPr="00362BB6">
        <w:t>.</w:t>
      </w:r>
      <w:r w:rsidR="002954C2">
        <w:t xml:space="preserve"> The future trajectory of the stocks-to-sales ratio, and hence the relationship between clearances and consumption, will depend on the relative </w:t>
      </w:r>
      <w:r w:rsidR="00DD20A4">
        <w:t xml:space="preserve">(but unknown) </w:t>
      </w:r>
      <w:r w:rsidR="002954C2">
        <w:t>importance of these two factors.</w:t>
      </w:r>
    </w:p>
    <w:p w14:paraId="4555DC42" w14:textId="77777777" w:rsidR="00917003" w:rsidRDefault="00283857" w:rsidP="00826CB3">
      <w:pPr>
        <w:pStyle w:val="Heading3NotNumbered"/>
      </w:pPr>
      <w:r>
        <w:t>Switch to lower-priced substitutes</w:t>
      </w:r>
    </w:p>
    <w:p w14:paraId="09EFAD1E" w14:textId="2EB4D5DD" w:rsidR="000924B1" w:rsidRDefault="003C53EB" w:rsidP="00B9120C">
      <w:r>
        <w:rPr>
          <w:lang w:val="en-US" w:eastAsia="en-AU"/>
        </w:rPr>
        <w:t xml:space="preserve">One possible effect of </w:t>
      </w:r>
      <w:r w:rsidR="000924B1">
        <w:rPr>
          <w:lang w:val="en-US" w:eastAsia="en-AU"/>
        </w:rPr>
        <w:t>increasing tobacco prices is that consumers switch to low-priced substitutes rather than lowering their tobacco consumption. This presents an upside risk to the tobacco excise forecast</w:t>
      </w:r>
      <w:r w:rsidR="00CF17EB">
        <w:rPr>
          <w:lang w:val="en-US" w:eastAsia="en-AU"/>
        </w:rPr>
        <w:t xml:space="preserve"> which</w:t>
      </w:r>
      <w:r w:rsidR="00884D84">
        <w:rPr>
          <w:lang w:val="en-US" w:eastAsia="en-AU"/>
        </w:rPr>
        <w:t xml:space="preserve"> predicts smokers cutting back consumption</w:t>
      </w:r>
      <w:r w:rsidR="00CF17EB">
        <w:rPr>
          <w:lang w:val="en-US" w:eastAsia="en-AU"/>
        </w:rPr>
        <w:t xml:space="preserve"> consistent with past patterns. S</w:t>
      </w:r>
      <w:r w:rsidR="00884D84">
        <w:rPr>
          <w:lang w:val="en-US" w:eastAsia="en-AU"/>
        </w:rPr>
        <w:t xml:space="preserve">ubstitution to lower-priced </w:t>
      </w:r>
      <w:r w:rsidR="0046690B">
        <w:rPr>
          <w:lang w:val="en-US" w:eastAsia="en-AU"/>
        </w:rPr>
        <w:t xml:space="preserve">licit </w:t>
      </w:r>
      <w:r w:rsidR="00884D84">
        <w:rPr>
          <w:lang w:val="en-US" w:eastAsia="en-AU"/>
        </w:rPr>
        <w:t xml:space="preserve">tobacco has </w:t>
      </w:r>
      <w:r w:rsidR="000924B1">
        <w:rPr>
          <w:lang w:val="en-US" w:eastAsia="en-AU"/>
        </w:rPr>
        <w:t xml:space="preserve">no impact on excise collections, as tobacco excise is levied on the quantity of tobacco rather than its value. </w:t>
      </w:r>
    </w:p>
    <w:p w14:paraId="4AD102E8" w14:textId="5960F0A0" w:rsidR="00E30BD2" w:rsidRDefault="00544DFC" w:rsidP="00B9120C">
      <w:r w:rsidRPr="00267E1D">
        <w:t xml:space="preserve">There is evidence that this substitution </w:t>
      </w:r>
      <w:r w:rsidR="004721B8">
        <w:t xml:space="preserve">to lower priced licit tobacco </w:t>
      </w:r>
      <w:r w:rsidRPr="00267E1D">
        <w:t xml:space="preserve">has been taking place. In the period 2010 to 2014, </w:t>
      </w:r>
      <w:r w:rsidRPr="00F74775">
        <w:t>based on supermarket data</w:t>
      </w:r>
      <w:r w:rsidRPr="003D23AD">
        <w:t xml:space="preserve">, sales of </w:t>
      </w:r>
      <w:r w:rsidR="001C57DB" w:rsidRPr="003D23AD">
        <w:t>‘</w:t>
      </w:r>
      <w:r w:rsidRPr="003D23AD">
        <w:t>super-value</w:t>
      </w:r>
      <w:r w:rsidR="001C57DB" w:rsidRPr="003D23AD">
        <w:t>’</w:t>
      </w:r>
      <w:r w:rsidRPr="003D23AD">
        <w:t xml:space="preserve"> </w:t>
      </w:r>
      <w:r w:rsidR="001C57DB" w:rsidRPr="003D23AD">
        <w:t xml:space="preserve">(low-cost) </w:t>
      </w:r>
      <w:r w:rsidRPr="003D23AD">
        <w:t>brands rose sharply while mainstream, premium and value brands all fell, as total sales fell slightly.</w:t>
      </w:r>
      <w:r w:rsidR="001C57DB" w:rsidRPr="003D23AD">
        <w:t xml:space="preserve"> Some brand</w:t>
      </w:r>
      <w:r w:rsidR="002B4AA6" w:rsidRPr="003D23AD">
        <w:t>s have been relaunched as super</w:t>
      </w:r>
      <w:r w:rsidR="002B4AA6">
        <w:noBreakHyphen/>
      </w:r>
      <w:r w:rsidR="001C57DB" w:rsidRPr="00267E1D">
        <w:t>value</w:t>
      </w:r>
      <w:r w:rsidR="001C57DB" w:rsidRPr="00F74775">
        <w:t>, such as Rothmans</w:t>
      </w:r>
      <w:r w:rsidR="001C57DB" w:rsidRPr="003D23AD">
        <w:t xml:space="preserve"> in 2014</w:t>
      </w:r>
      <w:r w:rsidR="001C57DB" w:rsidRPr="0067198E">
        <w:rPr>
          <w:rStyle w:val="FootnoteReference"/>
        </w:rPr>
        <w:footnoteReference w:id="31"/>
      </w:r>
      <w:r w:rsidR="001C57DB" w:rsidRPr="00267E1D">
        <w:t xml:space="preserve">, in an effort to maintain or regain </w:t>
      </w:r>
      <w:r w:rsidR="001C57DB" w:rsidRPr="00F74775">
        <w:t>volume shares while the excise rate is increasing</w:t>
      </w:r>
      <w:r w:rsidR="00CF17EB">
        <w:t xml:space="preserve">. If </w:t>
      </w:r>
      <w:r w:rsidR="001C57DB" w:rsidRPr="003D23AD">
        <w:t>substitution behavio</w:t>
      </w:r>
      <w:r w:rsidR="00CF17EB">
        <w:t>u</w:t>
      </w:r>
      <w:r w:rsidR="001C57DB" w:rsidRPr="003D23AD">
        <w:t>r by consumers and producers continues, then collections may be higher than forecast, at least in the short term</w:t>
      </w:r>
      <w:r w:rsidR="001C57DB" w:rsidRPr="00267E1D">
        <w:t>.</w:t>
      </w:r>
    </w:p>
    <w:p w14:paraId="4F696229" w14:textId="77777777" w:rsidR="005E0669" w:rsidRPr="00474D11" w:rsidRDefault="0063044D" w:rsidP="00826CB3">
      <w:pPr>
        <w:pStyle w:val="Heading3NotNumbered"/>
      </w:pPr>
      <w:r>
        <w:t>The d</w:t>
      </w:r>
      <w:r w:rsidR="005E0669" w:rsidRPr="00A53274">
        <w:t xml:space="preserve">uty </w:t>
      </w:r>
      <w:r>
        <w:t>free and i</w:t>
      </w:r>
      <w:r w:rsidR="005E0669" w:rsidRPr="00A53274">
        <w:t xml:space="preserve">llegal </w:t>
      </w:r>
      <w:r>
        <w:t>t</w:t>
      </w:r>
      <w:r w:rsidR="005E0669" w:rsidRPr="00A53274">
        <w:t xml:space="preserve">obacco </w:t>
      </w:r>
      <w:r>
        <w:t>m</w:t>
      </w:r>
      <w:r w:rsidR="005E0669" w:rsidRPr="00A53274">
        <w:t>arkets</w:t>
      </w:r>
    </w:p>
    <w:p w14:paraId="18E79D9B" w14:textId="76FC180B" w:rsidR="00727294" w:rsidRDefault="00A25B7F" w:rsidP="00B9120C">
      <w:r w:rsidRPr="00474D11">
        <w:t xml:space="preserve">One ongoing difficulty in forecasting tobacco excise is the </w:t>
      </w:r>
      <w:r w:rsidR="00CF17EB">
        <w:t>extent</w:t>
      </w:r>
      <w:r w:rsidR="005978C7" w:rsidRPr="00474D11">
        <w:t xml:space="preserve"> of </w:t>
      </w:r>
      <w:r w:rsidR="00083A58" w:rsidRPr="00474D11">
        <w:t>black</w:t>
      </w:r>
      <w:r w:rsidR="00D01696">
        <w:t xml:space="preserve"> </w:t>
      </w:r>
      <w:r w:rsidR="00083A58" w:rsidRPr="00474D11">
        <w:t>market tobacco consumption</w:t>
      </w:r>
      <w:r w:rsidR="005978C7" w:rsidRPr="00474D11">
        <w:t>. While tobacco consumption has a relatively steady base</w:t>
      </w:r>
      <w:r w:rsidR="00D01696">
        <w:t xml:space="preserve"> due to the high proportion of a given </w:t>
      </w:r>
      <w:r w:rsidR="00B35524">
        <w:t>population</w:t>
      </w:r>
      <w:r w:rsidR="00D01696">
        <w:t xml:space="preserve"> of smokers that are likely to still be smoking the next year</w:t>
      </w:r>
      <w:r w:rsidR="005978C7" w:rsidRPr="00474D11">
        <w:t xml:space="preserve">, </w:t>
      </w:r>
      <w:r w:rsidR="00227EF6" w:rsidRPr="00474D11">
        <w:t>the</w:t>
      </w:r>
      <w:r w:rsidR="0063044D">
        <w:t xml:space="preserve"> size of the</w:t>
      </w:r>
      <w:r w:rsidR="00227EF6" w:rsidRPr="00474D11">
        <w:t xml:space="preserve"> </w:t>
      </w:r>
      <w:r w:rsidR="005978C7" w:rsidRPr="00474D11">
        <w:t xml:space="preserve">excise base </w:t>
      </w:r>
      <w:r w:rsidR="00D01696">
        <w:t>is</w:t>
      </w:r>
      <w:r w:rsidR="005978C7" w:rsidRPr="00474D11">
        <w:t xml:space="preserve"> less </w:t>
      </w:r>
      <w:r w:rsidR="00D01696">
        <w:lastRenderedPageBreak/>
        <w:t>predictable</w:t>
      </w:r>
      <w:r w:rsidR="005978C7" w:rsidRPr="00474D11">
        <w:t xml:space="preserve"> if </w:t>
      </w:r>
      <w:r w:rsidR="00D01696">
        <w:t xml:space="preserve">those </w:t>
      </w:r>
      <w:r w:rsidR="005978C7" w:rsidRPr="00474D11">
        <w:t xml:space="preserve">smokers are </w:t>
      </w:r>
      <w:r w:rsidR="00D01696">
        <w:t>substituting</w:t>
      </w:r>
      <w:r w:rsidR="005978C7" w:rsidRPr="00474D11">
        <w:t xml:space="preserve"> illegally-sourced tobacco </w:t>
      </w:r>
      <w:r w:rsidR="00D01696">
        <w:t xml:space="preserve">for legally purchased tobacco, or if </w:t>
      </w:r>
      <w:r w:rsidR="0063044D">
        <w:t>crackdowns</w:t>
      </w:r>
      <w:r w:rsidR="00D01696">
        <w:t xml:space="preserve"> on the availability of illegally-sourced tobacco forc</w:t>
      </w:r>
      <w:r w:rsidR="0063044D">
        <w:t>e</w:t>
      </w:r>
      <w:r w:rsidR="00D01696">
        <w:t xml:space="preserve"> smokers back into the legal market</w:t>
      </w:r>
      <w:r w:rsidR="005978C7" w:rsidRPr="00474D11">
        <w:t>.</w:t>
      </w:r>
    </w:p>
    <w:p w14:paraId="08960D91" w14:textId="11E21E8F" w:rsidR="00B12A05" w:rsidRDefault="00B12A05" w:rsidP="00B9120C">
      <w:r>
        <w:t>From this forecasting perspective, tobacco excise is modelled on a ‘base-plus-growth’ approach, where the latest known outcomes are forecast to grow according to the relevant economic parameter. This means that the forecasts implicitly allow for black market consumption, to the extent that it exists in the historical base year.</w:t>
      </w:r>
    </w:p>
    <w:p w14:paraId="7F93275F" w14:textId="0180E745" w:rsidR="00AA3F01" w:rsidRDefault="00727294" w:rsidP="00B9120C">
      <w:r>
        <w:t xml:space="preserve">Changes in the size of the illegal tobacco market are driven by the demand and supply for the product. The demand is </w:t>
      </w:r>
      <w:r w:rsidR="00CF17EB">
        <w:t xml:space="preserve">likely to be </w:t>
      </w:r>
      <w:r>
        <w:t xml:space="preserve">driven by a range of factors, including the price of legal tobacco, and as such it would be expected that demand </w:t>
      </w:r>
      <w:r w:rsidR="0063044D">
        <w:t xml:space="preserve">for illegal tobacco </w:t>
      </w:r>
      <w:r>
        <w:t>would increase as</w:t>
      </w:r>
      <w:r w:rsidR="0063044D">
        <w:t xml:space="preserve"> the excise rate increases. Efforts to counter this increased demand have been targeted at restricting the supply side.</w:t>
      </w:r>
      <w:r w:rsidR="00143CD6" w:rsidRPr="00143CD6">
        <w:t xml:space="preserve"> </w:t>
      </w:r>
      <w:r w:rsidR="00143CD6">
        <w:t xml:space="preserve">In recent years the chain of supply has been </w:t>
      </w:r>
      <w:r w:rsidR="00A01D22">
        <w:t>affected by the cessation</w:t>
      </w:r>
      <w:r w:rsidR="00143CD6" w:rsidRPr="00EC53EC">
        <w:t xml:space="preserve"> of </w:t>
      </w:r>
      <w:r w:rsidR="00143CD6">
        <w:t xml:space="preserve">legal </w:t>
      </w:r>
      <w:r w:rsidR="00143CD6" w:rsidRPr="00EC53EC">
        <w:t>Australia</w:t>
      </w:r>
      <w:r w:rsidR="00143CD6">
        <w:t xml:space="preserve">n tobacco production, as in the absence of legal local producers </w:t>
      </w:r>
      <w:r w:rsidR="00143CD6" w:rsidRPr="00474D11">
        <w:t>illegal tobacco would</w:t>
      </w:r>
      <w:r w:rsidR="00143CD6">
        <w:t xml:space="preserve"> now</w:t>
      </w:r>
      <w:r w:rsidR="00143CD6" w:rsidRPr="00474D11">
        <w:t xml:space="preserve"> be sourced </w:t>
      </w:r>
      <w:r w:rsidR="00143CD6">
        <w:t xml:space="preserve">primarily </w:t>
      </w:r>
      <w:r w:rsidR="00143CD6" w:rsidRPr="00474D11">
        <w:t>from foreign countries</w:t>
      </w:r>
      <w:r w:rsidR="00143CD6">
        <w:t>, with</w:t>
      </w:r>
      <w:r w:rsidR="00143CD6" w:rsidRPr="00474D11">
        <w:t xml:space="preserve"> a small quantity of </w:t>
      </w:r>
      <w:r w:rsidR="00143CD6">
        <w:t>local illegal</w:t>
      </w:r>
      <w:r w:rsidR="00143CD6" w:rsidRPr="00474D11">
        <w:t xml:space="preserve"> production</w:t>
      </w:r>
      <w:r w:rsidR="00143CD6">
        <w:t xml:space="preserve"> </w:t>
      </w:r>
      <w:r w:rsidR="005D00B4">
        <w:t>still presenting a small revenue risk</w:t>
      </w:r>
      <w:r w:rsidR="005D00B4">
        <w:rPr>
          <w:rStyle w:val="FootnoteReference"/>
        </w:rPr>
        <w:footnoteReference w:id="32"/>
      </w:r>
      <w:r w:rsidR="00143CD6">
        <w:t xml:space="preserve">. </w:t>
      </w:r>
      <w:r w:rsidR="002A1666">
        <w:t>I</w:t>
      </w:r>
      <w:r w:rsidR="000A45EC">
        <w:t xml:space="preserve">llicit tobacco goods weighing around </w:t>
      </w:r>
      <w:r w:rsidR="008865C9">
        <w:t xml:space="preserve">406 </w:t>
      </w:r>
      <w:r w:rsidR="000A45EC">
        <w:t xml:space="preserve">tonnes </w:t>
      </w:r>
      <w:r w:rsidR="002A1666">
        <w:t xml:space="preserve">were detected </w:t>
      </w:r>
      <w:r w:rsidR="008865C9">
        <w:t xml:space="preserve">at the border </w:t>
      </w:r>
      <w:r w:rsidR="000A45EC">
        <w:t>in 201</w:t>
      </w:r>
      <w:r w:rsidR="008865C9">
        <w:t>7</w:t>
      </w:r>
      <w:r w:rsidR="000A45EC">
        <w:t>-1</w:t>
      </w:r>
      <w:r w:rsidR="008865C9">
        <w:t>8</w:t>
      </w:r>
      <w:r w:rsidR="00AA3F01">
        <w:rPr>
          <w:rStyle w:val="FootnoteReference"/>
        </w:rPr>
        <w:footnoteReference w:id="33"/>
      </w:r>
      <w:r w:rsidR="000A45EC">
        <w:t>.</w:t>
      </w:r>
      <w:r w:rsidR="007F36E9">
        <w:t xml:space="preserve"> Large changes in the extent of the illegal tobacco market present a risk to the tobacco excise forecasts.</w:t>
      </w:r>
    </w:p>
    <w:p w14:paraId="4B5A7474" w14:textId="5884C71E" w:rsidR="004E3205" w:rsidRDefault="008865C9" w:rsidP="00B9120C">
      <w:r>
        <w:t>The use of i</w:t>
      </w:r>
      <w:r w:rsidR="00AA3F01">
        <w:t xml:space="preserve">llicit tobacco may </w:t>
      </w:r>
      <w:r w:rsidR="007C0D49">
        <w:t xml:space="preserve">continue to </w:t>
      </w:r>
      <w:r w:rsidR="00AA3F01">
        <w:t>present challenges to tobacco ex</w:t>
      </w:r>
      <w:r w:rsidR="00B12A05">
        <w:t xml:space="preserve">cise forecasting in the future.  </w:t>
      </w:r>
      <w:r w:rsidR="00B12A05" w:rsidRPr="00B12A05">
        <w:t xml:space="preserve">The 2018-19 Budget included the measure </w:t>
      </w:r>
      <w:r w:rsidR="00B12A05" w:rsidRPr="00B12A05">
        <w:rPr>
          <w:i/>
        </w:rPr>
        <w:t>Black Economy Package — combatting illicit tobacco</w:t>
      </w:r>
      <w:r w:rsidR="00B12A05" w:rsidRPr="00B12A05">
        <w:t xml:space="preserve">, which increases funding to tackle the main three sources of illicit tobacco in Australia: smuggling, leakages from licensed warehouses and domestic production. It is anticipated that this measure will reduce the size of the illicit tobacco market through additional enforcement capabilities. In turn, this measure is estimated to have a gain to revenue as some smokers switch from illicit to licit tobacco, which is subject to </w:t>
      </w:r>
      <w:r w:rsidR="00D83C7E">
        <w:t>excise</w:t>
      </w:r>
      <w:r w:rsidR="00B12A05" w:rsidRPr="00B12A05">
        <w:t>.</w:t>
      </w:r>
    </w:p>
    <w:p w14:paraId="78D7B737" w14:textId="0BB33BD8" w:rsidR="00613797" w:rsidRDefault="00613797" w:rsidP="00613797">
      <w:pPr>
        <w:pStyle w:val="Heading2NotNumbered"/>
      </w:pPr>
      <w:r>
        <w:t>Summary</w:t>
      </w:r>
    </w:p>
    <w:p w14:paraId="6DB047D7" w14:textId="77777777" w:rsidR="00AD29B9" w:rsidRPr="00AD29B9" w:rsidRDefault="001E4499" w:rsidP="00B9120C">
      <w:r>
        <w:t>Tobacco excise forecasting must account for underlyin</w:t>
      </w:r>
      <w:r w:rsidR="007E38DB">
        <w:t xml:space="preserve">g trends in </w:t>
      </w:r>
      <w:r w:rsidR="00B35524">
        <w:t>tobacco consumption, driven by popular awareness of health risks, and the effect of policy changes</w:t>
      </w:r>
      <w:r w:rsidR="000F26F5">
        <w:t>, including changes</w:t>
      </w:r>
      <w:r w:rsidR="00B35524">
        <w:t xml:space="preserve"> to the excise rate</w:t>
      </w:r>
      <w:r w:rsidR="007E38DB">
        <w:t>. While tobacco consumption as the theoretical base of tobacco excise could be expected to be relati</w:t>
      </w:r>
      <w:r w:rsidR="00DF15A5">
        <w:t>vely predictable, the effect of</w:t>
      </w:r>
      <w:r w:rsidR="00B35524">
        <w:t xml:space="preserve"> </w:t>
      </w:r>
      <w:r w:rsidR="007E38DB">
        <w:t xml:space="preserve">policy changes and risks to the forecast </w:t>
      </w:r>
      <w:r w:rsidR="00B35524">
        <w:t>from</w:t>
      </w:r>
      <w:r w:rsidR="007E38DB">
        <w:t xml:space="preserve"> changing producer </w:t>
      </w:r>
      <w:r w:rsidR="00A32442">
        <w:t xml:space="preserve">and consumer </w:t>
      </w:r>
      <w:r w:rsidR="007E38DB">
        <w:t xml:space="preserve">behaviour and the illegal tobacco market pose a challenge to accurately forecasting how much </w:t>
      </w:r>
      <w:r w:rsidR="00B35524">
        <w:t xml:space="preserve">tobacco </w:t>
      </w:r>
      <w:r w:rsidR="007E38DB">
        <w:t xml:space="preserve">excise </w:t>
      </w:r>
      <w:r w:rsidR="00B35524">
        <w:t>the Government will receive each year</w:t>
      </w:r>
      <w:r w:rsidR="007E38DB">
        <w:t>.</w:t>
      </w:r>
    </w:p>
    <w:p w14:paraId="6958F11B" w14:textId="77777777" w:rsidR="0040459C" w:rsidRPr="00826CB3" w:rsidRDefault="0040459C" w:rsidP="00826CB3"/>
    <w:sectPr w:rsidR="0040459C" w:rsidRPr="00826CB3" w:rsidSect="008C0793">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7490" w14:textId="77777777" w:rsidR="00D60F20" w:rsidRDefault="00D60F20" w:rsidP="005F100C">
      <w:pPr>
        <w:spacing w:after="0"/>
      </w:pPr>
      <w:r>
        <w:separator/>
      </w:r>
    </w:p>
  </w:endnote>
  <w:endnote w:type="continuationSeparator" w:id="0">
    <w:p w14:paraId="44D21A61" w14:textId="77777777" w:rsidR="00D60F20" w:rsidRDefault="00D60F20" w:rsidP="005F100C">
      <w:pPr>
        <w:spacing w:after="0"/>
      </w:pPr>
      <w:r>
        <w:continuationSeparator/>
      </w:r>
    </w:p>
  </w:endnote>
  <w:endnote w:type="continuationNotice" w:id="1">
    <w:p w14:paraId="31D34A16" w14:textId="77777777" w:rsidR="00B576A5" w:rsidRDefault="00B576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B786" w14:textId="77777777" w:rsidR="00D60F20" w:rsidRDefault="00D60F20"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4134" w14:textId="305FC4C8" w:rsidR="00D60F20" w:rsidRDefault="00D60F20"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845117">
      <w:rPr>
        <w:rStyle w:val="PageNumber"/>
        <w:noProof/>
      </w:rPr>
      <w:t>14</w:t>
    </w:r>
    <w:r w:rsidRPr="00365C6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BFDB" w14:textId="70EAE9C6" w:rsidR="00D60F20" w:rsidRPr="00566477" w:rsidRDefault="00D60F20" w:rsidP="005664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2CD4" w14:textId="0CB43EF6" w:rsidR="00D60F20" w:rsidRDefault="00D60F20"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845117">
      <w:rPr>
        <w:rStyle w:val="PageNumber"/>
        <w:noProof/>
      </w:rPr>
      <w:t>6</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F0E2" w14:textId="77777777" w:rsidR="00D60F20" w:rsidRDefault="00D60F20" w:rsidP="005F100C">
      <w:pPr>
        <w:spacing w:after="0"/>
      </w:pPr>
      <w:r>
        <w:separator/>
      </w:r>
    </w:p>
  </w:footnote>
  <w:footnote w:type="continuationSeparator" w:id="0">
    <w:p w14:paraId="436DBD24" w14:textId="77777777" w:rsidR="00D60F20" w:rsidRDefault="00D60F20" w:rsidP="005F100C">
      <w:pPr>
        <w:spacing w:after="0"/>
      </w:pPr>
      <w:r>
        <w:continuationSeparator/>
      </w:r>
    </w:p>
  </w:footnote>
  <w:footnote w:type="continuationNotice" w:id="1">
    <w:p w14:paraId="6AEEE960" w14:textId="77777777" w:rsidR="00B576A5" w:rsidRDefault="00B576A5">
      <w:pPr>
        <w:spacing w:after="0"/>
      </w:pPr>
    </w:p>
  </w:footnote>
  <w:footnote w:id="2">
    <w:p w14:paraId="7F53146D" w14:textId="056AA320" w:rsidR="00D60F20" w:rsidRPr="00614F35" w:rsidRDefault="00D60F20" w:rsidP="00F012EA">
      <w:pPr>
        <w:pStyle w:val="FootnoteText"/>
      </w:pPr>
      <w:r w:rsidRPr="000464B6">
        <w:rPr>
          <w:rStyle w:val="FootnoteReference"/>
          <w:vertAlign w:val="baseline"/>
        </w:rPr>
        <w:footnoteRef/>
      </w:r>
      <w:r w:rsidRPr="000464B6">
        <w:t xml:space="preserve"> </w:t>
      </w:r>
      <w:r>
        <w:tab/>
      </w:r>
      <w:r w:rsidR="00F22E7C">
        <w:t xml:space="preserve">The authors worked on this paper while in </w:t>
      </w:r>
      <w:r w:rsidRPr="00F22E7C">
        <w:t>Tax Analysis Division, Revenue Group, The Treasury, Langton Crescent, Parkes ACT 2600,</w:t>
      </w:r>
      <w:r>
        <w:t xml:space="preserve"> </w:t>
      </w:r>
      <w:proofErr w:type="gramStart"/>
      <w:r w:rsidRPr="006B4A87">
        <w:t>Australia</w:t>
      </w:r>
      <w:proofErr w:type="gramEnd"/>
      <w:r w:rsidRPr="006B4A87">
        <w:t xml:space="preserve">. </w:t>
      </w:r>
      <w:r w:rsidRPr="00614F35">
        <w:t>We thank</w:t>
      </w:r>
      <w:r>
        <w:t xml:space="preserve"> Adam Hollis and Joshua Pooley for their work on earlier drafts of this paper</w:t>
      </w:r>
      <w:r w:rsidRPr="00614F35">
        <w:t>.</w:t>
      </w:r>
      <w:r w:rsidR="00F22E7C">
        <w:t xml:space="preserve"> Correspondence to: arianna.cowling@treasury.gov.au</w:t>
      </w:r>
    </w:p>
  </w:footnote>
  <w:footnote w:id="3">
    <w:p w14:paraId="31438FE9" w14:textId="77777777" w:rsidR="00D60F20" w:rsidRDefault="00D60F20" w:rsidP="00F012EA">
      <w:pPr>
        <w:pStyle w:val="FootnoteText"/>
      </w:pPr>
      <w:r w:rsidRPr="000464B6">
        <w:rPr>
          <w:rStyle w:val="FootnoteReference"/>
          <w:vertAlign w:val="baseline"/>
        </w:rPr>
        <w:footnoteRef/>
      </w:r>
      <w:r w:rsidRPr="000464B6">
        <w:t xml:space="preserve"> </w:t>
      </w:r>
      <w:r>
        <w:tab/>
        <w:t>The views expressed in this paper are those of the authors and do not necessarily reflect those of The Australian Treasury or the Australian Government.</w:t>
      </w:r>
    </w:p>
    <w:p w14:paraId="07F4B04B" w14:textId="7C9390AC" w:rsidR="00D60F20" w:rsidRDefault="00D60F20" w:rsidP="00F012EA">
      <w:pPr>
        <w:pStyle w:val="FootnoteText"/>
      </w:pPr>
    </w:p>
  </w:footnote>
  <w:footnote w:id="4">
    <w:p w14:paraId="511BEE22" w14:textId="6A38F7D4" w:rsidR="00D60F20" w:rsidRDefault="00D60F20" w:rsidP="00826CB3">
      <w:pPr>
        <w:pStyle w:val="FootnoteText"/>
      </w:pPr>
      <w:r w:rsidRPr="00384999">
        <w:rPr>
          <w:rStyle w:val="FootnoteReference"/>
          <w:vertAlign w:val="baseline"/>
        </w:rPr>
        <w:footnoteRef/>
      </w:r>
      <w:r>
        <w:rPr>
          <w:rStyle w:val="FootnoteReference"/>
        </w:rPr>
        <w:tab/>
      </w:r>
      <w:r w:rsidRPr="00D31B21">
        <w:t xml:space="preserve">Excise </w:t>
      </w:r>
      <w:r w:rsidRPr="00826CB3">
        <w:t>Tariff</w:t>
      </w:r>
      <w:r w:rsidRPr="00D31B21">
        <w:t xml:space="preserve"> Act 1921, </w:t>
      </w:r>
      <w:proofErr w:type="gramStart"/>
      <w:r w:rsidRPr="00826CB3">
        <w:t>The</w:t>
      </w:r>
      <w:proofErr w:type="gramEnd"/>
      <w:r w:rsidRPr="00D31B21">
        <w:t xml:space="preserve"> Schedule</w:t>
      </w:r>
      <w:r>
        <w:t>.</w:t>
      </w:r>
    </w:p>
  </w:footnote>
  <w:footnote w:id="5">
    <w:p w14:paraId="378B73BB" w14:textId="6AED9491" w:rsidR="00D60F20" w:rsidRPr="00F606C1" w:rsidRDefault="00D60F20" w:rsidP="009450F1">
      <w:pPr>
        <w:pStyle w:val="FootnoteText"/>
      </w:pPr>
      <w:r w:rsidRPr="00384999">
        <w:rPr>
          <w:rStyle w:val="FootnoteReference"/>
          <w:szCs w:val="18"/>
          <w:vertAlign w:val="baseline"/>
        </w:rPr>
        <w:footnoteRef/>
      </w:r>
      <w:r>
        <w:tab/>
        <w:t>A full list of tobacco taxation product categories can be found on the Department of Home Affairs website.</w:t>
      </w:r>
    </w:p>
  </w:footnote>
  <w:footnote w:id="6">
    <w:p w14:paraId="66203B82" w14:textId="1584DC15" w:rsidR="00D60F20" w:rsidRDefault="00D60F20" w:rsidP="00B166B8">
      <w:pPr>
        <w:pStyle w:val="FootnoteText"/>
      </w:pPr>
      <w:r w:rsidRPr="00384999">
        <w:rPr>
          <w:rStyle w:val="FootnoteReference"/>
          <w:szCs w:val="18"/>
          <w:vertAlign w:val="baseline"/>
        </w:rPr>
        <w:footnoteRef/>
      </w:r>
      <w:r w:rsidRPr="00F87674">
        <w:t xml:space="preserve"> </w:t>
      </w:r>
      <w:r>
        <w:tab/>
        <w:t>Until 2017-18 the equivalence was based on the assumption that a cigarette contained 0.8 grams of excisable tobacco. In t</w:t>
      </w:r>
      <w:r w:rsidRPr="00F87674">
        <w:t>he 2017-18 Budget</w:t>
      </w:r>
      <w:r>
        <w:t xml:space="preserve"> the Government announced that this assumption would change to</w:t>
      </w:r>
      <w:r w:rsidRPr="00F87674">
        <w:t xml:space="preserve"> 0.7 grams</w:t>
      </w:r>
      <w:r>
        <w:t xml:space="preserve"> of tobacco per cigarette</w:t>
      </w:r>
      <w:r w:rsidRPr="00F87674">
        <w:t xml:space="preserve">. In order to maintain equivalence, </w:t>
      </w:r>
      <w:r>
        <w:t xml:space="preserve">the </w:t>
      </w:r>
      <w:r w:rsidRPr="00F87674">
        <w:t>excise rate on loose leaf tobacco</w:t>
      </w:r>
      <w:r>
        <w:t xml:space="preserve"> would be raised accordingly</w:t>
      </w:r>
      <w:r w:rsidRPr="00F87674">
        <w:t xml:space="preserve">. The adjustment </w:t>
      </w:r>
      <w:r>
        <w:t xml:space="preserve">began in September 2017 and </w:t>
      </w:r>
      <w:r w:rsidRPr="00F87674">
        <w:t>will be phased in over four years, from 2017 to 2020, with a step-up on the loose leaf tobacco rate beyond the regular indexation and previously announced excise rate increases on 1 September each year.</w:t>
      </w:r>
    </w:p>
  </w:footnote>
  <w:footnote w:id="7">
    <w:p w14:paraId="7D97CBDB" w14:textId="06C7AD85" w:rsidR="00D60F20" w:rsidRPr="00147151" w:rsidRDefault="00D60F20" w:rsidP="00384999">
      <w:pPr>
        <w:pStyle w:val="FootnoteText"/>
      </w:pPr>
      <w:r w:rsidRPr="00384999">
        <w:rPr>
          <w:rStyle w:val="FootnoteReference"/>
          <w:szCs w:val="18"/>
          <w:vertAlign w:val="baseline"/>
        </w:rPr>
        <w:footnoteRef/>
      </w:r>
      <w:r w:rsidRPr="00147151">
        <w:t xml:space="preserve"> </w:t>
      </w:r>
      <w:r>
        <w:tab/>
      </w:r>
      <w:r w:rsidRPr="00147151">
        <w:t>Note as part of the Government’s Illicit Tobacco Package (2018-19 Budget</w:t>
      </w:r>
      <w:r>
        <w:t xml:space="preserve">), from 01 July 2019, </w:t>
      </w:r>
      <w:r w:rsidRPr="00147151">
        <w:t xml:space="preserve">the taxing point of tobacco </w:t>
      </w:r>
      <w:r>
        <w:t>is being</w:t>
      </w:r>
      <w:r w:rsidRPr="00147151">
        <w:t xml:space="preserve"> brought forward to the point of importation or manufacture and warehousing will be abolished. Tobacco will be taxed when it enters the country rather than being stored initially in a pre-tax state. Legislation for this core proposal has passed.</w:t>
      </w:r>
    </w:p>
  </w:footnote>
  <w:footnote w:id="8">
    <w:p w14:paraId="43748466" w14:textId="5AE6C579" w:rsidR="00D60F20" w:rsidRPr="00F606C1" w:rsidRDefault="00D60F20" w:rsidP="00384999">
      <w:pPr>
        <w:pStyle w:val="FootnoteText"/>
        <w:rPr>
          <w:rStyle w:val="FootnoteReference"/>
          <w:szCs w:val="18"/>
          <w:vertAlign w:val="baseline"/>
        </w:rPr>
      </w:pPr>
      <w:r w:rsidRPr="00384999">
        <w:rPr>
          <w:rStyle w:val="FootnoteReference"/>
          <w:szCs w:val="18"/>
          <w:vertAlign w:val="baseline"/>
        </w:rPr>
        <w:footnoteRef/>
      </w:r>
      <w:r>
        <w:rPr>
          <w:szCs w:val="18"/>
        </w:rPr>
        <w:tab/>
      </w:r>
      <w:r w:rsidRPr="00F606C1">
        <w:rPr>
          <w:rStyle w:val="FootnoteReference"/>
          <w:szCs w:val="18"/>
          <w:vertAlign w:val="baseline"/>
        </w:rPr>
        <w:t xml:space="preserve">The </w:t>
      </w:r>
      <w:r w:rsidRPr="00384999">
        <w:rPr>
          <w:rStyle w:val="FootnoteReference"/>
          <w:vertAlign w:val="baseline"/>
        </w:rPr>
        <w:t>three</w:t>
      </w:r>
      <w:r w:rsidRPr="00F606C1">
        <w:rPr>
          <w:rStyle w:val="FootnoteReference"/>
          <w:szCs w:val="18"/>
          <w:vertAlign w:val="baseline"/>
        </w:rPr>
        <w:t xml:space="preserve"> dominant </w:t>
      </w:r>
      <w:r>
        <w:rPr>
          <w:rStyle w:val="FootnoteReference"/>
          <w:szCs w:val="18"/>
          <w:vertAlign w:val="baseline"/>
        </w:rPr>
        <w:t>manufacturers and/or importers</w:t>
      </w:r>
      <w:r w:rsidRPr="00F606C1">
        <w:rPr>
          <w:rStyle w:val="FootnoteReference"/>
          <w:szCs w:val="18"/>
          <w:vertAlign w:val="baseline"/>
        </w:rPr>
        <w:t xml:space="preserve"> in the Australian market are: British American Tobacco; Phillip Morris; and</w:t>
      </w:r>
      <w:r>
        <w:rPr>
          <w:rStyle w:val="FootnoteReference"/>
          <w:szCs w:val="18"/>
          <w:vertAlign w:val="baseline"/>
        </w:rPr>
        <w:t xml:space="preserve"> Imperial </w:t>
      </w:r>
      <w:r w:rsidRPr="00F606C1">
        <w:rPr>
          <w:rStyle w:val="FootnoteReference"/>
          <w:szCs w:val="18"/>
          <w:vertAlign w:val="baseline"/>
        </w:rPr>
        <w:t>Tobacco</w:t>
      </w:r>
      <w:r>
        <w:t>.</w:t>
      </w:r>
    </w:p>
  </w:footnote>
  <w:footnote w:id="9">
    <w:p w14:paraId="68081000" w14:textId="3EBDF0B0" w:rsidR="00D60F20" w:rsidRDefault="00D60F20">
      <w:pPr>
        <w:pStyle w:val="FootnoteText"/>
      </w:pPr>
      <w:r w:rsidRPr="00384999">
        <w:rPr>
          <w:rStyle w:val="FootnoteReference"/>
          <w:szCs w:val="18"/>
          <w:vertAlign w:val="baseline"/>
        </w:rPr>
        <w:footnoteRef/>
      </w:r>
      <w:r>
        <w:rPr>
          <w:szCs w:val="18"/>
        </w:rPr>
        <w:tab/>
      </w:r>
      <w:r w:rsidRPr="003D23AD">
        <w:rPr>
          <w:rStyle w:val="FootnoteReference"/>
          <w:szCs w:val="18"/>
          <w:vertAlign w:val="baseline"/>
        </w:rPr>
        <w:t>Australia’s resident population aged 18 years and over, ABS series</w:t>
      </w:r>
      <w:r>
        <w:t xml:space="preserve"> </w:t>
      </w:r>
      <w:r w:rsidRPr="003D23AD">
        <w:rPr>
          <w:rStyle w:val="FootnoteReference"/>
          <w:szCs w:val="18"/>
          <w:vertAlign w:val="baseline"/>
        </w:rPr>
        <w:t>3101.0</w:t>
      </w:r>
    </w:p>
  </w:footnote>
  <w:footnote w:id="10">
    <w:p w14:paraId="185AACC4" w14:textId="575CAF91" w:rsidR="00D60F20" w:rsidRDefault="00D60F20" w:rsidP="00384999">
      <w:pPr>
        <w:pStyle w:val="FootnoteText"/>
      </w:pPr>
      <w:r w:rsidRPr="00384999">
        <w:rPr>
          <w:rStyle w:val="FootnoteReference"/>
          <w:szCs w:val="18"/>
          <w:vertAlign w:val="baseline"/>
        </w:rPr>
        <w:footnoteRef/>
      </w:r>
      <w:r>
        <w:tab/>
      </w:r>
      <w:r w:rsidRPr="000C1BB2">
        <w:t xml:space="preserve">‘Clearances’ refers to the quantity of </w:t>
      </w:r>
      <w:r w:rsidRPr="00384999">
        <w:t>tobacco</w:t>
      </w:r>
      <w:r w:rsidRPr="000C1BB2">
        <w:t xml:space="preserve"> products, largely cigarette sticks, cleared for home consumption. Quantities of loose-leaf tobacco products are converted to sticks assuming 0.7 grams per stick-equivalent.</w:t>
      </w:r>
    </w:p>
  </w:footnote>
  <w:footnote w:id="11">
    <w:p w14:paraId="69A289BB" w14:textId="5D3A6DC7" w:rsidR="00D60F20" w:rsidRPr="000428C8" w:rsidRDefault="00D60F20" w:rsidP="00384999">
      <w:pPr>
        <w:pStyle w:val="FootnoteText"/>
      </w:pPr>
      <w:r w:rsidRPr="00384999">
        <w:rPr>
          <w:rStyle w:val="FootnoteReference"/>
          <w:szCs w:val="18"/>
          <w:vertAlign w:val="baseline"/>
        </w:rPr>
        <w:footnoteRef/>
      </w:r>
      <w:r>
        <w:tab/>
      </w:r>
      <w:r w:rsidRPr="000428C8">
        <w:t>Ha v New South Wales (1997) 189 CLR 465</w:t>
      </w:r>
    </w:p>
  </w:footnote>
  <w:footnote w:id="12">
    <w:p w14:paraId="1B8AC36C" w14:textId="7B5D2210" w:rsidR="00D60F20" w:rsidRDefault="00D60F20" w:rsidP="00ED32D8">
      <w:pPr>
        <w:pStyle w:val="FootnoteText"/>
      </w:pPr>
      <w:r w:rsidRPr="00384999">
        <w:rPr>
          <w:rStyle w:val="FootnoteReference"/>
          <w:szCs w:val="18"/>
          <w:vertAlign w:val="baseline"/>
        </w:rPr>
        <w:footnoteRef/>
      </w:r>
      <w:r>
        <w:rPr>
          <w:szCs w:val="18"/>
        </w:rPr>
        <w:tab/>
        <w:t>Tax Benchmarks and Variations Statement 2018</w:t>
      </w:r>
    </w:p>
  </w:footnote>
  <w:footnote w:id="13">
    <w:p w14:paraId="3577BCB5" w14:textId="3367ADE1" w:rsidR="00D60F20" w:rsidRPr="002229C9" w:rsidRDefault="00D60F20">
      <w:pPr>
        <w:pStyle w:val="FootnoteText"/>
        <w:rPr>
          <w:szCs w:val="18"/>
        </w:rPr>
      </w:pPr>
      <w:r w:rsidRPr="00384999">
        <w:rPr>
          <w:rStyle w:val="FootnoteReference"/>
          <w:szCs w:val="18"/>
          <w:vertAlign w:val="baseline"/>
        </w:rPr>
        <w:footnoteRef/>
      </w:r>
      <w:r>
        <w:rPr>
          <w:szCs w:val="18"/>
        </w:rPr>
        <w:tab/>
      </w:r>
      <w:r w:rsidRPr="002229C9">
        <w:rPr>
          <w:szCs w:val="18"/>
        </w:rPr>
        <w:t>Preventative Health Taskforce, Technical Paper 2, page vi</w:t>
      </w:r>
    </w:p>
  </w:footnote>
  <w:footnote w:id="14">
    <w:p w14:paraId="0CBB4667" w14:textId="5A02EE71" w:rsidR="00D60F20" w:rsidRDefault="00D60F20" w:rsidP="00384999">
      <w:pPr>
        <w:pStyle w:val="FootnoteText"/>
      </w:pPr>
      <w:r w:rsidRPr="00384999">
        <w:rPr>
          <w:rStyle w:val="FootnoteReference"/>
          <w:szCs w:val="18"/>
          <w:vertAlign w:val="baseline"/>
        </w:rPr>
        <w:footnoteRef/>
      </w:r>
      <w:r w:rsidRPr="00384999">
        <w:t xml:space="preserve"> </w:t>
      </w:r>
      <w:r>
        <w:tab/>
      </w:r>
      <w:r w:rsidRPr="00384999">
        <w:t>For</w:t>
      </w:r>
      <w:r w:rsidRPr="00E90F25">
        <w:t xml:space="preserve"> more discussion of the effect of plain packaging on smoking take-up rates among young people, see the plain packaging post-implementation review:</w:t>
      </w:r>
      <w:r>
        <w:br/>
      </w:r>
      <w:r w:rsidRPr="00E90F25">
        <w:rPr>
          <w:szCs w:val="18"/>
        </w:rPr>
        <w:t>http://ris.pmc.gov.au/sites/default/files/posts/2016/02/Tobacco-Plain-Packaging-PIR.pdf</w:t>
      </w:r>
    </w:p>
  </w:footnote>
  <w:footnote w:id="15">
    <w:p w14:paraId="07889445" w14:textId="23800735" w:rsidR="00D60F20" w:rsidRDefault="00D60F20" w:rsidP="00384999">
      <w:pPr>
        <w:pStyle w:val="FootnoteText"/>
      </w:pPr>
      <w:r w:rsidRPr="00384999">
        <w:rPr>
          <w:rStyle w:val="FootnoteReference"/>
          <w:szCs w:val="18"/>
          <w:vertAlign w:val="baseline"/>
        </w:rPr>
        <w:footnoteRef/>
      </w:r>
      <w:r w:rsidRPr="009E1966">
        <w:t xml:space="preserve"> </w:t>
      </w:r>
      <w:r>
        <w:tab/>
      </w:r>
      <w:r w:rsidRPr="009E1966">
        <w:rPr>
          <w:lang w:val="en-US" w:eastAsia="en-AU"/>
        </w:rPr>
        <w:t xml:space="preserve">For statistics on market share and the price of individual brands of tobacco products, this section </w:t>
      </w:r>
      <w:r>
        <w:rPr>
          <w:lang w:val="en-US" w:eastAsia="en-AU"/>
        </w:rPr>
        <w:t xml:space="preserve">partly </w:t>
      </w:r>
      <w:r w:rsidRPr="009E1966">
        <w:rPr>
          <w:lang w:val="en-US" w:eastAsia="en-AU"/>
        </w:rPr>
        <w:t xml:space="preserve">relies on the online resource </w:t>
      </w:r>
      <w:r w:rsidRPr="009E1966">
        <w:rPr>
          <w:i/>
          <w:lang w:val="en-US" w:eastAsia="en-AU"/>
        </w:rPr>
        <w:t>Tobacco in Australia</w:t>
      </w:r>
      <w:r w:rsidRPr="009E1966">
        <w:rPr>
          <w:lang w:val="en-US" w:eastAsia="en-AU"/>
        </w:rPr>
        <w:t xml:space="preserve">, which is compiled by the Cancer Council Victoria and funded by the </w:t>
      </w:r>
      <w:r>
        <w:rPr>
          <w:lang w:val="en-US" w:eastAsia="en-AU"/>
        </w:rPr>
        <w:t xml:space="preserve">Australian Government </w:t>
      </w:r>
      <w:r w:rsidRPr="009E1966">
        <w:rPr>
          <w:lang w:val="en-US" w:eastAsia="en-AU"/>
        </w:rPr>
        <w:t>Department of Health and Cancer Councils in all states and territories.</w:t>
      </w:r>
    </w:p>
  </w:footnote>
  <w:footnote w:id="16">
    <w:p w14:paraId="1DACCD0C" w14:textId="7724A8D3" w:rsidR="00D60F20" w:rsidRPr="007C1F64" w:rsidRDefault="00D60F20" w:rsidP="00384999">
      <w:pPr>
        <w:pStyle w:val="FootnoteText"/>
      </w:pPr>
      <w:r w:rsidRPr="00384999">
        <w:rPr>
          <w:rStyle w:val="FootnoteReference"/>
          <w:szCs w:val="18"/>
          <w:vertAlign w:val="baseline"/>
        </w:rPr>
        <w:footnoteRef/>
      </w:r>
      <w:r w:rsidRPr="00384999">
        <w:t xml:space="preserve"> </w:t>
      </w:r>
      <w:r>
        <w:tab/>
      </w:r>
      <w:r w:rsidRPr="007C1F64">
        <w:t xml:space="preserve">See </w:t>
      </w:r>
      <w:hyperlink r:id="rId1" w:history="1">
        <w:r w:rsidRPr="007C1F64">
          <w:rPr>
            <w:rStyle w:val="Hyperlink"/>
            <w:szCs w:val="18"/>
          </w:rPr>
          <w:t>http://www.tobaccoinaustralia.org.au/chapter-13-taxation/13-3-the-price-of-tobacco-products-in-australia</w:t>
        </w:r>
      </w:hyperlink>
      <w:r w:rsidRPr="007C1F64">
        <w:t xml:space="preserve">.  </w:t>
      </w:r>
      <w:r>
        <w:t>Note that the prices are those in February for the years until 2013 and then in March for the years from 2014 onward.  For simplicity the text references to ‘March’ are for either month within the March quarter.</w:t>
      </w:r>
    </w:p>
  </w:footnote>
  <w:footnote w:id="17">
    <w:p w14:paraId="0942FEC2" w14:textId="394ABF2A" w:rsidR="00D60F20" w:rsidRPr="00B32157" w:rsidRDefault="00D60F20" w:rsidP="00384999">
      <w:pPr>
        <w:pStyle w:val="FootnoteText"/>
        <w:rPr>
          <w:lang w:val="en-US" w:eastAsia="en-AU"/>
        </w:rPr>
      </w:pPr>
      <w:r w:rsidRPr="00384999">
        <w:rPr>
          <w:rStyle w:val="FootnoteReference"/>
          <w:szCs w:val="18"/>
          <w:vertAlign w:val="baseline"/>
        </w:rPr>
        <w:footnoteRef/>
      </w:r>
      <w:r w:rsidRPr="00384999">
        <w:t xml:space="preserve"> </w:t>
      </w:r>
      <w:r>
        <w:tab/>
      </w:r>
      <w:r w:rsidRPr="00B32157">
        <w:rPr>
          <w:lang w:val="en-US" w:eastAsia="en-AU"/>
        </w:rPr>
        <w:t>Tobacco products are regularly sold at discounted prices. The consumer price index for tobacco, which is the measure of</w:t>
      </w:r>
      <w:r>
        <w:rPr>
          <w:lang w:val="en-US" w:eastAsia="en-AU"/>
        </w:rPr>
        <w:t xml:space="preserve"> the </w:t>
      </w:r>
      <w:r w:rsidRPr="00B32157">
        <w:rPr>
          <w:lang w:val="en-US" w:eastAsia="en-AU"/>
        </w:rPr>
        <w:t>actual sale price rather than the RRP, grew by 139 per cent over the same period, close to the increase in the RRP. While discounting of tobacco products continues, the degree of discounting does not appear to have materially changed over the years.</w:t>
      </w:r>
    </w:p>
  </w:footnote>
  <w:footnote w:id="18">
    <w:p w14:paraId="6A341132" w14:textId="2BA17A84" w:rsidR="00D60F20" w:rsidRPr="0015665B" w:rsidRDefault="00D60F20" w:rsidP="0012223C">
      <w:pPr>
        <w:pStyle w:val="FootnoteText"/>
      </w:pPr>
      <w:r w:rsidRPr="0012223C">
        <w:rPr>
          <w:rStyle w:val="FootnoteReference"/>
          <w:szCs w:val="18"/>
          <w:vertAlign w:val="baseline"/>
        </w:rPr>
        <w:footnoteRef/>
      </w:r>
      <w:r w:rsidRPr="001B24AD">
        <w:t xml:space="preserve"> </w:t>
      </w:r>
      <w:r w:rsidR="0012223C">
        <w:tab/>
      </w:r>
      <w:r w:rsidRPr="001B24AD">
        <w:t xml:space="preserve">Australian </w:t>
      </w:r>
      <w:r>
        <w:t>System of National Accounts 5206</w:t>
      </w:r>
      <w:r w:rsidRPr="001B24AD">
        <w:t>.0</w:t>
      </w:r>
    </w:p>
  </w:footnote>
  <w:footnote w:id="19">
    <w:p w14:paraId="7BD207CC" w14:textId="398BE0E4" w:rsidR="00D60F20" w:rsidRDefault="00D60F20" w:rsidP="00384999">
      <w:pPr>
        <w:pStyle w:val="FootnoteText"/>
      </w:pPr>
      <w:r w:rsidRPr="00384999">
        <w:rPr>
          <w:rStyle w:val="FootnoteReference"/>
          <w:szCs w:val="18"/>
          <w:vertAlign w:val="baseline"/>
        </w:rPr>
        <w:footnoteRef/>
      </w:r>
      <w:r>
        <w:tab/>
      </w:r>
      <w:r w:rsidRPr="0015665B">
        <w:t>Curbing the Epidemic, 1999.</w:t>
      </w:r>
      <w:r>
        <w:br/>
      </w:r>
      <w:r w:rsidRPr="0015665B">
        <w:t>http://documents.worldbank.org/curated/en/914041468176678949/pdf/multi-page.pdf</w:t>
      </w:r>
    </w:p>
  </w:footnote>
  <w:footnote w:id="20">
    <w:p w14:paraId="6E1C20E1" w14:textId="5DDEC8E8" w:rsidR="00D60F20" w:rsidRDefault="00D60F20" w:rsidP="00384999">
      <w:pPr>
        <w:pStyle w:val="FootnoteText"/>
      </w:pPr>
      <w:r w:rsidRPr="00384999">
        <w:rPr>
          <w:rStyle w:val="FootnoteReference"/>
          <w:szCs w:val="18"/>
          <w:vertAlign w:val="baseline"/>
        </w:rPr>
        <w:footnoteRef/>
      </w:r>
      <w:r>
        <w:tab/>
      </w:r>
      <w:r w:rsidRPr="0015665B">
        <w:t>Effectiveness of Tax and Price Policies for Tobacco Control, 2011</w:t>
      </w:r>
      <w:r>
        <w:br/>
      </w:r>
      <w:r w:rsidRPr="0015665B">
        <w:t>http://www.iarc.fr/en/publications/pdfs-online/prev/handbook14/handbook14.pdf</w:t>
      </w:r>
    </w:p>
  </w:footnote>
  <w:footnote w:id="21">
    <w:p w14:paraId="48264116" w14:textId="6F9EA454" w:rsidR="00D60F20" w:rsidRPr="001B24AD" w:rsidRDefault="00D60F20" w:rsidP="00384999">
      <w:pPr>
        <w:pStyle w:val="FootnoteText"/>
      </w:pPr>
      <w:r w:rsidRPr="00384999">
        <w:rPr>
          <w:rStyle w:val="FootnoteReference"/>
          <w:szCs w:val="18"/>
          <w:vertAlign w:val="baseline"/>
        </w:rPr>
        <w:footnoteRef/>
      </w:r>
      <w:r>
        <w:tab/>
      </w:r>
      <w:r w:rsidRPr="001B24AD">
        <w:t>Australian System of National Accounts 5204.0</w:t>
      </w:r>
    </w:p>
  </w:footnote>
  <w:footnote w:id="22">
    <w:p w14:paraId="7E9BD1D0" w14:textId="52CEC050" w:rsidR="00D60F20" w:rsidRPr="00C207B1" w:rsidRDefault="00D60F20" w:rsidP="00384999">
      <w:pPr>
        <w:pStyle w:val="FootnoteText"/>
      </w:pPr>
      <w:r w:rsidRPr="00384999">
        <w:rPr>
          <w:rStyle w:val="FootnoteReference"/>
          <w:szCs w:val="18"/>
          <w:vertAlign w:val="baseline"/>
        </w:rPr>
        <w:footnoteRef/>
      </w:r>
      <w:r>
        <w:tab/>
        <w:t>The standard error for tobacco price elasticity estimates from time-series models is typically around 0.1, resulting in a 95 per cent confidence interval of -0.3 to -0.7.</w:t>
      </w:r>
    </w:p>
  </w:footnote>
  <w:footnote w:id="23">
    <w:p w14:paraId="3ACD1D30" w14:textId="1B6D3D25" w:rsidR="00D60F20" w:rsidRPr="0015665B" w:rsidRDefault="00D60F20" w:rsidP="00384999">
      <w:pPr>
        <w:pStyle w:val="FootnoteText"/>
      </w:pPr>
      <w:r w:rsidRPr="00384999">
        <w:rPr>
          <w:rStyle w:val="FootnoteReference"/>
          <w:szCs w:val="18"/>
          <w:vertAlign w:val="baseline"/>
        </w:rPr>
        <w:footnoteRef/>
      </w:r>
      <w:r>
        <w:tab/>
      </w:r>
      <w:r w:rsidRPr="00302368">
        <w:t xml:space="preserve">Effectiveness </w:t>
      </w:r>
      <w:r>
        <w:t>of</w:t>
      </w:r>
      <w:r w:rsidRPr="0015665B">
        <w:t xml:space="preserve"> Tax and Price Policies for Tobacco Control, Chapter 7</w:t>
      </w:r>
      <w:r>
        <w:t>,</w:t>
      </w:r>
      <w:r w:rsidRPr="0015665B">
        <w:t xml:space="preserve"> discusses the price elasticity of demand for young people, with estimates in high income countries ranging from -0.5 to -1.2.</w:t>
      </w:r>
    </w:p>
  </w:footnote>
  <w:footnote w:id="24">
    <w:p w14:paraId="69E58164" w14:textId="60DAB59A" w:rsidR="00D60F20" w:rsidRDefault="00D60F20">
      <w:pPr>
        <w:pStyle w:val="FootnoteText"/>
      </w:pPr>
      <w:r w:rsidRPr="00384999">
        <w:rPr>
          <w:rStyle w:val="FootnoteReference"/>
          <w:szCs w:val="18"/>
          <w:vertAlign w:val="baseline"/>
        </w:rPr>
        <w:footnoteRef/>
      </w:r>
      <w:r>
        <w:t xml:space="preserve"> </w:t>
      </w:r>
      <w:r>
        <w:tab/>
      </w:r>
      <w:r w:rsidRPr="00FA6BD8">
        <w:rPr>
          <w:szCs w:val="18"/>
        </w:rPr>
        <w:t>The 2017-18 data point is an estimate</w:t>
      </w:r>
      <w:r>
        <w:rPr>
          <w:szCs w:val="18"/>
        </w:rPr>
        <w:t>.</w:t>
      </w:r>
    </w:p>
  </w:footnote>
  <w:footnote w:id="25">
    <w:p w14:paraId="24A1DA0F" w14:textId="4D69FF5A" w:rsidR="00D60F20" w:rsidRDefault="00D60F20" w:rsidP="00384999">
      <w:pPr>
        <w:pStyle w:val="FootnoteText"/>
      </w:pPr>
      <w:r w:rsidRPr="00014A7A">
        <w:footnoteRef/>
      </w:r>
      <w:r w:rsidRPr="00014A7A">
        <w:t xml:space="preserve"> </w:t>
      </w:r>
      <w:r>
        <w:tab/>
      </w:r>
      <w:r w:rsidRPr="00014A7A">
        <w:t>Under the assumption that growth of average weekly ordinary time earnings is lower than consumer price inflation.</w:t>
      </w:r>
    </w:p>
  </w:footnote>
  <w:footnote w:id="26">
    <w:p w14:paraId="7037272C" w14:textId="45BB0B5B" w:rsidR="00D60F20" w:rsidRPr="000756E3" w:rsidRDefault="00D60F20" w:rsidP="00384999">
      <w:pPr>
        <w:pStyle w:val="FootnoteText"/>
      </w:pPr>
      <w:r w:rsidRPr="00384999">
        <w:rPr>
          <w:rStyle w:val="FootnoteReference"/>
          <w:szCs w:val="18"/>
          <w:vertAlign w:val="baseline"/>
        </w:rPr>
        <w:footnoteRef/>
      </w:r>
      <w:r w:rsidRPr="00384999">
        <w:rPr>
          <w:rStyle w:val="FootnoteReference"/>
          <w:szCs w:val="18"/>
          <w:vertAlign w:val="baseline"/>
        </w:rPr>
        <w:t xml:space="preserve"> </w:t>
      </w:r>
      <w:r>
        <w:rPr>
          <w:rStyle w:val="FootnoteReference"/>
          <w:szCs w:val="18"/>
          <w:vertAlign w:val="baseline"/>
        </w:rPr>
        <w:tab/>
      </w:r>
      <w:r w:rsidRPr="000756E3">
        <w:t>This paper steps through Treasury’s approach to forecasting the components of household consumption, including tobacco</w:t>
      </w:r>
      <w:r>
        <w:t xml:space="preserve">.  It </w:t>
      </w:r>
      <w:r w:rsidRPr="000756E3">
        <w:t>is available at</w:t>
      </w:r>
      <w:r>
        <w:t xml:space="preserve">: </w:t>
      </w:r>
      <w:r w:rsidRPr="000756E3">
        <w:t xml:space="preserve"> </w:t>
      </w:r>
      <w:hyperlink r:id="rId2" w:history="1">
        <w:r w:rsidRPr="000756E3">
          <w:t>https://static.treasury.gov.au/uploads/sites/1/2017/09/C2017-T188982</w:t>
        </w:r>
      </w:hyperlink>
      <w:r w:rsidRPr="000756E3">
        <w:t xml:space="preserve"> </w:t>
      </w:r>
      <w:r>
        <w:t>Consumption-Splits.pdf</w:t>
      </w:r>
    </w:p>
  </w:footnote>
  <w:footnote w:id="27">
    <w:p w14:paraId="0EE6A5E5" w14:textId="437F1067" w:rsidR="00D60F20" w:rsidRPr="00DF67CD" w:rsidRDefault="00D60F20" w:rsidP="00384999">
      <w:pPr>
        <w:pStyle w:val="FootnoteText"/>
      </w:pPr>
      <w:r w:rsidRPr="00384999">
        <w:rPr>
          <w:rStyle w:val="FootnoteReference"/>
          <w:szCs w:val="18"/>
          <w:vertAlign w:val="baseline"/>
        </w:rPr>
        <w:footnoteRef/>
      </w:r>
      <w:r>
        <w:tab/>
      </w:r>
      <w:r w:rsidRPr="00DF67CD">
        <w:t xml:space="preserve">For a description of Treasury’s </w:t>
      </w:r>
      <w:r w:rsidRPr="00384999">
        <w:t>economic</w:t>
      </w:r>
      <w:r w:rsidRPr="00DF67CD">
        <w:t xml:space="preserve"> projection framework in the medium term, see </w:t>
      </w:r>
      <w:r w:rsidRPr="00DF67CD">
        <w:rPr>
          <w:i/>
        </w:rPr>
        <w:t>Budget 201</w:t>
      </w:r>
      <w:r>
        <w:rPr>
          <w:i/>
        </w:rPr>
        <w:t>8</w:t>
      </w:r>
      <w:r w:rsidRPr="00DF67CD">
        <w:rPr>
          <w:i/>
        </w:rPr>
        <w:t>-1</w:t>
      </w:r>
      <w:r>
        <w:rPr>
          <w:i/>
        </w:rPr>
        <w:t>9</w:t>
      </w:r>
      <w:r w:rsidRPr="00DF67CD">
        <w:t xml:space="preserve"> p. </w:t>
      </w:r>
      <w:r>
        <w:t>7</w:t>
      </w:r>
      <w:r w:rsidRPr="00DF67CD">
        <w:t xml:space="preserve">-18 </w:t>
      </w:r>
    </w:p>
  </w:footnote>
  <w:footnote w:id="28">
    <w:p w14:paraId="4176ECAD" w14:textId="4567739A" w:rsidR="00D60F20" w:rsidRPr="00DF67CD" w:rsidRDefault="00D60F20" w:rsidP="00384999">
      <w:pPr>
        <w:pStyle w:val="FootnoteText"/>
      </w:pPr>
      <w:r w:rsidRPr="00384999">
        <w:rPr>
          <w:rStyle w:val="FootnoteReference"/>
          <w:szCs w:val="18"/>
          <w:vertAlign w:val="baseline"/>
        </w:rPr>
        <w:footnoteRef/>
      </w:r>
      <w:r>
        <w:tab/>
      </w:r>
      <w:r w:rsidRPr="00DF67CD">
        <w:t xml:space="preserve">In the past, tobacco excise collected by the ATO was paid on a Monday, such that months may have had four or five collection days. Recent years of 53 Mondays were 2007-08 and 2013-14, with the forecasts being around two per cent higher in those years than they would </w:t>
      </w:r>
      <w:r w:rsidRPr="00384999">
        <w:t>have</w:t>
      </w:r>
      <w:r w:rsidRPr="00DF67CD">
        <w:t xml:space="preserve"> been otherwise.</w:t>
      </w:r>
    </w:p>
  </w:footnote>
  <w:footnote w:id="29">
    <w:p w14:paraId="0A628251" w14:textId="5830123A" w:rsidR="00D60F20" w:rsidRPr="004A4CA4" w:rsidRDefault="00D60F20" w:rsidP="00384999">
      <w:pPr>
        <w:pStyle w:val="FootnoteText"/>
      </w:pPr>
      <w:r w:rsidRPr="00384999">
        <w:rPr>
          <w:rStyle w:val="FootnoteReference"/>
          <w:szCs w:val="18"/>
          <w:vertAlign w:val="baseline"/>
        </w:rPr>
        <w:footnoteRef/>
      </w:r>
      <w:r>
        <w:tab/>
      </w:r>
      <w:r w:rsidRPr="004A4CA4">
        <w:t xml:space="preserve">An additional policy change affecting future tobacco excise was announced at </w:t>
      </w:r>
      <w:r w:rsidRPr="004A4CA4">
        <w:rPr>
          <w:i/>
        </w:rPr>
        <w:t>Budget 2018-19</w:t>
      </w:r>
      <w:r>
        <w:t xml:space="preserve">.  From 1 July 2019, </w:t>
      </w:r>
      <w:r w:rsidRPr="004A4CA4">
        <w:t xml:space="preserve">importers of tobacco will be required to </w:t>
      </w:r>
      <w:r w:rsidRPr="00384999">
        <w:t>pay</w:t>
      </w:r>
      <w:r w:rsidRPr="004A4CA4">
        <w:t xml:space="preserve"> all duty and tax liabilities upon importation. This is a change from the current system, where tobacco can be imported and stored in licensed warehouses prior to tax being paid.</w:t>
      </w:r>
    </w:p>
  </w:footnote>
  <w:footnote w:id="30">
    <w:p w14:paraId="002E0C43" w14:textId="60072ED1" w:rsidR="00D60F20" w:rsidRPr="003D23AD" w:rsidRDefault="00D60F20" w:rsidP="008511BA">
      <w:pPr>
        <w:pStyle w:val="FootnoteText"/>
      </w:pPr>
      <w:r w:rsidRPr="008511BA">
        <w:rPr>
          <w:rStyle w:val="FootnoteReference"/>
          <w:szCs w:val="18"/>
          <w:vertAlign w:val="baseline"/>
        </w:rPr>
        <w:footnoteRef/>
      </w:r>
      <w:r w:rsidRPr="00877C01">
        <w:t xml:space="preserve"> </w:t>
      </w:r>
      <w:r>
        <w:tab/>
        <w:t xml:space="preserve">Unpublished ABS data (quarterly business indicators), including an allowance for stocks held by retailers and smaller </w:t>
      </w:r>
      <w:r w:rsidRPr="008511BA">
        <w:t>wholesalers</w:t>
      </w:r>
      <w:r>
        <w:t>. Figures are for the end of each financial year.</w:t>
      </w:r>
    </w:p>
  </w:footnote>
  <w:footnote w:id="31">
    <w:p w14:paraId="0199079D" w14:textId="29B5AB82" w:rsidR="00D60F20" w:rsidRDefault="00D60F20" w:rsidP="008511BA">
      <w:pPr>
        <w:pStyle w:val="FootnoteText"/>
      </w:pPr>
      <w:r w:rsidRPr="008511BA">
        <w:rPr>
          <w:rStyle w:val="FootnoteReference"/>
          <w:vertAlign w:val="baseline"/>
        </w:rPr>
        <w:footnoteRef/>
      </w:r>
      <w:r w:rsidRPr="008511BA">
        <w:t xml:space="preserve"> </w:t>
      </w:r>
      <w:r>
        <w:tab/>
      </w:r>
      <w:r w:rsidRPr="00F42CD4">
        <w:t>http://www.tobaccoinaustralia.org.au/chapter-10-tobacco-industry/10-7-market-share-and-brand-share-in-australia</w:t>
      </w:r>
    </w:p>
  </w:footnote>
  <w:footnote w:id="32">
    <w:p w14:paraId="66C5B806" w14:textId="076254F5" w:rsidR="00D60F20" w:rsidRDefault="00D60F20">
      <w:pPr>
        <w:pStyle w:val="FootnoteText"/>
      </w:pPr>
      <w:r w:rsidRPr="008511BA">
        <w:rPr>
          <w:rStyle w:val="FootnoteReference"/>
          <w:vertAlign w:val="baseline"/>
        </w:rPr>
        <w:footnoteRef/>
      </w:r>
      <w:r>
        <w:tab/>
      </w:r>
      <w:r w:rsidRPr="003D23AD">
        <w:rPr>
          <w:szCs w:val="18"/>
        </w:rPr>
        <w:t>ATO submission to the Inquiry into Illic</w:t>
      </w:r>
      <w:r>
        <w:rPr>
          <w:szCs w:val="18"/>
        </w:rPr>
        <w:t>it Tobacco by the Parliamentary</w:t>
      </w:r>
      <w:r w:rsidRPr="003D23AD">
        <w:rPr>
          <w:szCs w:val="18"/>
        </w:rPr>
        <w:t xml:space="preserve"> Join Committee on Law Enforcement, </w:t>
      </w:r>
      <w:r>
        <w:rPr>
          <w:szCs w:val="18"/>
        </w:rPr>
        <w:t xml:space="preserve">March </w:t>
      </w:r>
      <w:r w:rsidRPr="003D23AD">
        <w:rPr>
          <w:szCs w:val="18"/>
        </w:rPr>
        <w:t>2016.</w:t>
      </w:r>
    </w:p>
  </w:footnote>
  <w:footnote w:id="33">
    <w:p w14:paraId="4A31A9EA" w14:textId="1A395866" w:rsidR="00D60F20" w:rsidRDefault="00D60F20">
      <w:pPr>
        <w:pStyle w:val="FootnoteText"/>
      </w:pPr>
      <w:r w:rsidRPr="008511BA">
        <w:rPr>
          <w:rStyle w:val="FootnoteReference"/>
          <w:vertAlign w:val="baseline"/>
        </w:rPr>
        <w:footnoteRef/>
      </w:r>
      <w:r>
        <w:tab/>
      </w:r>
      <w:r w:rsidRPr="003D23AD">
        <w:rPr>
          <w:szCs w:val="18"/>
        </w:rPr>
        <w:t>201</w:t>
      </w:r>
      <w:r>
        <w:rPr>
          <w:szCs w:val="18"/>
        </w:rPr>
        <w:t>7</w:t>
      </w:r>
      <w:r w:rsidRPr="003D23AD">
        <w:rPr>
          <w:szCs w:val="18"/>
        </w:rPr>
        <w:t>-1</w:t>
      </w:r>
      <w:r>
        <w:rPr>
          <w:szCs w:val="18"/>
        </w:rPr>
        <w:t>8</w:t>
      </w:r>
      <w:r w:rsidRPr="003D23AD">
        <w:rPr>
          <w:szCs w:val="18"/>
        </w:rPr>
        <w:t xml:space="preserve"> Department of </w:t>
      </w:r>
      <w:r>
        <w:rPr>
          <w:szCs w:val="18"/>
        </w:rPr>
        <w:t>Home Affairs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3C02" w14:textId="77777777" w:rsidR="00D60F20" w:rsidRDefault="00D6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001C" w14:textId="77777777" w:rsidR="00D60F20" w:rsidRDefault="00D60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342F" w14:textId="29746246" w:rsidR="00D60F20" w:rsidRDefault="00D60F20" w:rsidP="00F60530">
    <w:pPr>
      <w:pStyle w:val="SecurityClassificationHeader"/>
    </w:pPr>
    <w:r>
      <w:rPr>
        <w:noProof/>
      </w:rPr>
      <w:drawing>
        <wp:anchor distT="0" distB="0" distL="114300" distR="114300" simplePos="0" relativeHeight="251658240" behindDoc="1" locked="0" layoutInCell="1" allowOverlap="1" wp14:anchorId="45981A22" wp14:editId="6E4C84B0">
          <wp:simplePos x="0" y="0"/>
          <wp:positionH relativeFrom="page">
            <wp:align>center</wp:align>
          </wp:positionH>
          <wp:positionV relativeFrom="page">
            <wp:posOffset>180340</wp:posOffset>
          </wp:positionV>
          <wp:extent cx="7200000" cy="1000800"/>
          <wp:effectExtent l="0" t="0" r="127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00800"/>
                  </a:xfrm>
                  <a:prstGeom prst="rect">
                    <a:avLst/>
                  </a:prstGeom>
                </pic:spPr>
              </pic:pic>
            </a:graphicData>
          </a:graphic>
          <wp14:sizeRelH relativeFrom="margin">
            <wp14:pctWidth>0</wp14:pctWidth>
          </wp14:sizeRelH>
          <wp14:sizeRelV relativeFrom="margin">
            <wp14:pctHeight>0</wp14:pctHeight>
          </wp14:sizeRelV>
        </wp:anchor>
      </w:drawing>
    </w:r>
  </w:p>
  <w:p w14:paraId="475EDDE5" w14:textId="5F2DD3A2" w:rsidR="00D60F20" w:rsidRPr="00F012EA" w:rsidRDefault="00D60F20" w:rsidP="00F01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B2AE" w14:textId="77777777" w:rsidR="00D60F20" w:rsidRPr="00F012EA" w:rsidRDefault="00D60F20" w:rsidP="00F01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116D" w14:textId="707841CA" w:rsidR="00D60F20" w:rsidRPr="00566477" w:rsidRDefault="00D60F20" w:rsidP="00566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45B0A7E"/>
    <w:multiLevelType w:val="multilevel"/>
    <w:tmpl w:val="EDEE4FB6"/>
    <w:numStyleLink w:val="RecommendationBulletList"/>
  </w:abstractNum>
  <w:abstractNum w:abstractNumId="22"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4"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10D2021"/>
    <w:multiLevelType w:val="multilevel"/>
    <w:tmpl w:val="72F8140E"/>
    <w:numStyleLink w:val="OutlineList"/>
  </w:abstractNum>
  <w:abstractNum w:abstractNumId="26"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F73129"/>
    <w:multiLevelType w:val="multilevel"/>
    <w:tmpl w:val="D9A8A212"/>
    <w:numStyleLink w:val="RomanNumeralList"/>
  </w:abstractNum>
  <w:abstractNum w:abstractNumId="28"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15:restartNumberingAfterBreak="0">
    <w:nsid w:val="6A5F7B24"/>
    <w:multiLevelType w:val="multilevel"/>
    <w:tmpl w:val="2090AC60"/>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5"/>
  </w:num>
  <w:num w:numId="2">
    <w:abstractNumId w:val="3"/>
  </w:num>
  <w:num w:numId="3">
    <w:abstractNumId w:val="22"/>
  </w:num>
  <w:num w:numId="4">
    <w:abstractNumId w:val="18"/>
  </w:num>
  <w:num w:numId="5">
    <w:abstractNumId w:val="5"/>
  </w:num>
  <w:num w:numId="6">
    <w:abstractNumId w:val="9"/>
  </w:num>
  <w:num w:numId="7">
    <w:abstractNumId w:val="4"/>
  </w:num>
  <w:num w:numId="8">
    <w:abstractNumId w:val="6"/>
  </w:num>
  <w:num w:numId="9">
    <w:abstractNumId w:val="25"/>
  </w:num>
  <w:num w:numId="10">
    <w:abstractNumId w:val="21"/>
  </w:num>
  <w:num w:numId="11">
    <w:abstractNumId w:val="27"/>
  </w:num>
  <w:num w:numId="12">
    <w:abstractNumId w:val="17"/>
  </w:num>
  <w:num w:numId="13">
    <w:abstractNumId w:val="26"/>
  </w:num>
  <w:num w:numId="14">
    <w:abstractNumId w:val="10"/>
  </w:num>
  <w:num w:numId="15">
    <w:abstractNumId w:val="10"/>
  </w:num>
  <w:num w:numId="16">
    <w:abstractNumId w:val="20"/>
  </w:num>
  <w:num w:numId="17">
    <w:abstractNumId w:val="1"/>
  </w:num>
  <w:num w:numId="18">
    <w:abstractNumId w:val="31"/>
  </w:num>
  <w:num w:numId="19">
    <w:abstractNumId w:val="14"/>
  </w:num>
  <w:num w:numId="20">
    <w:abstractNumId w:val="19"/>
  </w:num>
  <w:num w:numId="21">
    <w:abstractNumId w:val="32"/>
  </w:num>
  <w:num w:numId="22">
    <w:abstractNumId w:val="33"/>
  </w:num>
  <w:num w:numId="23">
    <w:abstractNumId w:val="32"/>
  </w:num>
  <w:num w:numId="24">
    <w:abstractNumId w:val="32"/>
  </w:num>
  <w:num w:numId="25">
    <w:abstractNumId w:val="32"/>
  </w:num>
  <w:num w:numId="26">
    <w:abstractNumId w:val="32"/>
  </w:num>
  <w:num w:numId="27">
    <w:abstractNumId w:val="32"/>
  </w:num>
  <w:num w:numId="28">
    <w:abstractNumId w:val="37"/>
  </w:num>
  <w:num w:numId="29">
    <w:abstractNumId w:val="24"/>
  </w:num>
  <w:num w:numId="30">
    <w:abstractNumId w:val="13"/>
  </w:num>
  <w:num w:numId="31">
    <w:abstractNumId w:val="28"/>
  </w:num>
  <w:num w:numId="32">
    <w:abstractNumId w:val="23"/>
  </w:num>
  <w:num w:numId="33">
    <w:abstractNumId w:val="11"/>
  </w:num>
  <w:num w:numId="34">
    <w:abstractNumId w:val="34"/>
  </w:num>
  <w:num w:numId="35">
    <w:abstractNumId w:val="8"/>
  </w:num>
  <w:num w:numId="36">
    <w:abstractNumId w:val="16"/>
  </w:num>
  <w:num w:numId="37">
    <w:abstractNumId w:val="29"/>
  </w:num>
  <w:num w:numId="38">
    <w:abstractNumId w:val="12"/>
  </w:num>
  <w:num w:numId="39">
    <w:abstractNumId w:val="36"/>
  </w:num>
  <w:num w:numId="40">
    <w:abstractNumId w:val="30"/>
  </w:num>
  <w:num w:numId="41">
    <w:abstractNumId w:val="7"/>
  </w:num>
  <w:num w:numId="42">
    <w:abstractNumId w:val="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09091A"/>
    <w:rsid w:val="00000686"/>
    <w:rsid w:val="00003ACD"/>
    <w:rsid w:val="00003EB2"/>
    <w:rsid w:val="00004005"/>
    <w:rsid w:val="000047F7"/>
    <w:rsid w:val="0000697A"/>
    <w:rsid w:val="00007111"/>
    <w:rsid w:val="0000796D"/>
    <w:rsid w:val="00007CDE"/>
    <w:rsid w:val="00014A7A"/>
    <w:rsid w:val="000167A9"/>
    <w:rsid w:val="0002301D"/>
    <w:rsid w:val="00026A45"/>
    <w:rsid w:val="00033732"/>
    <w:rsid w:val="00033FE4"/>
    <w:rsid w:val="000370E8"/>
    <w:rsid w:val="000428C8"/>
    <w:rsid w:val="00045642"/>
    <w:rsid w:val="000464B6"/>
    <w:rsid w:val="00050597"/>
    <w:rsid w:val="00051C46"/>
    <w:rsid w:val="00053E45"/>
    <w:rsid w:val="000569DE"/>
    <w:rsid w:val="000622B2"/>
    <w:rsid w:val="00063C12"/>
    <w:rsid w:val="000756E3"/>
    <w:rsid w:val="00077501"/>
    <w:rsid w:val="00077D52"/>
    <w:rsid w:val="000837C9"/>
    <w:rsid w:val="00083A58"/>
    <w:rsid w:val="000868C6"/>
    <w:rsid w:val="00087644"/>
    <w:rsid w:val="0009091A"/>
    <w:rsid w:val="00091054"/>
    <w:rsid w:val="000924B1"/>
    <w:rsid w:val="000949D1"/>
    <w:rsid w:val="000959E0"/>
    <w:rsid w:val="00095C3F"/>
    <w:rsid w:val="000A3B72"/>
    <w:rsid w:val="000A45EC"/>
    <w:rsid w:val="000B38E4"/>
    <w:rsid w:val="000B54C5"/>
    <w:rsid w:val="000C1BB2"/>
    <w:rsid w:val="000C276A"/>
    <w:rsid w:val="000C2D60"/>
    <w:rsid w:val="000D07FE"/>
    <w:rsid w:val="000D4C1F"/>
    <w:rsid w:val="000D506B"/>
    <w:rsid w:val="000D6EE6"/>
    <w:rsid w:val="000F26F5"/>
    <w:rsid w:val="000F335A"/>
    <w:rsid w:val="000F6988"/>
    <w:rsid w:val="000F72FC"/>
    <w:rsid w:val="0010021B"/>
    <w:rsid w:val="00112A7E"/>
    <w:rsid w:val="00112FF0"/>
    <w:rsid w:val="00115FD7"/>
    <w:rsid w:val="0012223C"/>
    <w:rsid w:val="00125943"/>
    <w:rsid w:val="00126725"/>
    <w:rsid w:val="00133219"/>
    <w:rsid w:val="00142A16"/>
    <w:rsid w:val="00142E71"/>
    <w:rsid w:val="00143ADF"/>
    <w:rsid w:val="00143CD6"/>
    <w:rsid w:val="0014474C"/>
    <w:rsid w:val="00147046"/>
    <w:rsid w:val="001470D7"/>
    <w:rsid w:val="00147151"/>
    <w:rsid w:val="001512CD"/>
    <w:rsid w:val="0015665B"/>
    <w:rsid w:val="001573B9"/>
    <w:rsid w:val="00160054"/>
    <w:rsid w:val="00162A7C"/>
    <w:rsid w:val="00164E06"/>
    <w:rsid w:val="0017058B"/>
    <w:rsid w:val="001718C3"/>
    <w:rsid w:val="00171B52"/>
    <w:rsid w:val="001759E9"/>
    <w:rsid w:val="001761B8"/>
    <w:rsid w:val="00181A27"/>
    <w:rsid w:val="00190444"/>
    <w:rsid w:val="001925E2"/>
    <w:rsid w:val="00192EB2"/>
    <w:rsid w:val="00194D2D"/>
    <w:rsid w:val="001971EF"/>
    <w:rsid w:val="001A420D"/>
    <w:rsid w:val="001B227B"/>
    <w:rsid w:val="001B24AD"/>
    <w:rsid w:val="001B5E15"/>
    <w:rsid w:val="001B7833"/>
    <w:rsid w:val="001B7B44"/>
    <w:rsid w:val="001C00A1"/>
    <w:rsid w:val="001C1109"/>
    <w:rsid w:val="001C57DB"/>
    <w:rsid w:val="001C7060"/>
    <w:rsid w:val="001C783F"/>
    <w:rsid w:val="001C7D77"/>
    <w:rsid w:val="001D2EC5"/>
    <w:rsid w:val="001D40E1"/>
    <w:rsid w:val="001E1D66"/>
    <w:rsid w:val="001E2509"/>
    <w:rsid w:val="001E4499"/>
    <w:rsid w:val="001E504A"/>
    <w:rsid w:val="001E5744"/>
    <w:rsid w:val="001E664D"/>
    <w:rsid w:val="001E6E35"/>
    <w:rsid w:val="001F12F6"/>
    <w:rsid w:val="001F2306"/>
    <w:rsid w:val="001F3F3E"/>
    <w:rsid w:val="00200163"/>
    <w:rsid w:val="002015AB"/>
    <w:rsid w:val="00202157"/>
    <w:rsid w:val="00202FC4"/>
    <w:rsid w:val="00204087"/>
    <w:rsid w:val="00204B73"/>
    <w:rsid w:val="002111DE"/>
    <w:rsid w:val="00211545"/>
    <w:rsid w:val="00212030"/>
    <w:rsid w:val="002129F7"/>
    <w:rsid w:val="00221A0B"/>
    <w:rsid w:val="002229C9"/>
    <w:rsid w:val="002249D2"/>
    <w:rsid w:val="00225CB8"/>
    <w:rsid w:val="00226072"/>
    <w:rsid w:val="002271BB"/>
    <w:rsid w:val="00227EF6"/>
    <w:rsid w:val="00232216"/>
    <w:rsid w:val="002330AC"/>
    <w:rsid w:val="00235847"/>
    <w:rsid w:val="00235AB6"/>
    <w:rsid w:val="0024092E"/>
    <w:rsid w:val="002427F6"/>
    <w:rsid w:val="00250D6A"/>
    <w:rsid w:val="00251DC8"/>
    <w:rsid w:val="00257A2D"/>
    <w:rsid w:val="00261D8A"/>
    <w:rsid w:val="00262C61"/>
    <w:rsid w:val="00265D4E"/>
    <w:rsid w:val="00265EDA"/>
    <w:rsid w:val="00266BB5"/>
    <w:rsid w:val="002677C9"/>
    <w:rsid w:val="00267E1D"/>
    <w:rsid w:val="00270EB0"/>
    <w:rsid w:val="00273534"/>
    <w:rsid w:val="00274284"/>
    <w:rsid w:val="0027445D"/>
    <w:rsid w:val="002768B3"/>
    <w:rsid w:val="00277684"/>
    <w:rsid w:val="00280D28"/>
    <w:rsid w:val="00283857"/>
    <w:rsid w:val="0028638E"/>
    <w:rsid w:val="00287EE1"/>
    <w:rsid w:val="00291937"/>
    <w:rsid w:val="0029248F"/>
    <w:rsid w:val="002954C2"/>
    <w:rsid w:val="00297C46"/>
    <w:rsid w:val="002A1666"/>
    <w:rsid w:val="002A3064"/>
    <w:rsid w:val="002A3CBA"/>
    <w:rsid w:val="002A3D21"/>
    <w:rsid w:val="002A4E42"/>
    <w:rsid w:val="002A7917"/>
    <w:rsid w:val="002B4AA6"/>
    <w:rsid w:val="002B53E2"/>
    <w:rsid w:val="002B5BDC"/>
    <w:rsid w:val="002B7AF3"/>
    <w:rsid w:val="002C1EBD"/>
    <w:rsid w:val="002C270C"/>
    <w:rsid w:val="002C3075"/>
    <w:rsid w:val="002C3379"/>
    <w:rsid w:val="002C4D36"/>
    <w:rsid w:val="002C5398"/>
    <w:rsid w:val="002C5E0D"/>
    <w:rsid w:val="002D0876"/>
    <w:rsid w:val="002D316D"/>
    <w:rsid w:val="002D382A"/>
    <w:rsid w:val="002D4D68"/>
    <w:rsid w:val="002E011C"/>
    <w:rsid w:val="002E5B25"/>
    <w:rsid w:val="002E5F5C"/>
    <w:rsid w:val="002E622E"/>
    <w:rsid w:val="002E7527"/>
    <w:rsid w:val="002E7BDD"/>
    <w:rsid w:val="002F0248"/>
    <w:rsid w:val="002F3DFC"/>
    <w:rsid w:val="002F5823"/>
    <w:rsid w:val="002F73DF"/>
    <w:rsid w:val="00301A52"/>
    <w:rsid w:val="00302368"/>
    <w:rsid w:val="00305F2B"/>
    <w:rsid w:val="00311A9E"/>
    <w:rsid w:val="003132BF"/>
    <w:rsid w:val="00314E03"/>
    <w:rsid w:val="003238D1"/>
    <w:rsid w:val="00326D99"/>
    <w:rsid w:val="003310AF"/>
    <w:rsid w:val="003318D9"/>
    <w:rsid w:val="003326C6"/>
    <w:rsid w:val="00333440"/>
    <w:rsid w:val="00333E55"/>
    <w:rsid w:val="00334335"/>
    <w:rsid w:val="003372C4"/>
    <w:rsid w:val="003406DF"/>
    <w:rsid w:val="00340FA1"/>
    <w:rsid w:val="00341514"/>
    <w:rsid w:val="00341693"/>
    <w:rsid w:val="00347B1F"/>
    <w:rsid w:val="00347F2A"/>
    <w:rsid w:val="003534BF"/>
    <w:rsid w:val="0035398B"/>
    <w:rsid w:val="00354089"/>
    <w:rsid w:val="00357D44"/>
    <w:rsid w:val="00361BD0"/>
    <w:rsid w:val="00362BB6"/>
    <w:rsid w:val="003632AD"/>
    <w:rsid w:val="003641BA"/>
    <w:rsid w:val="003644EF"/>
    <w:rsid w:val="00365C6D"/>
    <w:rsid w:val="00367F87"/>
    <w:rsid w:val="003744B3"/>
    <w:rsid w:val="003809EA"/>
    <w:rsid w:val="00384999"/>
    <w:rsid w:val="00384C4E"/>
    <w:rsid w:val="00384DFD"/>
    <w:rsid w:val="00390529"/>
    <w:rsid w:val="003A1A88"/>
    <w:rsid w:val="003A56BF"/>
    <w:rsid w:val="003B0501"/>
    <w:rsid w:val="003B2889"/>
    <w:rsid w:val="003B4BCB"/>
    <w:rsid w:val="003B5EA3"/>
    <w:rsid w:val="003C36A2"/>
    <w:rsid w:val="003C53EB"/>
    <w:rsid w:val="003C720F"/>
    <w:rsid w:val="003D0993"/>
    <w:rsid w:val="003D19EF"/>
    <w:rsid w:val="003D23AD"/>
    <w:rsid w:val="003D27B3"/>
    <w:rsid w:val="003D296C"/>
    <w:rsid w:val="003D3DC9"/>
    <w:rsid w:val="003D42D8"/>
    <w:rsid w:val="003D644A"/>
    <w:rsid w:val="003D6871"/>
    <w:rsid w:val="003D6F0A"/>
    <w:rsid w:val="003D79C6"/>
    <w:rsid w:val="003E0E7B"/>
    <w:rsid w:val="003E305D"/>
    <w:rsid w:val="003E3374"/>
    <w:rsid w:val="003E6B90"/>
    <w:rsid w:val="003E6C26"/>
    <w:rsid w:val="003E728C"/>
    <w:rsid w:val="003F3692"/>
    <w:rsid w:val="003F4D26"/>
    <w:rsid w:val="003F6C80"/>
    <w:rsid w:val="00400AFB"/>
    <w:rsid w:val="004014A0"/>
    <w:rsid w:val="0040459C"/>
    <w:rsid w:val="00404FC2"/>
    <w:rsid w:val="00405A43"/>
    <w:rsid w:val="00406016"/>
    <w:rsid w:val="00411AC1"/>
    <w:rsid w:val="00416E7C"/>
    <w:rsid w:val="00421149"/>
    <w:rsid w:val="004226BF"/>
    <w:rsid w:val="004230F7"/>
    <w:rsid w:val="00423BDD"/>
    <w:rsid w:val="0042507E"/>
    <w:rsid w:val="00426CC1"/>
    <w:rsid w:val="004277D0"/>
    <w:rsid w:val="00432784"/>
    <w:rsid w:val="00432CED"/>
    <w:rsid w:val="00434CCD"/>
    <w:rsid w:val="004370F4"/>
    <w:rsid w:val="0044502F"/>
    <w:rsid w:val="00460338"/>
    <w:rsid w:val="00460A29"/>
    <w:rsid w:val="00460C65"/>
    <w:rsid w:val="004622BC"/>
    <w:rsid w:val="004644F0"/>
    <w:rsid w:val="0046690B"/>
    <w:rsid w:val="004721B8"/>
    <w:rsid w:val="00474D11"/>
    <w:rsid w:val="004754EB"/>
    <w:rsid w:val="00476860"/>
    <w:rsid w:val="0048016F"/>
    <w:rsid w:val="00480954"/>
    <w:rsid w:val="00483091"/>
    <w:rsid w:val="00493BD1"/>
    <w:rsid w:val="00494618"/>
    <w:rsid w:val="00494DE6"/>
    <w:rsid w:val="004A4CA4"/>
    <w:rsid w:val="004A6708"/>
    <w:rsid w:val="004A6D3D"/>
    <w:rsid w:val="004A71E0"/>
    <w:rsid w:val="004B07A5"/>
    <w:rsid w:val="004B2D8A"/>
    <w:rsid w:val="004B31E2"/>
    <w:rsid w:val="004B472B"/>
    <w:rsid w:val="004C1488"/>
    <w:rsid w:val="004C167F"/>
    <w:rsid w:val="004D23CA"/>
    <w:rsid w:val="004E21E6"/>
    <w:rsid w:val="004E2C07"/>
    <w:rsid w:val="004E3205"/>
    <w:rsid w:val="004E6489"/>
    <w:rsid w:val="004F47AD"/>
    <w:rsid w:val="004F4EE7"/>
    <w:rsid w:val="00500704"/>
    <w:rsid w:val="00500B4B"/>
    <w:rsid w:val="00502DB6"/>
    <w:rsid w:val="0050531B"/>
    <w:rsid w:val="005056C6"/>
    <w:rsid w:val="00505EFB"/>
    <w:rsid w:val="00506142"/>
    <w:rsid w:val="0051251F"/>
    <w:rsid w:val="005133B2"/>
    <w:rsid w:val="005138DB"/>
    <w:rsid w:val="00514478"/>
    <w:rsid w:val="005207AF"/>
    <w:rsid w:val="00520B58"/>
    <w:rsid w:val="005249CE"/>
    <w:rsid w:val="00532243"/>
    <w:rsid w:val="00544DFC"/>
    <w:rsid w:val="005464F7"/>
    <w:rsid w:val="005522E2"/>
    <w:rsid w:val="00555127"/>
    <w:rsid w:val="00555B0A"/>
    <w:rsid w:val="00562EFB"/>
    <w:rsid w:val="00564CC1"/>
    <w:rsid w:val="00566477"/>
    <w:rsid w:val="0057074A"/>
    <w:rsid w:val="0057483A"/>
    <w:rsid w:val="005755D6"/>
    <w:rsid w:val="00577FC0"/>
    <w:rsid w:val="00581644"/>
    <w:rsid w:val="00581AF8"/>
    <w:rsid w:val="005820FF"/>
    <w:rsid w:val="0058350B"/>
    <w:rsid w:val="00583DF9"/>
    <w:rsid w:val="00584786"/>
    <w:rsid w:val="005904CD"/>
    <w:rsid w:val="00591089"/>
    <w:rsid w:val="00595198"/>
    <w:rsid w:val="00596498"/>
    <w:rsid w:val="005965BA"/>
    <w:rsid w:val="005978C7"/>
    <w:rsid w:val="005A107C"/>
    <w:rsid w:val="005A2188"/>
    <w:rsid w:val="005A2DDA"/>
    <w:rsid w:val="005A44BF"/>
    <w:rsid w:val="005A5886"/>
    <w:rsid w:val="005B52C6"/>
    <w:rsid w:val="005C0145"/>
    <w:rsid w:val="005C7CED"/>
    <w:rsid w:val="005D00B4"/>
    <w:rsid w:val="005D6F78"/>
    <w:rsid w:val="005E0669"/>
    <w:rsid w:val="005E6707"/>
    <w:rsid w:val="005E6BA9"/>
    <w:rsid w:val="005F0D34"/>
    <w:rsid w:val="005F100C"/>
    <w:rsid w:val="005F2D8F"/>
    <w:rsid w:val="005F3390"/>
    <w:rsid w:val="005F3B6D"/>
    <w:rsid w:val="005F3FBB"/>
    <w:rsid w:val="005F4188"/>
    <w:rsid w:val="005F5653"/>
    <w:rsid w:val="005F66EC"/>
    <w:rsid w:val="005F6EA2"/>
    <w:rsid w:val="0060290A"/>
    <w:rsid w:val="0060520E"/>
    <w:rsid w:val="006133CA"/>
    <w:rsid w:val="00613797"/>
    <w:rsid w:val="00614BAC"/>
    <w:rsid w:val="006165DA"/>
    <w:rsid w:val="00623C22"/>
    <w:rsid w:val="006273BD"/>
    <w:rsid w:val="006303F0"/>
    <w:rsid w:val="0063044D"/>
    <w:rsid w:val="006331A8"/>
    <w:rsid w:val="006347C3"/>
    <w:rsid w:val="0063490E"/>
    <w:rsid w:val="006355EA"/>
    <w:rsid w:val="00637F46"/>
    <w:rsid w:val="006457CC"/>
    <w:rsid w:val="00657243"/>
    <w:rsid w:val="00661032"/>
    <w:rsid w:val="00663670"/>
    <w:rsid w:val="00666409"/>
    <w:rsid w:val="00670403"/>
    <w:rsid w:val="00671320"/>
    <w:rsid w:val="0067198E"/>
    <w:rsid w:val="00672387"/>
    <w:rsid w:val="00673181"/>
    <w:rsid w:val="006760EC"/>
    <w:rsid w:val="00676B7F"/>
    <w:rsid w:val="00676BF2"/>
    <w:rsid w:val="00680311"/>
    <w:rsid w:val="00681A61"/>
    <w:rsid w:val="00685FB1"/>
    <w:rsid w:val="00687244"/>
    <w:rsid w:val="006958A6"/>
    <w:rsid w:val="00696485"/>
    <w:rsid w:val="00697122"/>
    <w:rsid w:val="00697E8F"/>
    <w:rsid w:val="006A30A5"/>
    <w:rsid w:val="006A7318"/>
    <w:rsid w:val="006B001B"/>
    <w:rsid w:val="006C72C5"/>
    <w:rsid w:val="006D0471"/>
    <w:rsid w:val="006D2495"/>
    <w:rsid w:val="006D412F"/>
    <w:rsid w:val="006D5DBD"/>
    <w:rsid w:val="006D6023"/>
    <w:rsid w:val="006E4318"/>
    <w:rsid w:val="006F2057"/>
    <w:rsid w:val="006F2D97"/>
    <w:rsid w:val="006F3E0E"/>
    <w:rsid w:val="0070195A"/>
    <w:rsid w:val="00707029"/>
    <w:rsid w:val="00707780"/>
    <w:rsid w:val="0071186D"/>
    <w:rsid w:val="007121FD"/>
    <w:rsid w:val="007129E4"/>
    <w:rsid w:val="00714153"/>
    <w:rsid w:val="00717154"/>
    <w:rsid w:val="00722FA0"/>
    <w:rsid w:val="007259AF"/>
    <w:rsid w:val="00727294"/>
    <w:rsid w:val="00734427"/>
    <w:rsid w:val="00734DAC"/>
    <w:rsid w:val="00734EAC"/>
    <w:rsid w:val="00740219"/>
    <w:rsid w:val="0074545C"/>
    <w:rsid w:val="00745DDD"/>
    <w:rsid w:val="0074652C"/>
    <w:rsid w:val="00747405"/>
    <w:rsid w:val="00755F00"/>
    <w:rsid w:val="00765724"/>
    <w:rsid w:val="00767F36"/>
    <w:rsid w:val="007733CD"/>
    <w:rsid w:val="007805E0"/>
    <w:rsid w:val="0078079E"/>
    <w:rsid w:val="00781330"/>
    <w:rsid w:val="0078304B"/>
    <w:rsid w:val="0078473C"/>
    <w:rsid w:val="007A2ACB"/>
    <w:rsid w:val="007B0C23"/>
    <w:rsid w:val="007B6800"/>
    <w:rsid w:val="007C0AFB"/>
    <w:rsid w:val="007C0D49"/>
    <w:rsid w:val="007C1F64"/>
    <w:rsid w:val="007C343B"/>
    <w:rsid w:val="007C48F0"/>
    <w:rsid w:val="007C7256"/>
    <w:rsid w:val="007C7DEA"/>
    <w:rsid w:val="007D022E"/>
    <w:rsid w:val="007D04F2"/>
    <w:rsid w:val="007D0EB7"/>
    <w:rsid w:val="007D0EEE"/>
    <w:rsid w:val="007D19D6"/>
    <w:rsid w:val="007D56E9"/>
    <w:rsid w:val="007D65E2"/>
    <w:rsid w:val="007D6CAB"/>
    <w:rsid w:val="007D796A"/>
    <w:rsid w:val="007E38DB"/>
    <w:rsid w:val="007E7923"/>
    <w:rsid w:val="007F0357"/>
    <w:rsid w:val="007F36E9"/>
    <w:rsid w:val="007F4CCA"/>
    <w:rsid w:val="007F783C"/>
    <w:rsid w:val="00803B2A"/>
    <w:rsid w:val="00804804"/>
    <w:rsid w:val="00812433"/>
    <w:rsid w:val="0082097D"/>
    <w:rsid w:val="0082695C"/>
    <w:rsid w:val="00826CB3"/>
    <w:rsid w:val="008301A1"/>
    <w:rsid w:val="00831D6B"/>
    <w:rsid w:val="00833945"/>
    <w:rsid w:val="00845117"/>
    <w:rsid w:val="008511BA"/>
    <w:rsid w:val="0085146D"/>
    <w:rsid w:val="00852525"/>
    <w:rsid w:val="00854C01"/>
    <w:rsid w:val="00856C9D"/>
    <w:rsid w:val="008627B1"/>
    <w:rsid w:val="00862821"/>
    <w:rsid w:val="00863BE8"/>
    <w:rsid w:val="00864D1D"/>
    <w:rsid w:val="00865CBC"/>
    <w:rsid w:val="00866453"/>
    <w:rsid w:val="00875C67"/>
    <w:rsid w:val="00877C01"/>
    <w:rsid w:val="00880ADB"/>
    <w:rsid w:val="008847CC"/>
    <w:rsid w:val="00884D84"/>
    <w:rsid w:val="008865C9"/>
    <w:rsid w:val="008933C7"/>
    <w:rsid w:val="008953D7"/>
    <w:rsid w:val="00895EF0"/>
    <w:rsid w:val="0089768D"/>
    <w:rsid w:val="008A2F80"/>
    <w:rsid w:val="008A3839"/>
    <w:rsid w:val="008A6965"/>
    <w:rsid w:val="008A6A46"/>
    <w:rsid w:val="008A7EDB"/>
    <w:rsid w:val="008B4C4B"/>
    <w:rsid w:val="008B7F10"/>
    <w:rsid w:val="008C0793"/>
    <w:rsid w:val="008C1101"/>
    <w:rsid w:val="008C31E7"/>
    <w:rsid w:val="008C618B"/>
    <w:rsid w:val="008D08BE"/>
    <w:rsid w:val="008D2621"/>
    <w:rsid w:val="008E5DBF"/>
    <w:rsid w:val="008F0437"/>
    <w:rsid w:val="008F0C0A"/>
    <w:rsid w:val="008F1ACC"/>
    <w:rsid w:val="008F373B"/>
    <w:rsid w:val="0090339D"/>
    <w:rsid w:val="00903704"/>
    <w:rsid w:val="00906795"/>
    <w:rsid w:val="00917003"/>
    <w:rsid w:val="009213DF"/>
    <w:rsid w:val="00921CDF"/>
    <w:rsid w:val="0092354D"/>
    <w:rsid w:val="009248D2"/>
    <w:rsid w:val="00926628"/>
    <w:rsid w:val="009277EE"/>
    <w:rsid w:val="00927C76"/>
    <w:rsid w:val="00930981"/>
    <w:rsid w:val="00936238"/>
    <w:rsid w:val="00937006"/>
    <w:rsid w:val="00942364"/>
    <w:rsid w:val="00944340"/>
    <w:rsid w:val="00944628"/>
    <w:rsid w:val="00944EA7"/>
    <w:rsid w:val="009450F1"/>
    <w:rsid w:val="00952ECD"/>
    <w:rsid w:val="0095554B"/>
    <w:rsid w:val="0095562B"/>
    <w:rsid w:val="00955F84"/>
    <w:rsid w:val="00956AAE"/>
    <w:rsid w:val="009623F3"/>
    <w:rsid w:val="009649C7"/>
    <w:rsid w:val="0097280B"/>
    <w:rsid w:val="0097464A"/>
    <w:rsid w:val="00974836"/>
    <w:rsid w:val="00975425"/>
    <w:rsid w:val="00975DB8"/>
    <w:rsid w:val="009862D1"/>
    <w:rsid w:val="00986C3E"/>
    <w:rsid w:val="00990F71"/>
    <w:rsid w:val="00995442"/>
    <w:rsid w:val="009B4383"/>
    <w:rsid w:val="009C1116"/>
    <w:rsid w:val="009C3E8E"/>
    <w:rsid w:val="009C4E8F"/>
    <w:rsid w:val="009C57C2"/>
    <w:rsid w:val="009C7E17"/>
    <w:rsid w:val="009C7FC0"/>
    <w:rsid w:val="009D04BD"/>
    <w:rsid w:val="009D0790"/>
    <w:rsid w:val="009D124E"/>
    <w:rsid w:val="009D79F8"/>
    <w:rsid w:val="009E05FB"/>
    <w:rsid w:val="009E2A24"/>
    <w:rsid w:val="009E327A"/>
    <w:rsid w:val="009E3B4C"/>
    <w:rsid w:val="009F3C07"/>
    <w:rsid w:val="00A01D22"/>
    <w:rsid w:val="00A03B73"/>
    <w:rsid w:val="00A0633B"/>
    <w:rsid w:val="00A11A6D"/>
    <w:rsid w:val="00A13FB3"/>
    <w:rsid w:val="00A14CD9"/>
    <w:rsid w:val="00A151F8"/>
    <w:rsid w:val="00A1658C"/>
    <w:rsid w:val="00A21276"/>
    <w:rsid w:val="00A213DE"/>
    <w:rsid w:val="00A2570E"/>
    <w:rsid w:val="00A2599E"/>
    <w:rsid w:val="00A25B7F"/>
    <w:rsid w:val="00A32442"/>
    <w:rsid w:val="00A34859"/>
    <w:rsid w:val="00A3513E"/>
    <w:rsid w:val="00A4032F"/>
    <w:rsid w:val="00A41548"/>
    <w:rsid w:val="00A42D8A"/>
    <w:rsid w:val="00A42F49"/>
    <w:rsid w:val="00A44201"/>
    <w:rsid w:val="00A443D7"/>
    <w:rsid w:val="00A47E87"/>
    <w:rsid w:val="00A530D0"/>
    <w:rsid w:val="00A53274"/>
    <w:rsid w:val="00A537E0"/>
    <w:rsid w:val="00A53A0B"/>
    <w:rsid w:val="00A5609F"/>
    <w:rsid w:val="00A57848"/>
    <w:rsid w:val="00A62257"/>
    <w:rsid w:val="00A67ADD"/>
    <w:rsid w:val="00A73B16"/>
    <w:rsid w:val="00A74D58"/>
    <w:rsid w:val="00A75F04"/>
    <w:rsid w:val="00A9572D"/>
    <w:rsid w:val="00A974B6"/>
    <w:rsid w:val="00AA374C"/>
    <w:rsid w:val="00AA3F01"/>
    <w:rsid w:val="00AA4528"/>
    <w:rsid w:val="00AA4CAD"/>
    <w:rsid w:val="00AA66C7"/>
    <w:rsid w:val="00AA7FFC"/>
    <w:rsid w:val="00AB0E46"/>
    <w:rsid w:val="00AB525B"/>
    <w:rsid w:val="00AB63DE"/>
    <w:rsid w:val="00AC2C1C"/>
    <w:rsid w:val="00AC3769"/>
    <w:rsid w:val="00AC3ACC"/>
    <w:rsid w:val="00AC66E4"/>
    <w:rsid w:val="00AD1382"/>
    <w:rsid w:val="00AD27DF"/>
    <w:rsid w:val="00AD29B9"/>
    <w:rsid w:val="00AD366E"/>
    <w:rsid w:val="00AD488C"/>
    <w:rsid w:val="00AE08B3"/>
    <w:rsid w:val="00AE21A0"/>
    <w:rsid w:val="00AE64ED"/>
    <w:rsid w:val="00AF53CC"/>
    <w:rsid w:val="00B009EB"/>
    <w:rsid w:val="00B12A05"/>
    <w:rsid w:val="00B14D62"/>
    <w:rsid w:val="00B166B8"/>
    <w:rsid w:val="00B269DD"/>
    <w:rsid w:val="00B32157"/>
    <w:rsid w:val="00B34CC8"/>
    <w:rsid w:val="00B34D04"/>
    <w:rsid w:val="00B35524"/>
    <w:rsid w:val="00B36A4A"/>
    <w:rsid w:val="00B400C4"/>
    <w:rsid w:val="00B4091E"/>
    <w:rsid w:val="00B44341"/>
    <w:rsid w:val="00B45EAB"/>
    <w:rsid w:val="00B52FE8"/>
    <w:rsid w:val="00B539B6"/>
    <w:rsid w:val="00B55137"/>
    <w:rsid w:val="00B576A5"/>
    <w:rsid w:val="00B63643"/>
    <w:rsid w:val="00B65966"/>
    <w:rsid w:val="00B670A9"/>
    <w:rsid w:val="00B70533"/>
    <w:rsid w:val="00B756CF"/>
    <w:rsid w:val="00B804EF"/>
    <w:rsid w:val="00B81DDA"/>
    <w:rsid w:val="00B82437"/>
    <w:rsid w:val="00B832EC"/>
    <w:rsid w:val="00B83EA6"/>
    <w:rsid w:val="00B87956"/>
    <w:rsid w:val="00B9120C"/>
    <w:rsid w:val="00B9312A"/>
    <w:rsid w:val="00B93572"/>
    <w:rsid w:val="00BA160F"/>
    <w:rsid w:val="00BA4D2F"/>
    <w:rsid w:val="00BA6BF3"/>
    <w:rsid w:val="00BA709E"/>
    <w:rsid w:val="00BB03AA"/>
    <w:rsid w:val="00BB3278"/>
    <w:rsid w:val="00BB5E1F"/>
    <w:rsid w:val="00BC20B9"/>
    <w:rsid w:val="00BC2CAD"/>
    <w:rsid w:val="00BC4ADF"/>
    <w:rsid w:val="00BC5A10"/>
    <w:rsid w:val="00BC6527"/>
    <w:rsid w:val="00BD491D"/>
    <w:rsid w:val="00BE52B7"/>
    <w:rsid w:val="00BE59DB"/>
    <w:rsid w:val="00BF122E"/>
    <w:rsid w:val="00BF677A"/>
    <w:rsid w:val="00BF70D7"/>
    <w:rsid w:val="00C00327"/>
    <w:rsid w:val="00C01E79"/>
    <w:rsid w:val="00C02E5A"/>
    <w:rsid w:val="00C03379"/>
    <w:rsid w:val="00C050A0"/>
    <w:rsid w:val="00C07F94"/>
    <w:rsid w:val="00C10788"/>
    <w:rsid w:val="00C10895"/>
    <w:rsid w:val="00C10FF2"/>
    <w:rsid w:val="00C11B5B"/>
    <w:rsid w:val="00C155DD"/>
    <w:rsid w:val="00C202AB"/>
    <w:rsid w:val="00C207B1"/>
    <w:rsid w:val="00C23657"/>
    <w:rsid w:val="00C24451"/>
    <w:rsid w:val="00C24C9D"/>
    <w:rsid w:val="00C26351"/>
    <w:rsid w:val="00C263E5"/>
    <w:rsid w:val="00C328E6"/>
    <w:rsid w:val="00C355A8"/>
    <w:rsid w:val="00C40A28"/>
    <w:rsid w:val="00C41879"/>
    <w:rsid w:val="00C43A00"/>
    <w:rsid w:val="00C446DE"/>
    <w:rsid w:val="00C451A2"/>
    <w:rsid w:val="00C47208"/>
    <w:rsid w:val="00C53DA6"/>
    <w:rsid w:val="00C55511"/>
    <w:rsid w:val="00C56F76"/>
    <w:rsid w:val="00C62F29"/>
    <w:rsid w:val="00C63763"/>
    <w:rsid w:val="00C6445A"/>
    <w:rsid w:val="00C6604E"/>
    <w:rsid w:val="00C70E64"/>
    <w:rsid w:val="00C7442E"/>
    <w:rsid w:val="00C746F3"/>
    <w:rsid w:val="00C767B5"/>
    <w:rsid w:val="00C76A32"/>
    <w:rsid w:val="00C77D4E"/>
    <w:rsid w:val="00C80928"/>
    <w:rsid w:val="00C83F94"/>
    <w:rsid w:val="00C85267"/>
    <w:rsid w:val="00C86465"/>
    <w:rsid w:val="00C8767F"/>
    <w:rsid w:val="00C911C1"/>
    <w:rsid w:val="00C9126F"/>
    <w:rsid w:val="00CA677B"/>
    <w:rsid w:val="00CB1572"/>
    <w:rsid w:val="00CB1E5D"/>
    <w:rsid w:val="00CB2127"/>
    <w:rsid w:val="00CB224A"/>
    <w:rsid w:val="00CB2C1F"/>
    <w:rsid w:val="00CB545B"/>
    <w:rsid w:val="00CB6AA7"/>
    <w:rsid w:val="00CC086B"/>
    <w:rsid w:val="00CC1A8A"/>
    <w:rsid w:val="00CC5472"/>
    <w:rsid w:val="00CC67EF"/>
    <w:rsid w:val="00CC755F"/>
    <w:rsid w:val="00CC7C3C"/>
    <w:rsid w:val="00CD0972"/>
    <w:rsid w:val="00CD20CF"/>
    <w:rsid w:val="00CD3DEC"/>
    <w:rsid w:val="00CD411E"/>
    <w:rsid w:val="00CD7A7C"/>
    <w:rsid w:val="00CD7E02"/>
    <w:rsid w:val="00CE18F7"/>
    <w:rsid w:val="00CE1EF0"/>
    <w:rsid w:val="00CE3F84"/>
    <w:rsid w:val="00CE747E"/>
    <w:rsid w:val="00CF04E0"/>
    <w:rsid w:val="00CF0660"/>
    <w:rsid w:val="00CF17EB"/>
    <w:rsid w:val="00CF2DC1"/>
    <w:rsid w:val="00CF390E"/>
    <w:rsid w:val="00CF6A86"/>
    <w:rsid w:val="00CF7C87"/>
    <w:rsid w:val="00D01696"/>
    <w:rsid w:val="00D062A5"/>
    <w:rsid w:val="00D065E1"/>
    <w:rsid w:val="00D06F08"/>
    <w:rsid w:val="00D11517"/>
    <w:rsid w:val="00D11C38"/>
    <w:rsid w:val="00D16909"/>
    <w:rsid w:val="00D206E6"/>
    <w:rsid w:val="00D21AC2"/>
    <w:rsid w:val="00D22000"/>
    <w:rsid w:val="00D2393B"/>
    <w:rsid w:val="00D24B4B"/>
    <w:rsid w:val="00D25CE2"/>
    <w:rsid w:val="00D276E3"/>
    <w:rsid w:val="00D32A3B"/>
    <w:rsid w:val="00D32B1F"/>
    <w:rsid w:val="00D351ED"/>
    <w:rsid w:val="00D3566B"/>
    <w:rsid w:val="00D4005D"/>
    <w:rsid w:val="00D40FB1"/>
    <w:rsid w:val="00D41C71"/>
    <w:rsid w:val="00D46263"/>
    <w:rsid w:val="00D46334"/>
    <w:rsid w:val="00D46C67"/>
    <w:rsid w:val="00D51DC6"/>
    <w:rsid w:val="00D51E59"/>
    <w:rsid w:val="00D54981"/>
    <w:rsid w:val="00D55CA1"/>
    <w:rsid w:val="00D57852"/>
    <w:rsid w:val="00D60F20"/>
    <w:rsid w:val="00D60FC3"/>
    <w:rsid w:val="00D6257B"/>
    <w:rsid w:val="00D651CA"/>
    <w:rsid w:val="00D70526"/>
    <w:rsid w:val="00D75F9B"/>
    <w:rsid w:val="00D83627"/>
    <w:rsid w:val="00D83C7E"/>
    <w:rsid w:val="00D851A4"/>
    <w:rsid w:val="00D94ADF"/>
    <w:rsid w:val="00D96575"/>
    <w:rsid w:val="00DA2707"/>
    <w:rsid w:val="00DA4DDA"/>
    <w:rsid w:val="00DA545A"/>
    <w:rsid w:val="00DA62ED"/>
    <w:rsid w:val="00DB0A17"/>
    <w:rsid w:val="00DC00A1"/>
    <w:rsid w:val="00DC39EF"/>
    <w:rsid w:val="00DC6201"/>
    <w:rsid w:val="00DD14E8"/>
    <w:rsid w:val="00DD20A4"/>
    <w:rsid w:val="00DD4EFB"/>
    <w:rsid w:val="00DD6905"/>
    <w:rsid w:val="00DE0547"/>
    <w:rsid w:val="00DE2B14"/>
    <w:rsid w:val="00DE2B73"/>
    <w:rsid w:val="00DE4986"/>
    <w:rsid w:val="00DE6B30"/>
    <w:rsid w:val="00DF0F65"/>
    <w:rsid w:val="00DF15A5"/>
    <w:rsid w:val="00DF3D4C"/>
    <w:rsid w:val="00DF4F94"/>
    <w:rsid w:val="00DF5679"/>
    <w:rsid w:val="00DF6672"/>
    <w:rsid w:val="00DF67CD"/>
    <w:rsid w:val="00E0030A"/>
    <w:rsid w:val="00E13B4E"/>
    <w:rsid w:val="00E13B71"/>
    <w:rsid w:val="00E16A41"/>
    <w:rsid w:val="00E177C9"/>
    <w:rsid w:val="00E21D4E"/>
    <w:rsid w:val="00E2273F"/>
    <w:rsid w:val="00E2425F"/>
    <w:rsid w:val="00E25F01"/>
    <w:rsid w:val="00E26362"/>
    <w:rsid w:val="00E303BC"/>
    <w:rsid w:val="00E30BD2"/>
    <w:rsid w:val="00E3135A"/>
    <w:rsid w:val="00E32781"/>
    <w:rsid w:val="00E33740"/>
    <w:rsid w:val="00E33BA9"/>
    <w:rsid w:val="00E40A2C"/>
    <w:rsid w:val="00E4228C"/>
    <w:rsid w:val="00E44260"/>
    <w:rsid w:val="00E46FC7"/>
    <w:rsid w:val="00E470FA"/>
    <w:rsid w:val="00E51A30"/>
    <w:rsid w:val="00E54BA2"/>
    <w:rsid w:val="00E54DB4"/>
    <w:rsid w:val="00E57946"/>
    <w:rsid w:val="00E57C0D"/>
    <w:rsid w:val="00E61C59"/>
    <w:rsid w:val="00E6318F"/>
    <w:rsid w:val="00E72B9D"/>
    <w:rsid w:val="00E76C07"/>
    <w:rsid w:val="00E82464"/>
    <w:rsid w:val="00E82F57"/>
    <w:rsid w:val="00E90F25"/>
    <w:rsid w:val="00E96C21"/>
    <w:rsid w:val="00E96EDC"/>
    <w:rsid w:val="00E96F35"/>
    <w:rsid w:val="00E97758"/>
    <w:rsid w:val="00EA13F6"/>
    <w:rsid w:val="00EA3BF0"/>
    <w:rsid w:val="00EA666C"/>
    <w:rsid w:val="00EB169C"/>
    <w:rsid w:val="00EC453E"/>
    <w:rsid w:val="00EC53EC"/>
    <w:rsid w:val="00EC7556"/>
    <w:rsid w:val="00ED046F"/>
    <w:rsid w:val="00ED32D8"/>
    <w:rsid w:val="00ED4E70"/>
    <w:rsid w:val="00ED64BC"/>
    <w:rsid w:val="00EE6F94"/>
    <w:rsid w:val="00EF0002"/>
    <w:rsid w:val="00EF2480"/>
    <w:rsid w:val="00EF3E90"/>
    <w:rsid w:val="00EF5D56"/>
    <w:rsid w:val="00EF7C05"/>
    <w:rsid w:val="00F012EA"/>
    <w:rsid w:val="00F026D5"/>
    <w:rsid w:val="00F036EF"/>
    <w:rsid w:val="00F04BDA"/>
    <w:rsid w:val="00F10822"/>
    <w:rsid w:val="00F16F55"/>
    <w:rsid w:val="00F22E7C"/>
    <w:rsid w:val="00F23BF7"/>
    <w:rsid w:val="00F264DD"/>
    <w:rsid w:val="00F33A6A"/>
    <w:rsid w:val="00F365D7"/>
    <w:rsid w:val="00F4193B"/>
    <w:rsid w:val="00F41E30"/>
    <w:rsid w:val="00F46CC1"/>
    <w:rsid w:val="00F52ED6"/>
    <w:rsid w:val="00F53E3A"/>
    <w:rsid w:val="00F55D0C"/>
    <w:rsid w:val="00F55E13"/>
    <w:rsid w:val="00F60530"/>
    <w:rsid w:val="00F606C1"/>
    <w:rsid w:val="00F656C5"/>
    <w:rsid w:val="00F660B2"/>
    <w:rsid w:val="00F703DE"/>
    <w:rsid w:val="00F73064"/>
    <w:rsid w:val="00F74714"/>
    <w:rsid w:val="00F74775"/>
    <w:rsid w:val="00F75101"/>
    <w:rsid w:val="00F774A9"/>
    <w:rsid w:val="00F805AB"/>
    <w:rsid w:val="00F81046"/>
    <w:rsid w:val="00F8104C"/>
    <w:rsid w:val="00F822ED"/>
    <w:rsid w:val="00F8675B"/>
    <w:rsid w:val="00F87048"/>
    <w:rsid w:val="00F87674"/>
    <w:rsid w:val="00F87866"/>
    <w:rsid w:val="00F90417"/>
    <w:rsid w:val="00F913A3"/>
    <w:rsid w:val="00F917FC"/>
    <w:rsid w:val="00F92B6D"/>
    <w:rsid w:val="00F9398C"/>
    <w:rsid w:val="00FA0D2B"/>
    <w:rsid w:val="00FA1BB0"/>
    <w:rsid w:val="00FA6BD8"/>
    <w:rsid w:val="00FB3FED"/>
    <w:rsid w:val="00FB447B"/>
    <w:rsid w:val="00FB4E34"/>
    <w:rsid w:val="00FB59AE"/>
    <w:rsid w:val="00FB6A01"/>
    <w:rsid w:val="00FB77CE"/>
    <w:rsid w:val="00FB79EC"/>
    <w:rsid w:val="00FC08D9"/>
    <w:rsid w:val="00FC4EF6"/>
    <w:rsid w:val="00FC537A"/>
    <w:rsid w:val="00FD0DCE"/>
    <w:rsid w:val="00FD14D2"/>
    <w:rsid w:val="00FD155F"/>
    <w:rsid w:val="00FD487E"/>
    <w:rsid w:val="00FE0844"/>
    <w:rsid w:val="00FE27C3"/>
    <w:rsid w:val="00FE4E7F"/>
    <w:rsid w:val="00FE5F06"/>
    <w:rsid w:val="00FF061F"/>
    <w:rsid w:val="00FF4FD6"/>
    <w:rsid w:val="00FF70F3"/>
    <w:rsid w:val="00FF7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3B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B1"/>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D40FB1"/>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D40FB1"/>
    <w:pPr>
      <w:widowControl w:val="0"/>
      <w:numPr>
        <w:numId w:val="21"/>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D40FB1"/>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D40FB1"/>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D40FB1"/>
    <w:pPr>
      <w:spacing w:after="240"/>
      <w:outlineLvl w:val="4"/>
    </w:pPr>
    <w:rPr>
      <w:i/>
    </w:rPr>
  </w:style>
  <w:style w:type="paragraph" w:styleId="Heading6">
    <w:name w:val="heading 6"/>
    <w:basedOn w:val="HeadingBaseStyle"/>
    <w:next w:val="Normal"/>
    <w:link w:val="Heading6Char"/>
    <w:rsid w:val="00D40FB1"/>
    <w:pPr>
      <w:widowControl w:val="0"/>
      <w:spacing w:after="60"/>
      <w:outlineLvl w:val="5"/>
    </w:pPr>
    <w:rPr>
      <w:snapToGrid w:val="0"/>
      <w:sz w:val="19"/>
    </w:rPr>
  </w:style>
  <w:style w:type="paragraph" w:styleId="Heading7">
    <w:name w:val="heading 7"/>
    <w:basedOn w:val="Normal"/>
    <w:next w:val="Normal"/>
    <w:link w:val="Heading7Char"/>
    <w:rsid w:val="00D40FB1"/>
    <w:pPr>
      <w:spacing w:after="0"/>
      <w:outlineLvl w:val="6"/>
    </w:pPr>
    <w:rPr>
      <w:rFonts w:ascii="Arial" w:hAnsi="Arial"/>
      <w:color w:val="000080"/>
      <w:sz w:val="19"/>
      <w:u w:val="single"/>
    </w:rPr>
  </w:style>
  <w:style w:type="paragraph" w:styleId="Heading8">
    <w:name w:val="heading 8"/>
    <w:basedOn w:val="Normal"/>
    <w:next w:val="Normal"/>
    <w:link w:val="Heading8Char"/>
    <w:rsid w:val="00D40FB1"/>
    <w:pPr>
      <w:keepNext/>
      <w:spacing w:before="120" w:after="60" w:line="0" w:lineRule="atLeast"/>
      <w:outlineLvl w:val="7"/>
    </w:pPr>
    <w:rPr>
      <w:b/>
      <w:color w:val="000080"/>
    </w:rPr>
  </w:style>
  <w:style w:type="paragraph" w:styleId="Heading9">
    <w:name w:val="heading 9"/>
    <w:basedOn w:val="Normal"/>
    <w:next w:val="Normal"/>
    <w:link w:val="Heading9Char"/>
    <w:rsid w:val="00D40FB1"/>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D40FB1"/>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D40FB1"/>
    <w:rPr>
      <w:rFonts w:ascii="Arial Bold" w:hAnsi="Arial Bold"/>
      <w:b/>
      <w:smallCaps/>
      <w:color w:val="003157"/>
      <w:sz w:val="36"/>
    </w:rPr>
  </w:style>
  <w:style w:type="character" w:customStyle="1" w:styleId="Heading2Char">
    <w:name w:val="Heading 2 Char"/>
    <w:basedOn w:val="DefaultParagraphFont"/>
    <w:link w:val="Heading2"/>
    <w:rsid w:val="00D40FB1"/>
    <w:rPr>
      <w:rFonts w:ascii="Arial Bold" w:hAnsi="Arial Bold"/>
      <w:b/>
      <w:smallCaps/>
      <w:color w:val="003157"/>
      <w:sz w:val="32"/>
    </w:rPr>
  </w:style>
  <w:style w:type="character" w:customStyle="1" w:styleId="Heading3Char">
    <w:name w:val="Heading 3 Char"/>
    <w:basedOn w:val="DefaultParagraphFont"/>
    <w:link w:val="Heading3"/>
    <w:rsid w:val="00D40FB1"/>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D40FB1"/>
    <w:rPr>
      <w:rFonts w:ascii="Arial" w:hAnsi="Arial"/>
      <w:b/>
      <w:color w:val="003157"/>
    </w:rPr>
  </w:style>
  <w:style w:type="character" w:customStyle="1" w:styleId="Heading5Char">
    <w:name w:val="Heading 5 Char"/>
    <w:basedOn w:val="DefaultParagraphFont"/>
    <w:link w:val="Heading5"/>
    <w:rsid w:val="00D40FB1"/>
    <w:rPr>
      <w:rFonts w:ascii="Arial" w:hAnsi="Arial"/>
      <w:i/>
      <w:color w:val="003157"/>
    </w:rPr>
  </w:style>
  <w:style w:type="character" w:customStyle="1" w:styleId="Heading6Char">
    <w:name w:val="Heading 6 Char"/>
    <w:basedOn w:val="DefaultParagraphFont"/>
    <w:link w:val="Heading6"/>
    <w:rsid w:val="00D40FB1"/>
    <w:rPr>
      <w:rFonts w:ascii="Arial" w:hAnsi="Arial"/>
      <w:snapToGrid w:val="0"/>
      <w:color w:val="003157"/>
      <w:sz w:val="19"/>
    </w:rPr>
  </w:style>
  <w:style w:type="character" w:customStyle="1" w:styleId="Heading7Char">
    <w:name w:val="Heading 7 Char"/>
    <w:basedOn w:val="DefaultParagraphFont"/>
    <w:link w:val="Heading7"/>
    <w:rsid w:val="00D40FB1"/>
    <w:rPr>
      <w:rFonts w:ascii="Arial" w:hAnsi="Arial"/>
      <w:color w:val="000080"/>
      <w:sz w:val="19"/>
      <w:u w:val="single"/>
    </w:rPr>
  </w:style>
  <w:style w:type="character" w:customStyle="1" w:styleId="Heading8Char">
    <w:name w:val="Heading 8 Char"/>
    <w:basedOn w:val="DefaultParagraphFont"/>
    <w:link w:val="Heading8"/>
    <w:rsid w:val="00D40FB1"/>
    <w:rPr>
      <w:rFonts w:ascii="Calibri" w:hAnsi="Calibri"/>
      <w:b/>
      <w:color w:val="000080"/>
    </w:rPr>
  </w:style>
  <w:style w:type="character" w:customStyle="1" w:styleId="Heading9Char">
    <w:name w:val="Heading 9 Char"/>
    <w:basedOn w:val="DefaultParagraphFont"/>
    <w:link w:val="Heading9"/>
    <w:rsid w:val="00D40FB1"/>
    <w:rPr>
      <w:rFonts w:ascii="Calibri" w:hAnsi="Calibri"/>
      <w:color w:val="000080"/>
      <w:u w:val="single"/>
    </w:rPr>
  </w:style>
  <w:style w:type="paragraph" w:customStyle="1" w:styleId="ChartGraphic">
    <w:name w:val="Chart Graphic"/>
    <w:basedOn w:val="HeadingBase"/>
    <w:next w:val="Normal"/>
    <w:rsid w:val="00D40FB1"/>
    <w:pPr>
      <w:jc w:val="center"/>
    </w:pPr>
  </w:style>
  <w:style w:type="paragraph" w:customStyle="1" w:styleId="TableGraphic">
    <w:name w:val="Table Graphic"/>
    <w:basedOn w:val="HeadingBase"/>
    <w:next w:val="Normal"/>
    <w:rsid w:val="00D40FB1"/>
  </w:style>
  <w:style w:type="paragraph" w:customStyle="1" w:styleId="AlphaParagraph">
    <w:name w:val="Alpha Paragraph"/>
    <w:basedOn w:val="Normal"/>
    <w:qFormat/>
    <w:rsid w:val="00D40FB1"/>
    <w:pPr>
      <w:numPr>
        <w:numId w:val="3"/>
      </w:numPr>
    </w:pPr>
  </w:style>
  <w:style w:type="paragraph" w:customStyle="1" w:styleId="AppendixHeading">
    <w:name w:val="Appendix Heading"/>
    <w:basedOn w:val="HeadingBase"/>
    <w:next w:val="Normal"/>
    <w:rsid w:val="00D40FB1"/>
    <w:pPr>
      <w:spacing w:before="720" w:after="360"/>
      <w:outlineLvl w:val="0"/>
    </w:pPr>
    <w:rPr>
      <w:sz w:val="36"/>
      <w:szCs w:val="36"/>
    </w:rPr>
  </w:style>
  <w:style w:type="paragraph" w:styleId="BalloonText">
    <w:name w:val="Balloon Text"/>
    <w:basedOn w:val="Normal"/>
    <w:link w:val="BalloonTextChar"/>
    <w:rsid w:val="00D40FB1"/>
    <w:pPr>
      <w:spacing w:after="0"/>
    </w:pPr>
    <w:rPr>
      <w:rFonts w:ascii="Tahoma" w:hAnsi="Tahoma" w:cs="Tahoma"/>
      <w:sz w:val="16"/>
      <w:szCs w:val="16"/>
    </w:rPr>
  </w:style>
  <w:style w:type="character" w:customStyle="1" w:styleId="BalloonTextChar">
    <w:name w:val="Balloon Text Char"/>
    <w:basedOn w:val="DefaultParagraphFont"/>
    <w:link w:val="BalloonText"/>
    <w:rsid w:val="00D40FB1"/>
    <w:rPr>
      <w:rFonts w:ascii="Tahoma" w:hAnsi="Tahoma" w:cs="Tahoma"/>
      <w:color w:val="000000" w:themeColor="text1"/>
      <w:sz w:val="16"/>
      <w:szCs w:val="16"/>
    </w:rPr>
  </w:style>
  <w:style w:type="character" w:customStyle="1" w:styleId="Bold">
    <w:name w:val="Bold"/>
    <w:basedOn w:val="DefaultParagraphFont"/>
    <w:rsid w:val="00D40FB1"/>
    <w:rPr>
      <w:b/>
    </w:rPr>
  </w:style>
  <w:style w:type="paragraph" w:customStyle="1" w:styleId="BoxTextBase">
    <w:name w:val="Box Text Base"/>
    <w:basedOn w:val="Normal"/>
    <w:rsid w:val="00D40FB1"/>
  </w:style>
  <w:style w:type="paragraph" w:customStyle="1" w:styleId="BoxBullet">
    <w:name w:val="Box Bullet"/>
    <w:basedOn w:val="BoxTextBase"/>
    <w:rsid w:val="00D40FB1"/>
    <w:pPr>
      <w:numPr>
        <w:numId w:val="2"/>
      </w:numPr>
    </w:pPr>
  </w:style>
  <w:style w:type="paragraph" w:customStyle="1" w:styleId="BoxDash">
    <w:name w:val="Box Dash"/>
    <w:basedOn w:val="Normal"/>
    <w:rsid w:val="00D40FB1"/>
    <w:pPr>
      <w:numPr>
        <w:ilvl w:val="1"/>
        <w:numId w:val="2"/>
      </w:numPr>
    </w:pPr>
  </w:style>
  <w:style w:type="paragraph" w:customStyle="1" w:styleId="BoxDoubleDot">
    <w:name w:val="Box Double Dot"/>
    <w:basedOn w:val="BoxTextBase"/>
    <w:rsid w:val="00D40FB1"/>
    <w:pPr>
      <w:numPr>
        <w:ilvl w:val="2"/>
        <w:numId w:val="2"/>
      </w:numPr>
    </w:pPr>
  </w:style>
  <w:style w:type="paragraph" w:customStyle="1" w:styleId="BoxHeading">
    <w:name w:val="Box Heading"/>
    <w:basedOn w:val="HeadingBaseStyle"/>
    <w:next w:val="Normal"/>
    <w:rsid w:val="00D40FB1"/>
    <w:pPr>
      <w:spacing w:before="240" w:after="240"/>
    </w:pPr>
    <w:rPr>
      <w:sz w:val="24"/>
    </w:rPr>
  </w:style>
  <w:style w:type="paragraph" w:customStyle="1" w:styleId="BoxText">
    <w:name w:val="Box Text"/>
    <w:basedOn w:val="BoxTextBase"/>
    <w:rsid w:val="00D40FB1"/>
  </w:style>
  <w:style w:type="paragraph" w:customStyle="1" w:styleId="Bullet">
    <w:name w:val="Bullet"/>
    <w:basedOn w:val="Normal"/>
    <w:rsid w:val="00D40FB1"/>
    <w:pPr>
      <w:keepNext/>
      <w:numPr>
        <w:numId w:val="19"/>
      </w:numPr>
    </w:pPr>
  </w:style>
  <w:style w:type="paragraph" w:styleId="NormalIndent">
    <w:name w:val="Normal Indent"/>
    <w:basedOn w:val="Normal"/>
    <w:rsid w:val="00D40FB1"/>
    <w:pPr>
      <w:ind w:left="567"/>
    </w:pPr>
    <w:rPr>
      <w:rFonts w:ascii="Book Antiqua" w:hAnsi="Book Antiqua"/>
      <w:sz w:val="20"/>
    </w:rPr>
  </w:style>
  <w:style w:type="paragraph" w:customStyle="1" w:styleId="ChartandTableFootnoteAlpha">
    <w:name w:val="Chart and Table Footnote Alpha"/>
    <w:rsid w:val="00D40FB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D40FB1"/>
    <w:pPr>
      <w:spacing w:after="20"/>
      <w:jc w:val="center"/>
    </w:pPr>
    <w:rPr>
      <w:b/>
      <w:sz w:val="24"/>
    </w:rPr>
  </w:style>
  <w:style w:type="paragraph" w:customStyle="1" w:styleId="ChartorTableNote">
    <w:name w:val="Chart or Table Note"/>
    <w:next w:val="Normal"/>
    <w:rsid w:val="00D40FB1"/>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D40FB1"/>
    <w:pPr>
      <w:spacing w:after="20"/>
      <w:jc w:val="center"/>
    </w:pPr>
  </w:style>
  <w:style w:type="paragraph" w:customStyle="1" w:styleId="Classification">
    <w:name w:val="Classification"/>
    <w:basedOn w:val="HeadingBase"/>
    <w:next w:val="Footer"/>
    <w:rsid w:val="00D40FB1"/>
    <w:pPr>
      <w:spacing w:after="120"/>
      <w:jc w:val="center"/>
    </w:pPr>
    <w:rPr>
      <w:b/>
      <w:smallCaps/>
    </w:rPr>
  </w:style>
  <w:style w:type="paragraph" w:styleId="Footer">
    <w:name w:val="footer"/>
    <w:basedOn w:val="Normal"/>
    <w:link w:val="FooterChar"/>
    <w:uiPriority w:val="99"/>
    <w:rsid w:val="00D40FB1"/>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D40FB1"/>
    <w:rPr>
      <w:rFonts w:ascii="Arial" w:hAnsi="Arial"/>
      <w:color w:val="003157"/>
      <w:sz w:val="18"/>
    </w:rPr>
  </w:style>
  <w:style w:type="paragraph" w:customStyle="1" w:styleId="ContentsHeading">
    <w:name w:val="Contents Heading"/>
    <w:basedOn w:val="Normal"/>
    <w:next w:val="Normal"/>
    <w:rsid w:val="00D40FB1"/>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D40FB1"/>
    <w:pPr>
      <w:spacing w:after="360"/>
      <w:jc w:val="center"/>
    </w:pPr>
    <w:rPr>
      <w:sz w:val="36"/>
    </w:rPr>
  </w:style>
  <w:style w:type="paragraph" w:customStyle="1" w:styleId="Covertitlelevel3">
    <w:name w:val="Cover title level 3"/>
    <w:basedOn w:val="CoverTitleSub"/>
    <w:rsid w:val="00D40FB1"/>
    <w:pPr>
      <w:spacing w:after="120"/>
    </w:pPr>
    <w:rPr>
      <w:sz w:val="28"/>
      <w:szCs w:val="28"/>
    </w:rPr>
  </w:style>
  <w:style w:type="paragraph" w:customStyle="1" w:styleId="CoverTitleMain">
    <w:name w:val="Cover Title Main"/>
    <w:basedOn w:val="HeadingBase"/>
    <w:next w:val="Normal"/>
    <w:rsid w:val="00D40FB1"/>
    <w:pPr>
      <w:spacing w:after="480"/>
      <w:jc w:val="center"/>
    </w:pPr>
    <w:rPr>
      <w:b/>
      <w:sz w:val="48"/>
    </w:rPr>
  </w:style>
  <w:style w:type="paragraph" w:customStyle="1" w:styleId="Dash">
    <w:name w:val="Dash"/>
    <w:basedOn w:val="Normal"/>
    <w:rsid w:val="00D40FB1"/>
    <w:pPr>
      <w:numPr>
        <w:ilvl w:val="1"/>
        <w:numId w:val="19"/>
      </w:numPr>
    </w:pPr>
  </w:style>
  <w:style w:type="paragraph" w:customStyle="1" w:styleId="DoubleDot">
    <w:name w:val="Double Dot"/>
    <w:basedOn w:val="Dash"/>
    <w:rsid w:val="00D40FB1"/>
    <w:pPr>
      <w:numPr>
        <w:ilvl w:val="2"/>
      </w:numPr>
    </w:pPr>
  </w:style>
  <w:style w:type="paragraph" w:customStyle="1" w:styleId="Figuregraphic">
    <w:name w:val="Figure graphic"/>
    <w:basedOn w:val="Normal"/>
    <w:rsid w:val="00D40FB1"/>
    <w:pPr>
      <w:jc w:val="center"/>
    </w:pPr>
  </w:style>
  <w:style w:type="paragraph" w:customStyle="1" w:styleId="FigureHeading">
    <w:name w:val="Figure Heading"/>
    <w:basedOn w:val="HeadingBase"/>
    <w:next w:val="Figuregraphic"/>
    <w:rsid w:val="00D40FB1"/>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D40FB1"/>
    <w:pPr>
      <w:spacing w:after="20"/>
      <w:jc w:val="center"/>
    </w:pPr>
  </w:style>
  <w:style w:type="paragraph" w:customStyle="1" w:styleId="TableMainHeading">
    <w:name w:val="Table Main Heading"/>
    <w:basedOn w:val="HeadingBase"/>
    <w:next w:val="TableGraphic"/>
    <w:rsid w:val="00D40FB1"/>
    <w:pPr>
      <w:spacing w:after="20"/>
    </w:pPr>
    <w:rPr>
      <w:b/>
      <w:sz w:val="22"/>
    </w:rPr>
  </w:style>
  <w:style w:type="paragraph" w:customStyle="1" w:styleId="FooterCentered">
    <w:name w:val="Footer Centered"/>
    <w:basedOn w:val="Footer"/>
    <w:rsid w:val="00D40FB1"/>
    <w:pPr>
      <w:jc w:val="center"/>
    </w:pPr>
  </w:style>
  <w:style w:type="paragraph" w:customStyle="1" w:styleId="FooterEven">
    <w:name w:val="Footer Even"/>
    <w:basedOn w:val="Footer"/>
    <w:rsid w:val="00D40FB1"/>
  </w:style>
  <w:style w:type="paragraph" w:customStyle="1" w:styleId="FooterOdd">
    <w:name w:val="Footer Odd"/>
    <w:basedOn w:val="Footer"/>
    <w:rsid w:val="00D40FB1"/>
  </w:style>
  <w:style w:type="character" w:styleId="FootnoteReference">
    <w:name w:val="footnote reference"/>
    <w:basedOn w:val="DefaultParagraphFont"/>
    <w:rsid w:val="00D40FB1"/>
    <w:rPr>
      <w:vertAlign w:val="superscript"/>
    </w:rPr>
  </w:style>
  <w:style w:type="paragraph" w:styleId="FootnoteText">
    <w:name w:val="footnote text"/>
    <w:basedOn w:val="Normal"/>
    <w:link w:val="FootnoteTextChar"/>
    <w:rsid w:val="009450F1"/>
    <w:pPr>
      <w:tabs>
        <w:tab w:val="left" w:pos="567"/>
      </w:tabs>
      <w:spacing w:after="0"/>
      <w:ind w:left="284" w:hanging="284"/>
    </w:pPr>
    <w:rPr>
      <w:sz w:val="18"/>
    </w:rPr>
  </w:style>
  <w:style w:type="character" w:customStyle="1" w:styleId="FootnoteTextChar">
    <w:name w:val="Footnote Text Char"/>
    <w:basedOn w:val="DefaultParagraphFont"/>
    <w:link w:val="FootnoteText"/>
    <w:rsid w:val="009450F1"/>
    <w:rPr>
      <w:rFonts w:ascii="Calibri" w:hAnsi="Calibri"/>
      <w:color w:val="000000" w:themeColor="text1"/>
      <w:sz w:val="18"/>
    </w:rPr>
  </w:style>
  <w:style w:type="character" w:customStyle="1" w:styleId="FramedFooter">
    <w:name w:val="Framed Footer"/>
    <w:rsid w:val="00D40FB1"/>
    <w:rPr>
      <w:rFonts w:ascii="Arial" w:hAnsi="Arial"/>
      <w:sz w:val="18"/>
    </w:rPr>
  </w:style>
  <w:style w:type="character" w:customStyle="1" w:styleId="FramedHeader">
    <w:name w:val="Framed Header"/>
    <w:basedOn w:val="DefaultParagraphFont"/>
    <w:rsid w:val="00D40FB1"/>
    <w:rPr>
      <w:rFonts w:ascii="Arial" w:hAnsi="Arial"/>
      <w:dstrike w:val="0"/>
      <w:color w:val="auto"/>
      <w:sz w:val="18"/>
      <w:vertAlign w:val="baseline"/>
    </w:rPr>
  </w:style>
  <w:style w:type="paragraph" w:styleId="Header">
    <w:name w:val="header"/>
    <w:basedOn w:val="HeadingBaseStyle"/>
    <w:link w:val="HeaderChar"/>
    <w:rsid w:val="00D40FB1"/>
    <w:pPr>
      <w:jc w:val="center"/>
    </w:pPr>
    <w:rPr>
      <w:sz w:val="18"/>
    </w:rPr>
  </w:style>
  <w:style w:type="character" w:customStyle="1" w:styleId="HeaderChar">
    <w:name w:val="Header Char"/>
    <w:basedOn w:val="DefaultParagraphFont"/>
    <w:link w:val="Header"/>
    <w:rsid w:val="00D40FB1"/>
    <w:rPr>
      <w:rFonts w:ascii="Arial" w:hAnsi="Arial"/>
      <w:color w:val="003157"/>
      <w:sz w:val="18"/>
    </w:rPr>
  </w:style>
  <w:style w:type="paragraph" w:customStyle="1" w:styleId="HeaderEven">
    <w:name w:val="Header Even"/>
    <w:basedOn w:val="Header"/>
    <w:rsid w:val="00D40FB1"/>
  </w:style>
  <w:style w:type="paragraph" w:customStyle="1" w:styleId="HeaderOdd">
    <w:name w:val="Header Odd"/>
    <w:basedOn w:val="Header"/>
    <w:rsid w:val="00D40FB1"/>
    <w:pPr>
      <w:jc w:val="right"/>
    </w:pPr>
  </w:style>
  <w:style w:type="character" w:styleId="Hyperlink">
    <w:name w:val="Hyperlink"/>
    <w:basedOn w:val="DefaultParagraphFont"/>
    <w:uiPriority w:val="99"/>
    <w:rsid w:val="00D40FB1"/>
    <w:rPr>
      <w:color w:val="0000FF" w:themeColor="hyperlink"/>
      <w:u w:val="single"/>
    </w:rPr>
  </w:style>
  <w:style w:type="character" w:customStyle="1" w:styleId="italic">
    <w:name w:val="italic"/>
    <w:basedOn w:val="DefaultParagraphFont"/>
    <w:rsid w:val="00D40FB1"/>
    <w:rPr>
      <w:i/>
    </w:rPr>
  </w:style>
  <w:style w:type="paragraph" w:styleId="NormalWeb">
    <w:name w:val="Normal (Web)"/>
    <w:basedOn w:val="Normal"/>
    <w:uiPriority w:val="99"/>
    <w:unhideWhenUsed/>
    <w:rsid w:val="00D40FB1"/>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0FB1"/>
    <w:rPr>
      <w:i/>
    </w:rPr>
  </w:style>
  <w:style w:type="paragraph" w:customStyle="1" w:styleId="OutlineNumbered1">
    <w:name w:val="Outline Numbered 1"/>
    <w:basedOn w:val="Normal"/>
    <w:rsid w:val="00D40FB1"/>
    <w:pPr>
      <w:numPr>
        <w:numId w:val="9"/>
      </w:numPr>
    </w:pPr>
  </w:style>
  <w:style w:type="paragraph" w:customStyle="1" w:styleId="OneLevelNumberedParagraph">
    <w:name w:val="One Level Numbered Paragraph"/>
    <w:basedOn w:val="Normal"/>
    <w:rsid w:val="00D40FB1"/>
    <w:pPr>
      <w:numPr>
        <w:numId w:val="8"/>
      </w:numPr>
    </w:pPr>
  </w:style>
  <w:style w:type="paragraph" w:customStyle="1" w:styleId="OutlineNumbered2">
    <w:name w:val="Outline Numbered 2"/>
    <w:basedOn w:val="Normal"/>
    <w:rsid w:val="00D40FB1"/>
    <w:pPr>
      <w:numPr>
        <w:ilvl w:val="1"/>
        <w:numId w:val="9"/>
      </w:numPr>
    </w:pPr>
  </w:style>
  <w:style w:type="paragraph" w:customStyle="1" w:styleId="OutlineNumbered3">
    <w:name w:val="Outline Numbered 3"/>
    <w:basedOn w:val="Normal"/>
    <w:rsid w:val="00D40FB1"/>
    <w:pPr>
      <w:numPr>
        <w:ilvl w:val="2"/>
        <w:numId w:val="9"/>
      </w:numPr>
    </w:pPr>
  </w:style>
  <w:style w:type="character" w:styleId="PageNumber">
    <w:name w:val="page number"/>
    <w:basedOn w:val="DefaultParagraphFont"/>
    <w:rsid w:val="00D40FB1"/>
    <w:rPr>
      <w:rFonts w:asciiTheme="minorHAnsi" w:hAnsiTheme="minorHAnsi"/>
      <w:color w:val="003057"/>
      <w:sz w:val="22"/>
    </w:rPr>
  </w:style>
  <w:style w:type="paragraph" w:customStyle="1" w:styleId="Principle">
    <w:name w:val="Principle"/>
    <w:basedOn w:val="Normal"/>
    <w:rsid w:val="00D40FB1"/>
    <w:pPr>
      <w:keepNext/>
      <w:spacing w:after="60"/>
      <w:ind w:left="573"/>
    </w:pPr>
    <w:rPr>
      <w:rFonts w:ascii="Book Antiqua" w:hAnsi="Book Antiqua"/>
      <w:i/>
      <w:sz w:val="20"/>
    </w:rPr>
  </w:style>
  <w:style w:type="paragraph" w:customStyle="1" w:styleId="RecommendationTextBase">
    <w:name w:val="Recommendation Text Base"/>
    <w:basedOn w:val="Normal"/>
    <w:rsid w:val="00D40FB1"/>
    <w:rPr>
      <w:i/>
    </w:rPr>
  </w:style>
  <w:style w:type="paragraph" w:customStyle="1" w:styleId="RecommendationBullet">
    <w:name w:val="Recommendation Bullet"/>
    <w:basedOn w:val="RecommendationTextBase"/>
    <w:rsid w:val="00D40FB1"/>
    <w:pPr>
      <w:numPr>
        <w:numId w:val="10"/>
      </w:numPr>
    </w:pPr>
  </w:style>
  <w:style w:type="paragraph" w:customStyle="1" w:styleId="RecommendationDash">
    <w:name w:val="Recommendation Dash"/>
    <w:basedOn w:val="RecommendationTextBase"/>
    <w:rsid w:val="00D40FB1"/>
    <w:pPr>
      <w:numPr>
        <w:ilvl w:val="1"/>
        <w:numId w:val="10"/>
      </w:numPr>
    </w:pPr>
  </w:style>
  <w:style w:type="paragraph" w:customStyle="1" w:styleId="RecommendationDoubleDot">
    <w:name w:val="Recommendation Double Dot"/>
    <w:basedOn w:val="RecommendationTextBase"/>
    <w:rsid w:val="00D40FB1"/>
    <w:pPr>
      <w:numPr>
        <w:ilvl w:val="2"/>
        <w:numId w:val="10"/>
      </w:numPr>
    </w:pPr>
  </w:style>
  <w:style w:type="paragraph" w:customStyle="1" w:styleId="RecommendationHeading">
    <w:name w:val="Recommendation Heading"/>
    <w:basedOn w:val="HeadingBase"/>
    <w:next w:val="Normal"/>
    <w:rsid w:val="00D40FB1"/>
    <w:pPr>
      <w:spacing w:before="120" w:after="240"/>
    </w:pPr>
    <w:rPr>
      <w:b/>
      <w:sz w:val="22"/>
    </w:rPr>
  </w:style>
  <w:style w:type="paragraph" w:customStyle="1" w:styleId="RecommendationText">
    <w:name w:val="Recommendation Text"/>
    <w:basedOn w:val="RecommendationTextBase"/>
    <w:rsid w:val="00D40FB1"/>
  </w:style>
  <w:style w:type="paragraph" w:customStyle="1" w:styleId="Romannumeral">
    <w:name w:val="Roman numeral"/>
    <w:basedOn w:val="Normal"/>
    <w:rsid w:val="00D40FB1"/>
    <w:pPr>
      <w:numPr>
        <w:numId w:val="11"/>
      </w:numPr>
    </w:pPr>
  </w:style>
  <w:style w:type="paragraph" w:customStyle="1" w:styleId="SingleParagraph">
    <w:name w:val="Single Paragraph"/>
    <w:basedOn w:val="Normal"/>
    <w:rsid w:val="00D40FB1"/>
    <w:pPr>
      <w:spacing w:after="0"/>
    </w:pPr>
  </w:style>
  <w:style w:type="paragraph" w:customStyle="1" w:styleId="SingleParagraphIndent">
    <w:name w:val="Single Paragraph Indent"/>
    <w:basedOn w:val="SingleParagraph"/>
    <w:rsid w:val="00D40FB1"/>
    <w:pPr>
      <w:ind w:left="567"/>
    </w:pPr>
  </w:style>
  <w:style w:type="paragraph" w:customStyle="1" w:styleId="TableSecondHeading">
    <w:name w:val="Table Second Heading"/>
    <w:basedOn w:val="HeadingBase"/>
    <w:next w:val="TableGraphic"/>
    <w:rsid w:val="00D40FB1"/>
    <w:pPr>
      <w:spacing w:after="20"/>
    </w:pPr>
  </w:style>
  <w:style w:type="paragraph" w:customStyle="1" w:styleId="TableTextBase">
    <w:name w:val="Table Text Base"/>
    <w:rsid w:val="00D40FB1"/>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D40FB1"/>
    <w:pPr>
      <w:tabs>
        <w:tab w:val="left" w:pos="1987"/>
      </w:tabs>
      <w:jc w:val="center"/>
    </w:pPr>
    <w:rPr>
      <w:rFonts w:ascii="Arial Bold" w:hAnsi="Arial Bold"/>
      <w:b/>
    </w:rPr>
  </w:style>
  <w:style w:type="paragraph" w:customStyle="1" w:styleId="TableColumnHeadingBase">
    <w:name w:val="Table Column Heading Base"/>
    <w:basedOn w:val="Normal"/>
    <w:rsid w:val="00D40FB1"/>
    <w:pPr>
      <w:spacing w:before="40" w:after="40"/>
    </w:pPr>
    <w:rPr>
      <w:rFonts w:ascii="Arial" w:hAnsi="Arial"/>
      <w:b/>
      <w:sz w:val="16"/>
    </w:rPr>
  </w:style>
  <w:style w:type="paragraph" w:customStyle="1" w:styleId="TableColumnHeadingLeft">
    <w:name w:val="Table Column Heading Left"/>
    <w:basedOn w:val="TableTextBase"/>
    <w:rsid w:val="00D40FB1"/>
    <w:rPr>
      <w:b/>
    </w:rPr>
  </w:style>
  <w:style w:type="paragraph" w:customStyle="1" w:styleId="TableColumnHeadingRight">
    <w:name w:val="Table Column Heading Right"/>
    <w:basedOn w:val="TableTextBase"/>
    <w:rsid w:val="00D40FB1"/>
    <w:pPr>
      <w:jc w:val="right"/>
    </w:pPr>
    <w:rPr>
      <w:b/>
    </w:rPr>
  </w:style>
  <w:style w:type="table" w:styleId="TableGrid">
    <w:name w:val="Table Grid"/>
    <w:basedOn w:val="TableNormal"/>
    <w:rsid w:val="00D40F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D40FB1"/>
    <w:pPr>
      <w:pageBreakBefore/>
      <w:spacing w:after="20"/>
    </w:pPr>
    <w:rPr>
      <w:b/>
      <w:sz w:val="22"/>
    </w:rPr>
  </w:style>
  <w:style w:type="paragraph" w:customStyle="1" w:styleId="TableTextCentered">
    <w:name w:val="Table Text Centered"/>
    <w:basedOn w:val="TableTextBase"/>
    <w:rsid w:val="00D40FB1"/>
    <w:pPr>
      <w:jc w:val="center"/>
    </w:pPr>
  </w:style>
  <w:style w:type="paragraph" w:customStyle="1" w:styleId="TableTextIndented">
    <w:name w:val="Table Text Indented"/>
    <w:basedOn w:val="TableTextBase"/>
    <w:rsid w:val="00D40FB1"/>
    <w:pPr>
      <w:ind w:left="284"/>
    </w:pPr>
  </w:style>
  <w:style w:type="paragraph" w:customStyle="1" w:styleId="TableTextLeft">
    <w:name w:val="Table Text Left"/>
    <w:basedOn w:val="TableTextBase"/>
    <w:rsid w:val="00D40FB1"/>
  </w:style>
  <w:style w:type="paragraph" w:customStyle="1" w:styleId="TableTextRight">
    <w:name w:val="Table Text Right"/>
    <w:basedOn w:val="TableTextBase"/>
    <w:rsid w:val="00D40FB1"/>
    <w:pPr>
      <w:jc w:val="right"/>
    </w:pPr>
  </w:style>
  <w:style w:type="paragraph" w:styleId="TOC1">
    <w:name w:val="toc 1"/>
    <w:basedOn w:val="Normal"/>
    <w:next w:val="Normal"/>
    <w:uiPriority w:val="39"/>
    <w:rsid w:val="00D40FB1"/>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uiPriority w:val="39"/>
    <w:rsid w:val="00D40FB1"/>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uiPriority w:val="39"/>
    <w:rsid w:val="00D40FB1"/>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D40FB1"/>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D40FB1"/>
    <w:pPr>
      <w:spacing w:after="120" w:line="480" w:lineRule="auto"/>
      <w:ind w:left="283"/>
    </w:pPr>
  </w:style>
  <w:style w:type="character" w:customStyle="1" w:styleId="BodyTextIndent2Char">
    <w:name w:val="Body Text Indent 2 Char"/>
    <w:basedOn w:val="DefaultParagraphFont"/>
    <w:link w:val="BodyTextIndent2"/>
    <w:rsid w:val="00D40FB1"/>
    <w:rPr>
      <w:rFonts w:ascii="Calibri" w:hAnsi="Calibri"/>
      <w:color w:val="000000" w:themeColor="text1"/>
    </w:rPr>
  </w:style>
  <w:style w:type="character" w:customStyle="1" w:styleId="BoldandItalic">
    <w:name w:val="Bold and Italic"/>
    <w:basedOn w:val="DefaultParagraphFont"/>
    <w:rsid w:val="00D40FB1"/>
    <w:rPr>
      <w:rFonts w:ascii="Arial" w:hAnsi="Arial"/>
      <w:b/>
      <w:i/>
    </w:rPr>
  </w:style>
  <w:style w:type="paragraph" w:styleId="Caption">
    <w:name w:val="caption"/>
    <w:basedOn w:val="Normal"/>
    <w:next w:val="Normal"/>
    <w:unhideWhenUsed/>
    <w:rsid w:val="00D40FB1"/>
    <w:rPr>
      <w:b/>
      <w:bCs/>
      <w:color w:val="003157"/>
      <w:sz w:val="18"/>
      <w:szCs w:val="18"/>
    </w:rPr>
  </w:style>
  <w:style w:type="character" w:styleId="CommentReference">
    <w:name w:val="annotation reference"/>
    <w:basedOn w:val="DefaultParagraphFont"/>
    <w:rsid w:val="00D40FB1"/>
    <w:rPr>
      <w:sz w:val="16"/>
      <w:szCs w:val="16"/>
    </w:rPr>
  </w:style>
  <w:style w:type="paragraph" w:styleId="CommentText">
    <w:name w:val="annotation text"/>
    <w:basedOn w:val="Normal"/>
    <w:link w:val="CommentTextChar"/>
    <w:rsid w:val="00D40FB1"/>
    <w:rPr>
      <w:sz w:val="20"/>
    </w:rPr>
  </w:style>
  <w:style w:type="character" w:customStyle="1" w:styleId="CommentTextChar">
    <w:name w:val="Comment Text Char"/>
    <w:basedOn w:val="DefaultParagraphFont"/>
    <w:link w:val="CommentText"/>
    <w:rsid w:val="00D40FB1"/>
    <w:rPr>
      <w:rFonts w:ascii="Calibri" w:hAnsi="Calibri"/>
      <w:color w:val="000000" w:themeColor="text1"/>
      <w:sz w:val="20"/>
    </w:rPr>
  </w:style>
  <w:style w:type="paragraph" w:styleId="CommentSubject">
    <w:name w:val="annotation subject"/>
    <w:basedOn w:val="CommentText"/>
    <w:next w:val="CommentText"/>
    <w:link w:val="CommentSubjectChar"/>
    <w:rsid w:val="00D40FB1"/>
    <w:rPr>
      <w:b/>
      <w:bCs/>
    </w:rPr>
  </w:style>
  <w:style w:type="character" w:customStyle="1" w:styleId="CommentSubjectChar">
    <w:name w:val="Comment Subject Char"/>
    <w:basedOn w:val="CommentTextChar"/>
    <w:link w:val="CommentSubject"/>
    <w:rsid w:val="00D40FB1"/>
    <w:rPr>
      <w:rFonts w:ascii="Calibri" w:hAnsi="Calibri"/>
      <w:b/>
      <w:bCs/>
      <w:color w:val="000000" w:themeColor="text1"/>
      <w:sz w:val="20"/>
    </w:rPr>
  </w:style>
  <w:style w:type="paragraph" w:styleId="DocumentMap">
    <w:name w:val="Document Map"/>
    <w:basedOn w:val="Normal"/>
    <w:link w:val="DocumentMapChar"/>
    <w:semiHidden/>
    <w:rsid w:val="00D40FB1"/>
    <w:pPr>
      <w:shd w:val="clear" w:color="auto" w:fill="00CCFF"/>
    </w:pPr>
    <w:rPr>
      <w:rFonts w:ascii="Tahoma" w:hAnsi="Tahoma" w:cs="Tahoma"/>
    </w:rPr>
  </w:style>
  <w:style w:type="character" w:customStyle="1" w:styleId="DocumentMapChar">
    <w:name w:val="Document Map Char"/>
    <w:basedOn w:val="DefaultParagraphFont"/>
    <w:link w:val="DocumentMap"/>
    <w:semiHidden/>
    <w:rsid w:val="00D40FB1"/>
    <w:rPr>
      <w:rFonts w:ascii="Tahoma" w:hAnsi="Tahoma" w:cs="Tahoma"/>
      <w:color w:val="000000" w:themeColor="text1"/>
      <w:shd w:val="clear" w:color="auto" w:fill="00CCFF"/>
    </w:rPr>
  </w:style>
  <w:style w:type="character" w:styleId="EndnoteReference">
    <w:name w:val="endnote reference"/>
    <w:basedOn w:val="DefaultParagraphFont"/>
    <w:rsid w:val="00D40FB1"/>
    <w:rPr>
      <w:vertAlign w:val="superscript"/>
    </w:rPr>
  </w:style>
  <w:style w:type="paragraph" w:styleId="EndnoteText">
    <w:name w:val="endnote text"/>
    <w:basedOn w:val="Normal"/>
    <w:link w:val="EndnoteTextChar"/>
    <w:rsid w:val="00D40FB1"/>
    <w:pPr>
      <w:spacing w:after="0"/>
    </w:pPr>
    <w:rPr>
      <w:sz w:val="20"/>
    </w:rPr>
  </w:style>
  <w:style w:type="character" w:customStyle="1" w:styleId="EndnoteTextChar">
    <w:name w:val="Endnote Text Char"/>
    <w:basedOn w:val="DefaultParagraphFont"/>
    <w:link w:val="EndnoteText"/>
    <w:rsid w:val="00D40FB1"/>
    <w:rPr>
      <w:rFonts w:ascii="Calibri" w:hAnsi="Calibri"/>
      <w:color w:val="000000" w:themeColor="text1"/>
      <w:sz w:val="20"/>
    </w:rPr>
  </w:style>
  <w:style w:type="character" w:styleId="FollowedHyperlink">
    <w:name w:val="FollowedHyperlink"/>
    <w:basedOn w:val="DefaultParagraphFont"/>
    <w:rsid w:val="00D40FB1"/>
    <w:rPr>
      <w:color w:val="auto"/>
      <w:u w:val="none"/>
    </w:rPr>
  </w:style>
  <w:style w:type="paragraph" w:styleId="Index1">
    <w:name w:val="index 1"/>
    <w:basedOn w:val="Normal"/>
    <w:next w:val="Normal"/>
    <w:autoRedefine/>
    <w:semiHidden/>
    <w:rsid w:val="00D40FB1"/>
    <w:pPr>
      <w:spacing w:after="0"/>
      <w:ind w:left="238" w:hanging="238"/>
    </w:pPr>
  </w:style>
  <w:style w:type="paragraph" w:styleId="Index2">
    <w:name w:val="index 2"/>
    <w:basedOn w:val="Normal"/>
    <w:next w:val="Normal"/>
    <w:autoRedefine/>
    <w:semiHidden/>
    <w:rsid w:val="00D40FB1"/>
    <w:pPr>
      <w:spacing w:after="0"/>
      <w:ind w:left="480" w:hanging="240"/>
    </w:pPr>
    <w:rPr>
      <w:sz w:val="20"/>
    </w:rPr>
  </w:style>
  <w:style w:type="paragraph" w:styleId="Index3">
    <w:name w:val="index 3"/>
    <w:basedOn w:val="Normal"/>
    <w:next w:val="Normal"/>
    <w:autoRedefine/>
    <w:semiHidden/>
    <w:rsid w:val="00D40FB1"/>
    <w:pPr>
      <w:ind w:left="600" w:hanging="200"/>
    </w:pPr>
  </w:style>
  <w:style w:type="paragraph" w:styleId="Index4">
    <w:name w:val="index 4"/>
    <w:basedOn w:val="Normal"/>
    <w:next w:val="Normal"/>
    <w:autoRedefine/>
    <w:semiHidden/>
    <w:rsid w:val="00D40FB1"/>
    <w:pPr>
      <w:ind w:left="800" w:hanging="200"/>
    </w:pPr>
  </w:style>
  <w:style w:type="paragraph" w:styleId="Index5">
    <w:name w:val="index 5"/>
    <w:basedOn w:val="Normal"/>
    <w:next w:val="Normal"/>
    <w:autoRedefine/>
    <w:semiHidden/>
    <w:rsid w:val="00D40FB1"/>
    <w:pPr>
      <w:ind w:left="1000" w:hanging="200"/>
    </w:pPr>
  </w:style>
  <w:style w:type="paragraph" w:styleId="Index6">
    <w:name w:val="index 6"/>
    <w:basedOn w:val="Normal"/>
    <w:next w:val="Normal"/>
    <w:autoRedefine/>
    <w:semiHidden/>
    <w:rsid w:val="00D40FB1"/>
    <w:pPr>
      <w:ind w:left="1200" w:hanging="200"/>
    </w:pPr>
  </w:style>
  <w:style w:type="paragraph" w:styleId="Index7">
    <w:name w:val="index 7"/>
    <w:basedOn w:val="Normal"/>
    <w:next w:val="Normal"/>
    <w:autoRedefine/>
    <w:semiHidden/>
    <w:rsid w:val="00D40FB1"/>
    <w:pPr>
      <w:ind w:left="1400" w:hanging="200"/>
    </w:pPr>
  </w:style>
  <w:style w:type="paragraph" w:styleId="Index8">
    <w:name w:val="index 8"/>
    <w:basedOn w:val="Normal"/>
    <w:next w:val="Normal"/>
    <w:autoRedefine/>
    <w:semiHidden/>
    <w:rsid w:val="00D40FB1"/>
    <w:pPr>
      <w:ind w:left="1600" w:hanging="200"/>
    </w:pPr>
  </w:style>
  <w:style w:type="paragraph" w:styleId="Index9">
    <w:name w:val="index 9"/>
    <w:basedOn w:val="Normal"/>
    <w:next w:val="Normal"/>
    <w:autoRedefine/>
    <w:semiHidden/>
    <w:rsid w:val="00D40FB1"/>
    <w:pPr>
      <w:ind w:left="1800" w:hanging="200"/>
    </w:pPr>
  </w:style>
  <w:style w:type="paragraph" w:styleId="IndexHeading">
    <w:name w:val="index heading"/>
    <w:basedOn w:val="Normal"/>
    <w:next w:val="Index1"/>
    <w:semiHidden/>
    <w:rsid w:val="00D40FB1"/>
    <w:pPr>
      <w:pBdr>
        <w:top w:val="single" w:sz="12" w:space="0" w:color="auto"/>
      </w:pBdr>
      <w:spacing w:before="360"/>
    </w:pPr>
    <w:rPr>
      <w:rFonts w:ascii="Times New Roman" w:hAnsi="Times New Roman"/>
      <w:b/>
      <w:i/>
    </w:rPr>
  </w:style>
  <w:style w:type="paragraph" w:styleId="MacroText">
    <w:name w:val="macro"/>
    <w:link w:val="MacroTextChar"/>
    <w:semiHidden/>
    <w:rsid w:val="00D40FB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D40FB1"/>
    <w:rPr>
      <w:rFonts w:ascii="Courier New" w:eastAsia="Times New Roman" w:hAnsi="Courier New" w:cs="Courier New"/>
      <w:color w:val="000000"/>
      <w:sz w:val="20"/>
      <w:szCs w:val="20"/>
      <w:lang w:eastAsia="en-AU"/>
    </w:rPr>
  </w:style>
  <w:style w:type="numbering" w:customStyle="1" w:styleId="OutlineList">
    <w:name w:val="OutlineList"/>
    <w:uiPriority w:val="99"/>
    <w:rsid w:val="00D40FB1"/>
    <w:pPr>
      <w:numPr>
        <w:numId w:val="5"/>
      </w:numPr>
    </w:pPr>
  </w:style>
  <w:style w:type="paragraph" w:customStyle="1" w:styleId="PictureCentred">
    <w:name w:val="Picture Centred"/>
    <w:basedOn w:val="Normal"/>
    <w:rsid w:val="00D40FB1"/>
    <w:pPr>
      <w:spacing w:before="120" w:line="240" w:lineRule="atLeast"/>
      <w:jc w:val="center"/>
    </w:pPr>
  </w:style>
  <w:style w:type="paragraph" w:customStyle="1" w:styleId="PictureLeft">
    <w:name w:val="Picture Left"/>
    <w:basedOn w:val="PictureCentred"/>
    <w:rsid w:val="00D40FB1"/>
    <w:pPr>
      <w:jc w:val="left"/>
    </w:pPr>
  </w:style>
  <w:style w:type="paragraph" w:customStyle="1" w:styleId="PictureIndent">
    <w:name w:val="Picture Indent"/>
    <w:basedOn w:val="PictureLeft"/>
    <w:rsid w:val="00D40FB1"/>
    <w:pPr>
      <w:ind w:left="284"/>
    </w:pPr>
  </w:style>
  <w:style w:type="paragraph" w:styleId="TableofAuthorities">
    <w:name w:val="table of authorities"/>
    <w:basedOn w:val="Normal"/>
    <w:next w:val="Normal"/>
    <w:rsid w:val="00D40FB1"/>
    <w:pPr>
      <w:ind w:left="200" w:hanging="200"/>
    </w:pPr>
  </w:style>
  <w:style w:type="paragraph" w:styleId="TableofFigures">
    <w:name w:val="table of figures"/>
    <w:basedOn w:val="Normal"/>
    <w:next w:val="Normal"/>
    <w:rsid w:val="00D40FB1"/>
  </w:style>
  <w:style w:type="paragraph" w:styleId="TOAHeading">
    <w:name w:val="toa heading"/>
    <w:basedOn w:val="Normal"/>
    <w:next w:val="Normal"/>
    <w:semiHidden/>
    <w:rsid w:val="00D40FB1"/>
    <w:pPr>
      <w:spacing w:before="120"/>
    </w:pPr>
    <w:rPr>
      <w:rFonts w:ascii="Arial" w:hAnsi="Arial" w:cs="Arial"/>
      <w:b/>
      <w:bCs/>
      <w:sz w:val="24"/>
      <w:szCs w:val="24"/>
    </w:rPr>
  </w:style>
  <w:style w:type="paragraph" w:styleId="TOC5">
    <w:name w:val="toc 5"/>
    <w:basedOn w:val="Normal"/>
    <w:next w:val="Normal"/>
    <w:autoRedefine/>
    <w:semiHidden/>
    <w:rsid w:val="00D40FB1"/>
    <w:pPr>
      <w:ind w:left="1040"/>
    </w:pPr>
  </w:style>
  <w:style w:type="paragraph" w:styleId="TOC6">
    <w:name w:val="toc 6"/>
    <w:basedOn w:val="Normal"/>
    <w:next w:val="Normal"/>
    <w:autoRedefine/>
    <w:semiHidden/>
    <w:rsid w:val="00D40FB1"/>
    <w:pPr>
      <w:ind w:left="1300"/>
    </w:pPr>
  </w:style>
  <w:style w:type="paragraph" w:styleId="TOC7">
    <w:name w:val="toc 7"/>
    <w:basedOn w:val="Normal"/>
    <w:next w:val="Normal"/>
    <w:autoRedefine/>
    <w:semiHidden/>
    <w:rsid w:val="00D40FB1"/>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D40FB1"/>
    <w:pPr>
      <w:tabs>
        <w:tab w:val="right" w:leader="dot" w:pos="7711"/>
      </w:tabs>
      <w:spacing w:after="0"/>
      <w:ind w:left="1134"/>
    </w:pPr>
    <w:rPr>
      <w:noProof/>
    </w:rPr>
  </w:style>
  <w:style w:type="paragraph" w:styleId="TOC9">
    <w:name w:val="toc 9"/>
    <w:basedOn w:val="Normal"/>
    <w:next w:val="Normal"/>
    <w:autoRedefine/>
    <w:semiHidden/>
    <w:rsid w:val="00D40FB1"/>
    <w:pPr>
      <w:ind w:left="2080"/>
    </w:pPr>
  </w:style>
  <w:style w:type="numbering" w:customStyle="1" w:styleId="BulletedList">
    <w:name w:val="Bulleted List"/>
    <w:uiPriority w:val="99"/>
    <w:rsid w:val="00D40FB1"/>
    <w:pPr>
      <w:numPr>
        <w:numId w:val="1"/>
      </w:numPr>
    </w:pPr>
  </w:style>
  <w:style w:type="numbering" w:customStyle="1" w:styleId="BoxBulletedList">
    <w:name w:val="Box Bulleted List"/>
    <w:uiPriority w:val="99"/>
    <w:rsid w:val="00D40FB1"/>
    <w:pPr>
      <w:numPr>
        <w:numId w:val="2"/>
      </w:numPr>
    </w:pPr>
  </w:style>
  <w:style w:type="numbering" w:customStyle="1" w:styleId="AlphaParagraphList">
    <w:name w:val="Alpha Paragraph List"/>
    <w:uiPriority w:val="99"/>
    <w:rsid w:val="00D40FB1"/>
    <w:pPr>
      <w:numPr>
        <w:numId w:val="3"/>
      </w:numPr>
    </w:pPr>
  </w:style>
  <w:style w:type="numbering" w:customStyle="1" w:styleId="OneLevelList">
    <w:name w:val="OneLevelList"/>
    <w:uiPriority w:val="99"/>
    <w:rsid w:val="00D40FB1"/>
    <w:pPr>
      <w:numPr>
        <w:numId w:val="4"/>
      </w:numPr>
    </w:pPr>
  </w:style>
  <w:style w:type="numbering" w:customStyle="1" w:styleId="RecommendationBulletList">
    <w:name w:val="RecommendationBulletList"/>
    <w:uiPriority w:val="99"/>
    <w:rsid w:val="00D40FB1"/>
    <w:pPr>
      <w:numPr>
        <w:numId w:val="6"/>
      </w:numPr>
    </w:pPr>
  </w:style>
  <w:style w:type="numbering" w:customStyle="1" w:styleId="RomanNumeralList">
    <w:name w:val="RomanNumeralList"/>
    <w:uiPriority w:val="99"/>
    <w:rsid w:val="00D40FB1"/>
    <w:pPr>
      <w:numPr>
        <w:numId w:val="7"/>
      </w:numPr>
    </w:pPr>
  </w:style>
  <w:style w:type="numbering" w:customStyle="1" w:styleId="ChartandTableFootnoteAlphaList">
    <w:name w:val="ChartandTableFootnoteAlphaList"/>
    <w:uiPriority w:val="99"/>
    <w:rsid w:val="00D40FB1"/>
    <w:pPr>
      <w:numPr>
        <w:numId w:val="12"/>
      </w:numPr>
    </w:pPr>
  </w:style>
  <w:style w:type="paragraph" w:customStyle="1" w:styleId="TableTextBullet">
    <w:name w:val="Table Text Bullet"/>
    <w:basedOn w:val="TableTextBase"/>
    <w:rsid w:val="00D40FB1"/>
    <w:pPr>
      <w:numPr>
        <w:numId w:val="14"/>
      </w:numPr>
    </w:pPr>
  </w:style>
  <w:style w:type="numbering" w:customStyle="1" w:styleId="TableTestBulletList">
    <w:name w:val="Table Test Bullet List"/>
    <w:uiPriority w:val="99"/>
    <w:rsid w:val="00D40FB1"/>
    <w:pPr>
      <w:numPr>
        <w:numId w:val="13"/>
      </w:numPr>
    </w:pPr>
  </w:style>
  <w:style w:type="numbering" w:customStyle="1" w:styleId="TableTextBulletList">
    <w:name w:val="Table Text Bullet List"/>
    <w:uiPriority w:val="99"/>
    <w:rsid w:val="00D40FB1"/>
    <w:pPr>
      <w:numPr>
        <w:numId w:val="14"/>
      </w:numPr>
    </w:pPr>
  </w:style>
  <w:style w:type="paragraph" w:customStyle="1" w:styleId="StyleTableTextBulletLinespacingExactly13pt">
    <w:name w:val="Style Table Text Bullet + Line spacing:  Exactly 13 pt"/>
    <w:basedOn w:val="TableTextBullet"/>
    <w:rsid w:val="00D40FB1"/>
    <w:pPr>
      <w:numPr>
        <w:numId w:val="0"/>
      </w:numPr>
      <w:spacing w:after="80" w:line="260" w:lineRule="exact"/>
    </w:pPr>
  </w:style>
  <w:style w:type="paragraph" w:customStyle="1" w:styleId="SecurityClassificationHeader">
    <w:name w:val="Security Classification Header"/>
    <w:link w:val="SecurityClassificationHeaderChar"/>
    <w:rsid w:val="00D40FB1"/>
    <w:pPr>
      <w:spacing w:before="60" w:after="60" w:line="240" w:lineRule="auto"/>
      <w:jc w:val="center"/>
    </w:pPr>
    <w:rPr>
      <w:rFonts w:ascii="Arial" w:eastAsia="Times New Roman" w:hAnsi="Arial"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D40FB1"/>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D40FB1"/>
    <w:pPr>
      <w:spacing w:before="60" w:after="40" w:line="240" w:lineRule="auto"/>
      <w:jc w:val="center"/>
    </w:pPr>
    <w:rPr>
      <w:rFonts w:ascii="Arial" w:eastAsia="Times New Roman" w:hAnsi="Arial"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D40FB1"/>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D40FB1"/>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D40FB1"/>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D40FB1"/>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D40FB1"/>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D40FB1"/>
    <w:pPr>
      <w:spacing w:before="120" w:after="120"/>
      <w:jc w:val="center"/>
    </w:pPr>
    <w:rPr>
      <w:rFonts w:ascii="Arial Bold" w:hAnsi="Arial Bold"/>
      <w:b/>
      <w:sz w:val="24"/>
    </w:rPr>
  </w:style>
  <w:style w:type="paragraph" w:styleId="Title">
    <w:name w:val="Title"/>
    <w:basedOn w:val="HeadingBaseStyle"/>
    <w:link w:val="TitleChar"/>
    <w:autoRedefine/>
    <w:qFormat/>
    <w:rsid w:val="00D40FB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D40FB1"/>
    <w:rPr>
      <w:rFonts w:ascii="Arial Bold" w:hAnsi="Arial Bold"/>
      <w:b/>
      <w:smallCaps/>
      <w:color w:val="003157"/>
      <w:kern w:val="28"/>
      <w:sz w:val="56"/>
    </w:rPr>
  </w:style>
  <w:style w:type="paragraph" w:styleId="Subtitle">
    <w:name w:val="Subtitle"/>
    <w:basedOn w:val="HeadingBaseStyle"/>
    <w:link w:val="SubtitleChar"/>
    <w:qFormat/>
    <w:rsid w:val="00D40FB1"/>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D40FB1"/>
    <w:rPr>
      <w:rFonts w:ascii="Arial Bold" w:hAnsi="Arial Bold"/>
      <w:b/>
      <w:sz w:val="40"/>
    </w:rPr>
  </w:style>
  <w:style w:type="paragraph" w:customStyle="1" w:styleId="SeriesNumber">
    <w:name w:val="Series Number"/>
    <w:basedOn w:val="HeadingBaseStyle"/>
    <w:rsid w:val="00D40FB1"/>
    <w:pPr>
      <w:spacing w:after="300"/>
      <w:jc w:val="center"/>
    </w:pPr>
    <w:rPr>
      <w:rFonts w:ascii="Arial Bold" w:hAnsi="Arial Bold"/>
      <w:b/>
      <w:color w:val="auto"/>
      <w:sz w:val="32"/>
    </w:rPr>
  </w:style>
  <w:style w:type="character" w:customStyle="1" w:styleId="A5">
    <w:name w:val="A5"/>
    <w:uiPriority w:val="99"/>
    <w:rsid w:val="00D40FB1"/>
    <w:rPr>
      <w:rFonts w:cs="Swiss 721 BT"/>
      <w:color w:val="000000"/>
      <w:sz w:val="20"/>
      <w:szCs w:val="20"/>
    </w:rPr>
  </w:style>
  <w:style w:type="paragraph" w:customStyle="1" w:styleId="Abstract">
    <w:name w:val="Abstract"/>
    <w:basedOn w:val="Normal"/>
    <w:link w:val="AbstractChar"/>
    <w:qFormat/>
    <w:rsid w:val="00D40FB1"/>
  </w:style>
  <w:style w:type="character" w:customStyle="1" w:styleId="AbstractChar">
    <w:name w:val="Abstract Char"/>
    <w:basedOn w:val="DefaultParagraphFont"/>
    <w:link w:val="Abstract"/>
    <w:rsid w:val="00D40FB1"/>
    <w:rPr>
      <w:rFonts w:ascii="Calibri" w:hAnsi="Calibri"/>
      <w:color w:val="000000" w:themeColor="text1"/>
    </w:rPr>
  </w:style>
  <w:style w:type="paragraph" w:customStyle="1" w:styleId="AppendixHeadingLevel2NotNumbered">
    <w:name w:val="Appendix Heading Level 2 Not Numbered"/>
    <w:basedOn w:val="Normal"/>
    <w:qFormat/>
    <w:rsid w:val="00D40FB1"/>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D40FB1"/>
    <w:pPr>
      <w:spacing w:after="0"/>
    </w:pPr>
  </w:style>
  <w:style w:type="paragraph" w:customStyle="1" w:styleId="Alphanumbered">
    <w:name w:val="Alpha numbered"/>
    <w:basedOn w:val="Normal"/>
    <w:rsid w:val="00D40FB1"/>
    <w:pPr>
      <w:numPr>
        <w:numId w:val="16"/>
      </w:numPr>
    </w:pPr>
  </w:style>
  <w:style w:type="paragraph" w:customStyle="1" w:styleId="HeadingBaseStyle">
    <w:name w:val="HeadingBaseStyle"/>
    <w:basedOn w:val="Normal"/>
    <w:rsid w:val="00D40FB1"/>
    <w:pPr>
      <w:keepNext/>
      <w:spacing w:after="0"/>
    </w:pPr>
    <w:rPr>
      <w:rFonts w:ascii="Arial" w:hAnsi="Arial"/>
      <w:color w:val="003157"/>
    </w:rPr>
  </w:style>
  <w:style w:type="paragraph" w:customStyle="1" w:styleId="AppendixHeadingNotNumbered">
    <w:name w:val="Appendix Heading Not Numbered"/>
    <w:basedOn w:val="HeadingBaseStyle"/>
    <w:rsid w:val="00D40FB1"/>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D40FB1"/>
    <w:pPr>
      <w:numPr>
        <w:ilvl w:val="1"/>
      </w:numPr>
    </w:pPr>
  </w:style>
  <w:style w:type="paragraph" w:customStyle="1" w:styleId="AppendixHeadingLevel3">
    <w:name w:val="Appendix Heading Level 3"/>
    <w:basedOn w:val="Heading3"/>
    <w:next w:val="Normal"/>
    <w:rsid w:val="00D40FB1"/>
    <w:pPr>
      <w:numPr>
        <w:ilvl w:val="2"/>
        <w:numId w:val="17"/>
      </w:numPr>
    </w:pPr>
  </w:style>
  <w:style w:type="paragraph" w:customStyle="1" w:styleId="AppendixHeadingLevel4">
    <w:name w:val="Appendix Heading Level 4"/>
    <w:basedOn w:val="Heading4"/>
    <w:next w:val="Normal"/>
    <w:rsid w:val="00D40FB1"/>
    <w:pPr>
      <w:numPr>
        <w:ilvl w:val="3"/>
        <w:numId w:val="17"/>
      </w:numPr>
    </w:pPr>
  </w:style>
  <w:style w:type="paragraph" w:customStyle="1" w:styleId="Attachment">
    <w:name w:val="Attachment"/>
    <w:basedOn w:val="HeadingBaseStyle"/>
    <w:next w:val="Normal"/>
    <w:rsid w:val="00D40FB1"/>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D40FB1"/>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D40FB1"/>
    <w:pPr>
      <w:spacing w:after="20"/>
      <w:jc w:val="center"/>
    </w:pPr>
    <w:rPr>
      <w:color w:val="auto"/>
      <w:sz w:val="24"/>
    </w:rPr>
  </w:style>
  <w:style w:type="paragraph" w:customStyle="1" w:styleId="CaptionHeading1">
    <w:name w:val="Caption Heading 1"/>
    <w:basedOn w:val="Normal"/>
    <w:next w:val="Captiongraphic"/>
    <w:rsid w:val="00D40FB1"/>
    <w:pPr>
      <w:keepNext/>
      <w:spacing w:before="120" w:after="0"/>
      <w:jc w:val="center"/>
    </w:pPr>
    <w:rPr>
      <w:rFonts w:ascii="Arial" w:hAnsi="Arial"/>
      <w:color w:val="003157"/>
      <w:sz w:val="24"/>
    </w:rPr>
  </w:style>
  <w:style w:type="paragraph" w:customStyle="1" w:styleId="CaptionHeading2">
    <w:name w:val="Caption Heading 2"/>
    <w:basedOn w:val="Normal"/>
    <w:rsid w:val="00D40FB1"/>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D40FB1"/>
    <w:rPr>
      <w:rFonts w:ascii="Arial Bold" w:hAnsi="Arial Bold"/>
      <w:b/>
      <w:color w:val="000000"/>
    </w:rPr>
  </w:style>
  <w:style w:type="paragraph" w:styleId="NoSpacing">
    <w:name w:val="No Spacing"/>
    <w:link w:val="NoSpacingChar"/>
    <w:uiPriority w:val="1"/>
    <w:rsid w:val="00D40FB1"/>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D40FB1"/>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D40FB1"/>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D40FB1"/>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D40FB1"/>
    <w:pPr>
      <w:spacing w:after="240" w:line="260" w:lineRule="exact"/>
    </w:pPr>
    <w:rPr>
      <w:color w:val="auto"/>
      <w:sz w:val="24"/>
    </w:rPr>
  </w:style>
  <w:style w:type="character" w:styleId="Emphasis">
    <w:name w:val="Emphasis"/>
    <w:basedOn w:val="DefaultParagraphFont"/>
    <w:qFormat/>
    <w:rsid w:val="00D40FB1"/>
    <w:rPr>
      <w:i/>
      <w:iCs/>
    </w:rPr>
  </w:style>
  <w:style w:type="paragraph" w:customStyle="1" w:styleId="Equation">
    <w:name w:val="Equation"/>
    <w:basedOn w:val="Normal"/>
    <w:next w:val="Normal"/>
    <w:rsid w:val="00D40FB1"/>
    <w:pPr>
      <w:spacing w:before="120" w:after="120"/>
      <w:ind w:left="357"/>
    </w:pPr>
    <w:rPr>
      <w:rFonts w:ascii="Times New Roman" w:hAnsi="Times New Roman"/>
    </w:rPr>
  </w:style>
  <w:style w:type="paragraph" w:customStyle="1" w:styleId="ExampleBullet">
    <w:name w:val="Example Bullet"/>
    <w:basedOn w:val="Normal"/>
    <w:rsid w:val="00D40FB1"/>
    <w:pPr>
      <w:numPr>
        <w:numId w:val="20"/>
      </w:numPr>
      <w:spacing w:before="40" w:after="40"/>
    </w:pPr>
    <w:rPr>
      <w:rFonts w:ascii="Arial" w:hAnsi="Arial"/>
      <w:sz w:val="18"/>
    </w:rPr>
  </w:style>
  <w:style w:type="paragraph" w:customStyle="1" w:styleId="Heading2NotNumbered">
    <w:name w:val="Heading 2 Not Numbered"/>
    <w:basedOn w:val="Heading2"/>
    <w:rsid w:val="00D40FB1"/>
    <w:pPr>
      <w:numPr>
        <w:numId w:val="0"/>
      </w:numPr>
    </w:pPr>
  </w:style>
  <w:style w:type="paragraph" w:customStyle="1" w:styleId="Heading3NotNumbered">
    <w:name w:val="Heading 3 Not Numbered"/>
    <w:basedOn w:val="Heading4"/>
    <w:rsid w:val="00D40FB1"/>
    <w:pPr>
      <w:numPr>
        <w:ilvl w:val="0"/>
        <w:numId w:val="0"/>
      </w:numPr>
    </w:pPr>
    <w:rPr>
      <w:b w:val="0"/>
      <w:sz w:val="28"/>
    </w:rPr>
  </w:style>
  <w:style w:type="paragraph" w:customStyle="1" w:styleId="Indented">
    <w:name w:val="Indented"/>
    <w:basedOn w:val="Normal"/>
    <w:rsid w:val="00D40FB1"/>
    <w:pPr>
      <w:ind w:left="851"/>
    </w:pPr>
  </w:style>
  <w:style w:type="paragraph" w:styleId="IntenseQuote">
    <w:name w:val="Intense Quote"/>
    <w:basedOn w:val="Normal"/>
    <w:next w:val="Normal"/>
    <w:link w:val="IntenseQuoteChar"/>
    <w:uiPriority w:val="30"/>
    <w:rsid w:val="00D40FB1"/>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D40FB1"/>
    <w:rPr>
      <w:rFonts w:ascii="Calibri" w:hAnsi="Calibri"/>
      <w:b/>
      <w:bCs/>
      <w:i/>
      <w:iCs/>
      <w:color w:val="002B54" w:themeColor="accent1"/>
    </w:rPr>
  </w:style>
  <w:style w:type="paragraph" w:customStyle="1" w:styleId="MTDisplayEquation">
    <w:name w:val="MTDisplayEquation"/>
    <w:basedOn w:val="Normal"/>
    <w:next w:val="Normal"/>
    <w:link w:val="MTDisplayEquationChar"/>
    <w:rsid w:val="00D40FB1"/>
    <w:pPr>
      <w:tabs>
        <w:tab w:val="center" w:pos="4640"/>
        <w:tab w:val="right" w:pos="9300"/>
      </w:tabs>
    </w:pPr>
  </w:style>
  <w:style w:type="character" w:customStyle="1" w:styleId="MTDisplayEquationChar">
    <w:name w:val="MTDisplayEquation Char"/>
    <w:basedOn w:val="DefaultParagraphFont"/>
    <w:link w:val="MTDisplayEquation"/>
    <w:rsid w:val="00D40FB1"/>
    <w:rPr>
      <w:rFonts w:ascii="Calibri" w:hAnsi="Calibri"/>
      <w:color w:val="000000" w:themeColor="text1"/>
    </w:rPr>
  </w:style>
  <w:style w:type="character" w:customStyle="1" w:styleId="MTEquationSection">
    <w:name w:val="MTEquationSection"/>
    <w:basedOn w:val="DefaultParagraphFont"/>
    <w:rsid w:val="00D40FB1"/>
    <w:rPr>
      <w:vanish w:val="0"/>
      <w:color w:val="FF0000"/>
    </w:rPr>
  </w:style>
  <w:style w:type="character" w:customStyle="1" w:styleId="NormalBold">
    <w:name w:val="Normal Bold"/>
    <w:basedOn w:val="DefaultParagraphFont"/>
    <w:rsid w:val="00D40FB1"/>
    <w:rPr>
      <w:rFonts w:ascii="Calibri" w:hAnsi="Calibri"/>
      <w:b/>
      <w:sz w:val="22"/>
    </w:rPr>
  </w:style>
  <w:style w:type="character" w:customStyle="1" w:styleId="Normalitalics">
    <w:name w:val="Normal italics"/>
    <w:basedOn w:val="DefaultParagraphFont"/>
    <w:rsid w:val="00D40FB1"/>
    <w:rPr>
      <w:i/>
    </w:rPr>
  </w:style>
  <w:style w:type="paragraph" w:customStyle="1" w:styleId="Note">
    <w:name w:val="Note"/>
    <w:basedOn w:val="HeadingBaseStyle"/>
    <w:next w:val="Normal"/>
    <w:rsid w:val="00D40FB1"/>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D40FB1"/>
    <w:rPr>
      <w:i/>
    </w:rPr>
  </w:style>
  <w:style w:type="paragraph" w:customStyle="1" w:styleId="NumberedParagraph">
    <w:name w:val="Numbered Paragraph"/>
    <w:basedOn w:val="Normal"/>
    <w:autoRedefine/>
    <w:rsid w:val="00D40FB1"/>
    <w:pPr>
      <w:numPr>
        <w:numId w:val="22"/>
      </w:numPr>
    </w:pPr>
  </w:style>
  <w:style w:type="character" w:styleId="PlaceholderText">
    <w:name w:val="Placeholder Text"/>
    <w:basedOn w:val="DefaultParagraphFont"/>
    <w:uiPriority w:val="99"/>
    <w:semiHidden/>
    <w:rsid w:val="00D40FB1"/>
    <w:rPr>
      <w:color w:val="808080"/>
    </w:rPr>
  </w:style>
  <w:style w:type="paragraph" w:customStyle="1" w:styleId="References">
    <w:name w:val="References"/>
    <w:basedOn w:val="Normal"/>
    <w:rsid w:val="00D40FB1"/>
    <w:pPr>
      <w:widowControl w:val="0"/>
      <w:adjustRightInd w:val="0"/>
      <w:textAlignment w:val="baseline"/>
    </w:pPr>
  </w:style>
  <w:style w:type="paragraph" w:customStyle="1" w:styleId="SeriesMonth">
    <w:name w:val="Series Month"/>
    <w:basedOn w:val="HeadingBaseStyle"/>
    <w:rsid w:val="00D40FB1"/>
    <w:pPr>
      <w:spacing w:after="240"/>
      <w:jc w:val="center"/>
    </w:pPr>
    <w:rPr>
      <w:rFonts w:ascii="Arial Bold" w:hAnsi="Arial Bold"/>
      <w:b/>
      <w:color w:val="auto"/>
      <w:sz w:val="32"/>
    </w:rPr>
  </w:style>
  <w:style w:type="paragraph" w:customStyle="1" w:styleId="Tablegraphic0">
    <w:name w:val="Table graphic"/>
    <w:basedOn w:val="HeadingBaseStyle"/>
    <w:next w:val="Normal"/>
    <w:rsid w:val="00D40FB1"/>
    <w:pPr>
      <w:spacing w:after="20"/>
      <w:ind w:right="-113"/>
    </w:pPr>
    <w:rPr>
      <w:color w:val="auto"/>
      <w:sz w:val="24"/>
    </w:rPr>
  </w:style>
  <w:style w:type="paragraph" w:customStyle="1" w:styleId="TableHeading1">
    <w:name w:val="Table Heading 1"/>
    <w:basedOn w:val="HeadingBaseStyle"/>
    <w:next w:val="Tablegraphic0"/>
    <w:rsid w:val="00D40FB1"/>
    <w:pPr>
      <w:spacing w:before="120" w:after="20"/>
      <w:jc w:val="center"/>
    </w:pPr>
    <w:rPr>
      <w:sz w:val="24"/>
    </w:rPr>
  </w:style>
  <w:style w:type="paragraph" w:customStyle="1" w:styleId="Tableheading2">
    <w:name w:val="Table heading 2"/>
    <w:basedOn w:val="TableHeading1"/>
    <w:next w:val="Tablegraphic0"/>
    <w:rsid w:val="00D40FB1"/>
    <w:pPr>
      <w:spacing w:before="0"/>
    </w:pPr>
    <w:rPr>
      <w:sz w:val="22"/>
    </w:rPr>
  </w:style>
  <w:style w:type="paragraph" w:customStyle="1" w:styleId="TableHeadingcontinued">
    <w:name w:val="Table Heading continued"/>
    <w:basedOn w:val="HeadingBaseStyle"/>
    <w:next w:val="Tablegraphic0"/>
    <w:rsid w:val="00D40FB1"/>
    <w:pPr>
      <w:jc w:val="center"/>
    </w:pPr>
  </w:style>
  <w:style w:type="paragraph" w:customStyle="1" w:styleId="Tabletextcentred">
    <w:name w:val="Table text centred"/>
    <w:basedOn w:val="TableTextBase"/>
    <w:rsid w:val="00D40FB1"/>
    <w:pPr>
      <w:jc w:val="center"/>
    </w:pPr>
  </w:style>
  <w:style w:type="paragraph" w:customStyle="1" w:styleId="Tabletextleft0">
    <w:name w:val="Table text left"/>
    <w:basedOn w:val="TableTextBase"/>
    <w:rsid w:val="00D40FB1"/>
  </w:style>
  <w:style w:type="paragraph" w:styleId="Revision">
    <w:name w:val="Revision"/>
    <w:hidden/>
    <w:uiPriority w:val="99"/>
    <w:semiHidden/>
    <w:rsid w:val="007D6CAB"/>
    <w:pPr>
      <w:spacing w:after="0" w:line="240" w:lineRule="auto"/>
    </w:pPr>
    <w:rPr>
      <w:rFonts w:ascii="Calibri" w:hAnsi="Calibri"/>
      <w:color w:val="000000" w:themeColor="text1"/>
    </w:rPr>
  </w:style>
  <w:style w:type="paragraph" w:styleId="ListParagraph">
    <w:name w:val="List Paragraph"/>
    <w:basedOn w:val="Normal"/>
    <w:uiPriority w:val="34"/>
    <w:qFormat/>
    <w:rsid w:val="00BC20B9"/>
    <w:pPr>
      <w:ind w:left="720"/>
      <w:contextualSpacing/>
    </w:pPr>
  </w:style>
  <w:style w:type="paragraph" w:styleId="TOCHeading">
    <w:name w:val="TOC Heading"/>
    <w:basedOn w:val="Heading1"/>
    <w:next w:val="Normal"/>
    <w:uiPriority w:val="39"/>
    <w:unhideWhenUsed/>
    <w:qFormat/>
    <w:rsid w:val="00974836"/>
    <w:pPr>
      <w:keepLines/>
      <w:spacing w:before="240" w:after="0" w:line="259" w:lineRule="auto"/>
      <w:jc w:val="left"/>
      <w:outlineLvl w:val="9"/>
    </w:pPr>
    <w:rPr>
      <w:rFonts w:asciiTheme="majorHAnsi" w:eastAsiaTheme="majorEastAsia" w:hAnsiTheme="majorHAnsi" w:cstheme="majorBidi"/>
      <w:b w:val="0"/>
      <w:smallCaps w:val="0"/>
      <w:color w:val="001F3E"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5937">
      <w:bodyDiv w:val="1"/>
      <w:marLeft w:val="0"/>
      <w:marRight w:val="0"/>
      <w:marTop w:val="0"/>
      <w:marBottom w:val="0"/>
      <w:divBdr>
        <w:top w:val="none" w:sz="0" w:space="0" w:color="auto"/>
        <w:left w:val="none" w:sz="0" w:space="0" w:color="auto"/>
        <w:bottom w:val="none" w:sz="0" w:space="0" w:color="auto"/>
        <w:right w:val="none" w:sz="0" w:space="0" w:color="auto"/>
      </w:divBdr>
    </w:div>
    <w:div w:id="349986398">
      <w:bodyDiv w:val="1"/>
      <w:marLeft w:val="0"/>
      <w:marRight w:val="0"/>
      <w:marTop w:val="0"/>
      <w:marBottom w:val="0"/>
      <w:divBdr>
        <w:top w:val="none" w:sz="0" w:space="0" w:color="auto"/>
        <w:left w:val="none" w:sz="0" w:space="0" w:color="auto"/>
        <w:bottom w:val="none" w:sz="0" w:space="0" w:color="auto"/>
        <w:right w:val="none" w:sz="0" w:space="0" w:color="auto"/>
      </w:divBdr>
    </w:div>
    <w:div w:id="13149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mc.gov.au/government/commonwealth-coat-arms"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header" Target="header5.xml"/><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hyperlink" Target="mailto:medialiaison@treasury.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10.emf"/></Relationships>
</file>

<file path=word/_rels/footnotes.xml.rels><?xml version="1.0" encoding="UTF-8" standalone="yes"?>
<Relationships xmlns="http://schemas.openxmlformats.org/package/2006/relationships"><Relationship Id="rId2" Type="http://schemas.openxmlformats.org/officeDocument/2006/relationships/hyperlink" Target="https://static.treasury.gov.au/uploads/sites/1/2017/09/C2017-T188982" TargetMode="External"/><Relationship Id="rId1" Type="http://schemas.openxmlformats.org/officeDocument/2006/relationships/hyperlink" Target="http://www.tobaccoinaustralia.org.au/chapter-13-taxation/13-3-the-price-of-tobacco-products-in-austral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2CCE-E26A-452D-BF9C-DD334E29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4762</Words>
  <Characters>25046</Characters>
  <Application>Microsoft Office Word</Application>
  <DocSecurity>0</DocSecurity>
  <Lines>382</Lines>
  <Paragraphs>121</Paragraphs>
  <ScaleCrop>false</ScaleCrop>
  <HeadingPairs>
    <vt:vector size="2" baseType="variant">
      <vt:variant>
        <vt:lpstr>Title</vt:lpstr>
      </vt:variant>
      <vt:variant>
        <vt:i4>1</vt:i4>
      </vt:variant>
    </vt:vector>
  </HeadingPairs>
  <TitlesOfParts>
    <vt:vector size="1" baseType="lpstr">
      <vt:lpstr>Tobacco excise: historical trends and forecasting methodology</vt:lpstr>
    </vt:vector>
  </TitlesOfParts>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excise: historical trends and forecasting methodology</dc:title>
  <dc:subject/>
  <dc:creator/>
  <cp:keywords/>
  <cp:lastModifiedBy/>
  <cp:revision>1</cp:revision>
  <dcterms:created xsi:type="dcterms:W3CDTF">2019-07-04T00:36:00Z</dcterms:created>
  <dcterms:modified xsi:type="dcterms:W3CDTF">2019-07-04T00:37:00Z</dcterms:modified>
</cp:coreProperties>
</file>