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02A85" w14:textId="77777777" w:rsidR="00E409EE" w:rsidRDefault="00E409EE" w:rsidP="00B17774">
      <w:pPr>
        <w:pStyle w:val="Baseparagraphcentred"/>
      </w:pPr>
      <w:bookmarkStart w:id="0" w:name="_GoBack"/>
      <w:bookmarkEnd w:id="0"/>
    </w:p>
    <w:p w14:paraId="3503F25D" w14:textId="77777777" w:rsidR="00E409EE" w:rsidRDefault="00E409EE" w:rsidP="00B17774">
      <w:pPr>
        <w:pStyle w:val="Baseparagraphcentred"/>
      </w:pPr>
    </w:p>
    <w:p w14:paraId="4EE52930" w14:textId="77777777" w:rsidR="00E409EE" w:rsidRDefault="00E409EE" w:rsidP="00B17774">
      <w:pPr>
        <w:pStyle w:val="Baseparagraphcentred"/>
      </w:pPr>
    </w:p>
    <w:p w14:paraId="5A4BE370" w14:textId="77777777" w:rsidR="00E409EE" w:rsidRDefault="00E409EE" w:rsidP="00B17774">
      <w:pPr>
        <w:pStyle w:val="Baseparagraphcentred"/>
      </w:pPr>
    </w:p>
    <w:p w14:paraId="4D22D88C" w14:textId="77777777" w:rsidR="00E409EE" w:rsidRDefault="00E409EE" w:rsidP="00B17774">
      <w:pPr>
        <w:pStyle w:val="Baseparagraphcentred"/>
      </w:pPr>
    </w:p>
    <w:p w14:paraId="4A8C3868" w14:textId="77777777" w:rsidR="00E409EE" w:rsidRDefault="00E409EE" w:rsidP="00B17774">
      <w:pPr>
        <w:pStyle w:val="Baseparagraphcentred"/>
      </w:pPr>
    </w:p>
    <w:p w14:paraId="5C8F70FB" w14:textId="77777777" w:rsidR="00E409EE" w:rsidRDefault="00E409EE" w:rsidP="00B17774">
      <w:pPr>
        <w:pStyle w:val="Baseparagraphcentred"/>
      </w:pPr>
    </w:p>
    <w:p w14:paraId="43118CE6" w14:textId="77777777" w:rsidR="00E409EE" w:rsidRDefault="00E409EE" w:rsidP="00B17774">
      <w:pPr>
        <w:pStyle w:val="Baseparagraphcentred"/>
      </w:pPr>
    </w:p>
    <w:p w14:paraId="0D6C94F4" w14:textId="25016F24" w:rsidR="00B17774" w:rsidRDefault="00B17774" w:rsidP="00B17774">
      <w:pPr>
        <w:pStyle w:val="Baseparagraphcentred"/>
      </w:pPr>
    </w:p>
    <w:p w14:paraId="199B11EF" w14:textId="77777777" w:rsidR="00B17774" w:rsidRDefault="00B17774" w:rsidP="00B17774">
      <w:pPr>
        <w:pStyle w:val="Baseparagraphcentred"/>
      </w:pPr>
    </w:p>
    <w:p w14:paraId="6D0BC7A0" w14:textId="77777777" w:rsidR="00B17774" w:rsidRDefault="005543F8" w:rsidP="00B17774">
      <w:pPr>
        <w:pStyle w:val="BillName"/>
      </w:pPr>
      <w:bookmarkStart w:id="1" w:name="BillName"/>
      <w:bookmarkEnd w:id="1"/>
      <w:r>
        <w:t>Australian Business Growth Fund Bill 2019</w:t>
      </w:r>
    </w:p>
    <w:p w14:paraId="77F6421A" w14:textId="77777777" w:rsidR="00B17774" w:rsidRDefault="00B17774" w:rsidP="00B17774">
      <w:pPr>
        <w:pStyle w:val="Baseparagraphcentred"/>
      </w:pPr>
    </w:p>
    <w:p w14:paraId="3D52DEC0" w14:textId="77777777" w:rsidR="00B17774" w:rsidRDefault="00B17774" w:rsidP="00B17774">
      <w:pPr>
        <w:pStyle w:val="Baseparagraphcentred"/>
      </w:pPr>
    </w:p>
    <w:p w14:paraId="2F38369B" w14:textId="77777777" w:rsidR="00B17774" w:rsidRDefault="00B17774" w:rsidP="00B17774">
      <w:pPr>
        <w:pStyle w:val="Baseparagraphcentred"/>
      </w:pPr>
    </w:p>
    <w:p w14:paraId="1A939D65" w14:textId="77777777" w:rsidR="00B17774" w:rsidRDefault="00B17774" w:rsidP="00B17774">
      <w:pPr>
        <w:pStyle w:val="Baseparagraphcentred"/>
      </w:pPr>
    </w:p>
    <w:p w14:paraId="72299ED4" w14:textId="77777777" w:rsidR="00E409EE" w:rsidRDefault="00E409EE" w:rsidP="00B17774">
      <w:pPr>
        <w:pStyle w:val="Baseparagraphcentred"/>
      </w:pPr>
      <w:r>
        <w:t>EXPOSURE DRAFT EXPLANATORY MATERIALS</w:t>
      </w:r>
    </w:p>
    <w:p w14:paraId="147AE700" w14:textId="4B3CAF9B" w:rsidR="00B17774" w:rsidRDefault="00B17774" w:rsidP="00B17774">
      <w:pPr>
        <w:pStyle w:val="Baseparagraphcentred"/>
      </w:pPr>
    </w:p>
    <w:p w14:paraId="49FC9E2D" w14:textId="77777777" w:rsidR="00B17774" w:rsidRDefault="00B17774" w:rsidP="00B17774">
      <w:pPr>
        <w:pStyle w:val="Baseparagraphcentred"/>
      </w:pPr>
    </w:p>
    <w:p w14:paraId="7B4D0082" w14:textId="77777777" w:rsidR="00B17774" w:rsidRDefault="00B17774" w:rsidP="00B17774">
      <w:pPr>
        <w:pStyle w:val="Baseparagraphcentred"/>
      </w:pPr>
    </w:p>
    <w:p w14:paraId="2CDF16A8" w14:textId="77777777" w:rsidR="00E409EE" w:rsidRDefault="00E409EE" w:rsidP="00773B68">
      <w:pPr>
        <w:pStyle w:val="ParaCentredNoSpacing"/>
      </w:pPr>
    </w:p>
    <w:p w14:paraId="00481013" w14:textId="77777777" w:rsidR="00E409EE" w:rsidRDefault="00E409EE" w:rsidP="00773B68">
      <w:pPr>
        <w:pStyle w:val="ParaCentredNoSpacing"/>
      </w:pPr>
    </w:p>
    <w:p w14:paraId="0D1448B3" w14:textId="7789E5F6" w:rsidR="00773B68" w:rsidRDefault="00773B68" w:rsidP="00773B68">
      <w:pPr>
        <w:pStyle w:val="ParaCentredNoSpacing"/>
      </w:pPr>
    </w:p>
    <w:p w14:paraId="5E35A237" w14:textId="77777777" w:rsidR="00B17774" w:rsidRDefault="00B17774" w:rsidP="00B17774"/>
    <w:p w14:paraId="127C57B3" w14:textId="77777777" w:rsidR="00B17774" w:rsidRDefault="00B17774" w:rsidP="00B17774">
      <w:pPr>
        <w:pStyle w:val="Hiddentext"/>
      </w:pPr>
    </w:p>
    <w:p w14:paraId="63B19E8F" w14:textId="77777777" w:rsidR="00B17774" w:rsidRDefault="00B17774" w:rsidP="00B17774">
      <w:pPr>
        <w:pStyle w:val="base-text-paragraphnonumbers"/>
        <w:sectPr w:rsidR="00B17774" w:rsidSect="00E74E50">
          <w:headerReference w:type="even" r:id="rId13"/>
          <w:headerReference w:type="default" r:id="rId14"/>
          <w:footerReference w:type="even" r:id="rId15"/>
          <w:footerReference w:type="default" r:id="rId16"/>
          <w:headerReference w:type="first" r:id="rId17"/>
          <w:footerReference w:type="first" r:id="rId18"/>
          <w:type w:val="oddPage"/>
          <w:pgSz w:w="9979" w:h="14175" w:code="9"/>
          <w:pgMar w:top="567" w:right="1134" w:bottom="567" w:left="1134" w:header="709" w:footer="709" w:gutter="0"/>
          <w:cols w:space="708"/>
          <w:titlePg/>
          <w:docGrid w:linePitch="360"/>
        </w:sectPr>
      </w:pPr>
    </w:p>
    <w:p w14:paraId="7471CB97" w14:textId="4A83C021" w:rsidR="00B17774" w:rsidRPr="007C2B20" w:rsidRDefault="00360524" w:rsidP="00E409EE">
      <w:pPr>
        <w:pStyle w:val="ChapterHeading"/>
        <w:numPr>
          <w:ilvl w:val="0"/>
          <w:numId w:val="0"/>
        </w:numPr>
      </w:pPr>
      <w:bookmarkStart w:id="2" w:name="_Toc22562026"/>
      <w:r>
        <w:rPr>
          <w:rStyle w:val="ChapterNameOnly"/>
        </w:rPr>
        <w:lastRenderedPageBreak/>
        <w:t>The Australian Business Growth Fund</w:t>
      </w:r>
      <w:bookmarkEnd w:id="2"/>
    </w:p>
    <w:p w14:paraId="4C9C54D1" w14:textId="77777777" w:rsidR="00B17774" w:rsidRDefault="00B17774" w:rsidP="00B17774">
      <w:pPr>
        <w:pStyle w:val="Heading2"/>
      </w:pPr>
      <w:r>
        <w:t>Outline of chapter</w:t>
      </w:r>
    </w:p>
    <w:p w14:paraId="246EC499" w14:textId="77777777" w:rsidR="00B17774" w:rsidRDefault="00360524" w:rsidP="00A86D95">
      <w:pPr>
        <w:pStyle w:val="base-text-paragraph"/>
      </w:pPr>
      <w:r>
        <w:t>The</w:t>
      </w:r>
      <w:r w:rsidR="00A86D95" w:rsidRPr="00A86D95">
        <w:t xml:space="preserve"> Bill </w:t>
      </w:r>
      <w:r>
        <w:t>authorises investment by the Commonwealth in the Australian Business Growth Fund, and appropriates $100 million for that purpose.</w:t>
      </w:r>
    </w:p>
    <w:p w14:paraId="4878DFEC" w14:textId="77777777" w:rsidR="00B17774" w:rsidRDefault="00B17774" w:rsidP="00B17774">
      <w:pPr>
        <w:pStyle w:val="Heading2"/>
      </w:pPr>
      <w:r>
        <w:t xml:space="preserve">Context of </w:t>
      </w:r>
      <w:r w:rsidR="00D51613">
        <w:t>the measure</w:t>
      </w:r>
    </w:p>
    <w:p w14:paraId="37B0C8CD" w14:textId="10C12F40" w:rsidR="007E6BE7" w:rsidRDefault="007E6BE7" w:rsidP="007E6BE7">
      <w:pPr>
        <w:pStyle w:val="base-text-paragraph"/>
      </w:pPr>
      <w:r>
        <w:t xml:space="preserve">A challenge for </w:t>
      </w:r>
      <w:r w:rsidR="0040265E">
        <w:t xml:space="preserve">small and medium enterprises </w:t>
      </w:r>
      <w:r>
        <w:t xml:space="preserve">seeking to grow can be access to capital. In 2018, the </w:t>
      </w:r>
      <w:r w:rsidR="00066970">
        <w:t xml:space="preserve">Reserve Bank of Australia </w:t>
      </w:r>
      <w:r>
        <w:t xml:space="preserve">and the Small Business and Family Enterprise Ombudsman released separate reports outlining the difficulties Australian </w:t>
      </w:r>
      <w:r w:rsidR="0040265E">
        <w:t xml:space="preserve">small and medium enterprises </w:t>
      </w:r>
      <w:r>
        <w:t xml:space="preserve">face in accessing finance. </w:t>
      </w:r>
    </w:p>
    <w:p w14:paraId="141425A2" w14:textId="358989A8" w:rsidR="007E6BE7" w:rsidRDefault="007E6BE7" w:rsidP="007E6BE7">
      <w:pPr>
        <w:pStyle w:val="base-text-paragraph"/>
      </w:pPr>
      <w:r>
        <w:t xml:space="preserve">The </w:t>
      </w:r>
      <w:r w:rsidR="00066970">
        <w:t xml:space="preserve">Reserve Bank of Australia </w:t>
      </w:r>
      <w:r>
        <w:t xml:space="preserve">found that banks </w:t>
      </w:r>
      <w:r w:rsidR="00962CD0">
        <w:t xml:space="preserve">were </w:t>
      </w:r>
      <w:r>
        <w:t xml:space="preserve">reluctant to finance start-ups given the high risks involved. Entrepreneurs </w:t>
      </w:r>
      <w:r w:rsidR="00962CD0">
        <w:t xml:space="preserve">found </w:t>
      </w:r>
      <w:r>
        <w:t>it difficult to borrow more than around $100,000 on an unsecured basis to support their day-to-day trading activities. In addition, medium-sized businesses report</w:t>
      </w:r>
      <w:r w:rsidR="00962CD0">
        <w:t>ed</w:t>
      </w:r>
      <w:r>
        <w:t xml:space="preserve"> that it </w:t>
      </w:r>
      <w:r w:rsidR="00962CD0">
        <w:t xml:space="preserve">was </w:t>
      </w:r>
      <w:r>
        <w:t>hard to obtain additional finance once they have pledged all of their real estate as collateral. As a result</w:t>
      </w:r>
      <w:r w:rsidR="00962CD0">
        <w:t>,</w:t>
      </w:r>
      <w:r>
        <w:t xml:space="preserve"> many entrepreneurs delay </w:t>
      </w:r>
      <w:r w:rsidR="00962CD0">
        <w:t xml:space="preserve">expanding their businesses </w:t>
      </w:r>
      <w:r>
        <w:t xml:space="preserve">until </w:t>
      </w:r>
      <w:r w:rsidR="00370B1E">
        <w:t>the expansion</w:t>
      </w:r>
      <w:r w:rsidR="00962CD0">
        <w:t xml:space="preserve"> </w:t>
      </w:r>
      <w:proofErr w:type="gramStart"/>
      <w:r w:rsidR="00F21964">
        <w:t xml:space="preserve">can </w:t>
      </w:r>
      <w:r>
        <w:t>be funded</w:t>
      </w:r>
      <w:proofErr w:type="gramEnd"/>
      <w:r>
        <w:t xml:space="preserve"> from retained profits. </w:t>
      </w:r>
    </w:p>
    <w:p w14:paraId="63F4846D" w14:textId="6BEFDC65" w:rsidR="007E6BE7" w:rsidRDefault="00370B1E" w:rsidP="007E6BE7">
      <w:pPr>
        <w:pStyle w:val="base-text-paragraph"/>
      </w:pPr>
      <w:r>
        <w:t xml:space="preserve">Both the </w:t>
      </w:r>
      <w:r w:rsidR="00066970">
        <w:t xml:space="preserve">Reserve Bank of Australia </w:t>
      </w:r>
      <w:r>
        <w:t xml:space="preserve">and Small Business and Family Enterprise Ombudsman </w:t>
      </w:r>
      <w:r w:rsidR="007E6BE7">
        <w:t>reports concluded that certain business models are not suited to debt finance</w:t>
      </w:r>
      <w:r>
        <w:t>,</w:t>
      </w:r>
      <w:r w:rsidR="007E6BE7">
        <w:t xml:space="preserve"> as there is often a distinct time gap between investing in a business’ future growth and realising sufficient profit to repay the debt. Equity financing would often be more appropriate for these business models. However, this is not always an attractive option for </w:t>
      </w:r>
      <w:r>
        <w:t xml:space="preserve">small and medium enterprises </w:t>
      </w:r>
      <w:r w:rsidR="007E6BE7">
        <w:t xml:space="preserve">because of the loss of management control </w:t>
      </w:r>
      <w:r>
        <w:t xml:space="preserve">of the enterprise </w:t>
      </w:r>
      <w:r w:rsidR="007E6BE7">
        <w:t>if traditional private equity funds are used.</w:t>
      </w:r>
    </w:p>
    <w:p w14:paraId="36893BDD" w14:textId="77192EC0" w:rsidR="007E6BE7" w:rsidRDefault="007E6BE7" w:rsidP="007E6BE7">
      <w:pPr>
        <w:pStyle w:val="base-text-paragraph"/>
      </w:pPr>
      <w:r>
        <w:t xml:space="preserve">Australia currently lacks a patient capital market for </w:t>
      </w:r>
      <w:r w:rsidR="002F47D5">
        <w:t>small and medium enterprises</w:t>
      </w:r>
      <w:r>
        <w:t xml:space="preserve">. Patient capital can provide entrepreneurs the finance needed to expand without relinquishing control of their business. </w:t>
      </w:r>
      <w:proofErr w:type="gramStart"/>
      <w:r>
        <w:t>Patient capital equity funds</w:t>
      </w:r>
      <w:proofErr w:type="gramEnd"/>
      <w:r>
        <w:t xml:space="preserve"> established in the </w:t>
      </w:r>
      <w:r w:rsidR="002F47D5">
        <w:t>United Kingdo</w:t>
      </w:r>
      <w:r w:rsidR="00077B4C">
        <w:t>m</w:t>
      </w:r>
      <w:r w:rsidR="002F47D5">
        <w:t xml:space="preserve"> </w:t>
      </w:r>
      <w:r>
        <w:t>and Canada have shown that there is a need for this type of finance and that patient capital investment can be profitable for investors.</w:t>
      </w:r>
    </w:p>
    <w:p w14:paraId="60333F5E" w14:textId="17209F5B" w:rsidR="00B17774" w:rsidRDefault="007E6BE7" w:rsidP="007E6BE7">
      <w:pPr>
        <w:pStyle w:val="base-text-paragraph"/>
      </w:pPr>
      <w:r>
        <w:t xml:space="preserve">The Government will help small businesses grow by co-investing with other financial institutions to establish </w:t>
      </w:r>
      <w:r w:rsidR="002F47D5">
        <w:t xml:space="preserve">an Australian Business Growth Fund </w:t>
      </w:r>
      <w:r>
        <w:t>that will provide equity finance to small businesses across a range of industries and locations.</w:t>
      </w:r>
    </w:p>
    <w:p w14:paraId="2912E2CD" w14:textId="77777777" w:rsidR="00B17774" w:rsidRDefault="00B17774" w:rsidP="00B17774">
      <w:pPr>
        <w:pStyle w:val="Heading2"/>
      </w:pPr>
      <w:r>
        <w:lastRenderedPageBreak/>
        <w:t>Summary of new law</w:t>
      </w:r>
    </w:p>
    <w:p w14:paraId="54938A4B" w14:textId="7169955F" w:rsidR="00B17774" w:rsidRDefault="00D51613" w:rsidP="007D6330">
      <w:pPr>
        <w:pStyle w:val="base-text-paragraph"/>
        <w:numPr>
          <w:ilvl w:val="1"/>
          <w:numId w:val="4"/>
        </w:numPr>
      </w:pPr>
      <w:r>
        <w:t xml:space="preserve">Part </w:t>
      </w:r>
      <w:proofErr w:type="gramStart"/>
      <w:r>
        <w:t>1</w:t>
      </w:r>
      <w:proofErr w:type="gramEnd"/>
      <w:r>
        <w:t xml:space="preserve"> of the Bill sets out </w:t>
      </w:r>
      <w:r w:rsidR="002F47D5">
        <w:t xml:space="preserve">when the Bill commences, </w:t>
      </w:r>
      <w:r>
        <w:t xml:space="preserve">the objects of the Bill, </w:t>
      </w:r>
      <w:r w:rsidR="00DD4010">
        <w:t>definitions of key terms</w:t>
      </w:r>
      <w:r w:rsidR="00D8697C">
        <w:t xml:space="preserve"> used in the Bill</w:t>
      </w:r>
      <w:r>
        <w:t xml:space="preserve">, </w:t>
      </w:r>
      <w:r w:rsidR="002F47D5">
        <w:t xml:space="preserve">and the application of the </w:t>
      </w:r>
      <w:r w:rsidR="00D8697C">
        <w:t>Bill</w:t>
      </w:r>
      <w:r>
        <w:t>. This Part also contains a simplified outline of the Bill.</w:t>
      </w:r>
    </w:p>
    <w:p w14:paraId="3B2D4573" w14:textId="607F3DEF" w:rsidR="00D51613" w:rsidRDefault="00D51613" w:rsidP="007D6330">
      <w:pPr>
        <w:pStyle w:val="base-text-paragraph"/>
        <w:numPr>
          <w:ilvl w:val="1"/>
          <w:numId w:val="4"/>
        </w:numPr>
      </w:pPr>
      <w:r>
        <w:t>Part 2 of the Bill authorises the Minister</w:t>
      </w:r>
      <w:r w:rsidR="00D8697C">
        <w:t xml:space="preserve"> to invest in the Australian Business Growth Fund and </w:t>
      </w:r>
      <w:r w:rsidR="00DD4010">
        <w:t xml:space="preserve">places limitations on the exercise of </w:t>
      </w:r>
      <w:r w:rsidR="00D8697C">
        <w:t xml:space="preserve">the Minister’s investment </w:t>
      </w:r>
      <w:r w:rsidR="00DD4010">
        <w:t>powers.</w:t>
      </w:r>
    </w:p>
    <w:p w14:paraId="52CE1D53" w14:textId="58791484" w:rsidR="00DD4010" w:rsidRPr="008F726E" w:rsidRDefault="00DD4010" w:rsidP="007D6330">
      <w:pPr>
        <w:pStyle w:val="base-text-paragraph"/>
        <w:numPr>
          <w:ilvl w:val="1"/>
          <w:numId w:val="4"/>
        </w:numPr>
      </w:pPr>
      <w:r>
        <w:t xml:space="preserve">Part 3 of the Bill contains </w:t>
      </w:r>
      <w:r w:rsidR="00D8697C">
        <w:t xml:space="preserve">administrative </w:t>
      </w:r>
      <w:r>
        <w:t>provisions</w:t>
      </w:r>
      <w:r w:rsidR="00D8697C">
        <w:t xml:space="preserve"> that support</w:t>
      </w:r>
      <w:r w:rsidR="00CC1965">
        <w:t xml:space="preserve"> and govern</w:t>
      </w:r>
      <w:r w:rsidR="00D8697C">
        <w:t xml:space="preserve"> the Minister’s powers to invest in the Australian Business Growth Fund. </w:t>
      </w:r>
    </w:p>
    <w:p w14:paraId="4847DD1B" w14:textId="4721F142" w:rsidR="00B17774" w:rsidRDefault="00B17774" w:rsidP="00B17774">
      <w:pPr>
        <w:pStyle w:val="Heading2"/>
      </w:pPr>
      <w:r>
        <w:t>Detailed explanation of new law</w:t>
      </w:r>
    </w:p>
    <w:p w14:paraId="7C31480A" w14:textId="025A98FF" w:rsidR="00132C34" w:rsidRDefault="00B126A9" w:rsidP="00132C34">
      <w:pPr>
        <w:pStyle w:val="Heading3"/>
      </w:pPr>
      <w:r>
        <w:t>Part 1—P</w:t>
      </w:r>
      <w:r w:rsidR="00132C34">
        <w:t>reliminary</w:t>
      </w:r>
      <w:r w:rsidR="0042628C">
        <w:t xml:space="preserve"> provisions</w:t>
      </w:r>
    </w:p>
    <w:p w14:paraId="1F57744D" w14:textId="2D25E304" w:rsidR="00132C34" w:rsidRPr="00132C34" w:rsidRDefault="00132C34" w:rsidP="00132C34">
      <w:pPr>
        <w:pStyle w:val="Heading4"/>
      </w:pPr>
      <w:r>
        <w:t>Short title</w:t>
      </w:r>
    </w:p>
    <w:p w14:paraId="07FA3A7D" w14:textId="58C3786F" w:rsidR="00B17774" w:rsidRPr="008F726E" w:rsidRDefault="00132C34" w:rsidP="007D6330">
      <w:pPr>
        <w:pStyle w:val="base-text-paragraph"/>
        <w:numPr>
          <w:ilvl w:val="1"/>
          <w:numId w:val="4"/>
        </w:numPr>
      </w:pPr>
      <w:r>
        <w:t xml:space="preserve">The Bill, once enacted, </w:t>
      </w:r>
      <w:proofErr w:type="gramStart"/>
      <w:r>
        <w:t>may be cited</w:t>
      </w:r>
      <w:proofErr w:type="gramEnd"/>
      <w:r>
        <w:t xml:space="preserve"> as the </w:t>
      </w:r>
      <w:r>
        <w:rPr>
          <w:i/>
        </w:rPr>
        <w:t>Australian Business Growth Fund Act 2019</w:t>
      </w:r>
      <w:r>
        <w:t xml:space="preserve">. </w:t>
      </w:r>
      <w:r>
        <w:rPr>
          <w:rStyle w:val="Referencingstyle"/>
        </w:rPr>
        <w:t>[</w:t>
      </w:r>
      <w:r w:rsidR="00CC1965">
        <w:rPr>
          <w:rStyle w:val="Referencingstyle"/>
        </w:rPr>
        <w:t>Section</w:t>
      </w:r>
      <w:r w:rsidR="00B828BF">
        <w:rPr>
          <w:rStyle w:val="Referencingstyle"/>
        </w:rPr>
        <w:t> </w:t>
      </w:r>
      <w:r>
        <w:rPr>
          <w:rStyle w:val="Referencingstyle"/>
        </w:rPr>
        <w:t>1</w:t>
      </w:r>
      <w:r w:rsidRPr="00375F1D">
        <w:rPr>
          <w:rStyle w:val="Referencingstyle"/>
        </w:rPr>
        <w:t>]</w:t>
      </w:r>
    </w:p>
    <w:p w14:paraId="5ABBC589" w14:textId="4FBD280C" w:rsidR="00132C34" w:rsidRDefault="00132C34" w:rsidP="00132C34">
      <w:pPr>
        <w:pStyle w:val="Heading4"/>
      </w:pPr>
      <w:r>
        <w:t>Commencement</w:t>
      </w:r>
    </w:p>
    <w:p w14:paraId="26B63F22" w14:textId="1E86545F" w:rsidR="00132C34" w:rsidRPr="00132C34" w:rsidRDefault="00132C34" w:rsidP="00132C34">
      <w:pPr>
        <w:pStyle w:val="base-text-paragraph"/>
        <w:rPr>
          <w:rStyle w:val="Referencingstyle"/>
          <w:b w:val="0"/>
          <w:i w:val="0"/>
          <w:sz w:val="22"/>
        </w:rPr>
      </w:pPr>
      <w:r>
        <w:t xml:space="preserve">The Bill will commence on the day after the Bill receives the Royal Assent. </w:t>
      </w:r>
      <w:r>
        <w:rPr>
          <w:rStyle w:val="Referencingstyle"/>
        </w:rPr>
        <w:t>[</w:t>
      </w:r>
      <w:r w:rsidR="00CC1965">
        <w:rPr>
          <w:rStyle w:val="Referencingstyle"/>
        </w:rPr>
        <w:t>Section</w:t>
      </w:r>
      <w:r w:rsidR="00B828BF">
        <w:rPr>
          <w:rStyle w:val="Referencingstyle"/>
        </w:rPr>
        <w:t> </w:t>
      </w:r>
      <w:r>
        <w:rPr>
          <w:rStyle w:val="Referencingstyle"/>
        </w:rPr>
        <w:t>2</w:t>
      </w:r>
      <w:r w:rsidRPr="00375F1D">
        <w:rPr>
          <w:rStyle w:val="Referencingstyle"/>
        </w:rPr>
        <w:t>]</w:t>
      </w:r>
    </w:p>
    <w:p w14:paraId="54DC3C65" w14:textId="1A4A16DE" w:rsidR="00132C34" w:rsidRDefault="00F70975" w:rsidP="00132C34">
      <w:pPr>
        <w:pStyle w:val="Heading4"/>
      </w:pPr>
      <w:r>
        <w:t>Objects and simplified outline</w:t>
      </w:r>
      <w:r w:rsidR="0042628C">
        <w:t>s</w:t>
      </w:r>
    </w:p>
    <w:p w14:paraId="6AB53CB9" w14:textId="2035B025" w:rsidR="00F70975" w:rsidRDefault="00F70975" w:rsidP="00F70975">
      <w:pPr>
        <w:pStyle w:val="base-text-paragraph"/>
      </w:pPr>
      <w:r>
        <w:t xml:space="preserve">The object of the Bill is to increase investment in Australian small and medium enterprises by the Commonwealth participating in, and investing in (together with other persons), the Australian Business Growth Fund in accordance with the Bill. </w:t>
      </w:r>
      <w:r>
        <w:rPr>
          <w:rStyle w:val="Referencingstyle"/>
        </w:rPr>
        <w:t>[</w:t>
      </w:r>
      <w:r w:rsidR="00CC1965">
        <w:rPr>
          <w:rStyle w:val="Referencingstyle"/>
        </w:rPr>
        <w:t>Section</w:t>
      </w:r>
      <w:r w:rsidR="00B828BF">
        <w:rPr>
          <w:rStyle w:val="Referencingstyle"/>
        </w:rPr>
        <w:t> </w:t>
      </w:r>
      <w:r>
        <w:rPr>
          <w:rStyle w:val="Referencingstyle"/>
        </w:rPr>
        <w:t>3</w:t>
      </w:r>
      <w:r w:rsidRPr="00375F1D">
        <w:rPr>
          <w:rStyle w:val="Referencingstyle"/>
        </w:rPr>
        <w:t>]</w:t>
      </w:r>
    </w:p>
    <w:p w14:paraId="2332B7AA" w14:textId="24714DD5" w:rsidR="00F70975" w:rsidRPr="00F70975" w:rsidRDefault="00F70975" w:rsidP="00F70975">
      <w:pPr>
        <w:pStyle w:val="base-text-paragraph"/>
        <w:rPr>
          <w:rStyle w:val="Referencingstyle"/>
          <w:b w:val="0"/>
          <w:i w:val="0"/>
          <w:sz w:val="22"/>
        </w:rPr>
      </w:pPr>
      <w:r>
        <w:t>The Bill contains a simplified outline</w:t>
      </w:r>
      <w:r w:rsidR="0042628C">
        <w:t>, as do Parts 2 and 3 of the Bill</w:t>
      </w:r>
      <w:r w:rsidR="00CC1965">
        <w:t xml:space="preserve"> for those individual parts</w:t>
      </w:r>
      <w:r>
        <w:t>. The simplified outline</w:t>
      </w:r>
      <w:r w:rsidR="0042628C">
        <w:t>s</w:t>
      </w:r>
      <w:r>
        <w:t xml:space="preserve"> </w:t>
      </w:r>
      <w:r w:rsidR="0042628C">
        <w:t xml:space="preserve">are </w:t>
      </w:r>
      <w:r>
        <w:t>included to assist readers to understand the substantive provisions of the Bill. The</w:t>
      </w:r>
      <w:r w:rsidR="0042628C">
        <w:t>se</w:t>
      </w:r>
      <w:r>
        <w:t xml:space="preserve"> outline</w:t>
      </w:r>
      <w:r w:rsidR="0042628C">
        <w:t>s</w:t>
      </w:r>
      <w:r>
        <w:t xml:space="preserve"> </w:t>
      </w:r>
      <w:proofErr w:type="gramStart"/>
      <w:r w:rsidR="0042628C">
        <w:t xml:space="preserve">are </w:t>
      </w:r>
      <w:r>
        <w:t>not intended</w:t>
      </w:r>
      <w:proofErr w:type="gramEnd"/>
      <w:r>
        <w:t xml:space="preserve"> to be comprehensive. It </w:t>
      </w:r>
      <w:proofErr w:type="gramStart"/>
      <w:r>
        <w:t>is intended</w:t>
      </w:r>
      <w:proofErr w:type="gramEnd"/>
      <w:r>
        <w:t xml:space="preserve"> that readers should rely on the substantive provisions of the Bill. </w:t>
      </w:r>
      <w:r>
        <w:rPr>
          <w:rStyle w:val="Referencingstyle"/>
        </w:rPr>
        <w:t>[</w:t>
      </w:r>
      <w:r w:rsidR="00CC1965">
        <w:rPr>
          <w:rStyle w:val="Referencingstyle"/>
        </w:rPr>
        <w:t>Section</w:t>
      </w:r>
      <w:r w:rsidR="0042628C">
        <w:rPr>
          <w:rStyle w:val="Referencingstyle"/>
        </w:rPr>
        <w:t>s</w:t>
      </w:r>
      <w:r w:rsidR="00B828BF">
        <w:rPr>
          <w:rStyle w:val="Referencingstyle"/>
        </w:rPr>
        <w:t> </w:t>
      </w:r>
      <w:r>
        <w:rPr>
          <w:rStyle w:val="Referencingstyle"/>
        </w:rPr>
        <w:t>4</w:t>
      </w:r>
      <w:r w:rsidR="0042628C">
        <w:rPr>
          <w:rStyle w:val="Referencingstyle"/>
        </w:rPr>
        <w:t xml:space="preserve">, </w:t>
      </w:r>
      <w:r w:rsidR="00F870C4">
        <w:rPr>
          <w:rStyle w:val="Referencingstyle"/>
        </w:rPr>
        <w:t>9 and 17</w:t>
      </w:r>
      <w:r w:rsidRPr="00375F1D">
        <w:rPr>
          <w:rStyle w:val="Referencingstyle"/>
        </w:rPr>
        <w:t>]</w:t>
      </w:r>
    </w:p>
    <w:p w14:paraId="7F25931D" w14:textId="61E0E0B8" w:rsidR="00F70975" w:rsidRDefault="00F70975" w:rsidP="00F70975">
      <w:pPr>
        <w:pStyle w:val="Heading4"/>
      </w:pPr>
      <w:r>
        <w:t>Definitions</w:t>
      </w:r>
    </w:p>
    <w:p w14:paraId="0B19E1E4" w14:textId="3EAE294C" w:rsidR="00F70975" w:rsidRDefault="0042628C" w:rsidP="00F70975">
      <w:pPr>
        <w:pStyle w:val="base-text-paragraph"/>
      </w:pPr>
      <w:r>
        <w:t>The Bill includes definitions of expressions used in the Bill.</w:t>
      </w:r>
      <w:r w:rsidR="00F870C4">
        <w:t xml:space="preserve"> </w:t>
      </w:r>
      <w:r w:rsidR="00756BD3">
        <w:t xml:space="preserve">Key definitions </w:t>
      </w:r>
      <w:proofErr w:type="gramStart"/>
      <w:r w:rsidR="00756BD3">
        <w:t>are explained</w:t>
      </w:r>
      <w:proofErr w:type="gramEnd"/>
      <w:r w:rsidR="00756BD3">
        <w:t xml:space="preserve"> </w:t>
      </w:r>
      <w:r w:rsidR="008176A3">
        <w:t>throughout this explanatory memorandum as part of the explanation of the substantive provision to which they relate.</w:t>
      </w:r>
      <w:r w:rsidR="00756BD3">
        <w:t xml:space="preserve"> </w:t>
      </w:r>
      <w:r w:rsidR="00F870C4">
        <w:rPr>
          <w:rStyle w:val="Referencingstyle"/>
        </w:rPr>
        <w:t>[</w:t>
      </w:r>
      <w:r w:rsidR="00CC1965">
        <w:rPr>
          <w:rStyle w:val="Referencingstyle"/>
        </w:rPr>
        <w:t>Section</w:t>
      </w:r>
      <w:r w:rsidR="00B828BF">
        <w:rPr>
          <w:rStyle w:val="Referencingstyle"/>
        </w:rPr>
        <w:t> </w:t>
      </w:r>
      <w:r w:rsidR="00F870C4">
        <w:rPr>
          <w:rStyle w:val="Referencingstyle"/>
        </w:rPr>
        <w:t>5</w:t>
      </w:r>
      <w:r w:rsidR="00F870C4" w:rsidRPr="00375F1D">
        <w:rPr>
          <w:rStyle w:val="Referencingstyle"/>
        </w:rPr>
        <w:t>]</w:t>
      </w:r>
    </w:p>
    <w:p w14:paraId="7C6BB59D" w14:textId="5AE48083" w:rsidR="00F70975" w:rsidRDefault="00F70975" w:rsidP="00F70975">
      <w:pPr>
        <w:pStyle w:val="Heading4"/>
      </w:pPr>
      <w:r>
        <w:lastRenderedPageBreak/>
        <w:t>Crown and geographic application</w:t>
      </w:r>
    </w:p>
    <w:p w14:paraId="0B23162F" w14:textId="73DE85FC" w:rsidR="00F70975" w:rsidRPr="0042628C" w:rsidRDefault="00F70975" w:rsidP="00F70975">
      <w:pPr>
        <w:pStyle w:val="base-text-paragraph"/>
        <w:rPr>
          <w:rStyle w:val="Referencingstyle"/>
          <w:b w:val="0"/>
          <w:i w:val="0"/>
          <w:sz w:val="22"/>
        </w:rPr>
      </w:pPr>
      <w:r>
        <w:t xml:space="preserve">The Bill, once enacted, will bind the Crown in each of its capacities. However, the Bill will not make the Crown liable to </w:t>
      </w:r>
      <w:proofErr w:type="gramStart"/>
      <w:r>
        <w:t>be prosecuted</w:t>
      </w:r>
      <w:proofErr w:type="gramEnd"/>
      <w:r>
        <w:t xml:space="preserve"> for an offence. </w:t>
      </w:r>
      <w:r>
        <w:rPr>
          <w:rStyle w:val="Referencingstyle"/>
        </w:rPr>
        <w:t>[</w:t>
      </w:r>
      <w:r w:rsidR="00CC1965">
        <w:rPr>
          <w:rStyle w:val="Referencingstyle"/>
        </w:rPr>
        <w:t>Section</w:t>
      </w:r>
      <w:r w:rsidR="00B828BF">
        <w:rPr>
          <w:rStyle w:val="Referencingstyle"/>
        </w:rPr>
        <w:t> </w:t>
      </w:r>
      <w:r>
        <w:rPr>
          <w:rStyle w:val="Referencingstyle"/>
        </w:rPr>
        <w:t>6</w:t>
      </w:r>
      <w:r w:rsidRPr="00375F1D">
        <w:rPr>
          <w:rStyle w:val="Referencingstyle"/>
        </w:rPr>
        <w:t>]</w:t>
      </w:r>
    </w:p>
    <w:p w14:paraId="005E9A12" w14:textId="3F310B73" w:rsidR="0042628C" w:rsidRPr="0042628C" w:rsidRDefault="0042628C" w:rsidP="00F70975">
      <w:pPr>
        <w:pStyle w:val="base-text-paragraph"/>
        <w:rPr>
          <w:rStyle w:val="Referencingstyle"/>
          <w:b w:val="0"/>
          <w:i w:val="0"/>
          <w:sz w:val="22"/>
        </w:rPr>
      </w:pPr>
      <w:r>
        <w:t>The Bill, once enacted, will exten</w:t>
      </w:r>
      <w:r w:rsidR="00181254">
        <w:t>d</w:t>
      </w:r>
      <w:r>
        <w:t xml:space="preserve"> to every external Territory, and will extend to acts, omissions, matters and things outside Australia. </w:t>
      </w:r>
      <w:r>
        <w:rPr>
          <w:rStyle w:val="Referencingstyle"/>
        </w:rPr>
        <w:t>[</w:t>
      </w:r>
      <w:r w:rsidR="00CC1965">
        <w:rPr>
          <w:rStyle w:val="Referencingstyle"/>
        </w:rPr>
        <w:t>Section</w:t>
      </w:r>
      <w:r>
        <w:rPr>
          <w:rStyle w:val="Referencingstyle"/>
        </w:rPr>
        <w:t>s</w:t>
      </w:r>
      <w:r w:rsidR="00B828BF">
        <w:rPr>
          <w:rStyle w:val="Referencingstyle"/>
        </w:rPr>
        <w:t> </w:t>
      </w:r>
      <w:r>
        <w:rPr>
          <w:rStyle w:val="Referencingstyle"/>
        </w:rPr>
        <w:t>7 and 8</w:t>
      </w:r>
      <w:r w:rsidRPr="00375F1D">
        <w:rPr>
          <w:rStyle w:val="Referencingstyle"/>
        </w:rPr>
        <w:t>]</w:t>
      </w:r>
    </w:p>
    <w:p w14:paraId="11D1700B" w14:textId="26B140A6" w:rsidR="0042628C" w:rsidRDefault="00B126A9" w:rsidP="0042628C">
      <w:pPr>
        <w:pStyle w:val="Heading3"/>
      </w:pPr>
      <w:r>
        <w:t>Part 2—</w:t>
      </w:r>
      <w:r w:rsidR="0042628C">
        <w:t>Commonwealth investment in the Australian Business Growth Fund</w:t>
      </w:r>
    </w:p>
    <w:p w14:paraId="4AD4F434" w14:textId="4BE55F7C" w:rsidR="00EC7C5C" w:rsidRDefault="00EC7C5C" w:rsidP="00EC7C5C">
      <w:pPr>
        <w:pStyle w:val="Heading4"/>
      </w:pPr>
      <w:r>
        <w:t>Powers</w:t>
      </w:r>
      <w:r w:rsidR="008176A3">
        <w:t xml:space="preserve"> </w:t>
      </w:r>
      <w:r>
        <w:t xml:space="preserve">of the </w:t>
      </w:r>
      <w:r w:rsidR="008176A3">
        <w:t>Minister</w:t>
      </w:r>
    </w:p>
    <w:p w14:paraId="374C4999" w14:textId="697CD498" w:rsidR="001B6ECE" w:rsidRDefault="001B6ECE" w:rsidP="0042628C">
      <w:pPr>
        <w:pStyle w:val="base-text-paragraph"/>
      </w:pPr>
      <w:r>
        <w:t xml:space="preserve">The Bill authorises investment </w:t>
      </w:r>
      <w:r w:rsidR="00E35366">
        <w:t xml:space="preserve">by the Commonwealth </w:t>
      </w:r>
      <w:r>
        <w:t>in a Corporations Act company that will become the Australian Business Growth Fund.</w:t>
      </w:r>
      <w:r w:rsidR="00B05169">
        <w:t xml:space="preserve"> </w:t>
      </w:r>
    </w:p>
    <w:p w14:paraId="46B5B639" w14:textId="5471F4CA" w:rsidR="0042628C" w:rsidRDefault="001B6ECE" w:rsidP="0042628C">
      <w:pPr>
        <w:pStyle w:val="base-text-paragraph"/>
      </w:pPr>
      <w:r>
        <w:t xml:space="preserve">This investment may be given effect by </w:t>
      </w:r>
      <w:r w:rsidR="00E35366">
        <w:t xml:space="preserve">the Minister, on behalf of the Commonwealth, </w:t>
      </w:r>
      <w:r>
        <w:t>doing a combination of one or more of the following:</w:t>
      </w:r>
    </w:p>
    <w:p w14:paraId="66C842CF" w14:textId="2AE559C2" w:rsidR="001B6ECE" w:rsidRDefault="001B6ECE" w:rsidP="006A75B2">
      <w:pPr>
        <w:pStyle w:val="dotpoint"/>
      </w:pPr>
      <w:r>
        <w:t>forming, or participating in the formation of, a Corporations Act company;</w:t>
      </w:r>
      <w:r w:rsidR="00B05169">
        <w:t xml:space="preserve"> </w:t>
      </w:r>
      <w:r w:rsidR="00B05169">
        <w:rPr>
          <w:rStyle w:val="Referencingstyle"/>
        </w:rPr>
        <w:t>[Paragraph</w:t>
      </w:r>
      <w:r w:rsidR="00B828BF">
        <w:rPr>
          <w:rStyle w:val="Referencingstyle"/>
        </w:rPr>
        <w:t> </w:t>
      </w:r>
      <w:r w:rsidR="00B05169">
        <w:rPr>
          <w:rStyle w:val="Referencingstyle"/>
        </w:rPr>
        <w:t>10(1)(a)</w:t>
      </w:r>
      <w:r w:rsidR="00B05169" w:rsidRPr="00375F1D">
        <w:rPr>
          <w:rStyle w:val="Referencingstyle"/>
        </w:rPr>
        <w:t>]</w:t>
      </w:r>
    </w:p>
    <w:p w14:paraId="12214B77" w14:textId="54CC9F9A" w:rsidR="001B6ECE" w:rsidRDefault="001B6ECE" w:rsidP="006A75B2">
      <w:pPr>
        <w:pStyle w:val="dotpoint"/>
      </w:pPr>
      <w:r>
        <w:t>acquiring shares (either by purchase or subscription) in a Corporations Act company, or becoming a member of a Corporations Act company;</w:t>
      </w:r>
      <w:r w:rsidR="00B05169">
        <w:t xml:space="preserve"> </w:t>
      </w:r>
      <w:r w:rsidR="00B05169">
        <w:rPr>
          <w:rStyle w:val="Referencingstyle"/>
        </w:rPr>
        <w:t>[Paragraph</w:t>
      </w:r>
      <w:r w:rsidR="00B828BF">
        <w:rPr>
          <w:rStyle w:val="Referencingstyle"/>
        </w:rPr>
        <w:t> </w:t>
      </w:r>
      <w:r w:rsidR="00B05169">
        <w:rPr>
          <w:rStyle w:val="Referencingstyle"/>
        </w:rPr>
        <w:t>10(1)(b)</w:t>
      </w:r>
      <w:r w:rsidR="00B05169" w:rsidRPr="00375F1D">
        <w:rPr>
          <w:rStyle w:val="Referencingstyle"/>
        </w:rPr>
        <w:t>]</w:t>
      </w:r>
    </w:p>
    <w:p w14:paraId="514646AB" w14:textId="1618EA18" w:rsidR="001B6ECE" w:rsidRDefault="001B6ECE" w:rsidP="006A75B2">
      <w:pPr>
        <w:pStyle w:val="dotpoint"/>
      </w:pPr>
      <w:proofErr w:type="gramStart"/>
      <w:r>
        <w:t>acquiring</w:t>
      </w:r>
      <w:proofErr w:type="gramEnd"/>
      <w:r>
        <w:t xml:space="preserve"> debentures of a Corporations Act company.</w:t>
      </w:r>
      <w:r w:rsidR="00B05169">
        <w:t xml:space="preserve"> </w:t>
      </w:r>
      <w:r w:rsidR="00B05169">
        <w:rPr>
          <w:rStyle w:val="Referencingstyle"/>
        </w:rPr>
        <w:t>[</w:t>
      </w:r>
      <w:r w:rsidR="00CC1965">
        <w:rPr>
          <w:rStyle w:val="Referencingstyle"/>
        </w:rPr>
        <w:t>Subsection</w:t>
      </w:r>
      <w:r w:rsidR="00B828BF">
        <w:rPr>
          <w:rStyle w:val="Referencingstyle"/>
        </w:rPr>
        <w:t> </w:t>
      </w:r>
      <w:r w:rsidR="00B05169">
        <w:rPr>
          <w:rStyle w:val="Referencingstyle"/>
        </w:rPr>
        <w:t>10(2)</w:t>
      </w:r>
      <w:r w:rsidR="00B05169" w:rsidRPr="00375F1D">
        <w:rPr>
          <w:rStyle w:val="Referencingstyle"/>
        </w:rPr>
        <w:t>]</w:t>
      </w:r>
    </w:p>
    <w:p w14:paraId="7660A813" w14:textId="0064BF6D" w:rsidR="00B1119F" w:rsidRDefault="00B1119F" w:rsidP="00B1119F">
      <w:pPr>
        <w:pStyle w:val="base-text-paragraph"/>
      </w:pPr>
      <w:bookmarkStart w:id="3" w:name="tempbookmark"/>
      <w:bookmarkEnd w:id="3"/>
      <w:r>
        <w:t xml:space="preserve">A </w:t>
      </w:r>
      <w:r>
        <w:rPr>
          <w:b/>
          <w:i/>
        </w:rPr>
        <w:t>Corporations Act company</w:t>
      </w:r>
      <w:r>
        <w:t xml:space="preserve"> </w:t>
      </w:r>
      <w:proofErr w:type="gramStart"/>
      <w:r>
        <w:t>is defined</w:t>
      </w:r>
      <w:proofErr w:type="gramEnd"/>
      <w:r>
        <w:t xml:space="preserve"> as a </w:t>
      </w:r>
      <w:r w:rsidR="00AC029F">
        <w:t>body corporate</w:t>
      </w:r>
      <w:r>
        <w:t xml:space="preserve"> that is </w:t>
      </w:r>
      <w:r w:rsidR="00AC029F">
        <w:t>incorporated</w:t>
      </w:r>
      <w:r>
        <w:t xml:space="preserve">, or is taken to be </w:t>
      </w:r>
      <w:r w:rsidR="00AC029F">
        <w:t>incorporated</w:t>
      </w:r>
      <w:r>
        <w:t xml:space="preserve">, under the </w:t>
      </w:r>
      <w:r>
        <w:rPr>
          <w:i/>
        </w:rPr>
        <w:t>Corporations Act</w:t>
      </w:r>
      <w:r w:rsidR="00AC029F">
        <w:rPr>
          <w:i/>
        </w:rPr>
        <w:t> </w:t>
      </w:r>
      <w:r>
        <w:rPr>
          <w:i/>
        </w:rPr>
        <w:t>2001</w:t>
      </w:r>
      <w:r>
        <w:t xml:space="preserve">. </w:t>
      </w:r>
      <w:r w:rsidR="00E6249C">
        <w:rPr>
          <w:b/>
          <w:i/>
        </w:rPr>
        <w:t>Debenture</w:t>
      </w:r>
      <w:r w:rsidR="00E6249C">
        <w:t xml:space="preserve"> has the same meaning as in the </w:t>
      </w:r>
      <w:r w:rsidR="00E6249C" w:rsidRPr="00E6249C">
        <w:rPr>
          <w:i/>
        </w:rPr>
        <w:t>Corporations Act 2001</w:t>
      </w:r>
      <w:r w:rsidR="00E6249C">
        <w:t xml:space="preserve">. </w:t>
      </w:r>
      <w:r>
        <w:rPr>
          <w:rStyle w:val="Referencingstyle"/>
        </w:rPr>
        <w:t>[</w:t>
      </w:r>
      <w:r w:rsidR="008176A3">
        <w:rPr>
          <w:rStyle w:val="Referencingstyle"/>
        </w:rPr>
        <w:t>The definitions of “Corporations Act company” and “</w:t>
      </w:r>
      <w:r w:rsidR="008D3BA5">
        <w:rPr>
          <w:rStyle w:val="Referencingstyle"/>
        </w:rPr>
        <w:t>d</w:t>
      </w:r>
      <w:r w:rsidR="008176A3">
        <w:rPr>
          <w:rStyle w:val="Referencingstyle"/>
        </w:rPr>
        <w:t>ebenture” in s</w:t>
      </w:r>
      <w:r w:rsidR="00CC1965">
        <w:rPr>
          <w:rStyle w:val="Referencingstyle"/>
        </w:rPr>
        <w:t>ection</w:t>
      </w:r>
      <w:r>
        <w:rPr>
          <w:rStyle w:val="Referencingstyle"/>
        </w:rPr>
        <w:t> 5</w:t>
      </w:r>
      <w:r w:rsidRPr="00375F1D">
        <w:rPr>
          <w:rStyle w:val="Referencingstyle"/>
        </w:rPr>
        <w:t>]</w:t>
      </w:r>
    </w:p>
    <w:p w14:paraId="04287B44" w14:textId="0ED18151" w:rsidR="001B6ECE" w:rsidRDefault="001B6ECE" w:rsidP="001B6ECE">
      <w:pPr>
        <w:pStyle w:val="base-text-paragraph"/>
      </w:pPr>
      <w:r>
        <w:t xml:space="preserve">These powers </w:t>
      </w:r>
      <w:proofErr w:type="gramStart"/>
      <w:r>
        <w:t>can only be exercised</w:t>
      </w:r>
      <w:proofErr w:type="gramEnd"/>
      <w:r>
        <w:t xml:space="preserve"> in relation to one company.</w:t>
      </w:r>
      <w:r w:rsidR="00B05169">
        <w:t xml:space="preserve"> Once these powers are exercised in relation to a company, that company is known as the </w:t>
      </w:r>
      <w:r w:rsidR="00B05169">
        <w:rPr>
          <w:b/>
          <w:i/>
        </w:rPr>
        <w:t>Australian Business Growth Fund</w:t>
      </w:r>
      <w:r w:rsidR="00B05169">
        <w:t xml:space="preserve"> or </w:t>
      </w:r>
      <w:r w:rsidR="00B05169">
        <w:rPr>
          <w:b/>
          <w:i/>
        </w:rPr>
        <w:t>Fund</w:t>
      </w:r>
      <w:r w:rsidR="00B05169">
        <w:t xml:space="preserve"> for the purposes of the Bill. </w:t>
      </w:r>
      <w:r w:rsidR="00B05169">
        <w:rPr>
          <w:rStyle w:val="Referencingstyle"/>
        </w:rPr>
        <w:t>[</w:t>
      </w:r>
      <w:r w:rsidR="00145D33">
        <w:rPr>
          <w:rStyle w:val="Referencingstyle"/>
        </w:rPr>
        <w:t>The definitions of “Australian Business Growth Fund” or “Fund” in s</w:t>
      </w:r>
      <w:r w:rsidR="00CC1965">
        <w:rPr>
          <w:rStyle w:val="Referencingstyle"/>
        </w:rPr>
        <w:t>ection</w:t>
      </w:r>
      <w:r w:rsidR="00B43F22">
        <w:rPr>
          <w:rStyle w:val="Referencingstyle"/>
        </w:rPr>
        <w:t> 5</w:t>
      </w:r>
      <w:r w:rsidR="00145D33">
        <w:rPr>
          <w:rStyle w:val="Referencingstyle"/>
        </w:rPr>
        <w:t>,</w:t>
      </w:r>
      <w:r w:rsidR="00B43F22">
        <w:rPr>
          <w:rStyle w:val="Referencingstyle"/>
        </w:rPr>
        <w:t xml:space="preserve"> and </w:t>
      </w:r>
      <w:r w:rsidR="00CC1965">
        <w:rPr>
          <w:rStyle w:val="Referencingstyle"/>
        </w:rPr>
        <w:t>subsection</w:t>
      </w:r>
      <w:r w:rsidR="00B05169">
        <w:rPr>
          <w:rStyle w:val="Referencingstyle"/>
        </w:rPr>
        <w:t>s</w:t>
      </w:r>
      <w:r w:rsidR="00B828BF">
        <w:rPr>
          <w:rStyle w:val="Referencingstyle"/>
        </w:rPr>
        <w:t> </w:t>
      </w:r>
      <w:r w:rsidR="00B05169">
        <w:rPr>
          <w:rStyle w:val="Referencingstyle"/>
        </w:rPr>
        <w:t>10(3) and (4)</w:t>
      </w:r>
      <w:r w:rsidR="00B05169" w:rsidRPr="00375F1D">
        <w:rPr>
          <w:rStyle w:val="Referencingstyle"/>
        </w:rPr>
        <w:t>]</w:t>
      </w:r>
    </w:p>
    <w:p w14:paraId="720ED1B1" w14:textId="41A75798" w:rsidR="00B05169" w:rsidRDefault="00B05169" w:rsidP="001B6ECE">
      <w:pPr>
        <w:pStyle w:val="base-text-paragraph"/>
      </w:pPr>
      <w:r>
        <w:t xml:space="preserve">The Minister </w:t>
      </w:r>
      <w:proofErr w:type="gramStart"/>
      <w:r>
        <w:t>may, on behalf of the Commonwealth, enter</w:t>
      </w:r>
      <w:proofErr w:type="gramEnd"/>
      <w:r>
        <w:t xml:space="preserve"> into arrangements with the Fund, a member of the Fund, or a subsidiary of the Fund, relating to the operations of the Fund. </w:t>
      </w:r>
      <w:r w:rsidR="00E6249C">
        <w:rPr>
          <w:b/>
          <w:i/>
        </w:rPr>
        <w:t>Subsidiary</w:t>
      </w:r>
      <w:r w:rsidR="00E6249C">
        <w:t xml:space="preserve"> has the same meaning as in the </w:t>
      </w:r>
      <w:r w:rsidR="00E6249C">
        <w:rPr>
          <w:i/>
        </w:rPr>
        <w:t>Corporations Act 2001</w:t>
      </w:r>
      <w:r w:rsidR="00E6249C">
        <w:t xml:space="preserve">. </w:t>
      </w:r>
      <w:r>
        <w:rPr>
          <w:rStyle w:val="Referencingstyle"/>
        </w:rPr>
        <w:t>[</w:t>
      </w:r>
      <w:r w:rsidR="00145D33">
        <w:rPr>
          <w:rStyle w:val="Referencingstyle"/>
        </w:rPr>
        <w:t>The definition of “subsidiary” in s</w:t>
      </w:r>
      <w:r w:rsidR="00CC1965">
        <w:rPr>
          <w:rStyle w:val="Referencingstyle"/>
        </w:rPr>
        <w:t>ection</w:t>
      </w:r>
      <w:r w:rsidR="00B828BF">
        <w:rPr>
          <w:rStyle w:val="Referencingstyle"/>
        </w:rPr>
        <w:t> </w:t>
      </w:r>
      <w:r w:rsidR="00E6249C">
        <w:rPr>
          <w:rStyle w:val="Referencingstyle"/>
        </w:rPr>
        <w:t>5</w:t>
      </w:r>
      <w:r w:rsidR="00145D33">
        <w:rPr>
          <w:rStyle w:val="Referencingstyle"/>
        </w:rPr>
        <w:t>,</w:t>
      </w:r>
      <w:r w:rsidR="00E6249C">
        <w:rPr>
          <w:rStyle w:val="Referencingstyle"/>
        </w:rPr>
        <w:t xml:space="preserve"> and </w:t>
      </w:r>
      <w:r w:rsidR="00145D33">
        <w:rPr>
          <w:rStyle w:val="Referencingstyle"/>
        </w:rPr>
        <w:t xml:space="preserve">section </w:t>
      </w:r>
      <w:r w:rsidR="00E81DD3">
        <w:rPr>
          <w:rStyle w:val="Referencingstyle"/>
        </w:rPr>
        <w:t>11</w:t>
      </w:r>
      <w:r w:rsidRPr="00375F1D">
        <w:rPr>
          <w:rStyle w:val="Referencingstyle"/>
        </w:rPr>
        <w:t>]</w:t>
      </w:r>
    </w:p>
    <w:p w14:paraId="1DE82A99" w14:textId="3EC64D8F" w:rsidR="00B05169" w:rsidRPr="00E35366" w:rsidRDefault="00B05169" w:rsidP="001B6ECE">
      <w:pPr>
        <w:pStyle w:val="base-text-paragraph"/>
        <w:rPr>
          <w:rStyle w:val="Referencingstyle"/>
          <w:b w:val="0"/>
          <w:i w:val="0"/>
          <w:sz w:val="22"/>
        </w:rPr>
      </w:pPr>
      <w:r>
        <w:t xml:space="preserve">The Minister </w:t>
      </w:r>
      <w:proofErr w:type="gramStart"/>
      <w:r>
        <w:t>is conferred</w:t>
      </w:r>
      <w:proofErr w:type="gramEnd"/>
      <w:r>
        <w:t xml:space="preserve"> with the rights, responsibilities, duties and powers associated with </w:t>
      </w:r>
      <w:r w:rsidR="004C17C3">
        <w:t xml:space="preserve">being a member or shareholder of the Fund, </w:t>
      </w:r>
      <w:r w:rsidR="004C17C3">
        <w:lastRenderedPageBreak/>
        <w:t xml:space="preserve">holding debentures of the Fund or being a party to an arrangement with the Fund. </w:t>
      </w:r>
      <w:r w:rsidR="004C17C3">
        <w:rPr>
          <w:rStyle w:val="Referencingstyle"/>
        </w:rPr>
        <w:t>[</w:t>
      </w:r>
      <w:r w:rsidR="00CC1965">
        <w:rPr>
          <w:rStyle w:val="Referencingstyle"/>
        </w:rPr>
        <w:t>Section</w:t>
      </w:r>
      <w:r w:rsidR="00B828BF">
        <w:rPr>
          <w:rStyle w:val="Referencingstyle"/>
        </w:rPr>
        <w:t> </w:t>
      </w:r>
      <w:r w:rsidR="00E81DD3">
        <w:rPr>
          <w:rStyle w:val="Referencingstyle"/>
        </w:rPr>
        <w:t>12</w:t>
      </w:r>
      <w:r w:rsidR="004C17C3" w:rsidRPr="00375F1D">
        <w:rPr>
          <w:rStyle w:val="Referencingstyle"/>
        </w:rPr>
        <w:t>]</w:t>
      </w:r>
    </w:p>
    <w:p w14:paraId="74920B35" w14:textId="35DEC5DD" w:rsidR="00EC7C5C" w:rsidRDefault="00EC7C5C" w:rsidP="00EC7C5C">
      <w:pPr>
        <w:pStyle w:val="Heading4"/>
      </w:pPr>
      <w:r>
        <w:t xml:space="preserve">Limitations on </w:t>
      </w:r>
      <w:r w:rsidR="00145D33">
        <w:t>the powers of the Minister</w:t>
      </w:r>
    </w:p>
    <w:p w14:paraId="77B9DBEF" w14:textId="6826CA76" w:rsidR="006F5A34" w:rsidRDefault="006F5A34" w:rsidP="001B6ECE">
      <w:pPr>
        <w:pStyle w:val="base-text-paragraph"/>
      </w:pPr>
      <w:r w:rsidRPr="006F5A34">
        <w:t>The Bill primarily relies on the power of the Parliament to make laws with respect to ‘trade and commerce with other countries, and among the States’ (section 51(</w:t>
      </w:r>
      <w:proofErr w:type="spellStart"/>
      <w:r w:rsidRPr="006F5A34">
        <w:t>i</w:t>
      </w:r>
      <w:proofErr w:type="spellEnd"/>
      <w:r w:rsidRPr="006F5A34">
        <w:t>) of the Constitution) and for the government of territories (s</w:t>
      </w:r>
      <w:r>
        <w:t>ection</w:t>
      </w:r>
      <w:r w:rsidRPr="006F5A34">
        <w:t xml:space="preserve"> 122 of the Constitution). </w:t>
      </w:r>
    </w:p>
    <w:p w14:paraId="1D489EE5" w14:textId="3331F75F" w:rsidR="00B05169" w:rsidRDefault="006F5A34" w:rsidP="001B6ECE">
      <w:pPr>
        <w:pStyle w:val="base-text-paragraph"/>
      </w:pPr>
      <w:r>
        <w:t>To this end, t</w:t>
      </w:r>
      <w:r w:rsidR="008A41A3">
        <w:t xml:space="preserve">he Minister can only exercise the powers conferred on the Minister if certain arrangements </w:t>
      </w:r>
      <w:proofErr w:type="gramStart"/>
      <w:r w:rsidR="008A41A3">
        <w:t>have been made</w:t>
      </w:r>
      <w:proofErr w:type="gramEnd"/>
      <w:r w:rsidR="008A41A3">
        <w:t xml:space="preserve">, or will be made before the Fund makes any investment. </w:t>
      </w:r>
      <w:r w:rsidR="004C17C3">
        <w:t>The</w:t>
      </w:r>
      <w:r w:rsidR="00BD00C0">
        <w:t xml:space="preserve">se </w:t>
      </w:r>
      <w:r w:rsidR="004C17C3">
        <w:t xml:space="preserve">arrangements </w:t>
      </w:r>
      <w:r w:rsidR="00AD5E49">
        <w:t xml:space="preserve">will </w:t>
      </w:r>
      <w:r w:rsidR="004C17C3">
        <w:t xml:space="preserve">require the Fund to apply money received from the Commonwealth </w:t>
      </w:r>
      <w:r w:rsidR="003D2BE8">
        <w:t>only</w:t>
      </w:r>
      <w:r w:rsidR="004C17C3">
        <w:t>:</w:t>
      </w:r>
    </w:p>
    <w:p w14:paraId="2B92C64C" w14:textId="421CF21D" w:rsidR="004C17C3" w:rsidRDefault="004C17C3" w:rsidP="006A75B2">
      <w:pPr>
        <w:pStyle w:val="dotpoint"/>
      </w:pPr>
      <w:r>
        <w:t>with respect to trade or commerce:</w:t>
      </w:r>
    </w:p>
    <w:p w14:paraId="6B8109C8" w14:textId="483FD416" w:rsidR="004C17C3" w:rsidRDefault="004C17C3" w:rsidP="006A75B2">
      <w:pPr>
        <w:pStyle w:val="dotpoint2"/>
      </w:pPr>
      <w:r>
        <w:t>between Australia and places outside Australia; or</w:t>
      </w:r>
    </w:p>
    <w:p w14:paraId="16F17A74" w14:textId="665F812B" w:rsidR="004C17C3" w:rsidRDefault="004C17C3" w:rsidP="006A75B2">
      <w:pPr>
        <w:pStyle w:val="dotpoint2"/>
      </w:pPr>
      <w:r>
        <w:t>among the States; or</w:t>
      </w:r>
    </w:p>
    <w:p w14:paraId="78EB4F1F" w14:textId="5F1BAE87" w:rsidR="004C17C3" w:rsidRDefault="004C17C3" w:rsidP="006A75B2">
      <w:pPr>
        <w:pStyle w:val="dotpoint2"/>
      </w:pPr>
      <w:r>
        <w:t>within a Territory, between a State and a Territory or between 2 Territories; or</w:t>
      </w:r>
    </w:p>
    <w:p w14:paraId="44036CF9" w14:textId="582B61FE" w:rsidR="004C17C3" w:rsidRDefault="004C17C3" w:rsidP="006A75B2">
      <w:pPr>
        <w:pStyle w:val="dotpoint"/>
      </w:pPr>
      <w:proofErr w:type="gramStart"/>
      <w:r>
        <w:t>with</w:t>
      </w:r>
      <w:proofErr w:type="gramEnd"/>
      <w:r>
        <w:t xml:space="preserve"> respect to a Territory.</w:t>
      </w:r>
    </w:p>
    <w:p w14:paraId="3833F8BA" w14:textId="39F065BA" w:rsidR="000B153B" w:rsidRDefault="000B153B" w:rsidP="006A75B2">
      <w:pPr>
        <w:pStyle w:val="base-text-paragraphnonumbers"/>
        <w:ind w:left="1984"/>
      </w:pPr>
      <w:r>
        <w:rPr>
          <w:rStyle w:val="Referencingstyle"/>
        </w:rPr>
        <w:t>[Subsections </w:t>
      </w:r>
      <w:r w:rsidR="00E81DD3">
        <w:rPr>
          <w:rStyle w:val="Referencingstyle"/>
        </w:rPr>
        <w:t>13</w:t>
      </w:r>
      <w:r>
        <w:rPr>
          <w:rStyle w:val="Referencingstyle"/>
        </w:rPr>
        <w:t>(1) to (3)</w:t>
      </w:r>
      <w:r w:rsidRPr="00375F1D">
        <w:rPr>
          <w:rStyle w:val="Referencingstyle"/>
        </w:rPr>
        <w:t>]</w:t>
      </w:r>
    </w:p>
    <w:p w14:paraId="3217B745" w14:textId="66F54AB8" w:rsidR="003D2BE8" w:rsidRPr="00E9102B" w:rsidRDefault="00D91044" w:rsidP="004C17C3">
      <w:pPr>
        <w:pStyle w:val="base-text-paragraph"/>
        <w:numPr>
          <w:ilvl w:val="1"/>
          <w:numId w:val="4"/>
        </w:numPr>
      </w:pPr>
      <w:r>
        <w:t xml:space="preserve">However, </w:t>
      </w:r>
      <w:r w:rsidR="000B153B">
        <w:t xml:space="preserve">these arrangements </w:t>
      </w:r>
      <w:proofErr w:type="gramStart"/>
      <w:r w:rsidR="000B153B">
        <w:t xml:space="preserve">are </w:t>
      </w:r>
      <w:r>
        <w:t xml:space="preserve">not </w:t>
      </w:r>
      <w:r w:rsidR="00F25628">
        <w:t>intended</w:t>
      </w:r>
      <w:proofErr w:type="gramEnd"/>
      <w:r w:rsidR="00F25628">
        <w:t xml:space="preserve"> to prevent the </w:t>
      </w:r>
      <w:r w:rsidR="00E9102B">
        <w:t xml:space="preserve">Fund </w:t>
      </w:r>
      <w:r w:rsidR="00F25628">
        <w:t xml:space="preserve">from </w:t>
      </w:r>
      <w:r>
        <w:t>generat</w:t>
      </w:r>
      <w:r w:rsidR="006F5A34">
        <w:t>ing</w:t>
      </w:r>
      <w:r>
        <w:t xml:space="preserve"> </w:t>
      </w:r>
      <w:r w:rsidR="00F25628">
        <w:t>a commercial return.</w:t>
      </w:r>
      <w:r w:rsidR="00001A0D">
        <w:t xml:space="preserve"> </w:t>
      </w:r>
      <w:r w:rsidR="00001A0D">
        <w:rPr>
          <w:rStyle w:val="Referencingstyle"/>
        </w:rPr>
        <w:t>[Example to subsection </w:t>
      </w:r>
      <w:r w:rsidR="00E81DD3">
        <w:rPr>
          <w:rStyle w:val="Referencingstyle"/>
        </w:rPr>
        <w:t>13</w:t>
      </w:r>
      <w:r w:rsidR="00001A0D">
        <w:rPr>
          <w:rStyle w:val="Referencingstyle"/>
        </w:rPr>
        <w:t>(2)</w:t>
      </w:r>
      <w:r w:rsidR="00001A0D" w:rsidRPr="00375F1D">
        <w:rPr>
          <w:rStyle w:val="Referencingstyle"/>
        </w:rPr>
        <w:t>]</w:t>
      </w:r>
    </w:p>
    <w:p w14:paraId="76070557" w14:textId="39BD18B7" w:rsidR="0031710C" w:rsidRDefault="004C17C3" w:rsidP="004C17C3">
      <w:pPr>
        <w:pStyle w:val="base-text-paragraph"/>
      </w:pPr>
      <w:r>
        <w:t>The Minister is required to divest any shares in</w:t>
      </w:r>
      <w:r w:rsidR="0031710C">
        <w:t>,</w:t>
      </w:r>
      <w:r>
        <w:t xml:space="preserve"> or debentures of</w:t>
      </w:r>
      <w:r w:rsidR="0031710C">
        <w:t>,</w:t>
      </w:r>
      <w:r>
        <w:t xml:space="preserve"> the Fund </w:t>
      </w:r>
      <w:r w:rsidR="005A6151">
        <w:t>as soon as practicable</w:t>
      </w:r>
      <w:r w:rsidR="0031710C">
        <w:t>:</w:t>
      </w:r>
    </w:p>
    <w:p w14:paraId="10E17836" w14:textId="0DADEE19" w:rsidR="0031710C" w:rsidRDefault="0031710C" w:rsidP="006A75B2">
      <w:pPr>
        <w:pStyle w:val="dotpoint"/>
      </w:pPr>
      <w:r>
        <w:t xml:space="preserve">if </w:t>
      </w:r>
      <w:r w:rsidR="004C17C3">
        <w:t>these arrangements are not</w:t>
      </w:r>
      <w:r>
        <w:t>,</w:t>
      </w:r>
      <w:r w:rsidR="004C17C3">
        <w:t xml:space="preserve"> or are no longer</w:t>
      </w:r>
      <w:r>
        <w:t>,</w:t>
      </w:r>
      <w:r w:rsidR="004C17C3">
        <w:t xml:space="preserve"> in place</w:t>
      </w:r>
      <w:r>
        <w:t>;</w:t>
      </w:r>
      <w:r w:rsidR="004C17C3">
        <w:t xml:space="preserve"> or </w:t>
      </w:r>
    </w:p>
    <w:p w14:paraId="7A2A9A56" w14:textId="77777777" w:rsidR="006A75B2" w:rsidRDefault="004C17C3" w:rsidP="006A75B2">
      <w:pPr>
        <w:pStyle w:val="dotpoint"/>
      </w:pPr>
      <w:proofErr w:type="gramStart"/>
      <w:r>
        <w:t>if</w:t>
      </w:r>
      <w:proofErr w:type="gramEnd"/>
      <w:r>
        <w:t xml:space="preserve"> the</w:t>
      </w:r>
      <w:r w:rsidR="0031710C">
        <w:t>se</w:t>
      </w:r>
      <w:r>
        <w:t xml:space="preserve"> arrangements have not been effective.</w:t>
      </w:r>
    </w:p>
    <w:p w14:paraId="6F1327D7" w14:textId="416F061B" w:rsidR="004C17C3" w:rsidRPr="005A6151" w:rsidRDefault="004C17C3" w:rsidP="006A75B2">
      <w:pPr>
        <w:pStyle w:val="base-text-paragraphnonumbers"/>
        <w:ind w:left="1984"/>
        <w:rPr>
          <w:rStyle w:val="Referencingstyle"/>
          <w:b w:val="0"/>
          <w:i w:val="0"/>
          <w:sz w:val="22"/>
        </w:rPr>
      </w:pPr>
      <w:r>
        <w:rPr>
          <w:rStyle w:val="Referencingstyle"/>
        </w:rPr>
        <w:t>[</w:t>
      </w:r>
      <w:r w:rsidR="00CC1965">
        <w:rPr>
          <w:rStyle w:val="Referencingstyle"/>
        </w:rPr>
        <w:t>Subsection</w:t>
      </w:r>
      <w:r w:rsidR="00B828BF">
        <w:rPr>
          <w:rStyle w:val="Referencingstyle"/>
        </w:rPr>
        <w:t> </w:t>
      </w:r>
      <w:r w:rsidR="00E81DD3">
        <w:rPr>
          <w:rStyle w:val="Referencingstyle"/>
        </w:rPr>
        <w:t>13</w:t>
      </w:r>
      <w:r>
        <w:rPr>
          <w:rStyle w:val="Referencingstyle"/>
        </w:rPr>
        <w:t>(4)</w:t>
      </w:r>
      <w:r w:rsidRPr="00375F1D">
        <w:rPr>
          <w:rStyle w:val="Referencingstyle"/>
        </w:rPr>
        <w:t>]</w:t>
      </w:r>
    </w:p>
    <w:p w14:paraId="76789D3F" w14:textId="217BA70D" w:rsidR="00AA250B" w:rsidRDefault="00601383" w:rsidP="00CA1073">
      <w:pPr>
        <w:pStyle w:val="base-text-paragraph"/>
      </w:pPr>
      <w:r>
        <w:t xml:space="preserve">The </w:t>
      </w:r>
      <w:r w:rsidR="006F5A34">
        <w:t xml:space="preserve">restrictions on the exercise of Ministerial powers </w:t>
      </w:r>
      <w:r w:rsidR="00AA250B">
        <w:t xml:space="preserve">apply equally to the exercise of the Minister’s rights, responsibilities and duties under </w:t>
      </w:r>
      <w:r w:rsidR="0031710C">
        <w:t>s</w:t>
      </w:r>
      <w:r w:rsidR="00CC1965">
        <w:t>ection</w:t>
      </w:r>
      <w:r w:rsidR="00AA250B">
        <w:t> </w:t>
      </w:r>
      <w:r w:rsidR="00E81DD3">
        <w:t>12</w:t>
      </w:r>
      <w:r w:rsidR="00AA250B">
        <w:t xml:space="preserve">. </w:t>
      </w:r>
      <w:r w:rsidR="00AA250B">
        <w:rPr>
          <w:rStyle w:val="Referencingstyle"/>
        </w:rPr>
        <w:t>[</w:t>
      </w:r>
      <w:r w:rsidR="00CC1965">
        <w:rPr>
          <w:rStyle w:val="Referencingstyle"/>
        </w:rPr>
        <w:t>Subsection</w:t>
      </w:r>
      <w:r w:rsidR="00AA250B">
        <w:rPr>
          <w:rStyle w:val="Referencingstyle"/>
        </w:rPr>
        <w:t> </w:t>
      </w:r>
      <w:r w:rsidR="00E81DD3">
        <w:rPr>
          <w:rStyle w:val="Referencingstyle"/>
        </w:rPr>
        <w:t>13</w:t>
      </w:r>
      <w:r w:rsidR="00AA250B">
        <w:rPr>
          <w:rStyle w:val="Referencingstyle"/>
        </w:rPr>
        <w:t>(5)</w:t>
      </w:r>
      <w:r w:rsidR="00AA250B" w:rsidRPr="00375F1D">
        <w:rPr>
          <w:rStyle w:val="Referencingstyle"/>
        </w:rPr>
        <w:t>]</w:t>
      </w:r>
    </w:p>
    <w:p w14:paraId="48E895C3" w14:textId="23E72911" w:rsidR="00CA1073" w:rsidRPr="005A6151" w:rsidRDefault="00650DAA" w:rsidP="00CA1073">
      <w:pPr>
        <w:pStyle w:val="base-text-paragraph"/>
        <w:rPr>
          <w:rStyle w:val="Referencingstyle"/>
          <w:b w:val="0"/>
          <w:i w:val="0"/>
          <w:sz w:val="22"/>
        </w:rPr>
      </w:pPr>
      <w:r w:rsidRPr="00650DAA">
        <w:t>T</w:t>
      </w:r>
      <w:r w:rsidR="00CA1073" w:rsidRPr="00650DAA">
        <w:t>he</w:t>
      </w:r>
      <w:r w:rsidR="00CA1073">
        <w:t xml:space="preserve"> provisions in this Part do not have the effect of limiting the executive power of the Commonwealth. </w:t>
      </w:r>
      <w:r w:rsidR="00CA1073">
        <w:rPr>
          <w:rStyle w:val="Referencingstyle"/>
        </w:rPr>
        <w:t>[</w:t>
      </w:r>
      <w:r w:rsidR="00CC1965">
        <w:rPr>
          <w:rStyle w:val="Referencingstyle"/>
        </w:rPr>
        <w:t>Section</w:t>
      </w:r>
      <w:r w:rsidR="00DA4A69">
        <w:rPr>
          <w:rStyle w:val="Referencingstyle"/>
        </w:rPr>
        <w:t> </w:t>
      </w:r>
      <w:r w:rsidR="00CA1073">
        <w:rPr>
          <w:rStyle w:val="Referencingstyle"/>
        </w:rPr>
        <w:t>15</w:t>
      </w:r>
      <w:r w:rsidR="00CA1073" w:rsidRPr="00375F1D">
        <w:rPr>
          <w:rStyle w:val="Referencingstyle"/>
        </w:rPr>
        <w:t>]</w:t>
      </w:r>
    </w:p>
    <w:p w14:paraId="200D9762" w14:textId="7437036E" w:rsidR="00601383" w:rsidRDefault="00873EB4" w:rsidP="00145D33">
      <w:pPr>
        <w:pStyle w:val="base-text-paragraph"/>
      </w:pPr>
      <w:r>
        <w:t>T</w:t>
      </w:r>
      <w:r w:rsidR="005A6151">
        <w:t xml:space="preserve">he Minister must </w:t>
      </w:r>
      <w:r>
        <w:t xml:space="preserve">also </w:t>
      </w:r>
      <w:r w:rsidR="005A6151">
        <w:t>ensure that the Fund does not become a Commonwealth company</w:t>
      </w:r>
      <w:r w:rsidR="00FB5EDE">
        <w:t xml:space="preserve"> (see section 89 of the </w:t>
      </w:r>
      <w:r w:rsidR="00FB5EDE">
        <w:rPr>
          <w:i/>
        </w:rPr>
        <w:t>Public Governance, Performance and Accountability Act 2014</w:t>
      </w:r>
      <w:r w:rsidR="00FB5EDE">
        <w:t>)</w:t>
      </w:r>
      <w:r w:rsidR="005A6151">
        <w:t>.</w:t>
      </w:r>
      <w:r w:rsidR="003E5D0F">
        <w:t xml:space="preserve"> </w:t>
      </w:r>
      <w:r w:rsidR="00601383">
        <w:t>This means that the Minister must ensure that the Commonwealth:</w:t>
      </w:r>
    </w:p>
    <w:p w14:paraId="2A7136C4" w14:textId="6158BD20" w:rsidR="00601383" w:rsidRDefault="00601383" w:rsidP="006A75B2">
      <w:pPr>
        <w:pStyle w:val="dotpoint"/>
      </w:pPr>
      <w:r>
        <w:t>does not control the composition of the Fund’s board; or</w:t>
      </w:r>
    </w:p>
    <w:p w14:paraId="544EC775" w14:textId="2F177C13" w:rsidR="00601383" w:rsidRDefault="00601383" w:rsidP="006A75B2">
      <w:pPr>
        <w:pStyle w:val="dotpoint"/>
      </w:pPr>
      <w:r>
        <w:lastRenderedPageBreak/>
        <w:t xml:space="preserve">is </w:t>
      </w:r>
      <w:r w:rsidR="00DD4299">
        <w:t xml:space="preserve">not </w:t>
      </w:r>
      <w:r>
        <w:t>in a position to cast, or control the casting of, more than one half of the maximum number of votes that might be cast at a general meeting of the Fund; or</w:t>
      </w:r>
    </w:p>
    <w:p w14:paraId="0D457533" w14:textId="77777777" w:rsidR="006A75B2" w:rsidRDefault="00DD4299" w:rsidP="006A75B2">
      <w:pPr>
        <w:pStyle w:val="dotpoint"/>
      </w:pPr>
      <w:r>
        <w:t>does not hold</w:t>
      </w:r>
      <w:r w:rsidR="00601383">
        <w:t xml:space="preserve"> more than one half of the issued share capital of the Fund (excluding any part of that issued share capital that carries no right to participate beyond a specified amount in a distribution of either profits or capital).</w:t>
      </w:r>
    </w:p>
    <w:p w14:paraId="6D46AD91" w14:textId="18AF64A1" w:rsidR="00601383" w:rsidRDefault="00DD4299" w:rsidP="006A75B2">
      <w:pPr>
        <w:pStyle w:val="base-text-paragraphnonumbers"/>
        <w:ind w:left="1984"/>
      </w:pPr>
      <w:r>
        <w:rPr>
          <w:rStyle w:val="Referencingstyle"/>
        </w:rPr>
        <w:t>[Section 14</w:t>
      </w:r>
      <w:r w:rsidRPr="00375F1D">
        <w:rPr>
          <w:rStyle w:val="Referencingstyle"/>
        </w:rPr>
        <w:t>]</w:t>
      </w:r>
    </w:p>
    <w:p w14:paraId="62D02253" w14:textId="445DC903" w:rsidR="005A6151" w:rsidRPr="00CA1073" w:rsidRDefault="00873EB4" w:rsidP="004C17C3">
      <w:pPr>
        <w:pStyle w:val="base-text-paragraph"/>
        <w:rPr>
          <w:rStyle w:val="Referencingstyle"/>
          <w:b w:val="0"/>
          <w:i w:val="0"/>
          <w:sz w:val="22"/>
        </w:rPr>
      </w:pPr>
      <w:r>
        <w:t>R</w:t>
      </w:r>
      <w:r w:rsidR="005A6151">
        <w:t xml:space="preserve">ules made under the Bill may make provision for, or in relation to, the exercise of rights, responsibilities, duties or powers by the Minister under the Bill. This power </w:t>
      </w:r>
      <w:proofErr w:type="gramStart"/>
      <w:r w:rsidR="005A6151">
        <w:t>may be used</w:t>
      </w:r>
      <w:proofErr w:type="gramEnd"/>
      <w:r w:rsidR="005A6151">
        <w:t xml:space="preserve"> particularly in the case where these powers are delegated. </w:t>
      </w:r>
      <w:r w:rsidR="005A6151">
        <w:rPr>
          <w:rStyle w:val="Referencingstyle"/>
        </w:rPr>
        <w:t>[</w:t>
      </w:r>
      <w:r w:rsidR="00CC1965">
        <w:rPr>
          <w:rStyle w:val="Referencingstyle"/>
        </w:rPr>
        <w:t>Section</w:t>
      </w:r>
      <w:r w:rsidR="00DA4A69">
        <w:rPr>
          <w:rStyle w:val="Referencingstyle"/>
        </w:rPr>
        <w:t> </w:t>
      </w:r>
      <w:r w:rsidR="005A6151">
        <w:rPr>
          <w:rStyle w:val="Referencingstyle"/>
        </w:rPr>
        <w:t>16</w:t>
      </w:r>
      <w:r w:rsidR="005A6151" w:rsidRPr="00375F1D">
        <w:rPr>
          <w:rStyle w:val="Referencingstyle"/>
        </w:rPr>
        <w:t>]</w:t>
      </w:r>
    </w:p>
    <w:p w14:paraId="19CB572D" w14:textId="4B2C9DFA" w:rsidR="00CA1073" w:rsidRDefault="00B126A9" w:rsidP="00CA1073">
      <w:pPr>
        <w:pStyle w:val="Heading3"/>
      </w:pPr>
      <w:r>
        <w:t>Part 3—</w:t>
      </w:r>
      <w:r w:rsidR="00CA1073">
        <w:t>Miscellaneous provisions</w:t>
      </w:r>
    </w:p>
    <w:p w14:paraId="0220756D" w14:textId="6AA0EA9D" w:rsidR="00EC7C5C" w:rsidRDefault="00EC7C5C" w:rsidP="00EC7C5C">
      <w:pPr>
        <w:pStyle w:val="Heading4"/>
      </w:pPr>
      <w:r>
        <w:t>Appropriation</w:t>
      </w:r>
    </w:p>
    <w:p w14:paraId="1B5E1A86" w14:textId="77E550E0" w:rsidR="00DF631D" w:rsidRPr="00B126A9" w:rsidRDefault="00B126A9" w:rsidP="007D6330">
      <w:pPr>
        <w:pStyle w:val="base-text-paragraph"/>
        <w:numPr>
          <w:ilvl w:val="1"/>
          <w:numId w:val="4"/>
        </w:numPr>
        <w:rPr>
          <w:rStyle w:val="Referencingstyle"/>
          <w:b w:val="0"/>
          <w:i w:val="0"/>
          <w:sz w:val="22"/>
        </w:rPr>
      </w:pPr>
      <w:r>
        <w:t xml:space="preserve">The Consolidated Revenue Fund </w:t>
      </w:r>
      <w:proofErr w:type="gramStart"/>
      <w:r>
        <w:t>is appropriated</w:t>
      </w:r>
      <w:proofErr w:type="gramEnd"/>
      <w:r>
        <w:t xml:space="preserve"> to the extent of $100 million for the purposes of paying costs, expenses and other obligations incurred by the Commonwealth in connection with its investment in the Fund.</w:t>
      </w:r>
      <w:r w:rsidR="008C19BD">
        <w:t xml:space="preserve"> This may include, for example, the costs of acquiring shares in the Fund, or paying amounts payable under arrangements made with the Fund or its members.</w:t>
      </w:r>
      <w:r>
        <w:t xml:space="preserve"> </w:t>
      </w:r>
      <w:r>
        <w:rPr>
          <w:rStyle w:val="Referencingstyle"/>
        </w:rPr>
        <w:t>[</w:t>
      </w:r>
      <w:r w:rsidR="00CC1965">
        <w:rPr>
          <w:rStyle w:val="Referencingstyle"/>
        </w:rPr>
        <w:t>Section</w:t>
      </w:r>
      <w:r w:rsidR="00DA4A69">
        <w:rPr>
          <w:rStyle w:val="Referencingstyle"/>
        </w:rPr>
        <w:t> </w:t>
      </w:r>
      <w:r>
        <w:rPr>
          <w:rStyle w:val="Referencingstyle"/>
        </w:rPr>
        <w:t>18</w:t>
      </w:r>
      <w:r w:rsidRPr="00375F1D">
        <w:rPr>
          <w:rStyle w:val="Referencingstyle"/>
        </w:rPr>
        <w:t>]</w:t>
      </w:r>
    </w:p>
    <w:p w14:paraId="06DA8846" w14:textId="549CF5AF" w:rsidR="00EC7C5C" w:rsidRDefault="00EC7C5C" w:rsidP="00EC7C5C">
      <w:pPr>
        <w:pStyle w:val="Heading4"/>
      </w:pPr>
      <w:r>
        <w:t>Delegation</w:t>
      </w:r>
    </w:p>
    <w:p w14:paraId="77F88A80" w14:textId="725FA76F" w:rsidR="00B126A9" w:rsidRDefault="00B126A9" w:rsidP="007D6330">
      <w:pPr>
        <w:pStyle w:val="base-text-paragraph"/>
        <w:numPr>
          <w:ilvl w:val="1"/>
          <w:numId w:val="4"/>
        </w:numPr>
      </w:pPr>
      <w:r>
        <w:t>The Minister may delegate the Minister’s powers, functions or duties under the Bill to:</w:t>
      </w:r>
    </w:p>
    <w:p w14:paraId="02BC4CDB" w14:textId="08DAAD50" w:rsidR="00B126A9" w:rsidRDefault="00B126A9" w:rsidP="006A75B2">
      <w:pPr>
        <w:pStyle w:val="dotpoint"/>
      </w:pPr>
      <w:r>
        <w:t>the Secretary of the Department; or</w:t>
      </w:r>
    </w:p>
    <w:p w14:paraId="48378EC8" w14:textId="361D8518" w:rsidR="00B126A9" w:rsidRDefault="00B126A9" w:rsidP="006A75B2">
      <w:pPr>
        <w:pStyle w:val="dotpoint"/>
      </w:pPr>
      <w:r>
        <w:t>an SES employee, or an acting SES employee, in the Department; or</w:t>
      </w:r>
    </w:p>
    <w:p w14:paraId="0507FD3D" w14:textId="77777777" w:rsidR="006A75B2" w:rsidRDefault="00B126A9" w:rsidP="006A75B2">
      <w:pPr>
        <w:pStyle w:val="dotpoint"/>
      </w:pPr>
      <w:r>
        <w:t>an APS employee who holds, or is acting in, an Executive Level 2, or equivalent, position in the Department.</w:t>
      </w:r>
    </w:p>
    <w:p w14:paraId="2587C309" w14:textId="67D0B0FB" w:rsidR="00B126A9" w:rsidRPr="00B828BF" w:rsidRDefault="00B828BF" w:rsidP="006A75B2">
      <w:pPr>
        <w:pStyle w:val="base-text-paragraphnonumbers"/>
        <w:ind w:left="1984"/>
        <w:rPr>
          <w:rStyle w:val="Referencingstyle"/>
          <w:b w:val="0"/>
          <w:i w:val="0"/>
          <w:sz w:val="22"/>
        </w:rPr>
      </w:pPr>
      <w:r>
        <w:rPr>
          <w:rStyle w:val="Referencingstyle"/>
        </w:rPr>
        <w:t>[</w:t>
      </w:r>
      <w:r w:rsidR="00CC1965">
        <w:rPr>
          <w:rStyle w:val="Referencingstyle"/>
        </w:rPr>
        <w:t>Subsection</w:t>
      </w:r>
      <w:r>
        <w:rPr>
          <w:rStyle w:val="Referencingstyle"/>
        </w:rPr>
        <w:t>s 19(1) and (2)</w:t>
      </w:r>
      <w:r w:rsidRPr="00375F1D">
        <w:rPr>
          <w:rStyle w:val="Referencingstyle"/>
        </w:rPr>
        <w:t>]</w:t>
      </w:r>
    </w:p>
    <w:p w14:paraId="3EA7E97F" w14:textId="03C0E756" w:rsidR="008C752F" w:rsidRDefault="008C752F" w:rsidP="00B828BF">
      <w:pPr>
        <w:pStyle w:val="base-text-paragraph"/>
      </w:pPr>
      <w:r>
        <w:t xml:space="preserve">The Minister will not be able to delegate the power to make rules under </w:t>
      </w:r>
      <w:r w:rsidR="00FE30DE">
        <w:t>s</w:t>
      </w:r>
      <w:r w:rsidR="00CC1965">
        <w:t>ection</w:t>
      </w:r>
      <w:r>
        <w:t> 22.</w:t>
      </w:r>
    </w:p>
    <w:p w14:paraId="49EFC4E7" w14:textId="2DC98D38" w:rsidR="00B828BF" w:rsidRDefault="00B828BF" w:rsidP="00B828BF">
      <w:pPr>
        <w:pStyle w:val="base-text-paragraph"/>
      </w:pPr>
      <w:r>
        <w:t>Before delegating a power</w:t>
      </w:r>
      <w:r w:rsidR="00EE1029">
        <w:t>, function or duty</w:t>
      </w:r>
      <w:r>
        <w:t xml:space="preserve">, the Minister must have regard to the seniority </w:t>
      </w:r>
      <w:r w:rsidR="00EE1029">
        <w:t xml:space="preserve">of the position to which a position-based delegation </w:t>
      </w:r>
      <w:proofErr w:type="gramStart"/>
      <w:r w:rsidR="00EE1029">
        <w:t>is made</w:t>
      </w:r>
      <w:proofErr w:type="gramEnd"/>
      <w:r w:rsidR="00EE1029">
        <w:t xml:space="preserve">, </w:t>
      </w:r>
      <w:r>
        <w:t xml:space="preserve">or </w:t>
      </w:r>
      <w:r w:rsidR="00EE1029">
        <w:t xml:space="preserve">the </w:t>
      </w:r>
      <w:r>
        <w:t xml:space="preserve">qualifications or expertise </w:t>
      </w:r>
      <w:r w:rsidR="00EE1029">
        <w:t>to which an individual delegation is made</w:t>
      </w:r>
      <w:r>
        <w:t>.</w:t>
      </w:r>
      <w:r w:rsidR="00EC7C5C">
        <w:t xml:space="preserve"> </w:t>
      </w:r>
      <w:r w:rsidR="00EE1029">
        <w:t>This provision is directed toward ensuring that a person can only be delegated a power</w:t>
      </w:r>
      <w:r w:rsidR="009A0ECB">
        <w:t>, function or duty</w:t>
      </w:r>
      <w:r w:rsidR="00EE1029">
        <w:t xml:space="preserve"> if the person will be capable of exercising the delegated powers</w:t>
      </w:r>
      <w:r w:rsidR="009A0ECB">
        <w:t xml:space="preserve"> or performing the delegated functions or duties</w:t>
      </w:r>
      <w:r w:rsidR="00EE1029">
        <w:t xml:space="preserve">. </w:t>
      </w:r>
      <w:r w:rsidR="00EC7C5C">
        <w:rPr>
          <w:rStyle w:val="Referencingstyle"/>
        </w:rPr>
        <w:t>[</w:t>
      </w:r>
      <w:r w:rsidR="00CC1965">
        <w:rPr>
          <w:rStyle w:val="Referencingstyle"/>
        </w:rPr>
        <w:t>Subsection</w:t>
      </w:r>
      <w:r w:rsidR="00EC7C5C">
        <w:rPr>
          <w:rStyle w:val="Referencingstyle"/>
        </w:rPr>
        <w:t> 19(3)</w:t>
      </w:r>
      <w:r w:rsidR="00EC7C5C" w:rsidRPr="00375F1D">
        <w:rPr>
          <w:rStyle w:val="Referencingstyle"/>
        </w:rPr>
        <w:t>]</w:t>
      </w:r>
    </w:p>
    <w:p w14:paraId="20F1B915" w14:textId="451F744E" w:rsidR="00B828BF" w:rsidRPr="006A75B2" w:rsidRDefault="00B828BF" w:rsidP="00145D33">
      <w:pPr>
        <w:pStyle w:val="base-text-paragraph"/>
        <w:rPr>
          <w:rStyle w:val="Referencingstyle"/>
          <w:b w:val="0"/>
          <w:i w:val="0"/>
          <w:sz w:val="22"/>
        </w:rPr>
      </w:pPr>
      <w:r>
        <w:lastRenderedPageBreak/>
        <w:t xml:space="preserve">The delegate must comply with </w:t>
      </w:r>
      <w:r w:rsidR="00BD688D">
        <w:t xml:space="preserve">any relevant </w:t>
      </w:r>
      <w:r>
        <w:t xml:space="preserve">rules </w:t>
      </w:r>
      <w:r w:rsidR="00BD688D">
        <w:t>made by the Minister</w:t>
      </w:r>
      <w:r>
        <w:t xml:space="preserve">. </w:t>
      </w:r>
      <w:r>
        <w:rPr>
          <w:rStyle w:val="Referencingstyle"/>
        </w:rPr>
        <w:t>[</w:t>
      </w:r>
      <w:r w:rsidR="00CC1965">
        <w:rPr>
          <w:rStyle w:val="Referencingstyle"/>
        </w:rPr>
        <w:t>Subsection</w:t>
      </w:r>
      <w:r>
        <w:rPr>
          <w:rStyle w:val="Referencingstyle"/>
        </w:rPr>
        <w:t> 19(4)</w:t>
      </w:r>
      <w:r w:rsidRPr="00375F1D">
        <w:rPr>
          <w:rStyle w:val="Referencingstyle"/>
        </w:rPr>
        <w:t>]</w:t>
      </w:r>
    </w:p>
    <w:p w14:paraId="40CF9CD4" w14:textId="08F94D09" w:rsidR="00FE30DE" w:rsidRPr="006A75B2" w:rsidRDefault="00FE30DE" w:rsidP="00077B4C">
      <w:pPr>
        <w:pStyle w:val="base-text-paragraph"/>
      </w:pPr>
      <w:r w:rsidRPr="006A75B2">
        <w:t xml:space="preserve">It is </w:t>
      </w:r>
      <w:r>
        <w:t>intended that the powers, functions and duties delegated under section 19 will only be delegated to officials</w:t>
      </w:r>
      <w:r w:rsidR="00E72B29">
        <w:t xml:space="preserve"> in certain areas of the Department of the Treasury that are best placed to exercise those powers</w:t>
      </w:r>
      <w:r w:rsidR="00BD688D">
        <w:t>, or perform those functions or duties</w:t>
      </w:r>
      <w:r w:rsidR="00E72B29">
        <w:t>. This ensures that there is not a wide delegation of the Minister’s powers, functions or duties under this Bill.</w:t>
      </w:r>
    </w:p>
    <w:p w14:paraId="15F0B730" w14:textId="5E8AE8F3" w:rsidR="00EC7C5C" w:rsidRDefault="00EC7C5C" w:rsidP="00EC7C5C">
      <w:pPr>
        <w:pStyle w:val="Heading4"/>
      </w:pPr>
      <w:r>
        <w:t>Governance</w:t>
      </w:r>
    </w:p>
    <w:p w14:paraId="121796D6" w14:textId="167C0556" w:rsidR="00EC7C5C" w:rsidRDefault="008C752F" w:rsidP="00EC7C5C">
      <w:pPr>
        <w:pStyle w:val="base-text-paragraph"/>
      </w:pPr>
      <w:r>
        <w:t>The Department’s a</w:t>
      </w:r>
      <w:r w:rsidR="00EC7C5C">
        <w:t xml:space="preserve">nnual reports under the </w:t>
      </w:r>
      <w:r w:rsidR="00EC7C5C">
        <w:rPr>
          <w:i/>
        </w:rPr>
        <w:t>Public Governance, Performance and Accountability Act 2013</w:t>
      </w:r>
      <w:r w:rsidR="00EC7C5C" w:rsidRPr="00EC7C5C">
        <w:t xml:space="preserve"> </w:t>
      </w:r>
      <w:r w:rsidR="00EC7C5C">
        <w:t xml:space="preserve">will be required to include a report on the operation of the Bill. </w:t>
      </w:r>
      <w:r>
        <w:rPr>
          <w:rStyle w:val="Referencingstyle"/>
        </w:rPr>
        <w:t>[</w:t>
      </w:r>
      <w:r w:rsidR="00CC1965">
        <w:rPr>
          <w:rStyle w:val="Referencingstyle"/>
        </w:rPr>
        <w:t>Section</w:t>
      </w:r>
      <w:r>
        <w:rPr>
          <w:rStyle w:val="Referencingstyle"/>
        </w:rPr>
        <w:t> 20</w:t>
      </w:r>
      <w:r w:rsidRPr="00375F1D">
        <w:rPr>
          <w:rStyle w:val="Referencingstyle"/>
        </w:rPr>
        <w:t>]</w:t>
      </w:r>
    </w:p>
    <w:p w14:paraId="2F4A3EDD" w14:textId="1679AC97" w:rsidR="00EC7C5C" w:rsidRDefault="008C752F" w:rsidP="00EC7C5C">
      <w:pPr>
        <w:pStyle w:val="base-text-paragraph"/>
      </w:pPr>
      <w:r>
        <w:t>Three years after commencement, the Minister will be required to cause a review of the operation of the Bill to be undertaken.</w:t>
      </w:r>
      <w:r w:rsidR="004A4452">
        <w:t xml:space="preserve"> The review must include a review of the effectiveness of this Bill in meeting the Bill’s objects. A report of the review </w:t>
      </w:r>
      <w:proofErr w:type="gramStart"/>
      <w:r w:rsidR="004A4452">
        <w:t>must be given</w:t>
      </w:r>
      <w:proofErr w:type="gramEnd"/>
      <w:r w:rsidR="004A4452">
        <w:t xml:space="preserve"> to the Minister, and the Minister must table a copy of the report in each House of the Parliament within 15 sitting days of that House.</w:t>
      </w:r>
      <w:r>
        <w:t xml:space="preserve"> </w:t>
      </w:r>
      <w:r>
        <w:rPr>
          <w:rStyle w:val="Referencingstyle"/>
        </w:rPr>
        <w:t>[</w:t>
      </w:r>
      <w:r w:rsidR="00CC1965">
        <w:rPr>
          <w:rStyle w:val="Referencingstyle"/>
        </w:rPr>
        <w:t>Section</w:t>
      </w:r>
      <w:r>
        <w:rPr>
          <w:rStyle w:val="Referencingstyle"/>
        </w:rPr>
        <w:t> 21</w:t>
      </w:r>
      <w:r w:rsidRPr="00375F1D">
        <w:rPr>
          <w:rStyle w:val="Referencingstyle"/>
        </w:rPr>
        <w:t>]</w:t>
      </w:r>
    </w:p>
    <w:p w14:paraId="1EB5DAF1" w14:textId="5702948C" w:rsidR="00EC7C5C" w:rsidRDefault="00EC7C5C" w:rsidP="00EC7C5C">
      <w:pPr>
        <w:pStyle w:val="Heading4"/>
      </w:pPr>
      <w:r>
        <w:t>Rules</w:t>
      </w:r>
    </w:p>
    <w:p w14:paraId="190997A7" w14:textId="54C0B1D2" w:rsidR="00EC7C5C" w:rsidRDefault="008C752F" w:rsidP="00EC7C5C">
      <w:pPr>
        <w:pStyle w:val="base-text-paragraph"/>
      </w:pPr>
      <w:r>
        <w:t>The Minister will have the power to, by legislative instrument, make rules prescribing matters:</w:t>
      </w:r>
    </w:p>
    <w:p w14:paraId="7F72A6EB" w14:textId="41214E73" w:rsidR="008C752F" w:rsidRDefault="008C752F" w:rsidP="006A75B2">
      <w:pPr>
        <w:pStyle w:val="dotpoint"/>
      </w:pPr>
      <w:r>
        <w:t>required or permitted by the Bill to be prescribed by the rules; or</w:t>
      </w:r>
    </w:p>
    <w:p w14:paraId="0E6AF7FD" w14:textId="77777777" w:rsidR="006A75B2" w:rsidRDefault="008C752F" w:rsidP="006A75B2">
      <w:pPr>
        <w:pStyle w:val="dotpoint"/>
      </w:pPr>
      <w:proofErr w:type="gramStart"/>
      <w:r>
        <w:t>necessary</w:t>
      </w:r>
      <w:proofErr w:type="gramEnd"/>
      <w:r>
        <w:t xml:space="preserve"> or convenient to be prescribed for carrying out or giving effect to the Bill.</w:t>
      </w:r>
    </w:p>
    <w:p w14:paraId="35CB5C08" w14:textId="37C1F118" w:rsidR="008C752F" w:rsidRPr="008C752F" w:rsidRDefault="008C752F" w:rsidP="006A75B2">
      <w:pPr>
        <w:pStyle w:val="base-text-paragraphnonumbers"/>
        <w:ind w:left="1984"/>
        <w:rPr>
          <w:rStyle w:val="Referencingstyle"/>
          <w:b w:val="0"/>
          <w:i w:val="0"/>
          <w:sz w:val="22"/>
        </w:rPr>
      </w:pPr>
      <w:r>
        <w:rPr>
          <w:rStyle w:val="Referencingstyle"/>
        </w:rPr>
        <w:t>[</w:t>
      </w:r>
      <w:r w:rsidR="004A4452">
        <w:rPr>
          <w:rStyle w:val="Referencingstyle"/>
        </w:rPr>
        <w:t>Subsection</w:t>
      </w:r>
      <w:r>
        <w:rPr>
          <w:rStyle w:val="Referencingstyle"/>
        </w:rPr>
        <w:t> 22</w:t>
      </w:r>
      <w:r w:rsidR="004A4452">
        <w:rPr>
          <w:rStyle w:val="Referencingstyle"/>
        </w:rPr>
        <w:t>(1)</w:t>
      </w:r>
      <w:r w:rsidRPr="00375F1D">
        <w:rPr>
          <w:rStyle w:val="Referencingstyle"/>
        </w:rPr>
        <w:t>]</w:t>
      </w:r>
    </w:p>
    <w:p w14:paraId="03F1EA77" w14:textId="1A804362" w:rsidR="004A4452" w:rsidRDefault="004A4452" w:rsidP="008C752F">
      <w:pPr>
        <w:pStyle w:val="base-text-paragraph"/>
      </w:pPr>
      <w:r>
        <w:t>The rules cannot:</w:t>
      </w:r>
    </w:p>
    <w:p w14:paraId="45A5BA61" w14:textId="0D988B65" w:rsidR="004A4452" w:rsidRDefault="004A4452" w:rsidP="006A75B2">
      <w:pPr>
        <w:pStyle w:val="dotpoint"/>
      </w:pPr>
      <w:r>
        <w:t>create an offence or civil penalty;</w:t>
      </w:r>
    </w:p>
    <w:p w14:paraId="302846DB" w14:textId="1B6340A2" w:rsidR="004A4452" w:rsidRDefault="004A4452" w:rsidP="006A75B2">
      <w:pPr>
        <w:pStyle w:val="dotpoint"/>
      </w:pPr>
      <w:r>
        <w:t xml:space="preserve">provide </w:t>
      </w:r>
      <w:r w:rsidR="00E05543">
        <w:t xml:space="preserve">coercive </w:t>
      </w:r>
      <w:r>
        <w:t>enforcement powers;</w:t>
      </w:r>
    </w:p>
    <w:p w14:paraId="5E22BDBF" w14:textId="0D732B6B" w:rsidR="004A4452" w:rsidRDefault="004A4452" w:rsidP="006A75B2">
      <w:pPr>
        <w:pStyle w:val="dotpoint"/>
      </w:pPr>
      <w:r>
        <w:t>impose a tax;</w:t>
      </w:r>
    </w:p>
    <w:p w14:paraId="16556A09" w14:textId="51F3E7AA" w:rsidR="004A4452" w:rsidRDefault="004A4452" w:rsidP="006A75B2">
      <w:pPr>
        <w:pStyle w:val="dotpoint"/>
      </w:pPr>
      <w:r>
        <w:t xml:space="preserve">set an amount to be appropriated </w:t>
      </w:r>
      <w:r w:rsidR="00E05543">
        <w:t>from</w:t>
      </w:r>
      <w:r>
        <w:t xml:space="preserve"> the Consolidated Review Fund; or</w:t>
      </w:r>
    </w:p>
    <w:p w14:paraId="278224CB" w14:textId="77777777" w:rsidR="006A75B2" w:rsidRDefault="004A4452" w:rsidP="006A75B2">
      <w:pPr>
        <w:pStyle w:val="dotpoint"/>
      </w:pPr>
      <w:proofErr w:type="gramStart"/>
      <w:r>
        <w:t>directly</w:t>
      </w:r>
      <w:proofErr w:type="gramEnd"/>
      <w:r>
        <w:t xml:space="preserve"> </w:t>
      </w:r>
      <w:r w:rsidR="00C30969">
        <w:t>amend the text of the Bill.</w:t>
      </w:r>
    </w:p>
    <w:p w14:paraId="40BF2299" w14:textId="27ADBAAB" w:rsidR="004A4452" w:rsidRDefault="00C30969" w:rsidP="006A75B2">
      <w:pPr>
        <w:pStyle w:val="base-text-paragraphnonumbers"/>
        <w:ind w:left="1984"/>
      </w:pPr>
      <w:r>
        <w:rPr>
          <w:rStyle w:val="Referencingstyle"/>
        </w:rPr>
        <w:t>[Subsection 22(2)</w:t>
      </w:r>
      <w:r w:rsidRPr="00375F1D">
        <w:rPr>
          <w:rStyle w:val="Referencingstyle"/>
        </w:rPr>
        <w:t>]</w:t>
      </w:r>
    </w:p>
    <w:p w14:paraId="67A19D5C" w14:textId="1D9848CD" w:rsidR="00DF7175" w:rsidRPr="00906B89" w:rsidRDefault="008C752F" w:rsidP="00561A15">
      <w:pPr>
        <w:pStyle w:val="base-text-paragraph"/>
        <w:rPr>
          <w:vanish/>
        </w:rPr>
        <w:sectPr w:rsidR="00DF7175" w:rsidRPr="00906B89" w:rsidSect="00C743D3">
          <w:footerReference w:type="even" r:id="rId19"/>
          <w:footerReference w:type="default" r:id="rId20"/>
          <w:footerReference w:type="first" r:id="rId21"/>
          <w:type w:val="oddPage"/>
          <w:pgSz w:w="9979" w:h="14175" w:code="9"/>
          <w:pgMar w:top="567" w:right="1134" w:bottom="567" w:left="1134" w:header="709" w:footer="709" w:gutter="0"/>
          <w:cols w:space="708"/>
          <w:titlePg/>
          <w:docGrid w:linePitch="360"/>
        </w:sectPr>
      </w:pPr>
      <w:r>
        <w:t xml:space="preserve">The only matter </w:t>
      </w:r>
      <w:r w:rsidR="00E05543">
        <w:t>covered by paragraph 22(1</w:t>
      </w:r>
      <w:proofErr w:type="gramStart"/>
      <w:r w:rsidR="00E05543">
        <w:t>)(</w:t>
      </w:r>
      <w:proofErr w:type="gramEnd"/>
      <w:r w:rsidR="00E05543">
        <w:t xml:space="preserve">a) </w:t>
      </w:r>
      <w:r>
        <w:t xml:space="preserve">is </w:t>
      </w:r>
      <w:r w:rsidR="007D6330">
        <w:t xml:space="preserve">set out in </w:t>
      </w:r>
      <w:r w:rsidR="00C30969">
        <w:t>s</w:t>
      </w:r>
      <w:r w:rsidR="00CC1965">
        <w:t>ection</w:t>
      </w:r>
      <w:r w:rsidR="007D6330">
        <w:t> 16, relating to limitations on the Minister’s rights, responsibilities, duties or powers under the Bill.</w:t>
      </w:r>
    </w:p>
    <w:p w14:paraId="7E818A2F" w14:textId="2EEC5F3E" w:rsidR="00DF631D" w:rsidRDefault="00DF631D" w:rsidP="00906B89"/>
    <w:sectPr w:rsidR="00DF631D" w:rsidSect="00C743D3">
      <w:footerReference w:type="even" r:id="rId22"/>
      <w:footerReference w:type="default" r:id="rId23"/>
      <w:footerReference w:type="first" r:id="rId24"/>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7E8AE" w14:textId="77777777" w:rsidR="008440FD" w:rsidRDefault="008440FD" w:rsidP="00E679CA">
      <w:pPr>
        <w:spacing w:before="0" w:after="0"/>
      </w:pPr>
      <w:r>
        <w:separator/>
      </w:r>
    </w:p>
  </w:endnote>
  <w:endnote w:type="continuationSeparator" w:id="0">
    <w:p w14:paraId="4A1C6F26" w14:textId="77777777" w:rsidR="008440FD" w:rsidRDefault="008440FD" w:rsidP="00E679CA">
      <w:pPr>
        <w:spacing w:before="0" w:after="0"/>
      </w:pPr>
      <w:r>
        <w:continuationSeparator/>
      </w:r>
    </w:p>
  </w:endnote>
  <w:endnote w:type="continuationNotice" w:id="1">
    <w:p w14:paraId="33BB4FBB" w14:textId="77777777" w:rsidR="008440FD" w:rsidRDefault="008440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FD56" w14:textId="77777777" w:rsidR="008440FD" w:rsidRDefault="008440FD" w:rsidP="00145D33">
    <w:pPr>
      <w:pStyle w:val="leftfooter"/>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AEF2" w14:textId="77777777" w:rsidR="008440FD" w:rsidRDefault="008440FD" w:rsidP="00145D33">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8FA92" w14:textId="77777777" w:rsidR="008440FD" w:rsidRPr="00B2068E" w:rsidRDefault="008440FD" w:rsidP="00145D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0EDD" w14:textId="4D7A573F" w:rsidR="008440FD" w:rsidRDefault="008440FD" w:rsidP="00145D33">
    <w:pPr>
      <w:pStyle w:val="leftfooter"/>
    </w:pPr>
    <w:r>
      <w:fldChar w:fldCharType="begin"/>
    </w:r>
    <w:r>
      <w:instrText xml:space="preserve"> PAGE   \* MERGEFORMAT </w:instrText>
    </w:r>
    <w:r>
      <w:fldChar w:fldCharType="separate"/>
    </w:r>
    <w:r w:rsidR="00C72D72">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9FEE1" w14:textId="30FC4047" w:rsidR="008440FD" w:rsidRDefault="008440FD" w:rsidP="00145D33">
    <w:pPr>
      <w:pStyle w:val="rightfooter"/>
    </w:pPr>
    <w:r>
      <w:fldChar w:fldCharType="begin"/>
    </w:r>
    <w:r>
      <w:instrText xml:space="preserve"> PAGE   \* MERGEFORMAT </w:instrText>
    </w:r>
    <w:r>
      <w:fldChar w:fldCharType="separate"/>
    </w:r>
    <w:r w:rsidR="00C72D72">
      <w:rPr>
        <w:noProof/>
      </w:rPr>
      <w:t>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BCDC4" w14:textId="6BF10848" w:rsidR="008440FD" w:rsidRDefault="008440FD" w:rsidP="00145D33">
    <w:pPr>
      <w:pStyle w:val="rightfooter"/>
    </w:pPr>
    <w:r>
      <w:fldChar w:fldCharType="begin"/>
    </w:r>
    <w:r>
      <w:instrText xml:space="preserve"> PAGE  \* Arabic  \* MERGEFORMAT </w:instrText>
    </w:r>
    <w:r>
      <w:fldChar w:fldCharType="separate"/>
    </w:r>
    <w:r w:rsidR="00C72D72">
      <w:rPr>
        <w:noProof/>
      </w:rPr>
      <w:t>3</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99162" w14:textId="0CB70DBA" w:rsidR="008440FD" w:rsidRDefault="008440FD" w:rsidP="00145D33">
    <w:pPr>
      <w:pStyle w:val="leftfooter"/>
    </w:pPr>
    <w:r>
      <w:fldChar w:fldCharType="begin"/>
    </w:r>
    <w:r>
      <w:instrText xml:space="preserve"> PAGE   \* MERGEFORMAT </w:instrText>
    </w:r>
    <w:r>
      <w:fldChar w:fldCharType="separate"/>
    </w:r>
    <w:r w:rsidR="00906B89">
      <w:rPr>
        <w:noProof/>
      </w:rPr>
      <w:t>10</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1B6A" w14:textId="77777777" w:rsidR="008440FD" w:rsidRDefault="008440FD" w:rsidP="00145D33">
    <w:pPr>
      <w:pStyle w:val="rightfooter"/>
    </w:pPr>
    <w:r>
      <w:fldChar w:fldCharType="begin"/>
    </w:r>
    <w:r>
      <w:instrText xml:space="preserve"> PAGE   \* MERGEFORMAT </w:instrText>
    </w:r>
    <w:r>
      <w:fldChar w:fldCharType="separate"/>
    </w:r>
    <w:r>
      <w:rPr>
        <w:noProof/>
      </w:rPr>
      <w:t>11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21B4F" w14:textId="279BB2D3" w:rsidR="008440FD" w:rsidRDefault="008440FD" w:rsidP="00145D33">
    <w:pPr>
      <w:pStyle w:val="rightfooter"/>
    </w:pPr>
    <w:r>
      <w:fldChar w:fldCharType="begin"/>
    </w:r>
    <w:r>
      <w:instrText xml:space="preserve"> PAGE  \* Arabic  \* MERGEFORMAT </w:instrText>
    </w:r>
    <w:r>
      <w:fldChar w:fldCharType="separate"/>
    </w:r>
    <w:r w:rsidR="00906B89">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56ECB" w14:textId="77777777" w:rsidR="008440FD" w:rsidRDefault="008440FD" w:rsidP="00E679CA">
      <w:pPr>
        <w:spacing w:before="0" w:after="0"/>
      </w:pPr>
      <w:r>
        <w:separator/>
      </w:r>
    </w:p>
  </w:footnote>
  <w:footnote w:type="continuationSeparator" w:id="0">
    <w:p w14:paraId="12C2C592" w14:textId="77777777" w:rsidR="008440FD" w:rsidRDefault="008440FD" w:rsidP="00E679CA">
      <w:pPr>
        <w:spacing w:before="0" w:after="0"/>
      </w:pPr>
      <w:r>
        <w:continuationSeparator/>
      </w:r>
    </w:p>
  </w:footnote>
  <w:footnote w:type="continuationNotice" w:id="1">
    <w:p w14:paraId="1A4DFE66" w14:textId="77777777" w:rsidR="008440FD" w:rsidRDefault="008440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91B51" w14:textId="77777777" w:rsidR="008440FD" w:rsidRDefault="008440FD" w:rsidP="00145D33">
    <w:pPr>
      <w:pStyle w:val="left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41A2F" w14:textId="77777777" w:rsidR="008440FD" w:rsidRDefault="008440FD" w:rsidP="00145D33">
    <w:pPr>
      <w:pStyle w:val="right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900B9" w14:textId="77777777" w:rsidR="008440FD" w:rsidRDefault="00844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584037"/>
    <w:multiLevelType w:val="multilevel"/>
    <w:tmpl w:val="F04423A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46106D"/>
    <w:multiLevelType w:val="hybridMultilevel"/>
    <w:tmpl w:val="45926528"/>
    <w:lvl w:ilvl="0" w:tplc="0C090001">
      <w:start w:val="1"/>
      <w:numFmt w:val="bullet"/>
      <w:lvlText w:val=""/>
      <w:lvlJc w:val="left"/>
      <w:pPr>
        <w:ind w:left="1494" w:hanging="360"/>
      </w:pPr>
      <w:rPr>
        <w:rFonts w:ascii="Symbol" w:hAnsi="Symbol" w:hint="default"/>
      </w:rPr>
    </w:lvl>
    <w:lvl w:ilvl="1" w:tplc="0C090001">
      <w:start w:val="1"/>
      <w:numFmt w:val="bullet"/>
      <w:lvlText w:val=""/>
      <w:lvlJc w:val="left"/>
      <w:pPr>
        <w:ind w:left="2214" w:hanging="360"/>
      </w:pPr>
      <w:rPr>
        <w:rFonts w:ascii="Symbol" w:hAnsi="Symbol"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8" w15:restartNumberingAfterBreak="0">
    <w:nsid w:val="58F75228"/>
    <w:multiLevelType w:val="multilevel"/>
    <w:tmpl w:val="16A41044"/>
    <w:lvl w:ilvl="0">
      <w:start w:val="1"/>
      <w:numFmt w:val="decimal"/>
      <w:lvlText w:val="Chapter %1"/>
      <w:lvlJc w:val="left"/>
      <w:pPr>
        <w:tabs>
          <w:tab w:val="num" w:pos="1134"/>
        </w:tabs>
        <w:ind w:left="0" w:firstLine="0"/>
      </w:pPr>
      <w:rPr>
        <w:rFonts w:hint="default"/>
      </w:rPr>
    </w:lvl>
    <w:lvl w:ilvl="1">
      <w:start w:val="1"/>
      <w:numFmt w:val="bullet"/>
      <w:lvlText w:val=""/>
      <w:lvlJc w:val="left"/>
      <w:pPr>
        <w:tabs>
          <w:tab w:val="num" w:pos="1985"/>
        </w:tabs>
        <w:ind w:left="1134" w:firstLine="0"/>
      </w:pPr>
      <w:rPr>
        <w:rFonts w:ascii="Symbol" w:hAnsi="Symbol"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0BE3625"/>
    <w:multiLevelType w:val="hybridMultilevel"/>
    <w:tmpl w:val="36AA6598"/>
    <w:lvl w:ilvl="0" w:tplc="0C090001">
      <w:start w:val="1"/>
      <w:numFmt w:val="bullet"/>
      <w:lvlText w:val=""/>
      <w:lvlJc w:val="left"/>
      <w:pPr>
        <w:ind w:left="1494" w:hanging="360"/>
      </w:pPr>
      <w:rPr>
        <w:rFonts w:ascii="Symbol" w:hAnsi="Symbol" w:hint="default"/>
      </w:rPr>
    </w:lvl>
    <w:lvl w:ilvl="1" w:tplc="0C090001">
      <w:start w:val="1"/>
      <w:numFmt w:val="bullet"/>
      <w:lvlText w:val=""/>
      <w:lvlJc w:val="left"/>
      <w:pPr>
        <w:ind w:left="2214" w:hanging="360"/>
      </w:pPr>
      <w:rPr>
        <w:rFonts w:ascii="Symbol" w:hAnsi="Symbol"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1" w15:restartNumberingAfterBreak="0">
    <w:nsid w:val="65DF6494"/>
    <w:multiLevelType w:val="multilevel"/>
    <w:tmpl w:val="A316FE50"/>
    <w:numStyleLink w:val="ChapterList"/>
  </w:abstractNum>
  <w:abstractNum w:abstractNumId="22" w15:restartNumberingAfterBreak="0">
    <w:nsid w:val="69041D0C"/>
    <w:multiLevelType w:val="hybridMultilevel"/>
    <w:tmpl w:val="51AA579A"/>
    <w:lvl w:ilvl="0" w:tplc="0C090001">
      <w:start w:val="1"/>
      <w:numFmt w:val="bullet"/>
      <w:lvlText w:val=""/>
      <w:lvlJc w:val="left"/>
      <w:pPr>
        <w:ind w:left="1494" w:hanging="360"/>
      </w:pPr>
      <w:rPr>
        <w:rFonts w:ascii="Symbol" w:hAnsi="Symbol" w:hint="default"/>
      </w:rPr>
    </w:lvl>
    <w:lvl w:ilvl="1" w:tplc="0C090001">
      <w:start w:val="1"/>
      <w:numFmt w:val="bullet"/>
      <w:lvlText w:val=""/>
      <w:lvlJc w:val="left"/>
      <w:pPr>
        <w:ind w:left="2214" w:hanging="360"/>
      </w:pPr>
      <w:rPr>
        <w:rFonts w:ascii="Symbol" w:hAnsi="Symbol" w:hint="default"/>
      </w:rPr>
    </w:lvl>
    <w:lvl w:ilvl="2" w:tplc="0C090005">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3" w15:restartNumberingAfterBreak="0">
    <w:nsid w:val="71547585"/>
    <w:multiLevelType w:val="hybridMultilevel"/>
    <w:tmpl w:val="4ED84C34"/>
    <w:lvl w:ilvl="0" w:tplc="0C090001">
      <w:start w:val="1"/>
      <w:numFmt w:val="bullet"/>
      <w:lvlText w:val=""/>
      <w:lvlJc w:val="left"/>
      <w:pPr>
        <w:ind w:left="1494" w:hanging="360"/>
      </w:pPr>
      <w:rPr>
        <w:rFonts w:ascii="Symbol" w:hAnsi="Symbol" w:hint="default"/>
      </w:rPr>
    </w:lvl>
    <w:lvl w:ilvl="1" w:tplc="0C090001">
      <w:start w:val="1"/>
      <w:numFmt w:val="bullet"/>
      <w:lvlText w:val=""/>
      <w:lvlJc w:val="left"/>
      <w:pPr>
        <w:ind w:left="2214" w:hanging="360"/>
      </w:pPr>
      <w:rPr>
        <w:rFonts w:ascii="Symbol" w:hAnsi="Symbol"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4"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24"/>
  </w:num>
  <w:num w:numId="3">
    <w:abstractNumId w:val="25"/>
  </w:num>
  <w:num w:numId="4">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14"/>
  </w:num>
  <w:num w:numId="6">
    <w:abstractNumId w:val="15"/>
  </w:num>
  <w:num w:numId="7">
    <w:abstractNumId w:val="16"/>
  </w:num>
  <w:num w:numId="8">
    <w:abstractNumId w:val="16"/>
  </w:num>
  <w:num w:numId="9">
    <w:abstractNumId w:val="19"/>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abstractNumId w:val="23"/>
  </w:num>
  <w:num w:numId="24">
    <w:abstractNumId w:val="22"/>
  </w:num>
  <w:num w:numId="25">
    <w:abstractNumId w:val="17"/>
  </w:num>
  <w:num w:numId="26">
    <w:abstractNumId w:val="20"/>
  </w:num>
  <w:num w:numId="27">
    <w:abstractNumId w:val="18"/>
  </w:num>
  <w:num w:numId="28">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abstractNumId w:val="13"/>
  </w:num>
  <w:num w:numId="30">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proofState w:spelling="clean" w:grammar="clean"/>
  <w:attachedTemplate r:id="rId1"/>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F8"/>
    <w:rsid w:val="00001A0D"/>
    <w:rsid w:val="0002054A"/>
    <w:rsid w:val="00030A40"/>
    <w:rsid w:val="00056D3F"/>
    <w:rsid w:val="00066970"/>
    <w:rsid w:val="00077B4C"/>
    <w:rsid w:val="000A4306"/>
    <w:rsid w:val="000B153B"/>
    <w:rsid w:val="000C12FA"/>
    <w:rsid w:val="000C2A9D"/>
    <w:rsid w:val="000C44D7"/>
    <w:rsid w:val="000C4876"/>
    <w:rsid w:val="000C71F6"/>
    <w:rsid w:val="000D04A2"/>
    <w:rsid w:val="000E4B50"/>
    <w:rsid w:val="00107A5E"/>
    <w:rsid w:val="00114549"/>
    <w:rsid w:val="00116CC0"/>
    <w:rsid w:val="00123B9E"/>
    <w:rsid w:val="00127BE8"/>
    <w:rsid w:val="00132C34"/>
    <w:rsid w:val="00144D04"/>
    <w:rsid w:val="00145D33"/>
    <w:rsid w:val="0015330C"/>
    <w:rsid w:val="0015714D"/>
    <w:rsid w:val="001753F4"/>
    <w:rsid w:val="00177D5B"/>
    <w:rsid w:val="00181254"/>
    <w:rsid w:val="001929F4"/>
    <w:rsid w:val="001B6ECE"/>
    <w:rsid w:val="001C1751"/>
    <w:rsid w:val="0028232D"/>
    <w:rsid w:val="00295ABD"/>
    <w:rsid w:val="002A2DC6"/>
    <w:rsid w:val="002B1901"/>
    <w:rsid w:val="002D0B7C"/>
    <w:rsid w:val="002F0D2B"/>
    <w:rsid w:val="002F47D5"/>
    <w:rsid w:val="002F5853"/>
    <w:rsid w:val="0030116E"/>
    <w:rsid w:val="00307165"/>
    <w:rsid w:val="0031710C"/>
    <w:rsid w:val="003175C6"/>
    <w:rsid w:val="00346A62"/>
    <w:rsid w:val="00347984"/>
    <w:rsid w:val="00360524"/>
    <w:rsid w:val="0036633B"/>
    <w:rsid w:val="00370B1E"/>
    <w:rsid w:val="00375F1D"/>
    <w:rsid w:val="003A657F"/>
    <w:rsid w:val="003A75D8"/>
    <w:rsid w:val="003B6B47"/>
    <w:rsid w:val="003B77F0"/>
    <w:rsid w:val="003D2BE8"/>
    <w:rsid w:val="003D4F69"/>
    <w:rsid w:val="003E5AB0"/>
    <w:rsid w:val="003E5D0F"/>
    <w:rsid w:val="003E7AB0"/>
    <w:rsid w:val="0040265E"/>
    <w:rsid w:val="00403948"/>
    <w:rsid w:val="00403F68"/>
    <w:rsid w:val="00405C1F"/>
    <w:rsid w:val="0041024F"/>
    <w:rsid w:val="00422FA2"/>
    <w:rsid w:val="0042628C"/>
    <w:rsid w:val="00430BC1"/>
    <w:rsid w:val="00486580"/>
    <w:rsid w:val="004A4452"/>
    <w:rsid w:val="004B1CD1"/>
    <w:rsid w:val="004B2498"/>
    <w:rsid w:val="004C17C3"/>
    <w:rsid w:val="004D032C"/>
    <w:rsid w:val="004E616D"/>
    <w:rsid w:val="004F3C00"/>
    <w:rsid w:val="005139FB"/>
    <w:rsid w:val="00535F17"/>
    <w:rsid w:val="0055086F"/>
    <w:rsid w:val="00551665"/>
    <w:rsid w:val="005543F8"/>
    <w:rsid w:val="00567602"/>
    <w:rsid w:val="00574CA0"/>
    <w:rsid w:val="005845C7"/>
    <w:rsid w:val="005A496E"/>
    <w:rsid w:val="005A6151"/>
    <w:rsid w:val="005E100E"/>
    <w:rsid w:val="005E3647"/>
    <w:rsid w:val="005E7AA8"/>
    <w:rsid w:val="005F7854"/>
    <w:rsid w:val="00601383"/>
    <w:rsid w:val="006168B0"/>
    <w:rsid w:val="0063127E"/>
    <w:rsid w:val="0064014C"/>
    <w:rsid w:val="00650DAA"/>
    <w:rsid w:val="00670A85"/>
    <w:rsid w:val="006A05D6"/>
    <w:rsid w:val="006A72CB"/>
    <w:rsid w:val="006A75B2"/>
    <w:rsid w:val="006B29FE"/>
    <w:rsid w:val="006D52BA"/>
    <w:rsid w:val="006F233D"/>
    <w:rsid w:val="006F4594"/>
    <w:rsid w:val="006F5A34"/>
    <w:rsid w:val="006F5EF4"/>
    <w:rsid w:val="00706CE0"/>
    <w:rsid w:val="007070BD"/>
    <w:rsid w:val="00734F84"/>
    <w:rsid w:val="00747A03"/>
    <w:rsid w:val="00756BD3"/>
    <w:rsid w:val="00773B68"/>
    <w:rsid w:val="007762C1"/>
    <w:rsid w:val="00795A45"/>
    <w:rsid w:val="007A0A70"/>
    <w:rsid w:val="007B4039"/>
    <w:rsid w:val="007C2588"/>
    <w:rsid w:val="007C2B20"/>
    <w:rsid w:val="007D6330"/>
    <w:rsid w:val="007E6BE7"/>
    <w:rsid w:val="007F27C0"/>
    <w:rsid w:val="007F349D"/>
    <w:rsid w:val="007F603F"/>
    <w:rsid w:val="00803DE4"/>
    <w:rsid w:val="00813A51"/>
    <w:rsid w:val="0081418E"/>
    <w:rsid w:val="008176A3"/>
    <w:rsid w:val="00840701"/>
    <w:rsid w:val="008440FD"/>
    <w:rsid w:val="00855341"/>
    <w:rsid w:val="00863591"/>
    <w:rsid w:val="00873EB4"/>
    <w:rsid w:val="00873FD2"/>
    <w:rsid w:val="008769D3"/>
    <w:rsid w:val="00893C0E"/>
    <w:rsid w:val="008A41A3"/>
    <w:rsid w:val="008C19BD"/>
    <w:rsid w:val="008C752F"/>
    <w:rsid w:val="008D0A8B"/>
    <w:rsid w:val="008D3BA5"/>
    <w:rsid w:val="008D4F94"/>
    <w:rsid w:val="008D78FA"/>
    <w:rsid w:val="008E4C54"/>
    <w:rsid w:val="008E6E38"/>
    <w:rsid w:val="00906B89"/>
    <w:rsid w:val="0093363A"/>
    <w:rsid w:val="00946B26"/>
    <w:rsid w:val="00962CD0"/>
    <w:rsid w:val="009770C9"/>
    <w:rsid w:val="0098134F"/>
    <w:rsid w:val="009A0ECB"/>
    <w:rsid w:val="009A1438"/>
    <w:rsid w:val="009B2C89"/>
    <w:rsid w:val="009B5E73"/>
    <w:rsid w:val="009C2FC2"/>
    <w:rsid w:val="009D7ECD"/>
    <w:rsid w:val="009E23D1"/>
    <w:rsid w:val="009F2304"/>
    <w:rsid w:val="009F3AE1"/>
    <w:rsid w:val="00A04F6E"/>
    <w:rsid w:val="00A0653F"/>
    <w:rsid w:val="00A2308B"/>
    <w:rsid w:val="00A23563"/>
    <w:rsid w:val="00A41EDC"/>
    <w:rsid w:val="00A701D4"/>
    <w:rsid w:val="00A75FAC"/>
    <w:rsid w:val="00A86D95"/>
    <w:rsid w:val="00AA250B"/>
    <w:rsid w:val="00AA6F43"/>
    <w:rsid w:val="00AC029F"/>
    <w:rsid w:val="00AD5B62"/>
    <w:rsid w:val="00AD5E49"/>
    <w:rsid w:val="00AD5F50"/>
    <w:rsid w:val="00AF6C55"/>
    <w:rsid w:val="00B040B3"/>
    <w:rsid w:val="00B05169"/>
    <w:rsid w:val="00B1119F"/>
    <w:rsid w:val="00B126A9"/>
    <w:rsid w:val="00B17774"/>
    <w:rsid w:val="00B17926"/>
    <w:rsid w:val="00B43F22"/>
    <w:rsid w:val="00B647B4"/>
    <w:rsid w:val="00B828BF"/>
    <w:rsid w:val="00B85309"/>
    <w:rsid w:val="00BB5D40"/>
    <w:rsid w:val="00BB72FC"/>
    <w:rsid w:val="00BC3ED4"/>
    <w:rsid w:val="00BD00C0"/>
    <w:rsid w:val="00BD688D"/>
    <w:rsid w:val="00BE27C2"/>
    <w:rsid w:val="00C30969"/>
    <w:rsid w:val="00C51F06"/>
    <w:rsid w:val="00C5436A"/>
    <w:rsid w:val="00C72D72"/>
    <w:rsid w:val="00C743D3"/>
    <w:rsid w:val="00C83EC4"/>
    <w:rsid w:val="00CA1073"/>
    <w:rsid w:val="00CA1BDC"/>
    <w:rsid w:val="00CA60D4"/>
    <w:rsid w:val="00CC1965"/>
    <w:rsid w:val="00CD1112"/>
    <w:rsid w:val="00D36690"/>
    <w:rsid w:val="00D46961"/>
    <w:rsid w:val="00D51613"/>
    <w:rsid w:val="00D83206"/>
    <w:rsid w:val="00D8697C"/>
    <w:rsid w:val="00D91044"/>
    <w:rsid w:val="00D96F03"/>
    <w:rsid w:val="00DA4201"/>
    <w:rsid w:val="00DA4A69"/>
    <w:rsid w:val="00DD4010"/>
    <w:rsid w:val="00DD4299"/>
    <w:rsid w:val="00DE55C2"/>
    <w:rsid w:val="00DF631D"/>
    <w:rsid w:val="00DF7175"/>
    <w:rsid w:val="00E02D32"/>
    <w:rsid w:val="00E05543"/>
    <w:rsid w:val="00E35366"/>
    <w:rsid w:val="00E35ADD"/>
    <w:rsid w:val="00E35E59"/>
    <w:rsid w:val="00E409EE"/>
    <w:rsid w:val="00E5385B"/>
    <w:rsid w:val="00E56A6F"/>
    <w:rsid w:val="00E6249C"/>
    <w:rsid w:val="00E679CA"/>
    <w:rsid w:val="00E72B29"/>
    <w:rsid w:val="00E74E50"/>
    <w:rsid w:val="00E75C38"/>
    <w:rsid w:val="00E81DD3"/>
    <w:rsid w:val="00E9102B"/>
    <w:rsid w:val="00EA05CD"/>
    <w:rsid w:val="00EA5BB7"/>
    <w:rsid w:val="00EC0F5E"/>
    <w:rsid w:val="00EC7C5C"/>
    <w:rsid w:val="00EE1029"/>
    <w:rsid w:val="00EE619A"/>
    <w:rsid w:val="00EF631E"/>
    <w:rsid w:val="00F13BC5"/>
    <w:rsid w:val="00F21964"/>
    <w:rsid w:val="00F24296"/>
    <w:rsid w:val="00F25628"/>
    <w:rsid w:val="00F46D06"/>
    <w:rsid w:val="00F51071"/>
    <w:rsid w:val="00F55FF0"/>
    <w:rsid w:val="00F60F68"/>
    <w:rsid w:val="00F70975"/>
    <w:rsid w:val="00F83B70"/>
    <w:rsid w:val="00F83B7D"/>
    <w:rsid w:val="00F870C4"/>
    <w:rsid w:val="00F9382B"/>
    <w:rsid w:val="00FA3DCE"/>
    <w:rsid w:val="00FB5EDE"/>
    <w:rsid w:val="00FE30DE"/>
    <w:rsid w:val="00FE6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20102"/>
  <w15:docId w15:val="{0D95D22D-4862-40E8-B27D-29A65017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22"/>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DF7175"/>
    <w:pPr>
      <w:numPr>
        <w:numId w:val="22"/>
      </w:numPr>
      <w:pBdr>
        <w:top w:val="single" w:sz="4" w:space="1" w:color="auto"/>
        <w:bottom w:val="single" w:sz="4" w:space="1" w:color="auto"/>
      </w:pBdr>
      <w:spacing w:before="240" w:after="360" w:line="260" w:lineRule="atLeast"/>
      <w:outlineLvl w:val="0"/>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DF7175"/>
    <w:pPr>
      <w:pBdr>
        <w:top w:val="single" w:sz="4" w:space="1" w:color="auto"/>
        <w:bottom w:val="single" w:sz="4" w:space="1" w:color="auto"/>
      </w:pBdr>
      <w:spacing w:before="240" w:after="360" w:line="260" w:lineRule="atLeast"/>
      <w:outlineLvl w:val="0"/>
    </w:pPr>
    <w:rPr>
      <w:rFonts w:ascii="Helvetica" w:hAnsi="Helvetica"/>
      <w:b/>
      <w:i/>
      <w:sz w:val="38"/>
    </w:rPr>
  </w:style>
  <w:style w:type="numbering" w:customStyle="1" w:styleId="ChapterList">
    <w:name w:val="ChapterList"/>
    <w:uiPriority w:val="99"/>
    <w:rsid w:val="00E56A6F"/>
    <w:pPr>
      <w:numPr>
        <w:numId w:val="5"/>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22"/>
      </w:numPr>
      <w:spacing w:before="0" w:after="0"/>
    </w:pPr>
    <w:rPr>
      <w:b/>
    </w:rPr>
  </w:style>
  <w:style w:type="paragraph" w:customStyle="1" w:styleId="dotpoint">
    <w:name w:val="dot point"/>
    <w:basedOn w:val="Normal"/>
    <w:rsid w:val="00E56A6F"/>
    <w:pPr>
      <w:numPr>
        <w:numId w:val="6"/>
      </w:numPr>
    </w:pPr>
  </w:style>
  <w:style w:type="paragraph" w:customStyle="1" w:styleId="dotpoint2">
    <w:name w:val="dot point 2"/>
    <w:basedOn w:val="Normal"/>
    <w:rsid w:val="00E56A6F"/>
    <w:pPr>
      <w:numPr>
        <w:ilvl w:val="1"/>
        <w:numId w:val="8"/>
      </w:numPr>
    </w:pPr>
  </w:style>
  <w:style w:type="numbering" w:customStyle="1" w:styleId="DotPointList">
    <w:name w:val="Dot Point List"/>
    <w:uiPriority w:val="99"/>
    <w:rsid w:val="00E56A6F"/>
    <w:pPr>
      <w:numPr>
        <w:numId w:val="7"/>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0"/>
      </w:numPr>
      <w:spacing w:before="200" w:after="200"/>
      <w:ind w:left="2269" w:hanging="284"/>
    </w:pPr>
  </w:style>
  <w:style w:type="paragraph" w:customStyle="1" w:styleId="exampledotpoint2">
    <w:name w:val="example dot point 2"/>
    <w:basedOn w:val="exampletext"/>
    <w:rsid w:val="006A05D6"/>
    <w:pPr>
      <w:numPr>
        <w:ilvl w:val="1"/>
        <w:numId w:val="10"/>
      </w:numPr>
      <w:spacing w:before="200" w:after="200"/>
    </w:pPr>
  </w:style>
  <w:style w:type="numbering" w:customStyle="1" w:styleId="ExampleDotPointList">
    <w:name w:val="Example Dot Point List"/>
    <w:uiPriority w:val="99"/>
    <w:rsid w:val="00E56A6F"/>
    <w:pPr>
      <w:numPr>
        <w:numId w:val="9"/>
      </w:numPr>
    </w:pPr>
  </w:style>
  <w:style w:type="paragraph" w:customStyle="1" w:styleId="ExampleHeading">
    <w:name w:val="Example Heading"/>
    <w:basedOn w:val="Normal"/>
    <w:next w:val="exampletext"/>
    <w:rsid w:val="00E56A6F"/>
    <w:pPr>
      <w:keepNext/>
      <w:numPr>
        <w:ilvl w:val="3"/>
        <w:numId w:val="22"/>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1"/>
      </w:numPr>
    </w:pPr>
  </w:style>
  <w:style w:type="paragraph" w:styleId="ListBullet2">
    <w:name w:val="List Bullet 2"/>
    <w:basedOn w:val="Normal"/>
    <w:semiHidden/>
    <w:rsid w:val="00E56A6F"/>
    <w:pPr>
      <w:numPr>
        <w:numId w:val="12"/>
      </w:numPr>
    </w:pPr>
  </w:style>
  <w:style w:type="paragraph" w:styleId="ListBullet3">
    <w:name w:val="List Bullet 3"/>
    <w:basedOn w:val="Normal"/>
    <w:semiHidden/>
    <w:rsid w:val="00E56A6F"/>
    <w:pPr>
      <w:numPr>
        <w:numId w:val="13"/>
      </w:numPr>
    </w:pPr>
  </w:style>
  <w:style w:type="paragraph" w:styleId="ListBullet4">
    <w:name w:val="List Bullet 4"/>
    <w:basedOn w:val="Normal"/>
    <w:semiHidden/>
    <w:rsid w:val="00E56A6F"/>
    <w:pPr>
      <w:numPr>
        <w:numId w:val="14"/>
      </w:numPr>
    </w:pPr>
  </w:style>
  <w:style w:type="paragraph" w:styleId="ListBullet5">
    <w:name w:val="List Bullet 5"/>
    <w:basedOn w:val="Normal"/>
    <w:semiHidden/>
    <w:rsid w:val="00E56A6F"/>
    <w:pPr>
      <w:numPr>
        <w:numId w:val="15"/>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6"/>
      </w:numPr>
    </w:pPr>
  </w:style>
  <w:style w:type="paragraph" w:styleId="ListNumber2">
    <w:name w:val="List Number 2"/>
    <w:basedOn w:val="Normal"/>
    <w:semiHidden/>
    <w:rsid w:val="00E56A6F"/>
    <w:pPr>
      <w:numPr>
        <w:numId w:val="17"/>
      </w:numPr>
    </w:pPr>
  </w:style>
  <w:style w:type="paragraph" w:styleId="ListNumber3">
    <w:name w:val="List Number 3"/>
    <w:basedOn w:val="Normal"/>
    <w:semiHidden/>
    <w:rsid w:val="00E56A6F"/>
    <w:pPr>
      <w:numPr>
        <w:numId w:val="18"/>
      </w:numPr>
    </w:pPr>
  </w:style>
  <w:style w:type="paragraph" w:styleId="ListNumber4">
    <w:name w:val="List Number 4"/>
    <w:basedOn w:val="Normal"/>
    <w:semiHidden/>
    <w:rsid w:val="00E56A6F"/>
    <w:pPr>
      <w:numPr>
        <w:numId w:val="19"/>
      </w:numPr>
    </w:pPr>
  </w:style>
  <w:style w:type="paragraph" w:styleId="ListNumber5">
    <w:name w:val="List Number 5"/>
    <w:basedOn w:val="Normal"/>
    <w:semiHidden/>
    <w:rsid w:val="00E56A6F"/>
    <w:pPr>
      <w:numPr>
        <w:numId w:val="20"/>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1"/>
      </w:numPr>
    </w:pPr>
  </w:style>
  <w:style w:type="paragraph" w:customStyle="1" w:styleId="tabledotpoint2">
    <w:name w:val="table dot point 2"/>
    <w:basedOn w:val="tabletext"/>
    <w:rsid w:val="00E56A6F"/>
    <w:pPr>
      <w:numPr>
        <w:ilvl w:val="1"/>
        <w:numId w:val="21"/>
      </w:numPr>
    </w:pPr>
  </w:style>
  <w:style w:type="numbering" w:customStyle="1" w:styleId="TableDotPointList">
    <w:name w:val="Table Dot Point List"/>
    <w:uiPriority w:val="99"/>
    <w:rsid w:val="00E56A6F"/>
    <w:pPr>
      <w:numPr>
        <w:numId w:val="21"/>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22"/>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DF7175"/>
    <w:pPr>
      <w:keepNext w:val="0"/>
      <w:tabs>
        <w:tab w:val="right" w:leader="dot" w:pos="7655"/>
      </w:tabs>
      <w:spacing w:before="240"/>
      <w:ind w:left="1758" w:right="851" w:hanging="1758"/>
      <w:outlineLvl w:val="9"/>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360524"/>
    <w:rPr>
      <w:sz w:val="16"/>
      <w:szCs w:val="16"/>
    </w:rPr>
  </w:style>
  <w:style w:type="paragraph" w:styleId="CommentText">
    <w:name w:val="annotation text"/>
    <w:basedOn w:val="Normal"/>
    <w:link w:val="CommentTextChar"/>
    <w:uiPriority w:val="99"/>
    <w:semiHidden/>
    <w:unhideWhenUsed/>
    <w:rsid w:val="00360524"/>
    <w:rPr>
      <w:sz w:val="20"/>
    </w:rPr>
  </w:style>
  <w:style w:type="character" w:customStyle="1" w:styleId="CommentTextChar">
    <w:name w:val="Comment Text Char"/>
    <w:basedOn w:val="DefaultParagraphFont"/>
    <w:link w:val="CommentText"/>
    <w:uiPriority w:val="99"/>
    <w:semiHidden/>
    <w:rsid w:val="0036052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60524"/>
    <w:rPr>
      <w:b/>
      <w:bCs/>
    </w:rPr>
  </w:style>
  <w:style w:type="character" w:customStyle="1" w:styleId="CommentSubjectChar">
    <w:name w:val="Comment Subject Char"/>
    <w:basedOn w:val="CommentTextChar"/>
    <w:link w:val="CommentSubject"/>
    <w:uiPriority w:val="99"/>
    <w:semiHidden/>
    <w:rsid w:val="0036052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6052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524"/>
    <w:rPr>
      <w:rFonts w:ascii="Segoe UI" w:eastAsia="Times New Roman" w:hAnsi="Segoe UI" w:cs="Segoe UI"/>
      <w:sz w:val="18"/>
      <w:szCs w:val="18"/>
      <w:lang w:eastAsia="en-AU"/>
    </w:rPr>
  </w:style>
  <w:style w:type="paragraph" w:customStyle="1" w:styleId="Bullet">
    <w:name w:val="Bullet"/>
    <w:basedOn w:val="Normal"/>
    <w:link w:val="BulletChar"/>
    <w:rsid w:val="0031710C"/>
    <w:pPr>
      <w:numPr>
        <w:numId w:val="29"/>
      </w:numPr>
    </w:pPr>
  </w:style>
  <w:style w:type="character" w:customStyle="1" w:styleId="BulletChar">
    <w:name w:val="Bullet Char"/>
    <w:basedOn w:val="base-text-paragraphChar"/>
    <w:link w:val="Bullet"/>
    <w:rsid w:val="0031710C"/>
    <w:rPr>
      <w:rFonts w:ascii="Times New Roman" w:eastAsia="Times New Roman" w:hAnsi="Times New Roman" w:cs="Times New Roman"/>
      <w:szCs w:val="20"/>
      <w:lang w:eastAsia="en-AU"/>
    </w:rPr>
  </w:style>
  <w:style w:type="paragraph" w:customStyle="1" w:styleId="Dash">
    <w:name w:val="Dash"/>
    <w:basedOn w:val="Normal"/>
    <w:link w:val="DashChar"/>
    <w:rsid w:val="0031710C"/>
    <w:pPr>
      <w:numPr>
        <w:ilvl w:val="1"/>
        <w:numId w:val="29"/>
      </w:numPr>
    </w:pPr>
  </w:style>
  <w:style w:type="character" w:customStyle="1" w:styleId="DashChar">
    <w:name w:val="Dash Char"/>
    <w:basedOn w:val="base-text-paragraphChar"/>
    <w:link w:val="Dash"/>
    <w:rsid w:val="0031710C"/>
    <w:rPr>
      <w:rFonts w:ascii="Times New Roman" w:eastAsia="Times New Roman" w:hAnsi="Times New Roman" w:cs="Times New Roman"/>
      <w:szCs w:val="20"/>
      <w:lang w:eastAsia="en-AU"/>
    </w:rPr>
  </w:style>
  <w:style w:type="paragraph" w:customStyle="1" w:styleId="DoubleDot">
    <w:name w:val="Double Dot"/>
    <w:basedOn w:val="Normal"/>
    <w:link w:val="DoubleDotChar"/>
    <w:rsid w:val="0031710C"/>
    <w:pPr>
      <w:numPr>
        <w:ilvl w:val="2"/>
        <w:numId w:val="29"/>
      </w:numPr>
    </w:pPr>
  </w:style>
  <w:style w:type="character" w:customStyle="1" w:styleId="DoubleDotChar">
    <w:name w:val="Double Dot Char"/>
    <w:basedOn w:val="base-text-paragraphChar"/>
    <w:link w:val="DoubleDot"/>
    <w:rsid w:val="0031710C"/>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_dlc_DocId xmlns="0f563589-9cf9-4143-b1eb-fb0534803d38">2019RG-136-46804</_dlc_DocId>
    <TaxCatchAll xmlns="0f563589-9cf9-4143-b1eb-fb0534803d38">
      <Value>7</Value>
    </TaxCatchAll>
    <_dlc_DocIdUrl xmlns="0f563589-9cf9-4143-b1eb-fb0534803d38">
      <Url>http://tweb/sites/rg/ldp/_layouts/15/DocIdRedir.aspx?ID=2019RG-136-46804</Url>
      <Description>2019RG-136-46804</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Value>46th</Value>
    </Parliamentary_x0020_session>
    <Number_x0020_version xmlns="687b78b0-2ddd-4441-8a8b-c9638c2a1939" xsi:nil="true"/>
    <Status xmlns="687b78b0-2ddd-4441-8a8b-c9638c2a1939">
      <Value>Current</Value>
    </Status>
    <NAture_x0020_of_x0020_documents1 xmlns="687b78b0-2ddd-4441-8a8b-c9638c2a1939">
      <Value>Explanatory memorandum/statement</Value>
    </NAture_x0020_of_x0020_documents1>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3761" ma:contentTypeDescription="" ma:contentTypeScope="" ma:versionID="659c1689d5724d592ae85a99596bf736">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2.xml><?xml version="1.0" encoding="utf-8"?>
<ds:datastoreItem xmlns:ds="http://schemas.openxmlformats.org/officeDocument/2006/customXml" ds:itemID="{E484BCE1-B00C-45BB-B3CA-CEE712E03F53}">
  <ds:schemaRefs>
    <ds:schemaRef ds:uri="http://schemas.microsoft.com/office/2006/documentManagement/types"/>
    <ds:schemaRef ds:uri="http://schemas.microsoft.com/sharepoint/v3"/>
    <ds:schemaRef ds:uri="http://schemas.microsoft.com/office/infopath/2007/PartnerControls"/>
    <ds:schemaRef ds:uri="http://www.w3.org/XML/1998/namespace"/>
    <ds:schemaRef ds:uri="http://schemas.microsoft.com/sharepoint/v4"/>
    <ds:schemaRef ds:uri="http://purl.org/dc/terms/"/>
    <ds:schemaRef ds:uri="9f7bc583-7cbe-45b9-a2bd-8bbb6543b37e"/>
    <ds:schemaRef ds:uri="http://purl.org/dc/elements/1.1/"/>
    <ds:schemaRef ds:uri="http://purl.org/dc/dcmitype/"/>
    <ds:schemaRef ds:uri="http://schemas.microsoft.com/office/2006/metadata/properties"/>
    <ds:schemaRef ds:uri="http://schemas.openxmlformats.org/package/2006/metadata/core-properties"/>
    <ds:schemaRef ds:uri="687b78b0-2ddd-4441-8a8b-c9638c2a1939"/>
    <ds:schemaRef ds:uri="0f563589-9cf9-4143-b1eb-fb0534803d38"/>
  </ds:schemaRefs>
</ds:datastoreItem>
</file>

<file path=customXml/itemProps3.xml><?xml version="1.0" encoding="utf-8"?>
<ds:datastoreItem xmlns:ds="http://schemas.openxmlformats.org/officeDocument/2006/customXml" ds:itemID="{519C73EF-5D89-49BD-86E2-FB5E185037C5}">
  <ds:schemaRefs>
    <ds:schemaRef ds:uri="http://schemas.microsoft.com/sharepoint/events"/>
  </ds:schemaRefs>
</ds:datastoreItem>
</file>

<file path=customXml/itemProps4.xml><?xml version="1.0" encoding="utf-8"?>
<ds:datastoreItem xmlns:ds="http://schemas.openxmlformats.org/officeDocument/2006/customXml" ds:itemID="{75FC31E4-438F-4B54-98DA-D841ABF8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EF8C7A-6F56-4C4D-B51C-8D77D5ADF651}">
  <ds:schemaRefs>
    <ds:schemaRef ds:uri="office.server.policy"/>
  </ds:schemaRefs>
</ds:datastoreItem>
</file>

<file path=customXml/itemProps6.xml><?xml version="1.0" encoding="utf-8"?>
<ds:datastoreItem xmlns:ds="http://schemas.openxmlformats.org/officeDocument/2006/customXml" ds:itemID="{F9504F30-E048-4A2C-87DF-40AB14BA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4</TotalTime>
  <Pages>8</Pages>
  <Words>1899</Words>
  <Characters>9861</Characters>
  <Application>Microsoft Office Word</Application>
  <DocSecurity>0</DocSecurity>
  <Lines>240</Lines>
  <Paragraphs>105</Paragraphs>
  <ScaleCrop>false</ScaleCrop>
  <HeadingPairs>
    <vt:vector size="2" baseType="variant">
      <vt:variant>
        <vt:lpstr>Title</vt:lpstr>
      </vt:variant>
      <vt:variant>
        <vt:i4>1</vt:i4>
      </vt:variant>
    </vt:vector>
  </HeadingPairs>
  <TitlesOfParts>
    <vt:vector size="1" baseType="lpstr">
      <vt:lpstr>Exposure Draft Explanatory Materials</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dc:title>
  <dc:subject/>
  <dc:creator>Australian Government</dc:creator>
  <cp:keywords/>
  <dc:description/>
  <cp:lastModifiedBy>Hill, Christine</cp:lastModifiedBy>
  <cp:revision>5</cp:revision>
  <cp:lastPrinted>2019-10-24T03:59:00Z</cp:lastPrinted>
  <dcterms:created xsi:type="dcterms:W3CDTF">2019-10-24T04:56:00Z</dcterms:created>
  <dcterms:modified xsi:type="dcterms:W3CDTF">2019-10-28T23:53:00Z</dcterms:modified>
</cp:coreProperties>
</file>