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70E78" w14:textId="53D10A98" w:rsidR="00F012EA" w:rsidRPr="00DD5DF9" w:rsidRDefault="00453515" w:rsidP="00F012EA">
      <w:pPr>
        <w:pStyle w:val="Title"/>
      </w:pPr>
      <w:r>
        <w:t xml:space="preserve">Job-to-job transitions and the </w:t>
      </w:r>
      <w:r w:rsidR="001D69F2">
        <w:t xml:space="preserve">wages </w:t>
      </w:r>
      <w:r w:rsidR="00BA1099">
        <w:t>of Australian workers</w:t>
      </w:r>
    </w:p>
    <w:p w14:paraId="7412D387" w14:textId="77777777" w:rsidR="00F012EA" w:rsidRDefault="00BA1099" w:rsidP="00F012EA">
      <w:pPr>
        <w:pStyle w:val="AuthorName"/>
        <w:rPr>
          <w:szCs w:val="24"/>
        </w:rPr>
      </w:pPr>
      <w:r>
        <w:rPr>
          <w:szCs w:val="24"/>
        </w:rPr>
        <w:t>Nathan Deutscher</w:t>
      </w:r>
      <w:r w:rsidR="00F012EA" w:rsidRPr="00F21A41">
        <w:rPr>
          <w:rStyle w:val="FootnoteReference"/>
          <w:szCs w:val="24"/>
        </w:rPr>
        <w:footnoteReference w:id="2"/>
      </w:r>
    </w:p>
    <w:p w14:paraId="1149DC41" w14:textId="77777777" w:rsidR="00F012EA" w:rsidRPr="00F8009C" w:rsidRDefault="00F012EA" w:rsidP="00F012EA">
      <w:pPr>
        <w:pStyle w:val="Subtitle"/>
        <w:tabs>
          <w:tab w:val="left" w:pos="1985"/>
        </w:tabs>
        <w:rPr>
          <w:szCs w:val="40"/>
        </w:rPr>
      </w:pPr>
      <w:r>
        <w:rPr>
          <w:szCs w:val="40"/>
        </w:rPr>
        <w:t>Treasury Working Paper</w:t>
      </w:r>
      <w:r>
        <w:rPr>
          <w:rStyle w:val="FootnoteReference"/>
          <w:szCs w:val="40"/>
        </w:rPr>
        <w:footnoteReference w:id="3"/>
      </w:r>
    </w:p>
    <w:p w14:paraId="599366FA" w14:textId="5BD443A1" w:rsidR="00F012EA" w:rsidRPr="00F8009C" w:rsidRDefault="00F012EA" w:rsidP="00F012EA">
      <w:pPr>
        <w:pStyle w:val="Subtitle"/>
        <w:rPr>
          <w:szCs w:val="36"/>
        </w:rPr>
      </w:pPr>
      <w:r>
        <w:rPr>
          <w:szCs w:val="36"/>
        </w:rPr>
        <w:t>20</w:t>
      </w:r>
      <w:r w:rsidR="00BA1099">
        <w:rPr>
          <w:szCs w:val="36"/>
        </w:rPr>
        <w:t>1</w:t>
      </w:r>
      <w:r w:rsidR="00894EB0">
        <w:rPr>
          <w:szCs w:val="36"/>
        </w:rPr>
        <w:t>9</w:t>
      </w:r>
      <w:r w:rsidR="00F968C5">
        <w:rPr>
          <w:szCs w:val="36"/>
        </w:rPr>
        <w:noBreakHyphen/>
        <w:t>07</w:t>
      </w:r>
    </w:p>
    <w:p w14:paraId="06E27BF6" w14:textId="32DEE74F" w:rsidR="00F012EA" w:rsidRPr="0018497C" w:rsidRDefault="00F012EA" w:rsidP="00F012EA">
      <w:pPr>
        <w:pStyle w:val="SeriesNumber"/>
        <w:spacing w:before="120" w:after="120"/>
        <w:rPr>
          <w:sz w:val="24"/>
          <w:szCs w:val="24"/>
        </w:rPr>
      </w:pPr>
      <w:r w:rsidRPr="0018497C">
        <w:rPr>
          <w:sz w:val="24"/>
          <w:szCs w:val="24"/>
        </w:rPr>
        <w:t xml:space="preserve">Date created: </w:t>
      </w:r>
      <w:r w:rsidR="007D1945">
        <w:rPr>
          <w:sz w:val="24"/>
          <w:szCs w:val="24"/>
        </w:rPr>
        <w:t>November 2019</w:t>
      </w:r>
    </w:p>
    <w:p w14:paraId="38165FD1" w14:textId="77777777" w:rsidR="000464B6" w:rsidRDefault="000464B6" w:rsidP="00F012EA">
      <w:pPr>
        <w:pStyle w:val="AuthorName"/>
        <w:rPr>
          <w:szCs w:val="24"/>
        </w:rPr>
        <w:sectPr w:rsidR="000464B6" w:rsidSect="008C0793">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567" w:footer="567" w:gutter="0"/>
          <w:cols w:space="708"/>
          <w:titlePg/>
          <w:docGrid w:linePitch="360"/>
        </w:sectPr>
      </w:pPr>
    </w:p>
    <w:p w14:paraId="4D669C2F" w14:textId="382215B6" w:rsidR="000464B6" w:rsidRDefault="000464B6" w:rsidP="000464B6">
      <w:r w:rsidRPr="00661BF0">
        <w:lastRenderedPageBreak/>
        <w:t xml:space="preserve">© Commonwealth of Australia </w:t>
      </w:r>
      <w:r w:rsidR="00D3480D" w:rsidRPr="00D3480D">
        <w:t>2019</w:t>
      </w:r>
    </w:p>
    <w:p w14:paraId="4E7FE3E1" w14:textId="77777777" w:rsidR="000464B6" w:rsidRPr="00086F82" w:rsidRDefault="000464B6" w:rsidP="000464B6">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18"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19" w:history="1">
        <w:r w:rsidRPr="006627B4">
          <w:rPr>
            <w:rStyle w:val="Hyperlink"/>
          </w:rPr>
          <w:t>http://creativecommons.org/licenses/by/3.0/au/legalcode</w:t>
        </w:r>
      </w:hyperlink>
      <w:r w:rsidRPr="006627B4">
        <w:rPr>
          <w:rStyle w:val="Hyperlink"/>
        </w:rPr>
        <w:t>.</w:t>
      </w:r>
      <w:r w:rsidRPr="00D06A21">
        <w:rPr>
          <w:sz w:val="24"/>
          <w:szCs w:val="24"/>
        </w:rPr>
        <w:t xml:space="preserve"> </w:t>
      </w:r>
    </w:p>
    <w:p w14:paraId="1B561338" w14:textId="77777777" w:rsidR="000464B6" w:rsidRDefault="000464B6" w:rsidP="000464B6">
      <w:pPr>
        <w:tabs>
          <w:tab w:val="left" w:pos="1650"/>
        </w:tabs>
        <w:spacing w:before="100" w:beforeAutospacing="1" w:after="100" w:afterAutospacing="1"/>
        <w:rPr>
          <w:rFonts w:cstheme="minorHAnsi"/>
          <w:sz w:val="24"/>
          <w:szCs w:val="24"/>
        </w:rPr>
      </w:pPr>
      <w:r w:rsidRPr="00E56DFB">
        <w:rPr>
          <w:rFonts w:cstheme="minorHAnsi"/>
          <w:noProof/>
          <w:sz w:val="24"/>
          <w:szCs w:val="24"/>
          <w:lang w:eastAsia="en-AU"/>
        </w:rPr>
        <w:drawing>
          <wp:inline distT="0" distB="0" distL="0" distR="0" wp14:anchorId="1D0568CB" wp14:editId="7391F11C">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0"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02C1513" w14:textId="77777777" w:rsidR="000464B6" w:rsidRPr="006627B4" w:rsidRDefault="000464B6" w:rsidP="000464B6">
      <w:pPr>
        <w:tabs>
          <w:tab w:val="left" w:pos="1650"/>
        </w:tabs>
      </w:pPr>
      <w:r w:rsidRPr="006627B4">
        <w:t>Use of Treasury material under a</w:t>
      </w:r>
      <w:r w:rsidRPr="00476F09">
        <w:rPr>
          <w:rFonts w:cstheme="minorHAnsi"/>
          <w:sz w:val="24"/>
          <w:szCs w:val="24"/>
        </w:rPr>
        <w:t xml:space="preserve"> </w:t>
      </w:r>
      <w:hyperlink r:id="rId21"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 xml:space="preserve">licence requires you to attribute the work (but not in any way that suggests that the Treasury endorses you or your use of the work). </w:t>
      </w:r>
    </w:p>
    <w:p w14:paraId="4631498D" w14:textId="77777777" w:rsidR="000464B6" w:rsidRPr="002F1BC2" w:rsidRDefault="000464B6" w:rsidP="00D3480D">
      <w:pPr>
        <w:ind w:firstLine="720"/>
        <w:rPr>
          <w:i/>
        </w:rPr>
      </w:pPr>
      <w:r w:rsidRPr="002F1BC2">
        <w:rPr>
          <w:i/>
        </w:rPr>
        <w:t>Treasury material used 'as supplied'</w:t>
      </w:r>
    </w:p>
    <w:p w14:paraId="6BDF8348" w14:textId="77777777" w:rsidR="000464B6" w:rsidRPr="00476F09" w:rsidRDefault="000464B6" w:rsidP="000464B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78BC51EC" w14:textId="77777777" w:rsidR="000464B6" w:rsidRPr="00A13A11" w:rsidRDefault="000464B6" w:rsidP="000464B6">
      <w:pPr>
        <w:ind w:firstLine="720"/>
      </w:pPr>
      <w:r w:rsidRPr="002F1BC2">
        <w:rPr>
          <w:i/>
        </w:rPr>
        <w:t xml:space="preserve">Source: The </w:t>
      </w:r>
      <w:r w:rsidRPr="002F1BC2">
        <w:rPr>
          <w:i/>
          <w:iCs/>
        </w:rPr>
        <w:t>Australian Government the Treasury</w:t>
      </w:r>
    </w:p>
    <w:p w14:paraId="6B9FB2CF" w14:textId="77777777" w:rsidR="000464B6" w:rsidRPr="006627B4" w:rsidRDefault="000464B6" w:rsidP="000464B6">
      <w:r w:rsidRPr="006627B4">
        <w:t>Derivative material</w:t>
      </w:r>
    </w:p>
    <w:p w14:paraId="689B9493" w14:textId="77777777" w:rsidR="000464B6" w:rsidRPr="006627B4" w:rsidRDefault="000464B6" w:rsidP="000464B6">
      <w:r w:rsidRPr="006627B4">
        <w:t xml:space="preserve">If you have modified or transformed Treasury material, or derived new material from those of the Treasury in any way, then Treasury prefers the following attribution: </w:t>
      </w:r>
    </w:p>
    <w:p w14:paraId="339FC277" w14:textId="77777777" w:rsidR="000464B6" w:rsidRPr="006627B4" w:rsidRDefault="000464B6" w:rsidP="000464B6">
      <w:pPr>
        <w:ind w:firstLine="720"/>
      </w:pPr>
      <w:r w:rsidRPr="002F1BC2">
        <w:rPr>
          <w:i/>
        </w:rPr>
        <w:t>Based on The Australian Government the Treasury data</w:t>
      </w:r>
    </w:p>
    <w:p w14:paraId="12F41AC3" w14:textId="77777777" w:rsidR="000464B6" w:rsidRPr="006627B4" w:rsidRDefault="000464B6" w:rsidP="000464B6">
      <w:pPr>
        <w:spacing w:after="40"/>
        <w:rPr>
          <w:b/>
        </w:rPr>
      </w:pPr>
      <w:r w:rsidRPr="006627B4">
        <w:rPr>
          <w:b/>
        </w:rPr>
        <w:t>Use of the Coat of Arms</w:t>
      </w:r>
    </w:p>
    <w:p w14:paraId="39B361EA" w14:textId="77777777" w:rsidR="000464B6" w:rsidRPr="006627B4" w:rsidRDefault="00A40BA2" w:rsidP="000464B6">
      <w:r w:rsidRPr="00A40BA2">
        <w:t>The terms under which the Coat of Arms can be used are set out on the Departme</w:t>
      </w:r>
      <w:r>
        <w:t>nt of the Prime </w:t>
      </w:r>
      <w:r w:rsidRPr="00A40BA2">
        <w:t xml:space="preserve">Minister and Cabinet website (see </w:t>
      </w:r>
      <w:hyperlink r:id="rId22" w:history="1">
        <w:r w:rsidRPr="005A283B">
          <w:rPr>
            <w:rStyle w:val="Hyperlink"/>
          </w:rPr>
          <w:t>www.pmc.gov.au/government/commonwealth-coat-arms</w:t>
        </w:r>
      </w:hyperlink>
      <w:r w:rsidRPr="00A40BA2">
        <w:t>).</w:t>
      </w:r>
    </w:p>
    <w:p w14:paraId="31C014E4" w14:textId="77777777" w:rsidR="000464B6" w:rsidRPr="006627B4" w:rsidRDefault="00A57848" w:rsidP="000464B6">
      <w:pPr>
        <w:spacing w:after="40"/>
        <w:rPr>
          <w:b/>
        </w:rPr>
      </w:pPr>
      <w:r>
        <w:rPr>
          <w:b/>
        </w:rPr>
        <w:t>Other u</w:t>
      </w:r>
      <w:r w:rsidR="000464B6" w:rsidRPr="006627B4">
        <w:rPr>
          <w:b/>
        </w:rPr>
        <w:t>ses</w:t>
      </w:r>
    </w:p>
    <w:p w14:paraId="30EE4239" w14:textId="77777777" w:rsidR="000464B6" w:rsidRPr="006627B4" w:rsidRDefault="00A57848" w:rsidP="00A57848">
      <w:pPr>
        <w:spacing w:after="120"/>
      </w:pPr>
      <w:r>
        <w:t>E</w:t>
      </w:r>
      <w:r w:rsidR="000464B6" w:rsidRPr="006627B4">
        <w:t>nquiries regarding this licence and any other use of this document are welcome at:</w:t>
      </w:r>
    </w:p>
    <w:p w14:paraId="3F6F64EA" w14:textId="77777777" w:rsidR="000464B6" w:rsidRPr="006627B4" w:rsidRDefault="000464B6" w:rsidP="000464B6">
      <w:pPr>
        <w:spacing w:after="0"/>
        <w:ind w:left="720"/>
      </w:pPr>
      <w:r w:rsidRPr="006627B4">
        <w:t>Manager</w:t>
      </w:r>
    </w:p>
    <w:p w14:paraId="2F7F478A" w14:textId="77777777" w:rsidR="000464B6" w:rsidRPr="006627B4" w:rsidRDefault="00A57848" w:rsidP="000464B6">
      <w:pPr>
        <w:spacing w:after="0"/>
        <w:ind w:left="720"/>
      </w:pPr>
      <w:r>
        <w:t>Media Unit</w:t>
      </w:r>
    </w:p>
    <w:p w14:paraId="40E84D81" w14:textId="77777777" w:rsidR="000464B6" w:rsidRPr="006627B4" w:rsidRDefault="000464B6" w:rsidP="000464B6">
      <w:pPr>
        <w:spacing w:after="0"/>
        <w:ind w:left="720"/>
      </w:pPr>
      <w:r w:rsidRPr="006627B4">
        <w:t>The Treasury</w:t>
      </w:r>
    </w:p>
    <w:p w14:paraId="2AF21592" w14:textId="77777777" w:rsidR="000464B6" w:rsidRPr="006627B4" w:rsidRDefault="000464B6" w:rsidP="000464B6">
      <w:pPr>
        <w:spacing w:after="0"/>
        <w:ind w:left="720"/>
      </w:pPr>
      <w:r w:rsidRPr="006627B4">
        <w:t xml:space="preserve">Langton Crescent </w:t>
      </w:r>
      <w:r w:rsidR="00A57848">
        <w:br/>
      </w:r>
      <w:r w:rsidRPr="006627B4">
        <w:t>Parkes ACT 2600</w:t>
      </w:r>
    </w:p>
    <w:p w14:paraId="2432555D" w14:textId="77777777" w:rsidR="000464B6" w:rsidRDefault="000464B6" w:rsidP="000464B6">
      <w:pPr>
        <w:spacing w:after="0"/>
        <w:ind w:left="720"/>
        <w:rPr>
          <w:rStyle w:val="Hyperlink"/>
        </w:rPr>
      </w:pPr>
      <w:r w:rsidRPr="006627B4">
        <w:t xml:space="preserve">Email: </w:t>
      </w:r>
      <w:hyperlink r:id="rId23" w:history="1">
        <w:r w:rsidRPr="00573329">
          <w:rPr>
            <w:rStyle w:val="Hyperlink"/>
          </w:rPr>
          <w:t>medialiaison@treasury.gov.au</w:t>
        </w:r>
      </w:hyperlink>
      <w:r w:rsidRPr="002F1BC2">
        <w:rPr>
          <w:rStyle w:val="Hyperlink"/>
        </w:rPr>
        <w:t xml:space="preserve"> </w:t>
      </w:r>
    </w:p>
    <w:p w14:paraId="3A0183AA" w14:textId="77777777" w:rsidR="000464B6" w:rsidRPr="000464B6" w:rsidRDefault="000464B6" w:rsidP="000464B6"/>
    <w:p w14:paraId="6724D10B" w14:textId="77777777" w:rsidR="000464B6" w:rsidRDefault="000464B6" w:rsidP="000464B6">
      <w:pPr>
        <w:spacing w:after="0"/>
        <w:ind w:left="720"/>
        <w:rPr>
          <w:rStyle w:val="Hyperlink"/>
        </w:rPr>
        <w:sectPr w:rsidR="000464B6" w:rsidSect="008C0793">
          <w:headerReference w:type="even" r:id="rId24"/>
          <w:headerReference w:type="default" r:id="rId25"/>
          <w:headerReference w:type="first" r:id="rId26"/>
          <w:pgSz w:w="11906" w:h="16838" w:code="9"/>
          <w:pgMar w:top="1418" w:right="1304" w:bottom="1418" w:left="1304" w:header="567" w:footer="567" w:gutter="0"/>
          <w:cols w:space="708"/>
          <w:titlePg/>
          <w:docGrid w:linePitch="360"/>
        </w:sectPr>
      </w:pPr>
    </w:p>
    <w:p w14:paraId="0A748D5C" w14:textId="5D6605B8" w:rsidR="00F012EA" w:rsidRDefault="004B098B" w:rsidP="00F012EA">
      <w:pPr>
        <w:pStyle w:val="SingleParagraph"/>
      </w:pPr>
      <w:r>
        <w:lastRenderedPageBreak/>
        <w:t xml:space="preserve">Job-to-job transitions and the </w:t>
      </w:r>
      <w:r w:rsidR="001D69F2">
        <w:t xml:space="preserve">wages </w:t>
      </w:r>
      <w:r>
        <w:t>of Australian workers</w:t>
      </w:r>
    </w:p>
    <w:p w14:paraId="345FA74A" w14:textId="5F2B3510" w:rsidR="00F012EA" w:rsidRDefault="004B098B" w:rsidP="00F012EA">
      <w:pPr>
        <w:pStyle w:val="SingleParagraph"/>
      </w:pPr>
      <w:r>
        <w:t>Nathan Deutscher</w:t>
      </w:r>
    </w:p>
    <w:p w14:paraId="54A18372" w14:textId="46FC5386" w:rsidR="00F012EA" w:rsidRDefault="00F012EA" w:rsidP="00F012EA">
      <w:pPr>
        <w:pStyle w:val="SingleParagraph"/>
      </w:pPr>
      <w:r w:rsidRPr="00234544">
        <w:t>20</w:t>
      </w:r>
      <w:r w:rsidR="00234544" w:rsidRPr="00234544">
        <w:t>19-07</w:t>
      </w:r>
    </w:p>
    <w:p w14:paraId="533C83C8" w14:textId="180B2A08" w:rsidR="00F012EA" w:rsidRDefault="00E57EE2" w:rsidP="00F012EA">
      <w:pPr>
        <w:pStyle w:val="SingleParagraph"/>
      </w:pPr>
      <w:r>
        <w:t>November 2019</w:t>
      </w:r>
    </w:p>
    <w:p w14:paraId="5398618D" w14:textId="77777777" w:rsidR="00F012EA" w:rsidRDefault="00F012EA" w:rsidP="00F012EA">
      <w:pPr>
        <w:pStyle w:val="Heading1"/>
      </w:pPr>
      <w:r>
        <w:t>Abstract</w:t>
      </w:r>
    </w:p>
    <w:p w14:paraId="17E34C85" w14:textId="022FF46A" w:rsidR="00F012EA" w:rsidRDefault="004F56AF" w:rsidP="00C84B20">
      <w:pPr>
        <w:pStyle w:val="Abstract"/>
        <w:jc w:val="both"/>
      </w:pPr>
      <w:r>
        <w:t xml:space="preserve">Leading models of on-the-job search suggest that </w:t>
      </w:r>
      <w:r w:rsidR="00C43735">
        <w:t xml:space="preserve">competition among firms for employed workers – reflected in higher job-to-job transition rates – is an important driver of real wages. Intuitively, workers are better placed to </w:t>
      </w:r>
      <w:r w:rsidR="00715D0D">
        <w:t>mov</w:t>
      </w:r>
      <w:r w:rsidR="00FE62CD">
        <w:t>e or bargain for</w:t>
      </w:r>
      <w:r w:rsidR="00C43735">
        <w:t xml:space="preserve"> increases in wages, hours or promotions when they have more outside options, namely other employers who want to hire them. </w:t>
      </w:r>
      <w:r w:rsidR="00130E86">
        <w:t>I</w:t>
      </w:r>
      <w:r>
        <w:t xml:space="preserve"> test</w:t>
      </w:r>
      <w:r w:rsidR="00130E86">
        <w:t xml:space="preserve"> </w:t>
      </w:r>
      <w:r>
        <w:t>the predictions from</w:t>
      </w:r>
      <w:r w:rsidR="00C43735">
        <w:t xml:space="preserve"> thi</w:t>
      </w:r>
      <w:r w:rsidR="000D5073">
        <w:t xml:space="preserve">s model in the Australian data. </w:t>
      </w:r>
      <w:r w:rsidR="00190B72">
        <w:t>H</w:t>
      </w:r>
      <w:r w:rsidR="000E2B4B">
        <w:t>igher job-to-job transition</w:t>
      </w:r>
      <w:r w:rsidR="00B24126">
        <w:t xml:space="preserve"> rates in Australian local labour markets are associated with higher </w:t>
      </w:r>
      <w:r w:rsidR="007F31DB">
        <w:t>wage</w:t>
      </w:r>
      <w:r w:rsidR="009342A9">
        <w:t>s</w:t>
      </w:r>
      <w:r w:rsidR="00B24126">
        <w:t xml:space="preserve"> growth</w:t>
      </w:r>
      <w:r w:rsidR="00BF3227">
        <w:t>, including for those who stay in their jobs</w:t>
      </w:r>
      <w:r w:rsidR="00B24126">
        <w:t>.</w:t>
      </w:r>
      <w:r w:rsidR="00AC01E1">
        <w:t xml:space="preserve"> </w:t>
      </w:r>
      <w:r w:rsidR="00B24126">
        <w:t>A 1 percentage point increase in the rate at which workers swit</w:t>
      </w:r>
      <w:r w:rsidR="00190B72">
        <w:t>ch jobs is associated with a ½ </w:t>
      </w:r>
      <w:r w:rsidR="0043278F">
        <w:t>percentage point</w:t>
      </w:r>
      <w:r w:rsidR="00B24126">
        <w:t xml:space="preserve"> increa</w:t>
      </w:r>
      <w:r w:rsidR="004B098B">
        <w:t xml:space="preserve">se in </w:t>
      </w:r>
      <w:r w:rsidR="00894EB0">
        <w:t xml:space="preserve">growth in </w:t>
      </w:r>
      <w:r w:rsidR="004B098B">
        <w:t xml:space="preserve">average </w:t>
      </w:r>
      <w:r w:rsidR="007F31DB">
        <w:t>wages</w:t>
      </w:r>
      <w:r w:rsidR="004B098B">
        <w:t>.</w:t>
      </w:r>
      <w:r w:rsidR="00AC01E1">
        <w:t xml:space="preserve"> </w:t>
      </w:r>
      <w:r w:rsidR="00190B72">
        <w:t>This association holds after controlling for a range of cyclical influences</w:t>
      </w:r>
      <w:r w:rsidR="000D5073">
        <w:t>,</w:t>
      </w:r>
      <w:r w:rsidR="00BF3D5A">
        <w:t xml:space="preserve"> including the rate at which the unemployed find work,</w:t>
      </w:r>
      <w:r w:rsidR="000D5073">
        <w:t xml:space="preserve"> suggesting the relationship between job</w:t>
      </w:r>
      <w:r w:rsidR="0017222D">
        <w:t>-to-job transition</w:t>
      </w:r>
      <w:r w:rsidR="000D5073">
        <w:t xml:space="preserve"> rates and wages growth runs deeper than both </w:t>
      </w:r>
      <w:r w:rsidR="0017222D">
        <w:t xml:space="preserve">simply </w:t>
      </w:r>
      <w:r w:rsidR="000D5073">
        <w:t xml:space="preserve">being higher in </w:t>
      </w:r>
      <w:r w:rsidR="00AE3A0C">
        <w:t xml:space="preserve">cyclically </w:t>
      </w:r>
      <w:r w:rsidR="000D5073">
        <w:t xml:space="preserve">stronger labour markets. </w:t>
      </w:r>
      <w:r w:rsidR="0073035F">
        <w:t xml:space="preserve">Further work on what drives variation in job-to-job transitions rates could </w:t>
      </w:r>
      <w:r w:rsidR="00DE6719">
        <w:t>help in</w:t>
      </w:r>
      <w:r w:rsidR="0073035F">
        <w:t xml:space="preserve"> better understand</w:t>
      </w:r>
      <w:r w:rsidR="00DE6719">
        <w:t>ing</w:t>
      </w:r>
      <w:r w:rsidR="0073035F">
        <w:t xml:space="preserve"> the underlying drivers of this relationship. </w:t>
      </w:r>
      <w:r w:rsidR="000D5073">
        <w:t xml:space="preserve"> </w:t>
      </w:r>
      <w:r w:rsidR="000D5073" w:rsidDel="000D5073">
        <w:t xml:space="preserve"> </w:t>
      </w:r>
    </w:p>
    <w:p w14:paraId="18E029EE" w14:textId="77777777" w:rsidR="00B24126" w:rsidRDefault="00B24126" w:rsidP="00F012EA">
      <w:pPr>
        <w:pStyle w:val="Abstract"/>
      </w:pPr>
    </w:p>
    <w:p w14:paraId="281781E2" w14:textId="77777777" w:rsidR="00B24126" w:rsidRPr="00E65E4B" w:rsidRDefault="00B24126" w:rsidP="00F012EA">
      <w:pPr>
        <w:pStyle w:val="Abstract"/>
      </w:pPr>
    </w:p>
    <w:p w14:paraId="05FB4C2F" w14:textId="54EA8E3A" w:rsidR="00F012EA" w:rsidRDefault="0026493B" w:rsidP="00F012EA">
      <w:pPr>
        <w:pStyle w:val="SingleParagraph"/>
      </w:pPr>
      <w:r>
        <w:t>JEL Classification Numbers: E24, J62, J64</w:t>
      </w:r>
    </w:p>
    <w:p w14:paraId="14A64D97" w14:textId="32C06C38" w:rsidR="00F012EA" w:rsidRDefault="00F012EA" w:rsidP="00F012EA">
      <w:pPr>
        <w:pStyle w:val="SingleParagraph"/>
      </w:pPr>
      <w:r>
        <w:t xml:space="preserve">Keywords: </w:t>
      </w:r>
      <w:r w:rsidR="0026493B">
        <w:t>Wages, job mobility, job search</w:t>
      </w:r>
    </w:p>
    <w:p w14:paraId="4AFB5B44" w14:textId="77777777" w:rsidR="00F012EA" w:rsidRDefault="00F012EA" w:rsidP="00F012EA">
      <w:pPr>
        <w:pStyle w:val="SingleParagraph"/>
      </w:pPr>
    </w:p>
    <w:p w14:paraId="37CFF547" w14:textId="759DD7B2" w:rsidR="00F012EA" w:rsidRDefault="00FE63BB" w:rsidP="00F012EA">
      <w:pPr>
        <w:pStyle w:val="SingleParagraph"/>
      </w:pPr>
      <w:r>
        <w:t>Nathan Deutscher</w:t>
      </w:r>
    </w:p>
    <w:p w14:paraId="075902AD" w14:textId="7CC85B72" w:rsidR="00C84B20" w:rsidRDefault="00C84B20" w:rsidP="00F012EA">
      <w:pPr>
        <w:pStyle w:val="SingleParagraph"/>
      </w:pPr>
      <w:r w:rsidRPr="001E34D9">
        <w:rPr>
          <w:spacing w:val="-1"/>
        </w:rPr>
        <w:t>Macroeconomic Modelling and Policy Division</w:t>
      </w:r>
    </w:p>
    <w:p w14:paraId="40016BFA" w14:textId="5EA8A89A" w:rsidR="00F012EA" w:rsidRDefault="005506ED" w:rsidP="00F012EA">
      <w:pPr>
        <w:pStyle w:val="SingleParagraph"/>
      </w:pPr>
      <w:r>
        <w:t>Macroeconomic</w:t>
      </w:r>
      <w:r w:rsidR="00FE63BB">
        <w:t xml:space="preserve"> Group</w:t>
      </w:r>
    </w:p>
    <w:p w14:paraId="11981EBB" w14:textId="77777777" w:rsidR="00F012EA" w:rsidRDefault="00F012EA" w:rsidP="00F012EA">
      <w:pPr>
        <w:pStyle w:val="SingleParagraph"/>
      </w:pPr>
      <w:r>
        <w:t>The Treasury</w:t>
      </w:r>
    </w:p>
    <w:p w14:paraId="13DF954C" w14:textId="77777777" w:rsidR="00F012EA" w:rsidRDefault="00F012EA" w:rsidP="00F012EA">
      <w:pPr>
        <w:pStyle w:val="SingleParagraph"/>
      </w:pPr>
      <w:r>
        <w:t>Langton Crescent</w:t>
      </w:r>
    </w:p>
    <w:p w14:paraId="036F4248" w14:textId="700BC0ED" w:rsidR="00F012EA" w:rsidRDefault="00F012EA" w:rsidP="00F012EA">
      <w:pPr>
        <w:pStyle w:val="SingleParagraph"/>
      </w:pPr>
      <w:r>
        <w:t>Parkes</w:t>
      </w:r>
      <w:r w:rsidR="00AC01E1">
        <w:t xml:space="preserve"> </w:t>
      </w:r>
      <w:r>
        <w:t>ACT</w:t>
      </w:r>
      <w:r w:rsidR="00AC01E1">
        <w:t xml:space="preserve"> </w:t>
      </w:r>
      <w:r>
        <w:t>2600</w:t>
      </w:r>
    </w:p>
    <w:p w14:paraId="7E87A4BB" w14:textId="77777777" w:rsidR="00F012EA" w:rsidRDefault="00F012EA" w:rsidP="008627B1"/>
    <w:p w14:paraId="34C79857" w14:textId="77777777" w:rsidR="00F012EA" w:rsidRDefault="00F012EA" w:rsidP="008627B1"/>
    <w:p w14:paraId="682C0590" w14:textId="77777777" w:rsidR="00F012EA" w:rsidRDefault="00F012EA" w:rsidP="008627B1">
      <w:pPr>
        <w:sectPr w:rsidR="00F012EA" w:rsidSect="008C0793">
          <w:pgSz w:w="11906" w:h="16838" w:code="9"/>
          <w:pgMar w:top="1418" w:right="1304" w:bottom="1418" w:left="1304" w:header="567" w:footer="567" w:gutter="0"/>
          <w:cols w:space="708"/>
          <w:titlePg/>
          <w:docGrid w:linePitch="360"/>
        </w:sectPr>
      </w:pPr>
    </w:p>
    <w:p w14:paraId="7BDE5BD9" w14:textId="77777777" w:rsidR="00F012EA" w:rsidRPr="00A57848" w:rsidRDefault="00F012EA" w:rsidP="00A57848">
      <w:pPr>
        <w:pStyle w:val="Heading2"/>
      </w:pPr>
      <w:bookmarkStart w:id="0" w:name="_Toc271526783"/>
      <w:bookmarkStart w:id="1" w:name="_Toc320810314"/>
      <w:r w:rsidRPr="00A57848">
        <w:lastRenderedPageBreak/>
        <w:t>Introduction</w:t>
      </w:r>
      <w:bookmarkEnd w:id="0"/>
      <w:bookmarkEnd w:id="1"/>
    </w:p>
    <w:p w14:paraId="64CB3693" w14:textId="2DF64D92" w:rsidR="00C33A4E" w:rsidRDefault="006C7F17" w:rsidP="00C84B20">
      <w:pPr>
        <w:jc w:val="both"/>
      </w:pPr>
      <w:r>
        <w:t xml:space="preserve">Past Australian research </w:t>
      </w:r>
      <w:r w:rsidR="008E5E87">
        <w:t>suggests that, outside downturns in the labour market,</w:t>
      </w:r>
      <w:r>
        <w:t xml:space="preserve"> </w:t>
      </w:r>
      <w:r w:rsidR="00546220">
        <w:t xml:space="preserve">those </w:t>
      </w:r>
      <w:r w:rsidR="004F56AF">
        <w:t xml:space="preserve">switching </w:t>
      </w:r>
      <w:r>
        <w:t>job</w:t>
      </w:r>
      <w:r w:rsidR="004F56AF">
        <w:t>s</w:t>
      </w:r>
      <w:r>
        <w:t xml:space="preserve"> </w:t>
      </w:r>
      <w:r w:rsidR="00546220">
        <w:t>typically experience</w:t>
      </w:r>
      <w:r>
        <w:t xml:space="preserve"> higher wages growth (Treasury 2017</w:t>
      </w:r>
      <w:r w:rsidR="00AC01E1">
        <w:t>)</w:t>
      </w:r>
      <w:r w:rsidR="00FE7689">
        <w:t xml:space="preserve"> – b</w:t>
      </w:r>
      <w:r w:rsidR="00C33A4E">
        <w:t xml:space="preserve">ut </w:t>
      </w:r>
      <w:r w:rsidR="00546220">
        <w:t>can</w:t>
      </w:r>
      <w:r w:rsidR="00C33A4E">
        <w:t xml:space="preserve"> a more fluid labour market benefi</w:t>
      </w:r>
      <w:r w:rsidR="00546220">
        <w:t>t</w:t>
      </w:r>
      <w:r w:rsidR="00C33A4E">
        <w:t xml:space="preserve"> </w:t>
      </w:r>
      <w:r w:rsidR="00BF3227">
        <w:t>wages in aggregate</w:t>
      </w:r>
      <w:r w:rsidR="0062753A">
        <w:t xml:space="preserve"> and for those who stay in their jobs</w:t>
      </w:r>
      <w:r w:rsidR="00C33A4E">
        <w:t>?</w:t>
      </w:r>
      <w:r w:rsidR="00DC7C09">
        <w:t xml:space="preserve"> </w:t>
      </w:r>
      <w:r w:rsidR="004B098B">
        <w:t>I present s</w:t>
      </w:r>
      <w:r w:rsidR="00AC01E1">
        <w:t xml:space="preserve">uggestive evidence that it </w:t>
      </w:r>
      <w:r w:rsidR="00546220">
        <w:t>can</w:t>
      </w:r>
      <w:r w:rsidR="00AC01E1">
        <w:t xml:space="preserve">. </w:t>
      </w:r>
      <w:r w:rsidR="004B098B" w:rsidRPr="0014162C">
        <w:t>Higher job</w:t>
      </w:r>
      <w:r w:rsidR="00546220">
        <w:noBreakHyphen/>
      </w:r>
      <w:r w:rsidR="004B098B" w:rsidRPr="0014162C">
        <w:t>to</w:t>
      </w:r>
      <w:r w:rsidR="00546220">
        <w:noBreakHyphen/>
      </w:r>
      <w:r w:rsidR="004B098B" w:rsidRPr="0014162C">
        <w:t>job transit</w:t>
      </w:r>
      <w:r w:rsidR="00546220">
        <w:t>i</w:t>
      </w:r>
      <w:r w:rsidR="004B098B" w:rsidRPr="0014162C">
        <w:t>on rates in Australian local labour markets are associated with higher wages growth, including for those who stay in their jobs.</w:t>
      </w:r>
      <w:r w:rsidR="00AC01E1">
        <w:t xml:space="preserve"> </w:t>
      </w:r>
      <w:r w:rsidR="00C84B20">
        <w:t xml:space="preserve">This finding is consistent with models of job search which predict higher wages growth when </w:t>
      </w:r>
      <w:r w:rsidR="00475047">
        <w:t>workers have more outside options.</w:t>
      </w:r>
    </w:p>
    <w:p w14:paraId="09D79F75" w14:textId="2E0EC424" w:rsidR="00BD586D" w:rsidRPr="0014162C" w:rsidRDefault="00BD586D" w:rsidP="00C84B20">
      <w:pPr>
        <w:jc w:val="both"/>
      </w:pPr>
      <w:r w:rsidRPr="00CB0DBF">
        <w:t>The role of labour market fluidity in wages growth has generated substantial interest from leading policy institutions in many advanced economies.</w:t>
      </w:r>
      <w:r w:rsidRPr="00CB0DBF">
        <w:rPr>
          <w:rStyle w:val="FootnoteReference"/>
        </w:rPr>
        <w:footnoteReference w:id="4"/>
      </w:r>
      <w:r w:rsidRPr="00CB0DBF">
        <w:t xml:space="preserve"> </w:t>
      </w:r>
      <w:r w:rsidR="005826D5" w:rsidRPr="00CB0DBF">
        <w:t>This reflects both sluggish nominal wage growth in the face of relatively tight labour markets, and longer-run evidence of declines in market dynamism.  While standard macroeconomic factors can nonetheless explain much of the weakness in wages growth across advan</w:t>
      </w:r>
      <w:r w:rsidR="00094C2E">
        <w:t xml:space="preserve">ced economies (Arsov and Evans </w:t>
      </w:r>
      <w:r w:rsidR="005826D5" w:rsidRPr="00CB0DBF">
        <w:t xml:space="preserve">2018), </w:t>
      </w:r>
      <w:r w:rsidR="00F139F7" w:rsidRPr="00CB0DBF">
        <w:t xml:space="preserve">there is potential </w:t>
      </w:r>
      <w:r w:rsidR="00B21CFE" w:rsidRPr="00CB0DBF">
        <w:t xml:space="preserve">for changes in the job ladder – </w:t>
      </w:r>
      <w:r w:rsidR="00F139F7" w:rsidRPr="00CB0DBF">
        <w:t>including relative</w:t>
      </w:r>
      <w:r w:rsidR="001D69F2" w:rsidRPr="00CB0DBF">
        <w:t>ly low</w:t>
      </w:r>
      <w:r w:rsidR="00F139F7" w:rsidRPr="00CB0DBF">
        <w:t xml:space="preserve"> rates of job switching </w:t>
      </w:r>
      <w:r w:rsidR="00B21CFE" w:rsidRPr="00CB0DBF">
        <w:t xml:space="preserve">– </w:t>
      </w:r>
      <w:r w:rsidR="00F139F7" w:rsidRPr="00CB0DBF">
        <w:t xml:space="preserve">to </w:t>
      </w:r>
      <w:r w:rsidR="00B21CFE" w:rsidRPr="00CB0DBF">
        <w:t>weigh on wages (Haldane 2019).</w:t>
      </w:r>
    </w:p>
    <w:p w14:paraId="42B1F74D" w14:textId="2C9A8EE8" w:rsidR="00591E1D" w:rsidRDefault="009100DF" w:rsidP="00C84B20">
      <w:pPr>
        <w:jc w:val="both"/>
      </w:pPr>
      <w:r>
        <w:t>J</w:t>
      </w:r>
      <w:r w:rsidR="000309E7" w:rsidRPr="0014162C">
        <w:t>ob switching is</w:t>
      </w:r>
      <w:r w:rsidR="00E22BDC" w:rsidRPr="0014162C">
        <w:t xml:space="preserve"> </w:t>
      </w:r>
      <w:r w:rsidR="00B21CFE">
        <w:t>one</w:t>
      </w:r>
      <w:r w:rsidR="00E22BDC" w:rsidRPr="0014162C">
        <w:t xml:space="preserve"> means </w:t>
      </w:r>
      <w:r w:rsidR="004962F5">
        <w:t xml:space="preserve">(though </w:t>
      </w:r>
      <w:r w:rsidR="00B21CFE">
        <w:t>not</w:t>
      </w:r>
      <w:r w:rsidR="004962F5">
        <w:t xml:space="preserve"> the only) </w:t>
      </w:r>
      <w:r w:rsidR="00E22BDC" w:rsidRPr="0014162C">
        <w:t>by which workers find a job that better suits their skills and preferences.</w:t>
      </w:r>
      <w:r w:rsidR="00AC01E1">
        <w:t xml:space="preserve"> </w:t>
      </w:r>
      <w:r w:rsidR="00591E1D">
        <w:t xml:space="preserve">Individuals may switch jobs for many reasons – for example, they may seek more satisfying or secure employment, better </w:t>
      </w:r>
      <w:r w:rsidR="00952577">
        <w:t xml:space="preserve">pay and </w:t>
      </w:r>
      <w:r w:rsidR="00591E1D">
        <w:t>conditions</w:t>
      </w:r>
      <w:r w:rsidR="00952577">
        <w:t>,</w:t>
      </w:r>
      <w:r w:rsidR="00591E1D">
        <w:t xml:space="preserve"> or different hours</w:t>
      </w:r>
      <w:r w:rsidR="00EE304B">
        <w:t>.</w:t>
      </w:r>
      <w:r w:rsidR="00EE304B">
        <w:rPr>
          <w:rStyle w:val="FootnoteReference"/>
        </w:rPr>
        <w:footnoteReference w:id="5"/>
      </w:r>
      <w:r w:rsidR="00EE304B">
        <w:t xml:space="preserve"> These transitions may reflect both the ‘pull’ of a new job and a ‘push’ away from an individual’s current job and are an important feature of labour market flows more </w:t>
      </w:r>
      <w:bookmarkStart w:id="2" w:name="_GoBack"/>
      <w:bookmarkEnd w:id="2"/>
      <w:r w:rsidR="00EE304B">
        <w:t xml:space="preserve">generally, including transitions involving spells </w:t>
      </w:r>
      <w:r w:rsidR="004962F5">
        <w:t>in unemployment and out of the labour force</w:t>
      </w:r>
      <w:r w:rsidR="004E3B57">
        <w:t>.</w:t>
      </w:r>
      <w:r w:rsidR="00FE7689">
        <w:t xml:space="preserve"> In this paper I focus on job switching that </w:t>
      </w:r>
      <w:r w:rsidR="00861D94">
        <w:t xml:space="preserve">simply </w:t>
      </w:r>
      <w:r w:rsidR="00FE7689">
        <w:t>involves a change in employer</w:t>
      </w:r>
      <w:r w:rsidR="00861D94">
        <w:t xml:space="preserve">, without delving into whether this </w:t>
      </w:r>
      <w:r w:rsidR="00FE7689">
        <w:t>involve</w:t>
      </w:r>
      <w:r w:rsidR="00861D94">
        <w:t>s</w:t>
      </w:r>
      <w:r w:rsidR="00FE7689">
        <w:t xml:space="preserve"> a change in role or location. </w:t>
      </w:r>
      <w:r w:rsidR="00EE304B">
        <w:t xml:space="preserve"> </w:t>
      </w:r>
      <w:r w:rsidR="00591E1D">
        <w:t xml:space="preserve">  </w:t>
      </w:r>
    </w:p>
    <w:p w14:paraId="522B3EEE" w14:textId="038A7D7E" w:rsidR="00E22BDC" w:rsidRDefault="009100DF" w:rsidP="00C84B20">
      <w:pPr>
        <w:jc w:val="both"/>
      </w:pPr>
      <w:r>
        <w:t>In the academic literature, i</w:t>
      </w:r>
      <w:r w:rsidRPr="0014162C">
        <w:t xml:space="preserve">t has long been </w:t>
      </w:r>
      <w:r>
        <w:t>noted</w:t>
      </w:r>
      <w:r w:rsidRPr="0014162C">
        <w:t xml:space="preserve"> that </w:t>
      </w:r>
      <w:r>
        <w:t xml:space="preserve">job switching can play an important role in </w:t>
      </w:r>
      <w:r w:rsidRPr="001D69F2">
        <w:rPr>
          <w:i/>
        </w:rPr>
        <w:t>individual</w:t>
      </w:r>
      <w:r>
        <w:t xml:space="preserve"> wages growth</w:t>
      </w:r>
      <w:r w:rsidR="00591E1D">
        <w:t xml:space="preserve">. </w:t>
      </w:r>
      <w:r w:rsidR="006C7F17">
        <w:t>I</w:t>
      </w:r>
      <w:r w:rsidR="00CE2276" w:rsidRPr="0014162C">
        <w:t xml:space="preserve">n an early contribution to the literature, </w:t>
      </w:r>
      <w:r w:rsidR="00E22BDC" w:rsidRPr="0014162C">
        <w:t>Topel and Ward (</w:t>
      </w:r>
      <w:r w:rsidR="0087770E" w:rsidRPr="0014162C">
        <w:t>199</w:t>
      </w:r>
      <w:r w:rsidR="00DC01B3">
        <w:t>2</w:t>
      </w:r>
      <w:r w:rsidR="0087770E" w:rsidRPr="0014162C">
        <w:t>) found job</w:t>
      </w:r>
      <w:r>
        <w:noBreakHyphen/>
      </w:r>
      <w:r w:rsidR="0087770E" w:rsidRPr="0014162C">
        <w:t>to</w:t>
      </w:r>
      <w:r>
        <w:noBreakHyphen/>
      </w:r>
      <w:r w:rsidR="0087770E" w:rsidRPr="0014162C">
        <w:t>j</w:t>
      </w:r>
      <w:r w:rsidR="0043278F" w:rsidRPr="0014162C">
        <w:t xml:space="preserve">ob transitions accounted for </w:t>
      </w:r>
      <w:r w:rsidR="00EB181E">
        <w:t>a third</w:t>
      </w:r>
      <w:r w:rsidR="0087770E" w:rsidRPr="0014162C">
        <w:t xml:space="preserve"> of the wages growth experienced in the first</w:t>
      </w:r>
      <w:r w:rsidR="0087770E">
        <w:t xml:space="preserve"> decade of the careers of young men in the United States.</w:t>
      </w:r>
      <w:r w:rsidR="00AC01E1">
        <w:t xml:space="preserve"> </w:t>
      </w:r>
      <w:r w:rsidR="006C7F17">
        <w:t xml:space="preserve">In Australia, </w:t>
      </w:r>
      <w:r w:rsidR="005E204F">
        <w:t xml:space="preserve">job switching also appears to be an important </w:t>
      </w:r>
      <w:r w:rsidR="00EE304B">
        <w:t>source of wage growth for some individuals</w:t>
      </w:r>
      <w:r w:rsidR="005E204F">
        <w:t>:</w:t>
      </w:r>
      <w:r>
        <w:t xml:space="preserve"> as noted earlier,</w:t>
      </w:r>
      <w:r w:rsidR="005E204F">
        <w:t xml:space="preserve"> </w:t>
      </w:r>
      <w:r w:rsidR="006C7F17">
        <w:t>those who switch jobs in a given year</w:t>
      </w:r>
      <w:r w:rsidR="005E204F">
        <w:t xml:space="preserve"> typically experience </w:t>
      </w:r>
      <w:r w:rsidR="006C7F17">
        <w:t>higher wage growth than those who stay (Treasury 2017</w:t>
      </w:r>
      <w:r w:rsidR="005E204F">
        <w:t>; Ellis 2019</w:t>
      </w:r>
      <w:r w:rsidR="006C7F17">
        <w:t>).</w:t>
      </w:r>
      <w:r w:rsidR="00AC01E1">
        <w:t xml:space="preserve"> </w:t>
      </w:r>
    </w:p>
    <w:p w14:paraId="41AD7E1E" w14:textId="0621E2E8" w:rsidR="00CE2276" w:rsidRDefault="005E204F" w:rsidP="00C84B20">
      <w:pPr>
        <w:jc w:val="both"/>
      </w:pPr>
      <w:r>
        <w:t>A</w:t>
      </w:r>
      <w:r w:rsidR="00E22BDC">
        <w:t xml:space="preserve">ttention has </w:t>
      </w:r>
      <w:r>
        <w:t xml:space="preserve">recently </w:t>
      </w:r>
      <w:r w:rsidR="00E22BDC">
        <w:t>turned to how job switchi</w:t>
      </w:r>
      <w:r w:rsidR="0087770E">
        <w:t xml:space="preserve">ng </w:t>
      </w:r>
      <w:r w:rsidR="004E3B57">
        <w:t>is associated with</w:t>
      </w:r>
      <w:r w:rsidR="005D17C8">
        <w:t xml:space="preserve"> </w:t>
      </w:r>
      <w:r w:rsidR="005D17C8" w:rsidRPr="001D69F2">
        <w:rPr>
          <w:i/>
        </w:rPr>
        <w:t>aggregate</w:t>
      </w:r>
      <w:r w:rsidR="004E3B57">
        <w:t xml:space="preserve"> outcomes</w:t>
      </w:r>
      <w:r>
        <w:t>, looking beyond the individuals who switch</w:t>
      </w:r>
      <w:r w:rsidR="00E22BDC">
        <w:t>.</w:t>
      </w:r>
      <w:r w:rsidR="00AC01E1">
        <w:t xml:space="preserve"> </w:t>
      </w:r>
      <w:r w:rsidR="0087770E">
        <w:t>In models of on-the</w:t>
      </w:r>
      <w:r w:rsidR="00960CEB">
        <w:t>-job search</w:t>
      </w:r>
      <w:r w:rsidR="00CE2276">
        <w:t>,</w:t>
      </w:r>
      <w:r w:rsidR="00FB393E">
        <w:t xml:space="preserve"> the</w:t>
      </w:r>
      <w:r w:rsidR="005D17C8">
        <w:t>re is a strong connection between the</w:t>
      </w:r>
      <w:r w:rsidR="00165879">
        <w:t xml:space="preserve"> </w:t>
      </w:r>
      <w:r w:rsidR="004E3B57">
        <w:t xml:space="preserve">rate at which employed workers receive outside offers – reflected in the </w:t>
      </w:r>
      <w:r w:rsidR="00165879">
        <w:t xml:space="preserve">pace of job </w:t>
      </w:r>
      <w:r w:rsidR="00FB393E">
        <w:t>switching</w:t>
      </w:r>
      <w:r w:rsidR="004E3B57">
        <w:t xml:space="preserve"> – </w:t>
      </w:r>
      <w:r w:rsidR="005D17C8">
        <w:t>and</w:t>
      </w:r>
      <w:r w:rsidR="00CE2276">
        <w:t xml:space="preserve"> average </w:t>
      </w:r>
      <w:r w:rsidR="004E3B57">
        <w:t xml:space="preserve">real </w:t>
      </w:r>
      <w:r w:rsidR="00CE2276">
        <w:t>wage</w:t>
      </w:r>
      <w:r w:rsidR="00FB393E">
        <w:t xml:space="preserve"> growth (Burdett and Mortensen 1998; Moscarini and Postel-Vinay </w:t>
      </w:r>
      <w:r w:rsidR="00960CEB">
        <w:t>2016</w:t>
      </w:r>
      <w:r w:rsidR="00B220F5">
        <w:t>a,b</w:t>
      </w:r>
      <w:r w:rsidR="00960CEB">
        <w:t>)</w:t>
      </w:r>
      <w:r w:rsidR="00FB393E">
        <w:t>.</w:t>
      </w:r>
      <w:r w:rsidR="00AC01E1">
        <w:t xml:space="preserve"> </w:t>
      </w:r>
      <w:r w:rsidR="00CE2276">
        <w:t xml:space="preserve">Part of this is a </w:t>
      </w:r>
      <w:r w:rsidR="005D17C8">
        <w:t xml:space="preserve">simple </w:t>
      </w:r>
      <w:r w:rsidR="00CE2276">
        <w:t xml:space="preserve">composition effect – more job switching means more job switchers, </w:t>
      </w:r>
      <w:r>
        <w:t xml:space="preserve">who </w:t>
      </w:r>
      <w:r w:rsidR="009100DF">
        <w:t xml:space="preserve">typically </w:t>
      </w:r>
      <w:r w:rsidR="003B40BB">
        <w:t xml:space="preserve">move </w:t>
      </w:r>
      <w:r w:rsidR="00CE2276">
        <w:t>for higher wages.</w:t>
      </w:r>
      <w:r w:rsidR="00AC01E1">
        <w:t xml:space="preserve"> </w:t>
      </w:r>
      <w:r w:rsidR="00CE2276">
        <w:t xml:space="preserve">But part </w:t>
      </w:r>
      <w:r w:rsidR="005D17C8">
        <w:t xml:space="preserve">of this </w:t>
      </w:r>
      <w:r w:rsidR="00CE2276">
        <w:t xml:space="preserve">is </w:t>
      </w:r>
      <w:r w:rsidR="005D17C8">
        <w:t xml:space="preserve">also </w:t>
      </w:r>
      <w:r w:rsidR="00CE2276">
        <w:t xml:space="preserve">a strategic response by employers – </w:t>
      </w:r>
      <w:r w:rsidR="003B40BB">
        <w:t xml:space="preserve">when workers have </w:t>
      </w:r>
      <w:r w:rsidR="00CE2276">
        <w:t>more o</w:t>
      </w:r>
      <w:r w:rsidR="0017051E">
        <w:t>utside options</w:t>
      </w:r>
      <w:r w:rsidR="003B40BB">
        <w:t xml:space="preserve">, </w:t>
      </w:r>
      <w:r w:rsidR="00CE2276">
        <w:t xml:space="preserve">employers will </w:t>
      </w:r>
      <w:r w:rsidR="003B40BB">
        <w:t>need to issue more attractive offers</w:t>
      </w:r>
      <w:r w:rsidR="00CE2276">
        <w:t xml:space="preserve"> to retain them.</w:t>
      </w:r>
      <w:r w:rsidR="00AC01E1">
        <w:t xml:space="preserve"> </w:t>
      </w:r>
      <w:r w:rsidR="00CE2276">
        <w:t xml:space="preserve"> </w:t>
      </w:r>
    </w:p>
    <w:p w14:paraId="2754C592" w14:textId="0FBB068D" w:rsidR="00E22BDC" w:rsidRDefault="00CE2276" w:rsidP="00C84B20">
      <w:pPr>
        <w:jc w:val="both"/>
      </w:pPr>
      <w:r>
        <w:t>The theoretical prediction of</w:t>
      </w:r>
      <w:r w:rsidR="00B7316F">
        <w:t xml:space="preserve"> a close connection between job-</w:t>
      </w:r>
      <w:r w:rsidR="006D66BA">
        <w:t>to-job transition</w:t>
      </w:r>
      <w:r>
        <w:t xml:space="preserve"> rates</w:t>
      </w:r>
      <w:r w:rsidR="000D5347">
        <w:t xml:space="preserve"> and </w:t>
      </w:r>
      <w:r w:rsidR="006D66BA">
        <w:t xml:space="preserve">real </w:t>
      </w:r>
      <w:r w:rsidR="000D5347">
        <w:t xml:space="preserve">wages growth </w:t>
      </w:r>
      <w:r w:rsidR="00E64629">
        <w:t>is</w:t>
      </w:r>
      <w:r w:rsidR="000D5347">
        <w:t xml:space="preserve"> born out in</w:t>
      </w:r>
      <w:r w:rsidR="009100DF">
        <w:t xml:space="preserve"> </w:t>
      </w:r>
      <w:r w:rsidR="000D5347">
        <w:t>the empirical literature</w:t>
      </w:r>
      <w:r w:rsidR="006D66BA">
        <w:t xml:space="preserve"> to date</w:t>
      </w:r>
      <w:r w:rsidR="00796439">
        <w:t xml:space="preserve">, which has </w:t>
      </w:r>
      <w:r w:rsidR="00FE7689">
        <w:t xml:space="preserve">primarily </w:t>
      </w:r>
      <w:r w:rsidR="00796439">
        <w:t>focused on the United States</w:t>
      </w:r>
      <w:r w:rsidR="000D5347">
        <w:t>.</w:t>
      </w:r>
      <w:r w:rsidR="00AC01E1">
        <w:t xml:space="preserve"> </w:t>
      </w:r>
      <w:r w:rsidR="000D5347">
        <w:t xml:space="preserve">Faberman and Justiniano (2015) show a strong relationship between job switching </w:t>
      </w:r>
      <w:r w:rsidR="00165879">
        <w:t xml:space="preserve">rates </w:t>
      </w:r>
      <w:r w:rsidR="000D5347">
        <w:t>and nominal wage growth, at the national level and over the business cycle.</w:t>
      </w:r>
      <w:r w:rsidR="00AC01E1">
        <w:t xml:space="preserve"> </w:t>
      </w:r>
      <w:r w:rsidR="000D5347">
        <w:t>A number of other stu</w:t>
      </w:r>
      <w:r w:rsidR="00E64629">
        <w:t>dies have exploited more finely</w:t>
      </w:r>
      <w:r w:rsidR="00FE7689">
        <w:noBreakHyphen/>
      </w:r>
      <w:r w:rsidR="000D5347">
        <w:t>grained variation.</w:t>
      </w:r>
      <w:r w:rsidR="00AC01E1">
        <w:t xml:space="preserve"> </w:t>
      </w:r>
      <w:r w:rsidR="005D17C8">
        <w:t xml:space="preserve">For example, </w:t>
      </w:r>
      <w:r w:rsidR="000D5347">
        <w:t>K</w:t>
      </w:r>
      <w:r w:rsidR="005D17C8">
        <w:t xml:space="preserve">arahan et al (2017) show </w:t>
      </w:r>
      <w:r w:rsidR="000D5347">
        <w:t xml:space="preserve">a strong </w:t>
      </w:r>
      <w:r w:rsidR="005D17C8">
        <w:t>relationship</w:t>
      </w:r>
      <w:r w:rsidR="000D5347">
        <w:t xml:space="preserve"> </w:t>
      </w:r>
      <w:r w:rsidR="000D5347">
        <w:lastRenderedPageBreak/>
        <w:t>between job switching rates and wages within states</w:t>
      </w:r>
      <w:r w:rsidR="005D17C8">
        <w:t xml:space="preserve">, while </w:t>
      </w:r>
      <w:r w:rsidR="003B40BB">
        <w:t xml:space="preserve">the same relationship is evident </w:t>
      </w:r>
      <w:r w:rsidR="005D17C8">
        <w:t>within labour markets defined by age, gender, race and education</w:t>
      </w:r>
      <w:r w:rsidR="003B40BB">
        <w:t xml:space="preserve"> (Moscarini and Postel-Vinay 2017)</w:t>
      </w:r>
      <w:r w:rsidR="000D5347">
        <w:t>.</w:t>
      </w:r>
      <w:r w:rsidR="00AC01E1">
        <w:t xml:space="preserve">  </w:t>
      </w:r>
      <w:r w:rsidR="00810472">
        <w:t xml:space="preserve">In the New Zealand setting, Ball et al 2019 similarly find a strong relationship between regional job switching rates and wages </w:t>
      </w:r>
      <w:r w:rsidR="0062753A">
        <w:t>(</w:t>
      </w:r>
      <w:r w:rsidR="00810472">
        <w:t>though not for those staying in their jobs</w:t>
      </w:r>
      <w:r w:rsidR="0062753A">
        <w:t>)</w:t>
      </w:r>
      <w:r w:rsidR="00810472">
        <w:t>.</w:t>
      </w:r>
      <w:r w:rsidR="009100DF">
        <w:t xml:space="preserve"> </w:t>
      </w:r>
    </w:p>
    <w:p w14:paraId="1FD949DF" w14:textId="1D49155A" w:rsidR="00E22BDC" w:rsidRDefault="00E22BDC" w:rsidP="00C84B20">
      <w:pPr>
        <w:jc w:val="both"/>
      </w:pPr>
      <w:r>
        <w:t>This paper</w:t>
      </w:r>
      <w:r w:rsidR="00AD661F">
        <w:t xml:space="preserve"> contributes to th</w:t>
      </w:r>
      <w:r w:rsidR="00810472">
        <w:t>e</w:t>
      </w:r>
      <w:r w:rsidR="00AD661F">
        <w:t xml:space="preserve"> literature</w:t>
      </w:r>
      <w:r>
        <w:t xml:space="preserve"> by showing</w:t>
      </w:r>
      <w:r w:rsidR="0087770E">
        <w:t xml:space="preserve"> a strong association between</w:t>
      </w:r>
      <w:r w:rsidR="00165879">
        <w:t xml:space="preserve"> </w:t>
      </w:r>
      <w:r w:rsidR="00810472">
        <w:t xml:space="preserve">job-to-job transition rates and real wages growth </w:t>
      </w:r>
      <w:r w:rsidR="005D17C8">
        <w:t>in the Australian setting</w:t>
      </w:r>
      <w:r>
        <w:t>.</w:t>
      </w:r>
      <w:r w:rsidR="00AC01E1">
        <w:t xml:space="preserve"> </w:t>
      </w:r>
      <w:r w:rsidR="00AD661F">
        <w:t xml:space="preserve">A 1 percentage point increase in the rate at which workers switch jobs is associated with a ½ percentage point increase in growth in average wages. </w:t>
      </w:r>
      <w:r w:rsidR="0087770E">
        <w:t>These associations persist</w:t>
      </w:r>
      <w:r w:rsidR="00B220F5">
        <w:t xml:space="preserve"> </w:t>
      </w:r>
      <w:r>
        <w:t xml:space="preserve">after </w:t>
      </w:r>
      <w:r w:rsidR="0087770E">
        <w:t xml:space="preserve">accounting for national- and state-level business </w:t>
      </w:r>
      <w:r>
        <w:t>cycl</w:t>
      </w:r>
      <w:r w:rsidR="0087770E">
        <w:t>es, sugg</w:t>
      </w:r>
      <w:r w:rsidR="00B220F5">
        <w:t xml:space="preserve">esting </w:t>
      </w:r>
      <w:r w:rsidR="00125072">
        <w:t>the relationship between job-to-job transition rates and wages growth runs deeper than both simply being higher in stronger labour markets.  Rather, it is consistent with the presence of more outside options facilitating wages growth through an</w:t>
      </w:r>
      <w:r w:rsidR="004C0472">
        <w:t xml:space="preserve"> increase in opportunities for those who move and the bargaining power of those who stay.  </w:t>
      </w:r>
      <w:r w:rsidR="00125072">
        <w:t xml:space="preserve">What drives </w:t>
      </w:r>
      <w:r w:rsidR="004C0472">
        <w:t>variation in</w:t>
      </w:r>
      <w:r w:rsidR="00125072">
        <w:t xml:space="preserve"> job-to-job transitions and </w:t>
      </w:r>
      <w:r w:rsidR="004C0472">
        <w:t xml:space="preserve">outside options remains an open question – for example, </w:t>
      </w:r>
      <w:r w:rsidR="003B40BB">
        <w:t xml:space="preserve">changing patterns of </w:t>
      </w:r>
      <w:r w:rsidR="004C0472">
        <w:t>competition for labour among incumbent firms and firm entry could both play a role.</w:t>
      </w:r>
    </w:p>
    <w:p w14:paraId="5EA2CE63" w14:textId="15B17BB5" w:rsidR="004B098B" w:rsidRDefault="00E22BDC" w:rsidP="00C84B20">
      <w:pPr>
        <w:jc w:val="both"/>
      </w:pPr>
      <w:r>
        <w:t>A str</w:t>
      </w:r>
      <w:r w:rsidR="005E204F">
        <w:t>uctural association between job</w:t>
      </w:r>
      <w:r>
        <w:t xml:space="preserve"> switching and wages </w:t>
      </w:r>
      <w:r w:rsidR="0087770E">
        <w:t>is consistent with an emerging literature relating economic dynamism to aggregate outcomes more broadly.</w:t>
      </w:r>
      <w:r w:rsidR="00AC01E1">
        <w:t xml:space="preserve"> </w:t>
      </w:r>
      <w:r w:rsidR="005D17C8">
        <w:t xml:space="preserve">Davis and Haltiwanger (2014) document substantial declines in labour market fluidity in the United States, </w:t>
      </w:r>
      <w:r w:rsidR="007371C2">
        <w:t>with large falls in job and worker reallocation rates across states, industries and demog</w:t>
      </w:r>
      <w:r w:rsidR="00B87A50">
        <w:t>raphic groups.</w:t>
      </w:r>
      <w:r w:rsidR="00AC01E1">
        <w:t xml:space="preserve"> </w:t>
      </w:r>
      <w:r w:rsidR="00B87A50">
        <w:t>The authors</w:t>
      </w:r>
      <w:r w:rsidR="007371C2">
        <w:t xml:space="preserve"> point to a body of evidence that less fluid markets lead to lower productivity, real wages and employment.</w:t>
      </w:r>
      <w:r w:rsidR="004C0472">
        <w:t xml:space="preserve"> Declines in job switching have also been noted in Australia </w:t>
      </w:r>
      <w:r w:rsidR="005A0634" w:rsidRPr="0014162C">
        <w:t>(Lowe 2017)</w:t>
      </w:r>
      <w:r w:rsidR="003B40BB">
        <w:t xml:space="preserve">, while there is also evidence of a decline in the rate at which labour is reallocated from less </w:t>
      </w:r>
      <w:r w:rsidR="00AB564B">
        <w:t>to more productive fi</w:t>
      </w:r>
      <w:r w:rsidR="00DF77C5">
        <w:t>rms (Andrews and Hansell</w:t>
      </w:r>
      <w:r w:rsidR="003B40BB">
        <w:t xml:space="preserve"> 2019)</w:t>
      </w:r>
      <w:r w:rsidR="005A0634" w:rsidRPr="0014162C">
        <w:t>.</w:t>
      </w:r>
      <w:r w:rsidR="005A0634">
        <w:t xml:space="preserve"> </w:t>
      </w:r>
      <w:r w:rsidR="00AC01E1">
        <w:t xml:space="preserve"> </w:t>
      </w:r>
    </w:p>
    <w:p w14:paraId="2165C63D" w14:textId="2FEB103E" w:rsidR="00F46086" w:rsidRDefault="005A0634" w:rsidP="00C2462E">
      <w:pPr>
        <w:jc w:val="both"/>
      </w:pPr>
      <w:r>
        <w:t>Finally, these findings are relevant given</w:t>
      </w:r>
      <w:r w:rsidR="00C2462E" w:rsidRPr="0014162C">
        <w:t xml:space="preserve"> the low wage growth observed in Australia in recent years (Treasury 2017; Lowe 2018).</w:t>
      </w:r>
      <w:r w:rsidR="00C2462E">
        <w:t xml:space="preserve"> </w:t>
      </w:r>
      <w:r w:rsidR="00F46086">
        <w:t xml:space="preserve">The outlook for wages is of central importance to the living standards of Australian workers, macroeconomic policy and to Australia’s fiscal standing (taxes on personal income, predominantly wages, account for around half Australian Government tax revenue). </w:t>
      </w:r>
    </w:p>
    <w:p w14:paraId="12668328" w14:textId="06E95F06" w:rsidR="00C2462E" w:rsidRDefault="005A0634" w:rsidP="00C2462E">
      <w:pPr>
        <w:jc w:val="both"/>
      </w:pPr>
      <w:r>
        <w:t>As emphasised in Quinn (2019)</w:t>
      </w:r>
      <w:r w:rsidR="007E27E8">
        <w:t xml:space="preserve">, much of the weakness in nominal wage growth reflects standard macroeconomic factors – lower inflation and inflation expectations, slower productivity growth, high rates of participation and spare capacity in the labour market, and the unwinding of the commodity price boom. Even so, </w:t>
      </w:r>
      <w:r w:rsidR="00C2462E">
        <w:t>wage growth</w:t>
      </w:r>
      <w:r w:rsidR="0062753A">
        <w:t xml:space="preserve"> in Australia (and other advanced economies)</w:t>
      </w:r>
      <w:r w:rsidR="00C2462E">
        <w:t xml:space="preserve"> has been somewhat lower than would have been predicted based on past relationships with </w:t>
      </w:r>
      <w:r w:rsidR="007E27E8">
        <w:t>these</w:t>
      </w:r>
      <w:r w:rsidR="00C2462E">
        <w:t xml:space="preserve"> key determinants </w:t>
      </w:r>
      <w:r w:rsidR="00C2462E">
        <w:rPr>
          <w:color w:val="auto"/>
        </w:rPr>
        <w:t xml:space="preserve">(Treasury 2017; </w:t>
      </w:r>
      <w:r w:rsidR="00C2462E" w:rsidRPr="00F51A74">
        <w:t>Bishop and Cassidy 2017</w:t>
      </w:r>
      <w:r w:rsidR="00C2462E">
        <w:rPr>
          <w:color w:val="auto"/>
        </w:rPr>
        <w:t>; Arsov and Evans 2018)</w:t>
      </w:r>
      <w:r w:rsidR="00C2462E">
        <w:t xml:space="preserve">. </w:t>
      </w:r>
      <w:r w:rsidR="00CE00C4">
        <w:t>This has led</w:t>
      </w:r>
      <w:r w:rsidR="00C2462E">
        <w:t xml:space="preserve"> </w:t>
      </w:r>
      <w:r w:rsidR="00CE00C4">
        <w:t>traditional</w:t>
      </w:r>
      <w:r w:rsidR="00C2462E">
        <w:t xml:space="preserve"> Phillips curve model</w:t>
      </w:r>
      <w:r w:rsidR="00CE00C4">
        <w:t>s</w:t>
      </w:r>
      <w:r w:rsidR="00C2462E">
        <w:t xml:space="preserve"> </w:t>
      </w:r>
      <w:r w:rsidR="00CE00C4">
        <w:t>to</w:t>
      </w:r>
      <w:r w:rsidR="00C2462E">
        <w:t xml:space="preserve"> overestimate annual wage growth by on average ½ of a percentage point </w:t>
      </w:r>
      <w:r w:rsidR="00CE00C4">
        <w:t>in recent years</w:t>
      </w:r>
      <w:r w:rsidR="00C2462E">
        <w:t xml:space="preserve"> (Cassidy 2019</w:t>
      </w:r>
      <w:r w:rsidR="00CE00C4">
        <w:t>; Quinn 2019</w:t>
      </w:r>
      <w:r w:rsidR="00C2462E">
        <w:t>).</w:t>
      </w:r>
    </w:p>
    <w:p w14:paraId="4E4A45D9" w14:textId="35C3C49B" w:rsidR="00C2462E" w:rsidRDefault="00C2462E" w:rsidP="00C84B20">
      <w:pPr>
        <w:jc w:val="both"/>
      </w:pPr>
      <w:r w:rsidRPr="0014162C">
        <w:t xml:space="preserve">A range </w:t>
      </w:r>
      <w:r>
        <w:t xml:space="preserve">of </w:t>
      </w:r>
      <w:r w:rsidRPr="0014162C">
        <w:t>explanations have been put forward</w:t>
      </w:r>
      <w:r>
        <w:t xml:space="preserve"> for </w:t>
      </w:r>
      <w:r w:rsidR="00F46086">
        <w:t xml:space="preserve">the modest, yet meaningful, </w:t>
      </w:r>
      <w:r>
        <w:t>unexplained weakness in wages growth. One possibility is</w:t>
      </w:r>
      <w:r w:rsidR="00AB564B">
        <w:t xml:space="preserve"> a modest and potentially transitory decline in the pass through from productivity to wages (Andrews et al 2019). A complementary or alternate explanation is</w:t>
      </w:r>
      <w:r>
        <w:t xml:space="preserve"> that </w:t>
      </w:r>
      <w:r w:rsidRPr="0014162C">
        <w:t>a less fluid labour market, which has been reflected in a decline in job switching rates, has reduced upward pressure on wages (Lowe 2017).</w:t>
      </w:r>
      <w:r>
        <w:t xml:space="preserve"> Despite</w:t>
      </w:r>
      <w:r w:rsidRPr="0014162C">
        <w:t xml:space="preserve"> interest</w:t>
      </w:r>
      <w:r>
        <w:t xml:space="preserve"> in this potential channel</w:t>
      </w:r>
      <w:r w:rsidRPr="0014162C">
        <w:t xml:space="preserve">, the </w:t>
      </w:r>
      <w:r w:rsidR="00BF5A1A">
        <w:t>association between</w:t>
      </w:r>
      <w:r w:rsidRPr="0014162C">
        <w:t xml:space="preserve"> job switching </w:t>
      </w:r>
      <w:r w:rsidR="00BF5A1A">
        <w:t>and</w:t>
      </w:r>
      <w:r w:rsidRPr="0014162C">
        <w:t xml:space="preserve"> </w:t>
      </w:r>
      <w:r w:rsidRPr="00A07769">
        <w:t xml:space="preserve">aggregate </w:t>
      </w:r>
      <w:r w:rsidRPr="0014162C">
        <w:t>wage growth has been impossible to assess in earlier Australian work – this paper fill</w:t>
      </w:r>
      <w:r w:rsidR="00BF3227">
        <w:t>s</w:t>
      </w:r>
      <w:r w:rsidRPr="0014162C">
        <w:t xml:space="preserve"> that gap.</w:t>
      </w:r>
      <w:r w:rsidR="00BF3227">
        <w:t xml:space="preserve"> The strong association between job-to-job transitions and the earnings of Australian workers is consistent</w:t>
      </w:r>
      <w:r w:rsidR="00BF5A1A">
        <w:t xml:space="preserve"> with a less fluid labour market weighing on wages growth in recent years.</w:t>
      </w:r>
      <w:r>
        <w:t xml:space="preserve"> </w:t>
      </w:r>
    </w:p>
    <w:p w14:paraId="325A424E" w14:textId="0E80F39B" w:rsidR="000B162B" w:rsidRDefault="000B162B" w:rsidP="00C84B20">
      <w:pPr>
        <w:jc w:val="both"/>
      </w:pPr>
      <w:r>
        <w:t xml:space="preserve">In the following section I briefly discuss models of job search and their implications for wages, before moving on to describe the data (Section 3) and empirical framework (Section 4).  In Section 5 I present the results exploring the association between job-to-job transitions and wages growth for a variety of model specifications and subpopulations. In Section </w:t>
      </w:r>
      <w:r w:rsidR="00C611CF">
        <w:t>6</w:t>
      </w:r>
      <w:r>
        <w:t xml:space="preserve"> I conclude by discussing the implications of the findings and avenues for future research.  </w:t>
      </w:r>
    </w:p>
    <w:p w14:paraId="266595D6" w14:textId="0AB5CD54" w:rsidR="00EA27AF" w:rsidRDefault="00E22BDC" w:rsidP="00E22BDC">
      <w:pPr>
        <w:pStyle w:val="Heading2"/>
      </w:pPr>
      <w:r>
        <w:lastRenderedPageBreak/>
        <w:t>Models of job search</w:t>
      </w:r>
      <w:r w:rsidR="00CE00C4">
        <w:t xml:space="preserve"> and wages</w:t>
      </w:r>
    </w:p>
    <w:p w14:paraId="0E8E0068" w14:textId="4F25B792" w:rsidR="00E248B1" w:rsidRDefault="000A5FF0" w:rsidP="00FD6D8B">
      <w:pPr>
        <w:jc w:val="both"/>
      </w:pPr>
      <w:r>
        <w:t>The market for jobs is not like the market for simple commodi</w:t>
      </w:r>
      <w:r w:rsidR="009C2486">
        <w:t>ties</w:t>
      </w:r>
      <w:r w:rsidR="00E248B1">
        <w:t>, where identical goods are traded at</w:t>
      </w:r>
      <w:r w:rsidR="007371C2">
        <w:t xml:space="preserve"> a single unit price</w:t>
      </w:r>
      <w:r w:rsidR="007F4611">
        <w:t>. Instead,</w:t>
      </w:r>
      <w:r w:rsidR="007371C2">
        <w:t xml:space="preserve"> j</w:t>
      </w:r>
      <w:r>
        <w:t>ob</w:t>
      </w:r>
      <w:r w:rsidR="00E248B1">
        <w:t xml:space="preserve">s </w:t>
      </w:r>
      <w:r>
        <w:t xml:space="preserve">differ substantially in the </w:t>
      </w:r>
      <w:r w:rsidR="00E248B1">
        <w:t xml:space="preserve">bundles of skills they require and </w:t>
      </w:r>
      <w:r>
        <w:t>be</w:t>
      </w:r>
      <w:r w:rsidR="00E248B1">
        <w:t>nefits they</w:t>
      </w:r>
      <w:r>
        <w:t xml:space="preserve"> </w:t>
      </w:r>
      <w:r w:rsidR="00063FA3">
        <w:t>c</w:t>
      </w:r>
      <w:r>
        <w:t>o</w:t>
      </w:r>
      <w:r w:rsidR="00063FA3">
        <w:t>nf</w:t>
      </w:r>
      <w:r w:rsidR="00E248B1">
        <w:t>er.</w:t>
      </w:r>
      <w:r w:rsidR="00AC01E1">
        <w:t xml:space="preserve"> </w:t>
      </w:r>
      <w:r w:rsidR="001F4F26">
        <w:t>E</w:t>
      </w:r>
      <w:r>
        <w:t>conomic theory has</w:t>
      </w:r>
      <w:r w:rsidR="00D62642">
        <w:t xml:space="preserve"> develop</w:t>
      </w:r>
      <w:r w:rsidR="001F4F26">
        <w:t xml:space="preserve">ed a wide </w:t>
      </w:r>
      <w:r w:rsidR="007371C2">
        <w:t>variety of</w:t>
      </w:r>
      <w:r w:rsidR="00D62642">
        <w:t xml:space="preserve"> models in which </w:t>
      </w:r>
      <w:r w:rsidR="00E248B1">
        <w:t>individuals</w:t>
      </w:r>
      <w:r w:rsidR="00D62642">
        <w:t xml:space="preserve"> and firms search </w:t>
      </w:r>
      <w:r w:rsidR="00A57CF6">
        <w:t>for</w:t>
      </w:r>
      <w:r w:rsidR="00E248B1">
        <w:t xml:space="preserve"> a good `match’</w:t>
      </w:r>
      <w:r w:rsidR="00A57CF6">
        <w:t xml:space="preserve"> before employment begins</w:t>
      </w:r>
      <w:r w:rsidR="00D62642">
        <w:t>.</w:t>
      </w:r>
      <w:r w:rsidR="007371C2" w:rsidRPr="001F4F26">
        <w:rPr>
          <w:vertAlign w:val="superscript"/>
        </w:rPr>
        <w:footnoteReference w:id="6"/>
      </w:r>
      <w:r w:rsidR="00AC01E1">
        <w:t xml:space="preserve"> </w:t>
      </w:r>
      <w:r w:rsidR="00E248B1">
        <w:t xml:space="preserve">These search models </w:t>
      </w:r>
      <w:r w:rsidR="00C215BC">
        <w:t>provide a number of predictions about the drivers of real wage growth that can be tested against the data.</w:t>
      </w:r>
      <w:r w:rsidR="00AC01E1">
        <w:t xml:space="preserve"> </w:t>
      </w:r>
    </w:p>
    <w:p w14:paraId="4B1AFA74" w14:textId="5E00A7E8" w:rsidR="00E248B1" w:rsidRDefault="007F06A4" w:rsidP="00FD6D8B">
      <w:pPr>
        <w:jc w:val="both"/>
      </w:pPr>
      <w:r>
        <w:t xml:space="preserve">In </w:t>
      </w:r>
      <w:r w:rsidR="003C1FE1">
        <w:t>early models of job search</w:t>
      </w:r>
      <w:r w:rsidR="001F4F26">
        <w:t>,</w:t>
      </w:r>
      <w:r>
        <w:t xml:space="preserve"> only the unemployed searched for jobs.</w:t>
      </w:r>
      <w:r w:rsidR="00AC01E1">
        <w:t xml:space="preserve"> </w:t>
      </w:r>
      <w:r>
        <w:t>Once employed, workers stayed in their jobs, unless those jobs were destroyed</w:t>
      </w:r>
      <w:r w:rsidR="00A84B6E">
        <w:t>.</w:t>
      </w:r>
      <w:r w:rsidR="00AC01E1">
        <w:t xml:space="preserve"> </w:t>
      </w:r>
      <w:r w:rsidR="00A84B6E">
        <w:t>In some models workers could voluntarily leave a job, but they would have to enter unemployment before they could begin searching for a new one (Mortensen and Pissarides 1994).</w:t>
      </w:r>
      <w:r w:rsidR="00AC01E1">
        <w:t xml:space="preserve"> </w:t>
      </w:r>
      <w:r w:rsidR="00A84B6E">
        <w:t xml:space="preserve">These models successfully </w:t>
      </w:r>
      <w:r>
        <w:t>replicate</w:t>
      </w:r>
      <w:r w:rsidR="005A1761">
        <w:t>d</w:t>
      </w:r>
      <w:r>
        <w:t xml:space="preserve"> many real world features of the economy</w:t>
      </w:r>
      <w:r w:rsidR="00A84B6E">
        <w:t>.</w:t>
      </w:r>
      <w:r w:rsidR="00AC01E1">
        <w:t xml:space="preserve"> </w:t>
      </w:r>
      <w:r w:rsidR="00A84B6E">
        <w:t>Yet for some purposes it is necessary to recognise the</w:t>
      </w:r>
      <w:r>
        <w:t xml:space="preserve"> importance of on-the-job search – it </w:t>
      </w:r>
      <w:r w:rsidR="00E248B1">
        <w:t>is not only the unemployed who search for new job opportunities.</w:t>
      </w:r>
      <w:r w:rsidR="00AC01E1">
        <w:t xml:space="preserve"> </w:t>
      </w:r>
      <w:r w:rsidR="00A84B6E">
        <w:t>Indeed, i</w:t>
      </w:r>
      <w:r w:rsidR="00A57CF6">
        <w:t>n recent years, job-to-job</w:t>
      </w:r>
      <w:r w:rsidR="00A84B6E">
        <w:t xml:space="preserve"> transitions</w:t>
      </w:r>
      <w:r w:rsidR="00A57CF6">
        <w:t xml:space="preserve"> have </w:t>
      </w:r>
      <w:r w:rsidR="00962198">
        <w:t>accounted</w:t>
      </w:r>
      <w:r w:rsidR="00A57CF6">
        <w:t xml:space="preserve"> for around </w:t>
      </w:r>
      <w:r w:rsidR="00962198">
        <w:t>40 per cent of new hires.</w:t>
      </w:r>
      <w:r w:rsidR="00962198" w:rsidRPr="001F4F26">
        <w:rPr>
          <w:vertAlign w:val="superscript"/>
        </w:rPr>
        <w:footnoteReference w:id="7"/>
      </w:r>
    </w:p>
    <w:p w14:paraId="75B8F0AC" w14:textId="7608A167" w:rsidR="00F012EA" w:rsidRDefault="00071410" w:rsidP="00FD6D8B">
      <w:pPr>
        <w:jc w:val="both"/>
      </w:pPr>
      <w:r>
        <w:t xml:space="preserve">Burdett and Mortensen (1998) </w:t>
      </w:r>
      <w:r w:rsidR="00A84B6E">
        <w:t>introduce</w:t>
      </w:r>
      <w:r w:rsidR="00B7316F">
        <w:t>d</w:t>
      </w:r>
      <w:r w:rsidR="00A84B6E">
        <w:t xml:space="preserve"> a model of the labour market that allows for on-the-job search.</w:t>
      </w:r>
      <w:r w:rsidR="00AC01E1">
        <w:t xml:space="preserve"> </w:t>
      </w:r>
      <w:r w:rsidR="007F06A4">
        <w:t>Moscarini and Postel-Vinay (2016</w:t>
      </w:r>
      <w:r w:rsidR="00B220F5">
        <w:t>a,b</w:t>
      </w:r>
      <w:r w:rsidR="007F06A4">
        <w:t xml:space="preserve">) </w:t>
      </w:r>
      <w:r w:rsidR="00B7316F">
        <w:t>explore this model further, showing it</w:t>
      </w:r>
      <w:r w:rsidR="007F06A4">
        <w:t xml:space="preserve"> leads to differing predictions about the drivers of real wage growth.</w:t>
      </w:r>
      <w:r w:rsidR="00AC01E1">
        <w:t xml:space="preserve"> </w:t>
      </w:r>
      <w:r w:rsidR="00A84B6E">
        <w:t>In earlier models it is the rate of transitions from unemployment to employment that drives real wages growth; with on-the-job search it is the rate of transitions from one job to the next that should dominate.</w:t>
      </w:r>
      <w:r w:rsidR="00AC01E1">
        <w:t xml:space="preserve"> </w:t>
      </w:r>
      <w:r w:rsidR="00B220F5">
        <w:t>Intuitively, an individual’s wage in a job is a function of both their productivity in that job, and their outside options – either their ability to leave for unemployment and then find a better job from there, or their ability to find it directly.</w:t>
      </w:r>
      <w:r w:rsidR="00AC01E1">
        <w:t xml:space="preserve"> </w:t>
      </w:r>
      <w:r w:rsidR="00A84B6E">
        <w:t xml:space="preserve">This paper largely follows Karahan et al (2017) in testing the relative predictive power of </w:t>
      </w:r>
      <w:r w:rsidR="00B220F5">
        <w:t xml:space="preserve">proxies for </w:t>
      </w:r>
      <w:r w:rsidR="00A84B6E">
        <w:t>these two</w:t>
      </w:r>
      <w:r w:rsidR="00C0556C">
        <w:t> </w:t>
      </w:r>
      <w:r w:rsidR="00A84B6E">
        <w:t>transition rates</w:t>
      </w:r>
      <w:r w:rsidR="001602AF">
        <w:t xml:space="preserve"> for real wages</w:t>
      </w:r>
      <w:r w:rsidR="00A84B6E">
        <w:t>.</w:t>
      </w:r>
      <w:r w:rsidR="00A16387">
        <w:rPr>
          <w:rStyle w:val="FootnoteReference"/>
        </w:rPr>
        <w:footnoteReference w:id="8"/>
      </w:r>
      <w:r w:rsidR="00AC01E1">
        <w:t xml:space="preserve"> </w:t>
      </w:r>
    </w:p>
    <w:p w14:paraId="52F5E9BA" w14:textId="77777777" w:rsidR="00F012EA" w:rsidRDefault="00BA1099" w:rsidP="008C0793">
      <w:pPr>
        <w:pStyle w:val="Heading2"/>
      </w:pPr>
      <w:r>
        <w:t>Data</w:t>
      </w:r>
    </w:p>
    <w:p w14:paraId="7B29EC75" w14:textId="63D0C3E5" w:rsidR="000309E7" w:rsidRDefault="00DE7064" w:rsidP="00FD6D8B">
      <w:pPr>
        <w:jc w:val="both"/>
      </w:pPr>
      <w:r>
        <w:t xml:space="preserve">I use a longitudinal matched employer-employee dataset </w:t>
      </w:r>
      <w:r w:rsidR="00AA557F">
        <w:t xml:space="preserve">constructed from the universe of </w:t>
      </w:r>
      <w:r w:rsidR="00861D7F">
        <w:t xml:space="preserve">employer payment summaries </w:t>
      </w:r>
      <w:r w:rsidR="00AA557F">
        <w:t>from 2004-05 to 2015-16</w:t>
      </w:r>
      <w:r w:rsidR="00F025FD">
        <w:t xml:space="preserve"> (for corporate entities)</w:t>
      </w:r>
      <w:r w:rsidR="005E204F">
        <w:t>.</w:t>
      </w:r>
      <w:r w:rsidR="00F5173F">
        <w:rPr>
          <w:rStyle w:val="FootnoteReference"/>
        </w:rPr>
        <w:footnoteReference w:id="9"/>
      </w:r>
      <w:r w:rsidR="00AC01E1">
        <w:t xml:space="preserve"> </w:t>
      </w:r>
      <w:r w:rsidR="00B87A50">
        <w:t>The employer</w:t>
      </w:r>
      <w:r w:rsidR="000309E7">
        <w:t xml:space="preserve"> payment summaries include identifiers for the employee, employer and the amounts paid over the financial year</w:t>
      </w:r>
      <w:r w:rsidR="00172326">
        <w:t>.</w:t>
      </w:r>
      <w:r w:rsidR="00AC01E1">
        <w:t xml:space="preserve"> </w:t>
      </w:r>
      <w:r w:rsidR="000309E7" w:rsidRPr="00FD6D8B">
        <w:t>A distinct employer</w:t>
      </w:r>
      <w:r w:rsidR="00172326" w:rsidRPr="00FD6D8B">
        <w:t xml:space="preserve">-employee relationship </w:t>
      </w:r>
      <w:r w:rsidR="000309E7" w:rsidRPr="00FD6D8B">
        <w:t>consi</w:t>
      </w:r>
      <w:r w:rsidR="00172326" w:rsidRPr="00FD6D8B">
        <w:t>sts of at least one payment summary with nonzero payments linking an employer to a given individual</w:t>
      </w:r>
      <w:r w:rsidR="00172326">
        <w:t>.</w:t>
      </w:r>
      <w:r w:rsidR="00AC01E1">
        <w:t xml:space="preserve"> </w:t>
      </w:r>
      <w:r w:rsidR="00172326">
        <w:t>Employers that have different identifiers but sit under the same head company in 2018 are considered the same employer.</w:t>
      </w:r>
      <w:r w:rsidR="00AC01E1">
        <w:t xml:space="preserve"> </w:t>
      </w:r>
      <w:r w:rsidR="00172326">
        <w:t>This avoids classifying an individual as having multiple jobs when they are paid by multiple entities in the same consolidated</w:t>
      </w:r>
      <w:r w:rsidR="00C0556C">
        <w:t> </w:t>
      </w:r>
      <w:r w:rsidR="00172326">
        <w:t>group.</w:t>
      </w:r>
    </w:p>
    <w:p w14:paraId="41BD0D3A" w14:textId="25C5B8FD" w:rsidR="0076495C" w:rsidRPr="00FD6D8B" w:rsidRDefault="00DF4272" w:rsidP="00FD6D8B">
      <w:pPr>
        <w:jc w:val="both"/>
      </w:pPr>
      <w:r w:rsidRPr="00FD6D8B">
        <w:t xml:space="preserve">Individual locations are based on the employee </w:t>
      </w:r>
      <w:r w:rsidR="00B03717">
        <w:t xml:space="preserve">residential </w:t>
      </w:r>
      <w:r w:rsidRPr="00FD6D8B">
        <w:t xml:space="preserve">postcode provided on the </w:t>
      </w:r>
      <w:r w:rsidR="001F25A1" w:rsidRPr="00FD6D8B">
        <w:t>payment summaries.</w:t>
      </w:r>
      <w:r w:rsidR="00B03717">
        <w:rPr>
          <w:rStyle w:val="FootnoteReference"/>
        </w:rPr>
        <w:footnoteReference w:id="10"/>
      </w:r>
      <w:r w:rsidR="00AC01E1" w:rsidRPr="00FD6D8B">
        <w:t xml:space="preserve"> </w:t>
      </w:r>
      <w:r w:rsidR="0076495C" w:rsidRPr="00FD6D8B">
        <w:t>These p</w:t>
      </w:r>
      <w:r w:rsidR="001F25A1" w:rsidRPr="00FD6D8B">
        <w:t xml:space="preserve">ostcodes are then mapped up to Statistical Area 4 – the largest regions below </w:t>
      </w:r>
      <w:r w:rsidR="001F25A1" w:rsidRPr="00FD6D8B">
        <w:lastRenderedPageBreak/>
        <w:t>state</w:t>
      </w:r>
      <w:r w:rsidR="00C0556C">
        <w:t> </w:t>
      </w:r>
      <w:r w:rsidR="001F25A1" w:rsidRPr="00FD6D8B">
        <w:t>level in the Australian Statistical Geography Standard (Australian Bureau of Statistics 2016).</w:t>
      </w:r>
      <w:r w:rsidR="00AC01E1" w:rsidRPr="00FD6D8B">
        <w:t xml:space="preserve"> </w:t>
      </w:r>
      <w:r w:rsidR="001F25A1" w:rsidRPr="00FD6D8B">
        <w:t>These regions have populations of between 100,000 to 500,000 people</w:t>
      </w:r>
      <w:r w:rsidR="00876CDB">
        <w:t xml:space="preserve"> and are intended to reflect local labour markets</w:t>
      </w:r>
      <w:r w:rsidR="001F25A1" w:rsidRPr="00FD6D8B">
        <w:t>.</w:t>
      </w:r>
      <w:r w:rsidR="0014162C" w:rsidRPr="00B03717">
        <w:rPr>
          <w:vertAlign w:val="superscript"/>
        </w:rPr>
        <w:footnoteReference w:id="11"/>
      </w:r>
      <w:r w:rsidR="00AC01E1" w:rsidRPr="00FD6D8B">
        <w:t xml:space="preserve"> </w:t>
      </w:r>
    </w:p>
    <w:p w14:paraId="2228C6C1" w14:textId="4551FFC0" w:rsidR="00DF4272" w:rsidRPr="00FD6D8B" w:rsidRDefault="00172326" w:rsidP="00FD6D8B">
      <w:pPr>
        <w:jc w:val="both"/>
      </w:pPr>
      <w:r w:rsidRPr="00FD6D8B">
        <w:t>Finally, i</w:t>
      </w:r>
      <w:r w:rsidR="0076495C" w:rsidRPr="00FD6D8B">
        <w:t>ndividual wages are taken as the sum of gross payments across all jobs.</w:t>
      </w:r>
      <w:r w:rsidR="00AC01E1" w:rsidRPr="00FD6D8B">
        <w:t xml:space="preserve"> </w:t>
      </w:r>
      <w:r w:rsidR="0076495C" w:rsidRPr="00FD6D8B">
        <w:t>This includes all salary, wages, bonuses and commissions paid to the individual by the employer, regardless of whether or not they file a tax return.</w:t>
      </w:r>
      <w:r w:rsidR="00AC01E1" w:rsidRPr="00FD6D8B">
        <w:t xml:space="preserve"> </w:t>
      </w:r>
      <w:r w:rsidR="00204A00" w:rsidRPr="00FD6D8B">
        <w:t>Wages are in nominal terms, and will capture not just hourly wage rates but also hours worked.</w:t>
      </w:r>
      <w:r w:rsidR="00AC01E1" w:rsidRPr="00FD6D8B">
        <w:t xml:space="preserve"> </w:t>
      </w:r>
      <w:r w:rsidR="00B220F5" w:rsidRPr="00FD6D8B">
        <w:t>Individual gender and year of birth is taken from the Australian Taxation Office Longitudinal Information Files</w:t>
      </w:r>
      <w:r w:rsidR="00F5173F">
        <w:t>; this draws on client records and hence is also not reliant on individuals filing a tax return in a given year</w:t>
      </w:r>
      <w:r w:rsidR="00B220F5" w:rsidRPr="00FD6D8B">
        <w:t>.</w:t>
      </w:r>
      <w:r w:rsidR="00B7316F" w:rsidRPr="00FD6D8B">
        <w:t xml:space="preserve"> </w:t>
      </w:r>
    </w:p>
    <w:p w14:paraId="35C65041" w14:textId="7B1FE2EF" w:rsidR="00AA557F" w:rsidRDefault="00AA557F" w:rsidP="00AA557F">
      <w:pPr>
        <w:pStyle w:val="Heading3"/>
      </w:pPr>
      <w:r>
        <w:t xml:space="preserve">Identifying </w:t>
      </w:r>
      <w:r w:rsidR="00966611">
        <w:t xml:space="preserve">employment </w:t>
      </w:r>
      <w:r>
        <w:t>transitions</w:t>
      </w:r>
      <w:r w:rsidR="006E2D21">
        <w:t xml:space="preserve"> </w:t>
      </w:r>
    </w:p>
    <w:p w14:paraId="6181245A" w14:textId="1AEF71B4" w:rsidR="002A6F90" w:rsidRDefault="009122CC" w:rsidP="00FD6D8B">
      <w:pPr>
        <w:jc w:val="both"/>
      </w:pPr>
      <w:r>
        <w:t>T</w:t>
      </w:r>
      <w:r w:rsidR="009D5489">
        <w:t>he</w:t>
      </w:r>
      <w:r w:rsidR="00DE7064">
        <w:t xml:space="preserve"> data</w:t>
      </w:r>
      <w:r w:rsidR="00966611">
        <w:t xml:space="preserve"> </w:t>
      </w:r>
      <w:r w:rsidR="009D5489">
        <w:t>does not identify the start or end dates of employment relationships within financial years.</w:t>
      </w:r>
      <w:r w:rsidR="00AC01E1">
        <w:t xml:space="preserve"> </w:t>
      </w:r>
      <w:r>
        <w:t xml:space="preserve"> Despite this limitation, reasonable proxies for a variety of employment transitions can be formed.</w:t>
      </w:r>
      <w:r w:rsidR="00AC01E1">
        <w:t xml:space="preserve"> </w:t>
      </w:r>
      <w:r w:rsidR="002A6F90">
        <w:t>Figure 1 provides an illustration of the proxies discussed in more detail below.</w:t>
      </w:r>
    </w:p>
    <w:p w14:paraId="32CF404B" w14:textId="7C921531" w:rsidR="009D5489" w:rsidRDefault="006E2D21" w:rsidP="00FD6D8B">
      <w:pPr>
        <w:jc w:val="both"/>
      </w:pPr>
      <w:r>
        <w:t xml:space="preserve">I define an individual as making </w:t>
      </w:r>
      <w:r w:rsidRPr="00332823">
        <w:t xml:space="preserve">a job-to-job </w:t>
      </w:r>
      <w:r w:rsidR="00765FBC">
        <w:t>(EE)</w:t>
      </w:r>
      <w:r w:rsidR="00765FBC" w:rsidRPr="00332823">
        <w:t xml:space="preserve"> </w:t>
      </w:r>
      <w:r w:rsidRPr="00332823">
        <w:t>transition</w:t>
      </w:r>
      <w:r w:rsidR="00332823">
        <w:t xml:space="preserve"> </w:t>
      </w:r>
      <w:r w:rsidRPr="00332823">
        <w:t>in</w:t>
      </w:r>
      <w:r>
        <w:t xml:space="preserve"> year t when they</w:t>
      </w:r>
      <w:r w:rsidR="009D5489">
        <w:t xml:space="preserve"> </w:t>
      </w:r>
      <w:r>
        <w:t>have</w:t>
      </w:r>
      <w:r w:rsidR="009D5489">
        <w:t>:</w:t>
      </w:r>
    </w:p>
    <w:p w14:paraId="20A42030" w14:textId="51C5CF69" w:rsidR="009D5489" w:rsidRDefault="00693CFB" w:rsidP="009D5489">
      <w:pPr>
        <w:pStyle w:val="OutlineNumbered1"/>
      </w:pPr>
      <w:r>
        <w:t>at least</w:t>
      </w:r>
      <w:r w:rsidR="006E2D21">
        <w:t xml:space="preserve"> one employer carrying over from y</w:t>
      </w:r>
      <w:r w:rsidR="00966611">
        <w:t>ear t-1 into year t;</w:t>
      </w:r>
      <w:r w:rsidR="006E2D21">
        <w:t xml:space="preserve"> </w:t>
      </w:r>
    </w:p>
    <w:p w14:paraId="15428E34" w14:textId="5E3D7828" w:rsidR="009D5489" w:rsidRDefault="00693CFB" w:rsidP="009D5489">
      <w:pPr>
        <w:pStyle w:val="OutlineNumbered1"/>
      </w:pPr>
      <w:r>
        <w:t>at least</w:t>
      </w:r>
      <w:r w:rsidR="006E2D21">
        <w:t xml:space="preserve"> one employer carrying</w:t>
      </w:r>
      <w:r w:rsidR="00966611">
        <w:t xml:space="preserve"> over from year t into year t+1;</w:t>
      </w:r>
      <w:r w:rsidR="006E2D21">
        <w:t xml:space="preserve"> and </w:t>
      </w:r>
    </w:p>
    <w:p w14:paraId="59F792C0" w14:textId="2E02B391" w:rsidR="009D5489" w:rsidRDefault="006E2D21" w:rsidP="009D5489">
      <w:pPr>
        <w:pStyle w:val="OutlineNumbered1"/>
      </w:pPr>
      <w:r>
        <w:t>no employer that spans years t-1, t and t+1.</w:t>
      </w:r>
      <w:r w:rsidR="00AC01E1">
        <w:t xml:space="preserve"> </w:t>
      </w:r>
    </w:p>
    <w:p w14:paraId="193F83F2" w14:textId="41C008B9" w:rsidR="009122CC" w:rsidRDefault="009122CC" w:rsidP="00FD6D8B">
      <w:pPr>
        <w:jc w:val="both"/>
      </w:pPr>
      <w:r>
        <w:t>Intuitively, these individuals had stable but different employers at the beginning and end of the year.</w:t>
      </w:r>
      <w:r w:rsidR="00AC01E1">
        <w:t xml:space="preserve"> </w:t>
      </w:r>
      <w:r w:rsidR="00AB0CF6">
        <w:t xml:space="preserve">These transitions could also involve a change in hours or role, and may include an unobserved spell out of the labour market (reflecting a drawback of the annual data used here). These transitions will not capture transitions within an employer. </w:t>
      </w:r>
      <w:r>
        <w:t>To turn this into a job-to-job transition rate I consider all those with stable employment at</w:t>
      </w:r>
      <w:r w:rsidR="006269E3">
        <w:t xml:space="preserve"> the beginning and</w:t>
      </w:r>
      <w:r>
        <w:t xml:space="preserve"> end of the year (conditions (1) and (2) hold), and take the proportion for whom the employers are different (condition (3) holds).</w:t>
      </w:r>
      <w:r w:rsidR="00AC01E1">
        <w:t xml:space="preserve"> </w:t>
      </w:r>
      <w:r w:rsidR="00B7316F">
        <w:t>I also restrict to this sample (</w:t>
      </w:r>
      <w:r w:rsidR="002A6F90">
        <w:t>those with stable employment</w:t>
      </w:r>
      <w:r w:rsidR="00B7316F">
        <w:t>)</w:t>
      </w:r>
      <w:r w:rsidR="002A6F90">
        <w:t xml:space="preserve"> when measuring</w:t>
      </w:r>
      <w:r w:rsidR="006269E3">
        <w:t xml:space="preserve"> wages in a local labour market.</w:t>
      </w:r>
      <w:r w:rsidR="00FC27D9">
        <w:t xml:space="preserve"> This definition of </w:t>
      </w:r>
      <w:r w:rsidR="001F0B88">
        <w:t>job switching will capture those who switch to self-employment in a corporate entity, but will abstract from moves from, to or between other entities. It will potentially capture some changes that arise from mergers, acquisitions or other re-organisations</w:t>
      </w:r>
      <w:r w:rsidR="00E32A40">
        <w:t xml:space="preserve">. While the ability to refine this measure is limited by the data, both the level and time trend in job-to-job transitions appears similar to that observed in the Household Income and Labour Dynamics in Australia (HILDA) survey (see below). </w:t>
      </w:r>
    </w:p>
    <w:p w14:paraId="2BC9158F" w14:textId="7076C149" w:rsidR="00DF4272" w:rsidRDefault="008618AD" w:rsidP="00FD6D8B">
      <w:pPr>
        <w:jc w:val="both"/>
      </w:pPr>
      <w:r>
        <w:t xml:space="preserve">I define an individual as making </w:t>
      </w:r>
      <w:r w:rsidRPr="00332823">
        <w:t>an unemployme</w:t>
      </w:r>
      <w:r w:rsidR="00C33A4E" w:rsidRPr="00332823">
        <w:t>nt-to-employment</w:t>
      </w:r>
      <w:r w:rsidR="00DF4272" w:rsidRPr="00332823">
        <w:t xml:space="preserve"> (UE</w:t>
      </w:r>
      <w:r w:rsidR="00DF4272">
        <w:t>)</w:t>
      </w:r>
      <w:r w:rsidR="00C33A4E">
        <w:t xml:space="preserve"> transition</w:t>
      </w:r>
      <w:r w:rsidR="00DF4272">
        <w:t xml:space="preserve"> in year t</w:t>
      </w:r>
      <w:r w:rsidR="00C33A4E">
        <w:t xml:space="preserve"> </w:t>
      </w:r>
      <w:r w:rsidR="00DF4272">
        <w:t>when they</w:t>
      </w:r>
      <w:r w:rsidR="00C0556C">
        <w:t> </w:t>
      </w:r>
      <w:r w:rsidR="00DF4272">
        <w:t>have:</w:t>
      </w:r>
    </w:p>
    <w:p w14:paraId="2FF59ED3" w14:textId="6AFD2EE9" w:rsidR="00DF4272" w:rsidRDefault="00DF4272" w:rsidP="00332823">
      <w:pPr>
        <w:pStyle w:val="OutlineNumbered1"/>
        <w:numPr>
          <w:ilvl w:val="0"/>
          <w:numId w:val="50"/>
        </w:numPr>
      </w:pPr>
      <w:r>
        <w:t>at least on</w:t>
      </w:r>
      <w:r w:rsidR="002A6F90">
        <w:t>e</w:t>
      </w:r>
      <w:r>
        <w:t xml:space="preserve"> employer in year t-1;</w:t>
      </w:r>
    </w:p>
    <w:p w14:paraId="09698EA6" w14:textId="70437FB9" w:rsidR="00DF4272" w:rsidRDefault="00DF4272" w:rsidP="00CB7CE4">
      <w:pPr>
        <w:pStyle w:val="OutlineNumbered1"/>
      </w:pPr>
      <w:r>
        <w:t>no employer carrying over from year t-1 into year t; and</w:t>
      </w:r>
    </w:p>
    <w:p w14:paraId="75E74602" w14:textId="0D638485" w:rsidR="006269E3" w:rsidRDefault="00DF4272" w:rsidP="00CB7CE4">
      <w:pPr>
        <w:pStyle w:val="OutlineNumbered1"/>
      </w:pPr>
      <w:r>
        <w:t>a</w:t>
      </w:r>
      <w:r w:rsidR="006269E3">
        <w:t>t least one employer in year t.</w:t>
      </w:r>
    </w:p>
    <w:p w14:paraId="743040ED" w14:textId="3AC4A5EF" w:rsidR="00F774B6" w:rsidRPr="00E91637" w:rsidRDefault="00F774B6" w:rsidP="00E91637">
      <w:pPr>
        <w:pStyle w:val="TableMainHeading"/>
        <w:jc w:val="center"/>
        <w:rPr>
          <w:rStyle w:val="Caption1Char"/>
          <w:rFonts w:eastAsiaTheme="minorHAnsi"/>
        </w:rPr>
      </w:pPr>
      <w:r w:rsidRPr="00E91637">
        <w:rPr>
          <w:rStyle w:val="Caption1Char"/>
          <w:rFonts w:eastAsiaTheme="minorHAnsi"/>
        </w:rPr>
        <w:lastRenderedPageBreak/>
        <w:t>Figure 1: Identification of employment transitions</w:t>
      </w:r>
    </w:p>
    <w:p w14:paraId="39375B21" w14:textId="14EFD4EF" w:rsidR="00B472E0" w:rsidRPr="00792600" w:rsidRDefault="0091583D" w:rsidP="00697AED">
      <w:pPr>
        <w:pStyle w:val="ChartorTableNote"/>
      </w:pPr>
      <w:r>
        <w:rPr>
          <w:noProof/>
        </w:rPr>
        <w:drawing>
          <wp:inline distT="0" distB="0" distL="0" distR="0" wp14:anchorId="6E733941" wp14:editId="24E233F4">
            <wp:extent cx="5895975" cy="3209925"/>
            <wp:effectExtent l="0" t="0" r="9525" b="9525"/>
            <wp:docPr id="5" name="Picture 5" descr="H:\MMPD\Models\Micro Data\Job switching and wages\1. Job switching and wages\Output\Charts\FIG1_EE_transi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MPD\Models\Micro Data\Job switching and wages\1. Job switching and wages\Output\Charts\FIG1_EE_transitions.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95975" cy="3209925"/>
                    </a:xfrm>
                    <a:prstGeom prst="rect">
                      <a:avLst/>
                    </a:prstGeom>
                    <a:noFill/>
                    <a:ln>
                      <a:noFill/>
                    </a:ln>
                  </pic:spPr>
                </pic:pic>
              </a:graphicData>
            </a:graphic>
          </wp:inline>
        </w:drawing>
      </w:r>
      <w:r w:rsidR="001F25A1" w:rsidRPr="00792600">
        <w:t>Note:</w:t>
      </w:r>
      <w:r w:rsidR="00AC01E1">
        <w:t xml:space="preserve"> </w:t>
      </w:r>
      <w:r w:rsidR="001F25A1" w:rsidRPr="00792600">
        <w:t>Illustration of the definitions of job-to-job transitions and unemployment-to-job transitions.</w:t>
      </w:r>
      <w:r w:rsidR="00AC01E1">
        <w:t xml:space="preserve"> </w:t>
      </w:r>
      <w:r w:rsidR="001F25A1" w:rsidRPr="00792600">
        <w:t>The bold lines illustrate the required conditions</w:t>
      </w:r>
      <w:r w:rsidR="002A6C26" w:rsidRPr="00792600">
        <w:t xml:space="preserve"> – whether a job must be held in a given year or given adjacent years.</w:t>
      </w:r>
      <w:r w:rsidR="00AC01E1">
        <w:t xml:space="preserve"> </w:t>
      </w:r>
      <w:r w:rsidR="002A6C26" w:rsidRPr="00792600">
        <w:t xml:space="preserve">The thin lines are one possible realisation of these conditions (for example, that the job-to-job transition occurs with no unemployment spell and that the unemployment-to-job transition results in a lasting employment relationship). </w:t>
      </w:r>
      <w:r w:rsidR="001F25A1" w:rsidRPr="00792600">
        <w:br/>
        <w:t>Source:</w:t>
      </w:r>
      <w:r w:rsidR="002A6C26" w:rsidRPr="00792600">
        <w:t xml:space="preserve"> Treasury illustration.</w:t>
      </w:r>
    </w:p>
    <w:p w14:paraId="5DBAF96D" w14:textId="77777777" w:rsidR="00283C0C" w:rsidRDefault="00283C0C" w:rsidP="009E6FA4">
      <w:pPr>
        <w:pStyle w:val="SingleParagraph"/>
        <w:rPr>
          <w:lang w:val="en-US" w:eastAsia="en-AU"/>
        </w:rPr>
      </w:pPr>
    </w:p>
    <w:p w14:paraId="354DEB28" w14:textId="0A2A769E" w:rsidR="006269E3" w:rsidRDefault="006269E3" w:rsidP="00FD6D8B">
      <w:pPr>
        <w:jc w:val="both"/>
      </w:pPr>
      <w:r>
        <w:t>Intuitively, these individuals enter the year having left their earlier employer, but subsequently get a job.</w:t>
      </w:r>
      <w:r w:rsidR="00AC01E1">
        <w:t xml:space="preserve"> </w:t>
      </w:r>
      <w:r>
        <w:t>Again, to turn this into a transition rate I consider all for whom conditions (</w:t>
      </w:r>
      <w:r w:rsidR="00472CAB">
        <w:t>1</w:t>
      </w:r>
      <w:r>
        <w:t>) and (</w:t>
      </w:r>
      <w:r w:rsidR="00472CAB">
        <w:t>2</w:t>
      </w:r>
      <w:r>
        <w:t>) hold and take the proportion for whom condition (</w:t>
      </w:r>
      <w:r w:rsidR="00472CAB">
        <w:t>3</w:t>
      </w:r>
      <w:r>
        <w:t>) also holds.</w:t>
      </w:r>
      <w:r w:rsidR="00AC01E1">
        <w:t xml:space="preserve"> </w:t>
      </w:r>
      <w:r>
        <w:t>This definition excludes transitions out of long-term unemployment by requiring the individual to have had an employer at some point in year t-1.</w:t>
      </w:r>
      <w:r w:rsidR="00AC01E1">
        <w:t xml:space="preserve"> </w:t>
      </w:r>
      <w:r>
        <w:t>This restriction is useful as it allows all those out of employment to be mapped to a local la</w:t>
      </w:r>
      <w:r w:rsidR="00AB0CF6">
        <w:t>bour market on the basis of the residential postcode for the individual reported on their past payment summary</w:t>
      </w:r>
      <w:r>
        <w:t xml:space="preserve">. </w:t>
      </w:r>
    </w:p>
    <w:p w14:paraId="09D79A22" w14:textId="0A47EB27" w:rsidR="004F04B8" w:rsidRPr="00F507AB" w:rsidRDefault="004F04B8" w:rsidP="001547F2">
      <w:pPr>
        <w:pStyle w:val="Heading3"/>
      </w:pPr>
      <w:r w:rsidRPr="00F507AB">
        <w:t>Job switching – how often, who, when and where?</w:t>
      </w:r>
    </w:p>
    <w:p w14:paraId="1D8091B4" w14:textId="55A55152" w:rsidR="004F04B8" w:rsidRDefault="004F04B8" w:rsidP="00FD6D8B">
      <w:pPr>
        <w:jc w:val="both"/>
        <w:rPr>
          <w:lang w:val="en-US" w:eastAsia="en-AU"/>
        </w:rPr>
      </w:pPr>
      <w:r w:rsidRPr="00F507AB">
        <w:rPr>
          <w:lang w:val="en-US" w:eastAsia="en-AU"/>
        </w:rPr>
        <w:t>I now present a brief overview of job switching patterns in Australia.</w:t>
      </w:r>
      <w:r w:rsidR="00AC01E1">
        <w:rPr>
          <w:lang w:val="en-US" w:eastAsia="en-AU"/>
        </w:rPr>
        <w:t xml:space="preserve"> </w:t>
      </w:r>
      <w:r w:rsidR="00A43DF1">
        <w:rPr>
          <w:lang w:val="en-US" w:eastAsia="en-AU"/>
        </w:rPr>
        <w:t>Table 1 presents key summary statistics for those in stable employment – those with employers crossing both the beginning and end of the year</w:t>
      </w:r>
      <w:r w:rsidR="00876CDB">
        <w:rPr>
          <w:lang w:val="en-US" w:eastAsia="en-AU"/>
        </w:rPr>
        <w:t xml:space="preserve">. It presents statistics for this sample </w:t>
      </w:r>
      <w:r w:rsidR="00A43DF1">
        <w:rPr>
          <w:lang w:val="en-US" w:eastAsia="en-AU"/>
        </w:rPr>
        <w:t>as a whole (Panel A) and split into those staying with an employer (Panel B)</w:t>
      </w:r>
      <w:r w:rsidR="00B617BC">
        <w:rPr>
          <w:lang w:val="en-US" w:eastAsia="en-AU"/>
        </w:rPr>
        <w:t xml:space="preserve"> versus those not (Panel C).</w:t>
      </w:r>
      <w:r w:rsidR="00A43DF1">
        <w:rPr>
          <w:lang w:val="en-US" w:eastAsia="en-AU"/>
        </w:rPr>
        <w:t xml:space="preserve"> </w:t>
      </w:r>
      <w:r w:rsidRPr="00F507AB">
        <w:rPr>
          <w:lang w:val="en-US" w:eastAsia="en-AU"/>
        </w:rPr>
        <w:t>While not the norm, job switching is hardly rare.</w:t>
      </w:r>
      <w:r w:rsidR="00AC01E1">
        <w:rPr>
          <w:lang w:val="en-US" w:eastAsia="en-AU"/>
        </w:rPr>
        <w:t xml:space="preserve"> </w:t>
      </w:r>
      <w:r w:rsidRPr="00F507AB">
        <w:rPr>
          <w:lang w:val="en-US" w:eastAsia="en-AU"/>
        </w:rPr>
        <w:t>Around 13 per cent of those in stable employment switch jobs in any given year – 10 million out of the 72 million observations (Table 1).</w:t>
      </w:r>
      <w:r w:rsidR="00AC01E1">
        <w:rPr>
          <w:lang w:val="en-US" w:eastAsia="en-AU"/>
        </w:rPr>
        <w:t xml:space="preserve"> </w:t>
      </w:r>
      <w:r w:rsidRPr="00F507AB">
        <w:rPr>
          <w:lang w:val="en-US" w:eastAsia="en-AU"/>
        </w:rPr>
        <w:t>There are also clear patterns in how the likelihood of job switching varies over the lifecycle, business cycle and across Australia.</w:t>
      </w:r>
    </w:p>
    <w:p w14:paraId="422DA768" w14:textId="24E6E206" w:rsidR="009E6FA4" w:rsidRDefault="00B03266" w:rsidP="00FD6D8B">
      <w:pPr>
        <w:jc w:val="both"/>
        <w:rPr>
          <w:lang w:val="en-US" w:eastAsia="en-AU"/>
        </w:rPr>
      </w:pPr>
      <w:r w:rsidRPr="00F507AB">
        <w:rPr>
          <w:lang w:val="en-US" w:eastAsia="en-AU"/>
        </w:rPr>
        <w:t>Job switching appears to be an important element of the job ladder – the process by which individuals beginning their careers grow and learn about their skills, and move up into positions that reward them.</w:t>
      </w:r>
      <w:r>
        <w:rPr>
          <w:lang w:val="en-US" w:eastAsia="en-AU"/>
        </w:rPr>
        <w:t xml:space="preserve"> </w:t>
      </w:r>
      <w:r w:rsidRPr="00F507AB">
        <w:rPr>
          <w:lang w:val="en-US" w:eastAsia="en-AU"/>
        </w:rPr>
        <w:t>Figure 2 shows the sharp decline in job switching rates over the lifecycle, from over 20 per cent in the late teens and early 20s to under 5 per cent from the late 60s.</w:t>
      </w:r>
      <w:r>
        <w:rPr>
          <w:lang w:val="en-US" w:eastAsia="en-AU"/>
        </w:rPr>
        <w:t xml:space="preserve"> </w:t>
      </w:r>
      <w:r w:rsidRPr="00F507AB">
        <w:rPr>
          <w:lang w:val="en-US" w:eastAsia="en-AU"/>
        </w:rPr>
        <w:t>At all ages, those switching jobs enjoy higher median wages growth than those staying in their current job.</w:t>
      </w:r>
      <w:r>
        <w:rPr>
          <w:lang w:val="en-US" w:eastAsia="en-AU"/>
        </w:rPr>
        <w:t xml:space="preserve"> </w:t>
      </w:r>
      <w:r w:rsidRPr="00F507AB">
        <w:rPr>
          <w:lang w:val="en-US" w:eastAsia="en-AU"/>
        </w:rPr>
        <w:t>These patterns are also apparent in the aggregate summary statistics in Table 1; those switching jobs are typically younger, with lower wages but higher wages growth.</w:t>
      </w:r>
    </w:p>
    <w:p w14:paraId="4879D42D" w14:textId="77777777" w:rsidR="009E6FA4" w:rsidRDefault="009E6FA4">
      <w:pPr>
        <w:spacing w:after="200" w:line="276" w:lineRule="auto"/>
        <w:rPr>
          <w:lang w:val="en-US" w:eastAsia="en-AU"/>
        </w:rPr>
      </w:pPr>
      <w:r>
        <w:rPr>
          <w:lang w:val="en-US" w:eastAsia="en-AU"/>
        </w:rPr>
        <w:br w:type="page"/>
      </w:r>
    </w:p>
    <w:p w14:paraId="571D94EB" w14:textId="77777777" w:rsidR="00B03266" w:rsidRPr="00F507AB" w:rsidRDefault="00B03266" w:rsidP="00FD6D8B">
      <w:pPr>
        <w:jc w:val="both"/>
        <w:rPr>
          <w:lang w:val="en-US" w:eastAsia="en-AU"/>
        </w:rPr>
      </w:pPr>
    </w:p>
    <w:p w14:paraId="6C821492" w14:textId="0A3865EA" w:rsidR="00531406" w:rsidRPr="00E91637" w:rsidRDefault="007C7837" w:rsidP="002C4F5D">
      <w:pPr>
        <w:pStyle w:val="TableMainHeading"/>
        <w:jc w:val="center"/>
        <w:rPr>
          <w:rStyle w:val="Caption1Char"/>
          <w:rFonts w:eastAsiaTheme="minorHAnsi"/>
        </w:rPr>
      </w:pPr>
      <w:r w:rsidRPr="00E91637">
        <w:rPr>
          <w:rStyle w:val="Caption1Char"/>
          <w:rFonts w:eastAsiaTheme="minorHAnsi"/>
        </w:rPr>
        <w:t>Table 1: Summary statistics</w:t>
      </w:r>
    </w:p>
    <w:tbl>
      <w:tblPr>
        <w:tblW w:w="9322" w:type="dxa"/>
        <w:tblLook w:val="04A0" w:firstRow="1" w:lastRow="0" w:firstColumn="1" w:lastColumn="0" w:noHBand="0" w:noVBand="1"/>
      </w:tblPr>
      <w:tblGrid>
        <w:gridCol w:w="3202"/>
        <w:gridCol w:w="1118"/>
        <w:gridCol w:w="1125"/>
        <w:gridCol w:w="1184"/>
        <w:gridCol w:w="1276"/>
        <w:gridCol w:w="1417"/>
      </w:tblGrid>
      <w:tr w:rsidR="00531406" w:rsidRPr="00531406" w14:paraId="2300231B" w14:textId="77777777" w:rsidTr="00C0556C">
        <w:trPr>
          <w:trHeight w:val="270"/>
        </w:trPr>
        <w:tc>
          <w:tcPr>
            <w:tcW w:w="3202" w:type="dxa"/>
            <w:tcBorders>
              <w:top w:val="double" w:sz="6" w:space="0" w:color="auto"/>
              <w:left w:val="nil"/>
              <w:bottom w:val="single" w:sz="4" w:space="0" w:color="auto"/>
              <w:right w:val="nil"/>
            </w:tcBorders>
            <w:shd w:val="clear" w:color="auto" w:fill="auto"/>
            <w:noWrap/>
            <w:vAlign w:val="bottom"/>
            <w:hideMark/>
          </w:tcPr>
          <w:p w14:paraId="555C052C" w14:textId="77777777" w:rsidR="00531406" w:rsidRPr="00531406" w:rsidRDefault="00531406" w:rsidP="00531406">
            <w:pPr>
              <w:spacing w:after="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18" w:type="dxa"/>
            <w:tcBorders>
              <w:top w:val="double" w:sz="6" w:space="0" w:color="auto"/>
              <w:left w:val="nil"/>
              <w:bottom w:val="single" w:sz="4" w:space="0" w:color="auto"/>
              <w:right w:val="nil"/>
            </w:tcBorders>
            <w:shd w:val="clear" w:color="auto" w:fill="auto"/>
            <w:noWrap/>
            <w:vAlign w:val="bottom"/>
            <w:hideMark/>
          </w:tcPr>
          <w:p w14:paraId="463F449F"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Mean</w:t>
            </w:r>
          </w:p>
        </w:tc>
        <w:tc>
          <w:tcPr>
            <w:tcW w:w="1125" w:type="dxa"/>
            <w:tcBorders>
              <w:top w:val="double" w:sz="6" w:space="0" w:color="auto"/>
              <w:left w:val="nil"/>
              <w:bottom w:val="single" w:sz="4" w:space="0" w:color="auto"/>
              <w:right w:val="nil"/>
            </w:tcBorders>
            <w:shd w:val="clear" w:color="auto" w:fill="auto"/>
            <w:noWrap/>
            <w:vAlign w:val="bottom"/>
            <w:hideMark/>
          </w:tcPr>
          <w:p w14:paraId="04386739"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p10</w:t>
            </w:r>
          </w:p>
        </w:tc>
        <w:tc>
          <w:tcPr>
            <w:tcW w:w="1184" w:type="dxa"/>
            <w:tcBorders>
              <w:top w:val="double" w:sz="6" w:space="0" w:color="auto"/>
              <w:left w:val="nil"/>
              <w:bottom w:val="single" w:sz="4" w:space="0" w:color="auto"/>
              <w:right w:val="nil"/>
            </w:tcBorders>
            <w:shd w:val="clear" w:color="auto" w:fill="auto"/>
            <w:noWrap/>
            <w:vAlign w:val="bottom"/>
            <w:hideMark/>
          </w:tcPr>
          <w:p w14:paraId="02DCB8EC"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p50</w:t>
            </w:r>
          </w:p>
        </w:tc>
        <w:tc>
          <w:tcPr>
            <w:tcW w:w="1276" w:type="dxa"/>
            <w:tcBorders>
              <w:top w:val="double" w:sz="6" w:space="0" w:color="auto"/>
              <w:left w:val="nil"/>
              <w:bottom w:val="single" w:sz="4" w:space="0" w:color="auto"/>
              <w:right w:val="nil"/>
            </w:tcBorders>
            <w:shd w:val="clear" w:color="auto" w:fill="auto"/>
            <w:noWrap/>
            <w:vAlign w:val="bottom"/>
            <w:hideMark/>
          </w:tcPr>
          <w:p w14:paraId="68AEE696"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p90</w:t>
            </w:r>
          </w:p>
        </w:tc>
        <w:tc>
          <w:tcPr>
            <w:tcW w:w="1417" w:type="dxa"/>
            <w:tcBorders>
              <w:top w:val="double" w:sz="6" w:space="0" w:color="auto"/>
              <w:left w:val="nil"/>
              <w:bottom w:val="single" w:sz="4" w:space="0" w:color="auto"/>
              <w:right w:val="nil"/>
            </w:tcBorders>
            <w:shd w:val="clear" w:color="auto" w:fill="auto"/>
            <w:noWrap/>
            <w:vAlign w:val="bottom"/>
            <w:hideMark/>
          </w:tcPr>
          <w:p w14:paraId="18D0F2D2"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N</w:t>
            </w:r>
          </w:p>
        </w:tc>
      </w:tr>
      <w:tr w:rsidR="00531406" w:rsidRPr="00531406" w14:paraId="3BC61AE2" w14:textId="77777777" w:rsidTr="00C0556C">
        <w:trPr>
          <w:trHeight w:val="255"/>
        </w:trPr>
        <w:tc>
          <w:tcPr>
            <w:tcW w:w="4320" w:type="dxa"/>
            <w:gridSpan w:val="2"/>
            <w:tcBorders>
              <w:top w:val="nil"/>
              <w:left w:val="nil"/>
              <w:bottom w:val="nil"/>
              <w:right w:val="nil"/>
            </w:tcBorders>
            <w:shd w:val="clear" w:color="auto" w:fill="auto"/>
            <w:noWrap/>
            <w:vAlign w:val="bottom"/>
            <w:hideMark/>
          </w:tcPr>
          <w:p w14:paraId="574F7ADB" w14:textId="77777777" w:rsidR="00531406" w:rsidRPr="00531406" w:rsidRDefault="00531406" w:rsidP="00531406">
            <w:pPr>
              <w:spacing w:after="0"/>
              <w:rPr>
                <w:rFonts w:ascii="Arial" w:eastAsia="Times New Roman" w:hAnsi="Arial" w:cs="Arial"/>
                <w:i/>
                <w:iCs/>
                <w:color w:val="000000"/>
                <w:sz w:val="20"/>
                <w:szCs w:val="20"/>
                <w:lang w:eastAsia="en-AU"/>
              </w:rPr>
            </w:pPr>
            <w:r w:rsidRPr="00531406">
              <w:rPr>
                <w:rFonts w:ascii="Arial" w:eastAsia="Times New Roman" w:hAnsi="Arial" w:cs="Arial"/>
                <w:i/>
                <w:iCs/>
                <w:color w:val="000000"/>
                <w:sz w:val="20"/>
                <w:szCs w:val="20"/>
                <w:lang w:eastAsia="en-AU"/>
              </w:rPr>
              <w:t>Panel A:  With stable employment</w:t>
            </w:r>
          </w:p>
        </w:tc>
        <w:tc>
          <w:tcPr>
            <w:tcW w:w="1125" w:type="dxa"/>
            <w:tcBorders>
              <w:top w:val="nil"/>
              <w:left w:val="nil"/>
              <w:bottom w:val="nil"/>
              <w:right w:val="nil"/>
            </w:tcBorders>
            <w:shd w:val="clear" w:color="auto" w:fill="auto"/>
            <w:noWrap/>
            <w:vAlign w:val="bottom"/>
            <w:hideMark/>
          </w:tcPr>
          <w:p w14:paraId="1F28F84E" w14:textId="77777777" w:rsidR="00531406" w:rsidRPr="00531406" w:rsidRDefault="00531406" w:rsidP="00531406">
            <w:pPr>
              <w:spacing w:after="0"/>
              <w:rPr>
                <w:rFonts w:ascii="Arial" w:eastAsia="Times New Roman" w:hAnsi="Arial" w:cs="Arial"/>
                <w:i/>
                <w:iCs/>
                <w:color w:val="000000"/>
                <w:sz w:val="20"/>
                <w:szCs w:val="20"/>
                <w:lang w:eastAsia="en-AU"/>
              </w:rPr>
            </w:pPr>
          </w:p>
        </w:tc>
        <w:tc>
          <w:tcPr>
            <w:tcW w:w="1184" w:type="dxa"/>
            <w:tcBorders>
              <w:top w:val="nil"/>
              <w:left w:val="nil"/>
              <w:bottom w:val="nil"/>
              <w:right w:val="nil"/>
            </w:tcBorders>
            <w:shd w:val="clear" w:color="auto" w:fill="auto"/>
            <w:noWrap/>
            <w:vAlign w:val="bottom"/>
            <w:hideMark/>
          </w:tcPr>
          <w:p w14:paraId="01CA8C86" w14:textId="77777777" w:rsidR="00531406" w:rsidRPr="00531406" w:rsidRDefault="00531406" w:rsidP="00531406">
            <w:pPr>
              <w:spacing w:after="0"/>
              <w:jc w:val="center"/>
              <w:rPr>
                <w:rFonts w:ascii="Times New Roman" w:eastAsia="Times New Roman" w:hAnsi="Times New Roman" w:cs="Times New Roman"/>
                <w:color w:val="auto"/>
                <w:sz w:val="20"/>
                <w:szCs w:val="20"/>
                <w:lang w:eastAsia="en-AU"/>
              </w:rPr>
            </w:pPr>
          </w:p>
        </w:tc>
        <w:tc>
          <w:tcPr>
            <w:tcW w:w="1276" w:type="dxa"/>
            <w:tcBorders>
              <w:top w:val="nil"/>
              <w:left w:val="nil"/>
              <w:bottom w:val="nil"/>
              <w:right w:val="nil"/>
            </w:tcBorders>
            <w:shd w:val="clear" w:color="auto" w:fill="auto"/>
            <w:noWrap/>
            <w:vAlign w:val="bottom"/>
            <w:hideMark/>
          </w:tcPr>
          <w:p w14:paraId="527DAF65" w14:textId="77777777" w:rsidR="00531406" w:rsidRPr="00531406" w:rsidRDefault="00531406" w:rsidP="00531406">
            <w:pPr>
              <w:spacing w:after="0"/>
              <w:jc w:val="center"/>
              <w:rPr>
                <w:rFonts w:ascii="Times New Roman" w:eastAsia="Times New Roman" w:hAnsi="Times New Roman" w:cs="Times New Roman"/>
                <w:color w:val="auto"/>
                <w:sz w:val="20"/>
                <w:szCs w:val="20"/>
                <w:lang w:eastAsia="en-AU"/>
              </w:rPr>
            </w:pPr>
          </w:p>
        </w:tc>
        <w:tc>
          <w:tcPr>
            <w:tcW w:w="1417" w:type="dxa"/>
            <w:tcBorders>
              <w:top w:val="nil"/>
              <w:left w:val="nil"/>
              <w:bottom w:val="nil"/>
              <w:right w:val="nil"/>
            </w:tcBorders>
            <w:shd w:val="clear" w:color="auto" w:fill="auto"/>
            <w:noWrap/>
            <w:vAlign w:val="bottom"/>
            <w:hideMark/>
          </w:tcPr>
          <w:p w14:paraId="3ABE90CF" w14:textId="77777777" w:rsidR="00531406" w:rsidRPr="00531406" w:rsidRDefault="00531406" w:rsidP="00531406">
            <w:pPr>
              <w:spacing w:after="0"/>
              <w:jc w:val="center"/>
              <w:rPr>
                <w:rFonts w:ascii="Times New Roman" w:eastAsia="Times New Roman" w:hAnsi="Times New Roman" w:cs="Times New Roman"/>
                <w:color w:val="auto"/>
                <w:sz w:val="20"/>
                <w:szCs w:val="20"/>
                <w:lang w:eastAsia="en-AU"/>
              </w:rPr>
            </w:pPr>
          </w:p>
        </w:tc>
      </w:tr>
      <w:tr w:rsidR="00531406" w:rsidRPr="00531406" w14:paraId="2C89BB1E" w14:textId="77777777" w:rsidTr="00C0556C">
        <w:trPr>
          <w:trHeight w:val="255"/>
        </w:trPr>
        <w:tc>
          <w:tcPr>
            <w:tcW w:w="3202" w:type="dxa"/>
            <w:tcBorders>
              <w:top w:val="nil"/>
              <w:left w:val="nil"/>
              <w:bottom w:val="nil"/>
              <w:right w:val="nil"/>
            </w:tcBorders>
            <w:shd w:val="clear" w:color="auto" w:fill="auto"/>
            <w:noWrap/>
            <w:vAlign w:val="bottom"/>
            <w:hideMark/>
          </w:tcPr>
          <w:p w14:paraId="3A022718" w14:textId="77777777" w:rsidR="00531406" w:rsidRPr="00531406" w:rsidRDefault="00531406"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Wages</w:t>
            </w:r>
          </w:p>
        </w:tc>
        <w:tc>
          <w:tcPr>
            <w:tcW w:w="1118" w:type="dxa"/>
            <w:tcBorders>
              <w:top w:val="nil"/>
              <w:left w:val="nil"/>
              <w:bottom w:val="nil"/>
              <w:right w:val="nil"/>
            </w:tcBorders>
            <w:shd w:val="clear" w:color="000000" w:fill="FFFFFF"/>
            <w:vAlign w:val="center"/>
            <w:hideMark/>
          </w:tcPr>
          <w:p w14:paraId="7FA29922"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56,603</w:t>
            </w:r>
          </w:p>
        </w:tc>
        <w:tc>
          <w:tcPr>
            <w:tcW w:w="1125" w:type="dxa"/>
            <w:tcBorders>
              <w:top w:val="nil"/>
              <w:left w:val="nil"/>
              <w:bottom w:val="nil"/>
              <w:right w:val="nil"/>
            </w:tcBorders>
            <w:shd w:val="clear" w:color="000000" w:fill="FFFFFF"/>
            <w:vAlign w:val="center"/>
            <w:hideMark/>
          </w:tcPr>
          <w:p w14:paraId="1BD9B041"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13,251</w:t>
            </w:r>
          </w:p>
        </w:tc>
        <w:tc>
          <w:tcPr>
            <w:tcW w:w="1184" w:type="dxa"/>
            <w:tcBorders>
              <w:top w:val="nil"/>
              <w:left w:val="nil"/>
              <w:bottom w:val="nil"/>
              <w:right w:val="nil"/>
            </w:tcBorders>
            <w:shd w:val="clear" w:color="000000" w:fill="FFFFFF"/>
            <w:vAlign w:val="center"/>
            <w:hideMark/>
          </w:tcPr>
          <w:p w14:paraId="094B6DAE"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47,550</w:t>
            </w:r>
          </w:p>
        </w:tc>
        <w:tc>
          <w:tcPr>
            <w:tcW w:w="1276" w:type="dxa"/>
            <w:tcBorders>
              <w:top w:val="nil"/>
              <w:left w:val="nil"/>
              <w:bottom w:val="nil"/>
              <w:right w:val="nil"/>
            </w:tcBorders>
            <w:shd w:val="clear" w:color="000000" w:fill="FFFFFF"/>
            <w:vAlign w:val="center"/>
            <w:hideMark/>
          </w:tcPr>
          <w:p w14:paraId="2DBB6B4D"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103,031</w:t>
            </w:r>
          </w:p>
        </w:tc>
        <w:tc>
          <w:tcPr>
            <w:tcW w:w="1417" w:type="dxa"/>
            <w:tcBorders>
              <w:top w:val="nil"/>
              <w:left w:val="nil"/>
              <w:bottom w:val="nil"/>
              <w:right w:val="nil"/>
            </w:tcBorders>
            <w:shd w:val="clear" w:color="auto" w:fill="auto"/>
            <w:noWrap/>
            <w:vAlign w:val="center"/>
            <w:hideMark/>
          </w:tcPr>
          <w:p w14:paraId="0A104091"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71,966,100</w:t>
            </w:r>
          </w:p>
        </w:tc>
      </w:tr>
      <w:tr w:rsidR="00531406" w:rsidRPr="00531406" w14:paraId="0A115B4E" w14:textId="77777777" w:rsidTr="00C0556C">
        <w:trPr>
          <w:trHeight w:val="255"/>
        </w:trPr>
        <w:tc>
          <w:tcPr>
            <w:tcW w:w="3202" w:type="dxa"/>
            <w:tcBorders>
              <w:top w:val="nil"/>
              <w:left w:val="nil"/>
              <w:bottom w:val="nil"/>
              <w:right w:val="nil"/>
            </w:tcBorders>
            <w:shd w:val="clear" w:color="auto" w:fill="auto"/>
            <w:noWrap/>
            <w:vAlign w:val="bottom"/>
            <w:hideMark/>
          </w:tcPr>
          <w:p w14:paraId="3ADC2978" w14:textId="77777777" w:rsidR="00531406" w:rsidRPr="00531406" w:rsidRDefault="00531406"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Wages growth</w:t>
            </w:r>
          </w:p>
        </w:tc>
        <w:tc>
          <w:tcPr>
            <w:tcW w:w="1118" w:type="dxa"/>
            <w:tcBorders>
              <w:top w:val="nil"/>
              <w:left w:val="nil"/>
              <w:bottom w:val="nil"/>
              <w:right w:val="nil"/>
            </w:tcBorders>
            <w:shd w:val="clear" w:color="auto" w:fill="auto"/>
            <w:noWrap/>
            <w:vAlign w:val="center"/>
            <w:hideMark/>
          </w:tcPr>
          <w:p w14:paraId="2B2FA395" w14:textId="77777777" w:rsidR="00531406" w:rsidRPr="00531406" w:rsidRDefault="00531406" w:rsidP="00531406">
            <w:pPr>
              <w:spacing w:after="0"/>
              <w:ind w:firstLineChars="100" w:firstLine="200"/>
              <w:rPr>
                <w:rFonts w:ascii="Arial" w:eastAsia="Times New Roman" w:hAnsi="Arial" w:cs="Arial"/>
                <w:color w:val="000000"/>
                <w:sz w:val="20"/>
                <w:szCs w:val="20"/>
                <w:lang w:eastAsia="en-AU"/>
              </w:rPr>
            </w:pPr>
          </w:p>
        </w:tc>
        <w:tc>
          <w:tcPr>
            <w:tcW w:w="1125" w:type="dxa"/>
            <w:tcBorders>
              <w:top w:val="nil"/>
              <w:left w:val="nil"/>
              <w:bottom w:val="nil"/>
              <w:right w:val="nil"/>
            </w:tcBorders>
            <w:shd w:val="clear" w:color="auto" w:fill="auto"/>
            <w:noWrap/>
            <w:vAlign w:val="center"/>
            <w:hideMark/>
          </w:tcPr>
          <w:p w14:paraId="5DA34D70" w14:textId="77777777" w:rsidR="00531406" w:rsidRPr="00531406" w:rsidRDefault="00531406" w:rsidP="00531406">
            <w:pPr>
              <w:spacing w:after="0"/>
              <w:jc w:val="center"/>
              <w:rPr>
                <w:rFonts w:ascii="Times New Roman" w:eastAsia="Times New Roman" w:hAnsi="Times New Roman" w:cs="Times New Roman"/>
                <w:color w:val="auto"/>
                <w:sz w:val="20"/>
                <w:szCs w:val="20"/>
                <w:lang w:eastAsia="en-AU"/>
              </w:rPr>
            </w:pPr>
          </w:p>
        </w:tc>
        <w:tc>
          <w:tcPr>
            <w:tcW w:w="1184" w:type="dxa"/>
            <w:tcBorders>
              <w:top w:val="nil"/>
              <w:left w:val="nil"/>
              <w:bottom w:val="nil"/>
              <w:right w:val="nil"/>
            </w:tcBorders>
            <w:shd w:val="clear" w:color="000000" w:fill="FFFFFF"/>
            <w:vAlign w:val="center"/>
            <w:hideMark/>
          </w:tcPr>
          <w:p w14:paraId="5CDEB85F"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6.3</w:t>
            </w:r>
          </w:p>
        </w:tc>
        <w:tc>
          <w:tcPr>
            <w:tcW w:w="1276" w:type="dxa"/>
            <w:tcBorders>
              <w:top w:val="nil"/>
              <w:left w:val="nil"/>
              <w:bottom w:val="nil"/>
              <w:right w:val="nil"/>
            </w:tcBorders>
            <w:shd w:val="clear" w:color="auto" w:fill="auto"/>
            <w:noWrap/>
            <w:vAlign w:val="center"/>
            <w:hideMark/>
          </w:tcPr>
          <w:p w14:paraId="675409EC" w14:textId="77777777" w:rsidR="00531406" w:rsidRPr="00531406" w:rsidRDefault="00531406" w:rsidP="00531406">
            <w:pPr>
              <w:spacing w:after="0"/>
              <w:jc w:val="center"/>
              <w:rPr>
                <w:rFonts w:ascii="Arial" w:eastAsia="Times New Roman" w:hAnsi="Arial" w:cs="Arial"/>
                <w:color w:val="000000"/>
                <w:sz w:val="20"/>
                <w:szCs w:val="20"/>
                <w:lang w:eastAsia="en-AU"/>
              </w:rPr>
            </w:pPr>
          </w:p>
        </w:tc>
        <w:tc>
          <w:tcPr>
            <w:tcW w:w="1417" w:type="dxa"/>
            <w:tcBorders>
              <w:top w:val="nil"/>
              <w:left w:val="nil"/>
              <w:bottom w:val="nil"/>
              <w:right w:val="nil"/>
            </w:tcBorders>
            <w:shd w:val="clear" w:color="auto" w:fill="auto"/>
            <w:noWrap/>
            <w:vAlign w:val="center"/>
            <w:hideMark/>
          </w:tcPr>
          <w:p w14:paraId="1E0D94C7"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71,966,100</w:t>
            </w:r>
          </w:p>
        </w:tc>
      </w:tr>
      <w:tr w:rsidR="00531406" w:rsidRPr="00531406" w14:paraId="0EF31593" w14:textId="77777777" w:rsidTr="00C0556C">
        <w:trPr>
          <w:trHeight w:val="255"/>
        </w:trPr>
        <w:tc>
          <w:tcPr>
            <w:tcW w:w="3202" w:type="dxa"/>
            <w:tcBorders>
              <w:top w:val="nil"/>
              <w:left w:val="nil"/>
              <w:bottom w:val="nil"/>
              <w:right w:val="nil"/>
            </w:tcBorders>
            <w:shd w:val="clear" w:color="auto" w:fill="auto"/>
            <w:noWrap/>
            <w:vAlign w:val="bottom"/>
            <w:hideMark/>
          </w:tcPr>
          <w:p w14:paraId="56E87DFA" w14:textId="77777777" w:rsidR="00531406" w:rsidRPr="00531406" w:rsidRDefault="00531406"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Age</w:t>
            </w:r>
          </w:p>
        </w:tc>
        <w:tc>
          <w:tcPr>
            <w:tcW w:w="1118" w:type="dxa"/>
            <w:tcBorders>
              <w:top w:val="nil"/>
              <w:left w:val="nil"/>
              <w:bottom w:val="nil"/>
              <w:right w:val="nil"/>
            </w:tcBorders>
            <w:shd w:val="clear" w:color="000000" w:fill="FFFFFF"/>
            <w:vAlign w:val="center"/>
            <w:hideMark/>
          </w:tcPr>
          <w:p w14:paraId="3035B3F7"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40.2</w:t>
            </w:r>
          </w:p>
        </w:tc>
        <w:tc>
          <w:tcPr>
            <w:tcW w:w="1125" w:type="dxa"/>
            <w:tcBorders>
              <w:top w:val="nil"/>
              <w:left w:val="nil"/>
              <w:bottom w:val="nil"/>
              <w:right w:val="nil"/>
            </w:tcBorders>
            <w:shd w:val="clear" w:color="000000" w:fill="FFFFFF"/>
            <w:vAlign w:val="center"/>
            <w:hideMark/>
          </w:tcPr>
          <w:p w14:paraId="1745E3E6"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22.2</w:t>
            </w:r>
          </w:p>
        </w:tc>
        <w:tc>
          <w:tcPr>
            <w:tcW w:w="1184" w:type="dxa"/>
            <w:tcBorders>
              <w:top w:val="nil"/>
              <w:left w:val="nil"/>
              <w:bottom w:val="nil"/>
              <w:right w:val="nil"/>
            </w:tcBorders>
            <w:shd w:val="clear" w:color="000000" w:fill="FFFFFF"/>
            <w:vAlign w:val="center"/>
            <w:hideMark/>
          </w:tcPr>
          <w:p w14:paraId="6F44A7DF"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40.0</w:t>
            </w:r>
          </w:p>
        </w:tc>
        <w:tc>
          <w:tcPr>
            <w:tcW w:w="1276" w:type="dxa"/>
            <w:tcBorders>
              <w:top w:val="nil"/>
              <w:left w:val="nil"/>
              <w:bottom w:val="nil"/>
              <w:right w:val="nil"/>
            </w:tcBorders>
            <w:shd w:val="clear" w:color="000000" w:fill="FFFFFF"/>
            <w:vAlign w:val="center"/>
            <w:hideMark/>
          </w:tcPr>
          <w:p w14:paraId="37E9147E"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58.2</w:t>
            </w:r>
          </w:p>
        </w:tc>
        <w:tc>
          <w:tcPr>
            <w:tcW w:w="1417" w:type="dxa"/>
            <w:tcBorders>
              <w:top w:val="nil"/>
              <w:left w:val="nil"/>
              <w:bottom w:val="nil"/>
              <w:right w:val="nil"/>
            </w:tcBorders>
            <w:shd w:val="clear" w:color="auto" w:fill="auto"/>
            <w:noWrap/>
            <w:vAlign w:val="center"/>
            <w:hideMark/>
          </w:tcPr>
          <w:p w14:paraId="03C3F0A1"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71,857,000</w:t>
            </w:r>
          </w:p>
        </w:tc>
      </w:tr>
      <w:tr w:rsidR="00531406" w:rsidRPr="00531406" w14:paraId="0748C6CE" w14:textId="77777777" w:rsidTr="00C0556C">
        <w:trPr>
          <w:trHeight w:val="255"/>
        </w:trPr>
        <w:tc>
          <w:tcPr>
            <w:tcW w:w="3202" w:type="dxa"/>
            <w:tcBorders>
              <w:top w:val="nil"/>
              <w:left w:val="nil"/>
              <w:bottom w:val="nil"/>
              <w:right w:val="nil"/>
            </w:tcBorders>
            <w:shd w:val="clear" w:color="auto" w:fill="auto"/>
            <w:noWrap/>
            <w:vAlign w:val="bottom"/>
            <w:hideMark/>
          </w:tcPr>
          <w:p w14:paraId="1E8F6E03" w14:textId="77777777" w:rsidR="00531406" w:rsidRPr="00531406" w:rsidRDefault="00531406"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Proportion female</w:t>
            </w:r>
          </w:p>
        </w:tc>
        <w:tc>
          <w:tcPr>
            <w:tcW w:w="1118" w:type="dxa"/>
            <w:tcBorders>
              <w:top w:val="nil"/>
              <w:left w:val="nil"/>
              <w:bottom w:val="nil"/>
              <w:right w:val="nil"/>
            </w:tcBorders>
            <w:shd w:val="clear" w:color="auto" w:fill="auto"/>
            <w:noWrap/>
            <w:vAlign w:val="center"/>
            <w:hideMark/>
          </w:tcPr>
          <w:p w14:paraId="7F7C391C"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0.49</w:t>
            </w:r>
          </w:p>
        </w:tc>
        <w:tc>
          <w:tcPr>
            <w:tcW w:w="1125" w:type="dxa"/>
            <w:tcBorders>
              <w:top w:val="nil"/>
              <w:left w:val="nil"/>
              <w:bottom w:val="nil"/>
              <w:right w:val="nil"/>
            </w:tcBorders>
            <w:shd w:val="clear" w:color="auto" w:fill="auto"/>
            <w:noWrap/>
            <w:vAlign w:val="center"/>
            <w:hideMark/>
          </w:tcPr>
          <w:p w14:paraId="5BA7E713" w14:textId="77777777" w:rsidR="00531406" w:rsidRPr="00531406" w:rsidRDefault="00531406" w:rsidP="00531406">
            <w:pPr>
              <w:spacing w:after="0"/>
              <w:jc w:val="center"/>
              <w:rPr>
                <w:rFonts w:ascii="Arial" w:eastAsia="Times New Roman" w:hAnsi="Arial" w:cs="Arial"/>
                <w:color w:val="000000"/>
                <w:sz w:val="20"/>
                <w:szCs w:val="20"/>
                <w:lang w:eastAsia="en-AU"/>
              </w:rPr>
            </w:pPr>
          </w:p>
        </w:tc>
        <w:tc>
          <w:tcPr>
            <w:tcW w:w="1184" w:type="dxa"/>
            <w:tcBorders>
              <w:top w:val="nil"/>
              <w:left w:val="nil"/>
              <w:bottom w:val="nil"/>
              <w:right w:val="nil"/>
            </w:tcBorders>
            <w:shd w:val="clear" w:color="000000" w:fill="FFFFFF"/>
            <w:vAlign w:val="center"/>
            <w:hideMark/>
          </w:tcPr>
          <w:p w14:paraId="5358A023"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276" w:type="dxa"/>
            <w:tcBorders>
              <w:top w:val="nil"/>
              <w:left w:val="nil"/>
              <w:bottom w:val="nil"/>
              <w:right w:val="nil"/>
            </w:tcBorders>
            <w:shd w:val="clear" w:color="auto" w:fill="auto"/>
            <w:noWrap/>
            <w:vAlign w:val="center"/>
            <w:hideMark/>
          </w:tcPr>
          <w:p w14:paraId="0A044F8F" w14:textId="77777777" w:rsidR="00531406" w:rsidRPr="00531406" w:rsidRDefault="00531406" w:rsidP="00531406">
            <w:pPr>
              <w:spacing w:after="0"/>
              <w:jc w:val="center"/>
              <w:rPr>
                <w:rFonts w:ascii="Arial" w:eastAsia="Times New Roman" w:hAnsi="Arial" w:cs="Arial"/>
                <w:color w:val="000000"/>
                <w:sz w:val="20"/>
                <w:szCs w:val="20"/>
                <w:lang w:eastAsia="en-AU"/>
              </w:rPr>
            </w:pPr>
          </w:p>
        </w:tc>
        <w:tc>
          <w:tcPr>
            <w:tcW w:w="1417" w:type="dxa"/>
            <w:tcBorders>
              <w:top w:val="nil"/>
              <w:left w:val="nil"/>
              <w:bottom w:val="nil"/>
              <w:right w:val="nil"/>
            </w:tcBorders>
            <w:shd w:val="clear" w:color="auto" w:fill="auto"/>
            <w:noWrap/>
            <w:vAlign w:val="center"/>
            <w:hideMark/>
          </w:tcPr>
          <w:p w14:paraId="626CE98E"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71,857,000</w:t>
            </w:r>
          </w:p>
        </w:tc>
      </w:tr>
      <w:tr w:rsidR="00531406" w:rsidRPr="00531406" w14:paraId="0AF277F8" w14:textId="77777777" w:rsidTr="00C0556C">
        <w:trPr>
          <w:trHeight w:val="60"/>
        </w:trPr>
        <w:tc>
          <w:tcPr>
            <w:tcW w:w="3202" w:type="dxa"/>
            <w:tcBorders>
              <w:top w:val="nil"/>
              <w:left w:val="nil"/>
              <w:bottom w:val="nil"/>
              <w:right w:val="nil"/>
            </w:tcBorders>
            <w:shd w:val="clear" w:color="auto" w:fill="auto"/>
            <w:noWrap/>
            <w:vAlign w:val="bottom"/>
            <w:hideMark/>
          </w:tcPr>
          <w:p w14:paraId="0DFF74A0" w14:textId="77777777" w:rsidR="00531406" w:rsidRPr="00531406" w:rsidRDefault="00531406" w:rsidP="00531406">
            <w:pPr>
              <w:spacing w:after="0"/>
              <w:jc w:val="center"/>
              <w:rPr>
                <w:rFonts w:ascii="Arial" w:eastAsia="Times New Roman" w:hAnsi="Arial" w:cs="Arial"/>
                <w:color w:val="000000"/>
                <w:sz w:val="20"/>
                <w:szCs w:val="20"/>
                <w:lang w:eastAsia="en-AU"/>
              </w:rPr>
            </w:pPr>
          </w:p>
        </w:tc>
        <w:tc>
          <w:tcPr>
            <w:tcW w:w="1118" w:type="dxa"/>
            <w:tcBorders>
              <w:top w:val="nil"/>
              <w:left w:val="nil"/>
              <w:bottom w:val="nil"/>
              <w:right w:val="nil"/>
            </w:tcBorders>
            <w:shd w:val="clear" w:color="auto" w:fill="auto"/>
            <w:noWrap/>
            <w:vAlign w:val="center"/>
            <w:hideMark/>
          </w:tcPr>
          <w:p w14:paraId="1C29E2E9" w14:textId="77777777" w:rsidR="00531406" w:rsidRPr="00531406" w:rsidRDefault="00531406" w:rsidP="00531406">
            <w:pPr>
              <w:spacing w:after="0"/>
              <w:ind w:firstLineChars="100" w:firstLine="200"/>
              <w:rPr>
                <w:rFonts w:ascii="Times New Roman" w:eastAsia="Times New Roman" w:hAnsi="Times New Roman" w:cs="Times New Roman"/>
                <w:color w:val="auto"/>
                <w:sz w:val="20"/>
                <w:szCs w:val="20"/>
                <w:lang w:eastAsia="en-AU"/>
              </w:rPr>
            </w:pPr>
          </w:p>
        </w:tc>
        <w:tc>
          <w:tcPr>
            <w:tcW w:w="1125" w:type="dxa"/>
            <w:tcBorders>
              <w:top w:val="nil"/>
              <w:left w:val="nil"/>
              <w:bottom w:val="nil"/>
              <w:right w:val="nil"/>
            </w:tcBorders>
            <w:shd w:val="clear" w:color="auto" w:fill="auto"/>
            <w:noWrap/>
            <w:vAlign w:val="center"/>
            <w:hideMark/>
          </w:tcPr>
          <w:p w14:paraId="0DF2D4BF" w14:textId="77777777" w:rsidR="00531406" w:rsidRPr="00531406" w:rsidRDefault="00531406" w:rsidP="00531406">
            <w:pPr>
              <w:spacing w:after="0"/>
              <w:jc w:val="center"/>
              <w:rPr>
                <w:rFonts w:ascii="Times New Roman" w:eastAsia="Times New Roman" w:hAnsi="Times New Roman" w:cs="Times New Roman"/>
                <w:color w:val="auto"/>
                <w:sz w:val="20"/>
                <w:szCs w:val="20"/>
                <w:lang w:eastAsia="en-AU"/>
              </w:rPr>
            </w:pPr>
          </w:p>
        </w:tc>
        <w:tc>
          <w:tcPr>
            <w:tcW w:w="1184" w:type="dxa"/>
            <w:tcBorders>
              <w:top w:val="nil"/>
              <w:left w:val="nil"/>
              <w:bottom w:val="nil"/>
              <w:right w:val="nil"/>
            </w:tcBorders>
            <w:shd w:val="clear" w:color="000000" w:fill="FFFFFF"/>
            <w:vAlign w:val="center"/>
            <w:hideMark/>
          </w:tcPr>
          <w:p w14:paraId="37D85D88"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276" w:type="dxa"/>
            <w:tcBorders>
              <w:top w:val="nil"/>
              <w:left w:val="nil"/>
              <w:bottom w:val="nil"/>
              <w:right w:val="nil"/>
            </w:tcBorders>
            <w:shd w:val="clear" w:color="auto" w:fill="auto"/>
            <w:noWrap/>
            <w:vAlign w:val="center"/>
            <w:hideMark/>
          </w:tcPr>
          <w:p w14:paraId="02890273" w14:textId="77777777" w:rsidR="00531406" w:rsidRPr="00531406" w:rsidRDefault="00531406" w:rsidP="00531406">
            <w:pPr>
              <w:spacing w:after="0"/>
              <w:jc w:val="center"/>
              <w:rPr>
                <w:rFonts w:ascii="Arial" w:eastAsia="Times New Roman" w:hAnsi="Arial" w:cs="Arial"/>
                <w:color w:val="000000"/>
                <w:sz w:val="20"/>
                <w:szCs w:val="20"/>
                <w:lang w:eastAsia="en-AU"/>
              </w:rPr>
            </w:pPr>
          </w:p>
        </w:tc>
        <w:tc>
          <w:tcPr>
            <w:tcW w:w="1417" w:type="dxa"/>
            <w:tcBorders>
              <w:top w:val="nil"/>
              <w:left w:val="nil"/>
              <w:bottom w:val="nil"/>
              <w:right w:val="nil"/>
            </w:tcBorders>
            <w:shd w:val="clear" w:color="auto" w:fill="auto"/>
            <w:noWrap/>
            <w:vAlign w:val="center"/>
            <w:hideMark/>
          </w:tcPr>
          <w:p w14:paraId="5D2FB9A9" w14:textId="77777777" w:rsidR="00531406" w:rsidRPr="00531406" w:rsidRDefault="00531406" w:rsidP="00531406">
            <w:pPr>
              <w:spacing w:after="0"/>
              <w:jc w:val="center"/>
              <w:rPr>
                <w:rFonts w:ascii="Times New Roman" w:eastAsia="Times New Roman" w:hAnsi="Times New Roman" w:cs="Times New Roman"/>
                <w:color w:val="auto"/>
                <w:sz w:val="20"/>
                <w:szCs w:val="20"/>
                <w:lang w:eastAsia="en-AU"/>
              </w:rPr>
            </w:pPr>
          </w:p>
        </w:tc>
      </w:tr>
      <w:tr w:rsidR="00531406" w:rsidRPr="00531406" w14:paraId="67C71398" w14:textId="77777777" w:rsidTr="00C0556C">
        <w:trPr>
          <w:trHeight w:val="255"/>
        </w:trPr>
        <w:tc>
          <w:tcPr>
            <w:tcW w:w="3202" w:type="dxa"/>
            <w:tcBorders>
              <w:top w:val="nil"/>
              <w:left w:val="nil"/>
              <w:bottom w:val="nil"/>
              <w:right w:val="nil"/>
            </w:tcBorders>
            <w:shd w:val="clear" w:color="auto" w:fill="auto"/>
            <w:noWrap/>
            <w:vAlign w:val="bottom"/>
            <w:hideMark/>
          </w:tcPr>
          <w:p w14:paraId="12F11AF8" w14:textId="77777777" w:rsidR="00531406" w:rsidRPr="00531406" w:rsidRDefault="00531406" w:rsidP="00531406">
            <w:pPr>
              <w:spacing w:after="0"/>
              <w:rPr>
                <w:rFonts w:ascii="Arial" w:eastAsia="Times New Roman" w:hAnsi="Arial" w:cs="Arial"/>
                <w:i/>
                <w:iCs/>
                <w:color w:val="000000"/>
                <w:sz w:val="20"/>
                <w:szCs w:val="20"/>
                <w:lang w:eastAsia="en-AU"/>
              </w:rPr>
            </w:pPr>
            <w:r w:rsidRPr="00531406">
              <w:rPr>
                <w:rFonts w:ascii="Arial" w:eastAsia="Times New Roman" w:hAnsi="Arial" w:cs="Arial"/>
                <w:i/>
                <w:iCs/>
                <w:color w:val="000000"/>
                <w:sz w:val="20"/>
                <w:szCs w:val="20"/>
                <w:lang w:eastAsia="en-AU"/>
              </w:rPr>
              <w:t>Panel B: Job-stayers</w:t>
            </w:r>
          </w:p>
        </w:tc>
        <w:tc>
          <w:tcPr>
            <w:tcW w:w="1118" w:type="dxa"/>
            <w:tcBorders>
              <w:top w:val="nil"/>
              <w:left w:val="nil"/>
              <w:bottom w:val="nil"/>
              <w:right w:val="nil"/>
            </w:tcBorders>
            <w:shd w:val="clear" w:color="auto" w:fill="auto"/>
            <w:noWrap/>
            <w:vAlign w:val="center"/>
            <w:hideMark/>
          </w:tcPr>
          <w:p w14:paraId="46A46693" w14:textId="77777777" w:rsidR="00531406" w:rsidRPr="00531406" w:rsidRDefault="00531406" w:rsidP="00531406">
            <w:pPr>
              <w:spacing w:after="0"/>
              <w:rPr>
                <w:rFonts w:ascii="Arial" w:eastAsia="Times New Roman" w:hAnsi="Arial" w:cs="Arial"/>
                <w:i/>
                <w:iCs/>
                <w:color w:val="000000"/>
                <w:sz w:val="20"/>
                <w:szCs w:val="20"/>
                <w:lang w:eastAsia="en-AU"/>
              </w:rPr>
            </w:pPr>
          </w:p>
        </w:tc>
        <w:tc>
          <w:tcPr>
            <w:tcW w:w="1125" w:type="dxa"/>
            <w:tcBorders>
              <w:top w:val="nil"/>
              <w:left w:val="nil"/>
              <w:bottom w:val="nil"/>
              <w:right w:val="nil"/>
            </w:tcBorders>
            <w:shd w:val="clear" w:color="auto" w:fill="auto"/>
            <w:noWrap/>
            <w:vAlign w:val="center"/>
            <w:hideMark/>
          </w:tcPr>
          <w:p w14:paraId="2BFFDE02" w14:textId="77777777" w:rsidR="00531406" w:rsidRPr="00531406" w:rsidRDefault="00531406" w:rsidP="00531406">
            <w:pPr>
              <w:spacing w:after="0"/>
              <w:jc w:val="center"/>
              <w:rPr>
                <w:rFonts w:ascii="Times New Roman" w:eastAsia="Times New Roman" w:hAnsi="Times New Roman" w:cs="Times New Roman"/>
                <w:color w:val="auto"/>
                <w:sz w:val="20"/>
                <w:szCs w:val="20"/>
                <w:lang w:eastAsia="en-AU"/>
              </w:rPr>
            </w:pPr>
          </w:p>
        </w:tc>
        <w:tc>
          <w:tcPr>
            <w:tcW w:w="1184" w:type="dxa"/>
            <w:tcBorders>
              <w:top w:val="nil"/>
              <w:left w:val="nil"/>
              <w:bottom w:val="nil"/>
              <w:right w:val="nil"/>
            </w:tcBorders>
            <w:shd w:val="clear" w:color="auto" w:fill="auto"/>
            <w:noWrap/>
            <w:vAlign w:val="center"/>
            <w:hideMark/>
          </w:tcPr>
          <w:p w14:paraId="11F4CCF2" w14:textId="77777777" w:rsidR="00531406" w:rsidRPr="00531406" w:rsidRDefault="00531406" w:rsidP="00531406">
            <w:pPr>
              <w:spacing w:after="0"/>
              <w:jc w:val="center"/>
              <w:rPr>
                <w:rFonts w:ascii="Times New Roman" w:eastAsia="Times New Roman" w:hAnsi="Times New Roman" w:cs="Times New Roman"/>
                <w:color w:val="auto"/>
                <w:sz w:val="20"/>
                <w:szCs w:val="20"/>
                <w:lang w:eastAsia="en-AU"/>
              </w:rPr>
            </w:pPr>
          </w:p>
        </w:tc>
        <w:tc>
          <w:tcPr>
            <w:tcW w:w="1276" w:type="dxa"/>
            <w:tcBorders>
              <w:top w:val="nil"/>
              <w:left w:val="nil"/>
              <w:bottom w:val="nil"/>
              <w:right w:val="nil"/>
            </w:tcBorders>
            <w:shd w:val="clear" w:color="auto" w:fill="auto"/>
            <w:noWrap/>
            <w:vAlign w:val="center"/>
            <w:hideMark/>
          </w:tcPr>
          <w:p w14:paraId="776707B3" w14:textId="77777777" w:rsidR="00531406" w:rsidRPr="00531406" w:rsidRDefault="00531406" w:rsidP="00531406">
            <w:pPr>
              <w:spacing w:after="0"/>
              <w:jc w:val="center"/>
              <w:rPr>
                <w:rFonts w:ascii="Times New Roman" w:eastAsia="Times New Roman" w:hAnsi="Times New Roman" w:cs="Times New Roman"/>
                <w:color w:val="auto"/>
                <w:sz w:val="20"/>
                <w:szCs w:val="20"/>
                <w:lang w:eastAsia="en-AU"/>
              </w:rPr>
            </w:pPr>
          </w:p>
        </w:tc>
        <w:tc>
          <w:tcPr>
            <w:tcW w:w="1417" w:type="dxa"/>
            <w:tcBorders>
              <w:top w:val="nil"/>
              <w:left w:val="nil"/>
              <w:bottom w:val="nil"/>
              <w:right w:val="nil"/>
            </w:tcBorders>
            <w:shd w:val="clear" w:color="auto" w:fill="auto"/>
            <w:noWrap/>
            <w:vAlign w:val="center"/>
            <w:hideMark/>
          </w:tcPr>
          <w:p w14:paraId="469F492D" w14:textId="77777777" w:rsidR="00531406" w:rsidRPr="00531406" w:rsidRDefault="00531406" w:rsidP="00531406">
            <w:pPr>
              <w:spacing w:after="0"/>
              <w:jc w:val="center"/>
              <w:rPr>
                <w:rFonts w:ascii="Times New Roman" w:eastAsia="Times New Roman" w:hAnsi="Times New Roman" w:cs="Times New Roman"/>
                <w:color w:val="auto"/>
                <w:sz w:val="20"/>
                <w:szCs w:val="20"/>
                <w:lang w:eastAsia="en-AU"/>
              </w:rPr>
            </w:pPr>
          </w:p>
        </w:tc>
      </w:tr>
      <w:tr w:rsidR="00531406" w:rsidRPr="00531406" w14:paraId="0F70EC44" w14:textId="77777777" w:rsidTr="00C0556C">
        <w:trPr>
          <w:trHeight w:val="300"/>
        </w:trPr>
        <w:tc>
          <w:tcPr>
            <w:tcW w:w="3202" w:type="dxa"/>
            <w:tcBorders>
              <w:top w:val="nil"/>
              <w:left w:val="nil"/>
              <w:bottom w:val="nil"/>
              <w:right w:val="nil"/>
            </w:tcBorders>
            <w:shd w:val="clear" w:color="auto" w:fill="auto"/>
            <w:noWrap/>
            <w:vAlign w:val="bottom"/>
            <w:hideMark/>
          </w:tcPr>
          <w:p w14:paraId="5B479CA9" w14:textId="77777777" w:rsidR="00531406" w:rsidRPr="00531406" w:rsidRDefault="00531406"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Wages</w:t>
            </w:r>
          </w:p>
        </w:tc>
        <w:tc>
          <w:tcPr>
            <w:tcW w:w="1118" w:type="dxa"/>
            <w:tcBorders>
              <w:top w:val="nil"/>
              <w:left w:val="nil"/>
              <w:bottom w:val="nil"/>
              <w:right w:val="nil"/>
            </w:tcBorders>
            <w:shd w:val="clear" w:color="000000" w:fill="FFFFFF"/>
            <w:vAlign w:val="center"/>
            <w:hideMark/>
          </w:tcPr>
          <w:p w14:paraId="6551F58E"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57,884</w:t>
            </w:r>
          </w:p>
        </w:tc>
        <w:tc>
          <w:tcPr>
            <w:tcW w:w="1125" w:type="dxa"/>
            <w:tcBorders>
              <w:top w:val="nil"/>
              <w:left w:val="nil"/>
              <w:bottom w:val="nil"/>
              <w:right w:val="nil"/>
            </w:tcBorders>
            <w:shd w:val="clear" w:color="000000" w:fill="FFFFFF"/>
            <w:vAlign w:val="center"/>
            <w:hideMark/>
          </w:tcPr>
          <w:p w14:paraId="14463396"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13,798</w:t>
            </w:r>
          </w:p>
        </w:tc>
        <w:tc>
          <w:tcPr>
            <w:tcW w:w="1184" w:type="dxa"/>
            <w:tcBorders>
              <w:top w:val="nil"/>
              <w:left w:val="nil"/>
              <w:bottom w:val="nil"/>
              <w:right w:val="nil"/>
            </w:tcBorders>
            <w:shd w:val="clear" w:color="000000" w:fill="FFFFFF"/>
            <w:vAlign w:val="center"/>
            <w:hideMark/>
          </w:tcPr>
          <w:p w14:paraId="6435C3A7"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48,998</w:t>
            </w:r>
          </w:p>
        </w:tc>
        <w:tc>
          <w:tcPr>
            <w:tcW w:w="1276" w:type="dxa"/>
            <w:tcBorders>
              <w:top w:val="nil"/>
              <w:left w:val="nil"/>
              <w:bottom w:val="nil"/>
              <w:right w:val="nil"/>
            </w:tcBorders>
            <w:shd w:val="clear" w:color="000000" w:fill="FFFFFF"/>
            <w:vAlign w:val="center"/>
            <w:hideMark/>
          </w:tcPr>
          <w:p w14:paraId="7D9FC66A"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104,203</w:t>
            </w:r>
          </w:p>
        </w:tc>
        <w:tc>
          <w:tcPr>
            <w:tcW w:w="1417" w:type="dxa"/>
            <w:tcBorders>
              <w:top w:val="nil"/>
              <w:left w:val="nil"/>
              <w:bottom w:val="nil"/>
              <w:right w:val="nil"/>
            </w:tcBorders>
            <w:shd w:val="clear" w:color="auto" w:fill="auto"/>
            <w:noWrap/>
            <w:vAlign w:val="center"/>
            <w:hideMark/>
          </w:tcPr>
          <w:p w14:paraId="758BCE29"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62,445,400</w:t>
            </w:r>
          </w:p>
        </w:tc>
      </w:tr>
      <w:tr w:rsidR="00531406" w:rsidRPr="00531406" w14:paraId="76267ED5" w14:textId="77777777" w:rsidTr="00C0556C">
        <w:trPr>
          <w:trHeight w:val="255"/>
        </w:trPr>
        <w:tc>
          <w:tcPr>
            <w:tcW w:w="3202" w:type="dxa"/>
            <w:tcBorders>
              <w:top w:val="nil"/>
              <w:left w:val="nil"/>
              <w:bottom w:val="nil"/>
              <w:right w:val="nil"/>
            </w:tcBorders>
            <w:shd w:val="clear" w:color="auto" w:fill="auto"/>
            <w:noWrap/>
            <w:vAlign w:val="bottom"/>
            <w:hideMark/>
          </w:tcPr>
          <w:p w14:paraId="7A24996F" w14:textId="77777777" w:rsidR="00531406" w:rsidRPr="00531406" w:rsidRDefault="00531406"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Wages growth</w:t>
            </w:r>
          </w:p>
        </w:tc>
        <w:tc>
          <w:tcPr>
            <w:tcW w:w="1118" w:type="dxa"/>
            <w:tcBorders>
              <w:top w:val="nil"/>
              <w:left w:val="nil"/>
              <w:bottom w:val="nil"/>
              <w:right w:val="nil"/>
            </w:tcBorders>
            <w:shd w:val="clear" w:color="auto" w:fill="auto"/>
            <w:noWrap/>
            <w:vAlign w:val="center"/>
            <w:hideMark/>
          </w:tcPr>
          <w:p w14:paraId="691F2205" w14:textId="77777777" w:rsidR="00531406" w:rsidRPr="00531406" w:rsidRDefault="00531406" w:rsidP="00531406">
            <w:pPr>
              <w:spacing w:after="0"/>
              <w:ind w:firstLineChars="100" w:firstLine="200"/>
              <w:rPr>
                <w:rFonts w:ascii="Arial" w:eastAsia="Times New Roman" w:hAnsi="Arial" w:cs="Arial"/>
                <w:color w:val="000000"/>
                <w:sz w:val="20"/>
                <w:szCs w:val="20"/>
                <w:lang w:eastAsia="en-AU"/>
              </w:rPr>
            </w:pPr>
          </w:p>
        </w:tc>
        <w:tc>
          <w:tcPr>
            <w:tcW w:w="1125" w:type="dxa"/>
            <w:tcBorders>
              <w:top w:val="nil"/>
              <w:left w:val="nil"/>
              <w:bottom w:val="nil"/>
              <w:right w:val="nil"/>
            </w:tcBorders>
            <w:shd w:val="clear" w:color="auto" w:fill="auto"/>
            <w:noWrap/>
            <w:vAlign w:val="center"/>
            <w:hideMark/>
          </w:tcPr>
          <w:p w14:paraId="6A690CD4" w14:textId="77777777" w:rsidR="00531406" w:rsidRPr="00531406" w:rsidRDefault="00531406" w:rsidP="00531406">
            <w:pPr>
              <w:spacing w:after="0"/>
              <w:jc w:val="center"/>
              <w:rPr>
                <w:rFonts w:ascii="Times New Roman" w:eastAsia="Times New Roman" w:hAnsi="Times New Roman" w:cs="Times New Roman"/>
                <w:color w:val="auto"/>
                <w:sz w:val="20"/>
                <w:szCs w:val="20"/>
                <w:lang w:eastAsia="en-AU"/>
              </w:rPr>
            </w:pPr>
          </w:p>
        </w:tc>
        <w:tc>
          <w:tcPr>
            <w:tcW w:w="1184" w:type="dxa"/>
            <w:tcBorders>
              <w:top w:val="nil"/>
              <w:left w:val="nil"/>
              <w:bottom w:val="nil"/>
              <w:right w:val="nil"/>
            </w:tcBorders>
            <w:shd w:val="clear" w:color="000000" w:fill="FFFFFF"/>
            <w:vAlign w:val="center"/>
            <w:hideMark/>
          </w:tcPr>
          <w:p w14:paraId="5B1E1A40"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5.8</w:t>
            </w:r>
          </w:p>
        </w:tc>
        <w:tc>
          <w:tcPr>
            <w:tcW w:w="1276" w:type="dxa"/>
            <w:tcBorders>
              <w:top w:val="nil"/>
              <w:left w:val="nil"/>
              <w:bottom w:val="nil"/>
              <w:right w:val="nil"/>
            </w:tcBorders>
            <w:shd w:val="clear" w:color="auto" w:fill="auto"/>
            <w:noWrap/>
            <w:vAlign w:val="center"/>
            <w:hideMark/>
          </w:tcPr>
          <w:p w14:paraId="2CE1DF0B" w14:textId="77777777" w:rsidR="00531406" w:rsidRPr="00531406" w:rsidRDefault="00531406" w:rsidP="00531406">
            <w:pPr>
              <w:spacing w:after="0"/>
              <w:jc w:val="center"/>
              <w:rPr>
                <w:rFonts w:ascii="Arial" w:eastAsia="Times New Roman" w:hAnsi="Arial" w:cs="Arial"/>
                <w:color w:val="000000"/>
                <w:sz w:val="20"/>
                <w:szCs w:val="20"/>
                <w:lang w:eastAsia="en-AU"/>
              </w:rPr>
            </w:pPr>
          </w:p>
        </w:tc>
        <w:tc>
          <w:tcPr>
            <w:tcW w:w="1417" w:type="dxa"/>
            <w:tcBorders>
              <w:top w:val="nil"/>
              <w:left w:val="nil"/>
              <w:bottom w:val="nil"/>
              <w:right w:val="nil"/>
            </w:tcBorders>
            <w:shd w:val="clear" w:color="auto" w:fill="auto"/>
            <w:noWrap/>
            <w:vAlign w:val="center"/>
            <w:hideMark/>
          </w:tcPr>
          <w:p w14:paraId="70368202"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62,445,400</w:t>
            </w:r>
          </w:p>
        </w:tc>
      </w:tr>
      <w:tr w:rsidR="00531406" w:rsidRPr="00531406" w14:paraId="1C9AC04C" w14:textId="77777777" w:rsidTr="00C0556C">
        <w:trPr>
          <w:trHeight w:val="255"/>
        </w:trPr>
        <w:tc>
          <w:tcPr>
            <w:tcW w:w="3202" w:type="dxa"/>
            <w:tcBorders>
              <w:top w:val="nil"/>
              <w:left w:val="nil"/>
              <w:bottom w:val="nil"/>
              <w:right w:val="nil"/>
            </w:tcBorders>
            <w:shd w:val="clear" w:color="auto" w:fill="auto"/>
            <w:noWrap/>
            <w:vAlign w:val="bottom"/>
            <w:hideMark/>
          </w:tcPr>
          <w:p w14:paraId="3DDCB82D" w14:textId="77777777" w:rsidR="00531406" w:rsidRPr="00531406" w:rsidRDefault="00531406"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Age</w:t>
            </w:r>
          </w:p>
        </w:tc>
        <w:tc>
          <w:tcPr>
            <w:tcW w:w="1118" w:type="dxa"/>
            <w:tcBorders>
              <w:top w:val="nil"/>
              <w:left w:val="nil"/>
              <w:bottom w:val="nil"/>
              <w:right w:val="nil"/>
            </w:tcBorders>
            <w:shd w:val="clear" w:color="000000" w:fill="FFFFFF"/>
            <w:vAlign w:val="center"/>
            <w:hideMark/>
          </w:tcPr>
          <w:p w14:paraId="5792677E"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41.1</w:t>
            </w:r>
          </w:p>
        </w:tc>
        <w:tc>
          <w:tcPr>
            <w:tcW w:w="1125" w:type="dxa"/>
            <w:tcBorders>
              <w:top w:val="nil"/>
              <w:left w:val="nil"/>
              <w:bottom w:val="nil"/>
              <w:right w:val="nil"/>
            </w:tcBorders>
            <w:shd w:val="clear" w:color="000000" w:fill="FFFFFF"/>
            <w:vAlign w:val="center"/>
            <w:hideMark/>
          </w:tcPr>
          <w:p w14:paraId="2699421D"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23.1</w:t>
            </w:r>
          </w:p>
        </w:tc>
        <w:tc>
          <w:tcPr>
            <w:tcW w:w="1184" w:type="dxa"/>
            <w:tcBorders>
              <w:top w:val="nil"/>
              <w:left w:val="nil"/>
              <w:bottom w:val="nil"/>
              <w:right w:val="nil"/>
            </w:tcBorders>
            <w:shd w:val="clear" w:color="000000" w:fill="FFFFFF"/>
            <w:vAlign w:val="center"/>
            <w:hideMark/>
          </w:tcPr>
          <w:p w14:paraId="608A173E"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41.1</w:t>
            </w:r>
          </w:p>
        </w:tc>
        <w:tc>
          <w:tcPr>
            <w:tcW w:w="1276" w:type="dxa"/>
            <w:tcBorders>
              <w:top w:val="nil"/>
              <w:left w:val="nil"/>
              <w:bottom w:val="nil"/>
              <w:right w:val="nil"/>
            </w:tcBorders>
            <w:shd w:val="clear" w:color="000000" w:fill="FFFFFF"/>
            <w:vAlign w:val="center"/>
            <w:hideMark/>
          </w:tcPr>
          <w:p w14:paraId="2CAA9505"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59.0</w:t>
            </w:r>
          </w:p>
        </w:tc>
        <w:tc>
          <w:tcPr>
            <w:tcW w:w="1417" w:type="dxa"/>
            <w:tcBorders>
              <w:top w:val="nil"/>
              <w:left w:val="nil"/>
              <w:bottom w:val="nil"/>
              <w:right w:val="nil"/>
            </w:tcBorders>
            <w:shd w:val="clear" w:color="auto" w:fill="auto"/>
            <w:noWrap/>
            <w:vAlign w:val="center"/>
            <w:hideMark/>
          </w:tcPr>
          <w:p w14:paraId="27239F15"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62,347,100</w:t>
            </w:r>
          </w:p>
        </w:tc>
      </w:tr>
      <w:tr w:rsidR="00531406" w:rsidRPr="00531406" w14:paraId="6B2AE2C1" w14:textId="77777777" w:rsidTr="00C0556C">
        <w:trPr>
          <w:trHeight w:val="255"/>
        </w:trPr>
        <w:tc>
          <w:tcPr>
            <w:tcW w:w="3202" w:type="dxa"/>
            <w:tcBorders>
              <w:top w:val="nil"/>
              <w:left w:val="nil"/>
              <w:bottom w:val="nil"/>
              <w:right w:val="nil"/>
            </w:tcBorders>
            <w:shd w:val="clear" w:color="auto" w:fill="auto"/>
            <w:noWrap/>
            <w:vAlign w:val="bottom"/>
            <w:hideMark/>
          </w:tcPr>
          <w:p w14:paraId="77CFEB03" w14:textId="77777777" w:rsidR="00531406" w:rsidRPr="00531406" w:rsidRDefault="00531406"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Proportion female</w:t>
            </w:r>
          </w:p>
        </w:tc>
        <w:tc>
          <w:tcPr>
            <w:tcW w:w="1118" w:type="dxa"/>
            <w:tcBorders>
              <w:top w:val="nil"/>
              <w:left w:val="nil"/>
              <w:bottom w:val="nil"/>
              <w:right w:val="nil"/>
            </w:tcBorders>
            <w:shd w:val="clear" w:color="auto" w:fill="auto"/>
            <w:noWrap/>
            <w:vAlign w:val="center"/>
            <w:hideMark/>
          </w:tcPr>
          <w:p w14:paraId="7E77D643"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0.49</w:t>
            </w:r>
          </w:p>
        </w:tc>
        <w:tc>
          <w:tcPr>
            <w:tcW w:w="1125" w:type="dxa"/>
            <w:tcBorders>
              <w:top w:val="nil"/>
              <w:left w:val="nil"/>
              <w:bottom w:val="nil"/>
              <w:right w:val="nil"/>
            </w:tcBorders>
            <w:shd w:val="clear" w:color="auto" w:fill="auto"/>
            <w:noWrap/>
            <w:vAlign w:val="center"/>
            <w:hideMark/>
          </w:tcPr>
          <w:p w14:paraId="5663B210" w14:textId="77777777" w:rsidR="00531406" w:rsidRPr="00531406" w:rsidRDefault="00531406" w:rsidP="00531406">
            <w:pPr>
              <w:spacing w:after="0"/>
              <w:jc w:val="center"/>
              <w:rPr>
                <w:rFonts w:ascii="Arial" w:eastAsia="Times New Roman" w:hAnsi="Arial" w:cs="Arial"/>
                <w:color w:val="000000"/>
                <w:sz w:val="20"/>
                <w:szCs w:val="20"/>
                <w:lang w:eastAsia="en-AU"/>
              </w:rPr>
            </w:pPr>
          </w:p>
        </w:tc>
        <w:tc>
          <w:tcPr>
            <w:tcW w:w="1184" w:type="dxa"/>
            <w:tcBorders>
              <w:top w:val="nil"/>
              <w:left w:val="nil"/>
              <w:bottom w:val="nil"/>
              <w:right w:val="nil"/>
            </w:tcBorders>
            <w:shd w:val="clear" w:color="000000" w:fill="FFFFFF"/>
            <w:vAlign w:val="center"/>
            <w:hideMark/>
          </w:tcPr>
          <w:p w14:paraId="49B2F50A"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276" w:type="dxa"/>
            <w:tcBorders>
              <w:top w:val="nil"/>
              <w:left w:val="nil"/>
              <w:bottom w:val="nil"/>
              <w:right w:val="nil"/>
            </w:tcBorders>
            <w:shd w:val="clear" w:color="auto" w:fill="auto"/>
            <w:noWrap/>
            <w:vAlign w:val="center"/>
            <w:hideMark/>
          </w:tcPr>
          <w:p w14:paraId="716F69AE" w14:textId="77777777" w:rsidR="00531406" w:rsidRPr="00531406" w:rsidRDefault="00531406" w:rsidP="00531406">
            <w:pPr>
              <w:spacing w:after="0"/>
              <w:jc w:val="center"/>
              <w:rPr>
                <w:rFonts w:ascii="Arial" w:eastAsia="Times New Roman" w:hAnsi="Arial" w:cs="Arial"/>
                <w:color w:val="000000"/>
                <w:sz w:val="20"/>
                <w:szCs w:val="20"/>
                <w:lang w:eastAsia="en-AU"/>
              </w:rPr>
            </w:pPr>
          </w:p>
        </w:tc>
        <w:tc>
          <w:tcPr>
            <w:tcW w:w="1417" w:type="dxa"/>
            <w:tcBorders>
              <w:top w:val="nil"/>
              <w:left w:val="nil"/>
              <w:bottom w:val="nil"/>
              <w:right w:val="nil"/>
            </w:tcBorders>
            <w:shd w:val="clear" w:color="auto" w:fill="auto"/>
            <w:noWrap/>
            <w:vAlign w:val="center"/>
            <w:hideMark/>
          </w:tcPr>
          <w:p w14:paraId="5A362B60"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62,347,100</w:t>
            </w:r>
          </w:p>
        </w:tc>
      </w:tr>
      <w:tr w:rsidR="00531406" w:rsidRPr="00531406" w14:paraId="18832B44" w14:textId="77777777" w:rsidTr="00C0556C">
        <w:trPr>
          <w:trHeight w:val="60"/>
        </w:trPr>
        <w:tc>
          <w:tcPr>
            <w:tcW w:w="3202" w:type="dxa"/>
            <w:tcBorders>
              <w:top w:val="nil"/>
              <w:left w:val="nil"/>
              <w:bottom w:val="nil"/>
              <w:right w:val="nil"/>
            </w:tcBorders>
            <w:shd w:val="clear" w:color="auto" w:fill="auto"/>
            <w:noWrap/>
            <w:vAlign w:val="bottom"/>
            <w:hideMark/>
          </w:tcPr>
          <w:p w14:paraId="674A00FE" w14:textId="77777777" w:rsidR="00531406" w:rsidRPr="00531406" w:rsidRDefault="00531406" w:rsidP="00531406">
            <w:pPr>
              <w:spacing w:after="0"/>
              <w:jc w:val="center"/>
              <w:rPr>
                <w:rFonts w:ascii="Arial" w:eastAsia="Times New Roman" w:hAnsi="Arial" w:cs="Arial"/>
                <w:color w:val="000000"/>
                <w:sz w:val="20"/>
                <w:szCs w:val="20"/>
                <w:lang w:eastAsia="en-AU"/>
              </w:rPr>
            </w:pPr>
          </w:p>
        </w:tc>
        <w:tc>
          <w:tcPr>
            <w:tcW w:w="1118" w:type="dxa"/>
            <w:tcBorders>
              <w:top w:val="nil"/>
              <w:left w:val="nil"/>
              <w:bottom w:val="nil"/>
              <w:right w:val="nil"/>
            </w:tcBorders>
            <w:shd w:val="clear" w:color="auto" w:fill="auto"/>
            <w:noWrap/>
            <w:vAlign w:val="center"/>
            <w:hideMark/>
          </w:tcPr>
          <w:p w14:paraId="1D150C48" w14:textId="77777777" w:rsidR="00531406" w:rsidRPr="00531406" w:rsidRDefault="00531406" w:rsidP="00531406">
            <w:pPr>
              <w:spacing w:after="0"/>
              <w:ind w:firstLineChars="100" w:firstLine="200"/>
              <w:rPr>
                <w:rFonts w:ascii="Times New Roman" w:eastAsia="Times New Roman" w:hAnsi="Times New Roman" w:cs="Times New Roman"/>
                <w:color w:val="auto"/>
                <w:sz w:val="20"/>
                <w:szCs w:val="20"/>
                <w:lang w:eastAsia="en-AU"/>
              </w:rPr>
            </w:pPr>
          </w:p>
        </w:tc>
        <w:tc>
          <w:tcPr>
            <w:tcW w:w="1125" w:type="dxa"/>
            <w:tcBorders>
              <w:top w:val="nil"/>
              <w:left w:val="nil"/>
              <w:bottom w:val="nil"/>
              <w:right w:val="nil"/>
            </w:tcBorders>
            <w:shd w:val="clear" w:color="auto" w:fill="auto"/>
            <w:noWrap/>
            <w:vAlign w:val="center"/>
            <w:hideMark/>
          </w:tcPr>
          <w:p w14:paraId="4B84F13C" w14:textId="77777777" w:rsidR="00531406" w:rsidRPr="00531406" w:rsidRDefault="00531406" w:rsidP="00531406">
            <w:pPr>
              <w:spacing w:after="0"/>
              <w:jc w:val="center"/>
              <w:rPr>
                <w:rFonts w:ascii="Times New Roman" w:eastAsia="Times New Roman" w:hAnsi="Times New Roman" w:cs="Times New Roman"/>
                <w:color w:val="auto"/>
                <w:sz w:val="20"/>
                <w:szCs w:val="20"/>
                <w:lang w:eastAsia="en-AU"/>
              </w:rPr>
            </w:pPr>
          </w:p>
        </w:tc>
        <w:tc>
          <w:tcPr>
            <w:tcW w:w="1184" w:type="dxa"/>
            <w:tcBorders>
              <w:top w:val="nil"/>
              <w:left w:val="nil"/>
              <w:bottom w:val="nil"/>
              <w:right w:val="nil"/>
            </w:tcBorders>
            <w:shd w:val="clear" w:color="000000" w:fill="FFFFFF"/>
            <w:vAlign w:val="center"/>
            <w:hideMark/>
          </w:tcPr>
          <w:p w14:paraId="462764C9"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276" w:type="dxa"/>
            <w:tcBorders>
              <w:top w:val="nil"/>
              <w:left w:val="nil"/>
              <w:bottom w:val="nil"/>
              <w:right w:val="nil"/>
            </w:tcBorders>
            <w:shd w:val="clear" w:color="auto" w:fill="auto"/>
            <w:noWrap/>
            <w:vAlign w:val="center"/>
            <w:hideMark/>
          </w:tcPr>
          <w:p w14:paraId="705252A0" w14:textId="77777777" w:rsidR="00531406" w:rsidRPr="00531406" w:rsidRDefault="00531406" w:rsidP="00531406">
            <w:pPr>
              <w:spacing w:after="0"/>
              <w:jc w:val="center"/>
              <w:rPr>
                <w:rFonts w:ascii="Arial" w:eastAsia="Times New Roman" w:hAnsi="Arial" w:cs="Arial"/>
                <w:color w:val="000000"/>
                <w:sz w:val="20"/>
                <w:szCs w:val="20"/>
                <w:lang w:eastAsia="en-AU"/>
              </w:rPr>
            </w:pPr>
          </w:p>
        </w:tc>
        <w:tc>
          <w:tcPr>
            <w:tcW w:w="1417" w:type="dxa"/>
            <w:tcBorders>
              <w:top w:val="nil"/>
              <w:left w:val="nil"/>
              <w:bottom w:val="nil"/>
              <w:right w:val="nil"/>
            </w:tcBorders>
            <w:shd w:val="clear" w:color="auto" w:fill="auto"/>
            <w:noWrap/>
            <w:vAlign w:val="center"/>
            <w:hideMark/>
          </w:tcPr>
          <w:p w14:paraId="2138BBA3" w14:textId="77777777" w:rsidR="00531406" w:rsidRPr="00531406" w:rsidRDefault="00531406" w:rsidP="00531406">
            <w:pPr>
              <w:spacing w:after="0"/>
              <w:jc w:val="center"/>
              <w:rPr>
                <w:rFonts w:ascii="Times New Roman" w:eastAsia="Times New Roman" w:hAnsi="Times New Roman" w:cs="Times New Roman"/>
                <w:color w:val="auto"/>
                <w:sz w:val="20"/>
                <w:szCs w:val="20"/>
                <w:lang w:eastAsia="en-AU"/>
              </w:rPr>
            </w:pPr>
          </w:p>
        </w:tc>
      </w:tr>
      <w:tr w:rsidR="00531406" w:rsidRPr="00531406" w14:paraId="6D318125" w14:textId="77777777" w:rsidTr="00C0556C">
        <w:trPr>
          <w:trHeight w:val="255"/>
        </w:trPr>
        <w:tc>
          <w:tcPr>
            <w:tcW w:w="3202" w:type="dxa"/>
            <w:tcBorders>
              <w:top w:val="nil"/>
              <w:left w:val="nil"/>
              <w:bottom w:val="nil"/>
              <w:right w:val="nil"/>
            </w:tcBorders>
            <w:shd w:val="clear" w:color="auto" w:fill="auto"/>
            <w:noWrap/>
            <w:vAlign w:val="bottom"/>
            <w:hideMark/>
          </w:tcPr>
          <w:p w14:paraId="7B1F9B61" w14:textId="77777777" w:rsidR="00531406" w:rsidRPr="00531406" w:rsidRDefault="00531406" w:rsidP="00531406">
            <w:pPr>
              <w:spacing w:after="0"/>
              <w:rPr>
                <w:rFonts w:ascii="Arial" w:eastAsia="Times New Roman" w:hAnsi="Arial" w:cs="Arial"/>
                <w:i/>
                <w:iCs/>
                <w:color w:val="000000"/>
                <w:sz w:val="20"/>
                <w:szCs w:val="20"/>
                <w:lang w:eastAsia="en-AU"/>
              </w:rPr>
            </w:pPr>
            <w:r w:rsidRPr="00531406">
              <w:rPr>
                <w:rFonts w:ascii="Arial" w:eastAsia="Times New Roman" w:hAnsi="Arial" w:cs="Arial"/>
                <w:i/>
                <w:iCs/>
                <w:color w:val="000000"/>
                <w:sz w:val="20"/>
                <w:szCs w:val="20"/>
                <w:lang w:eastAsia="en-AU"/>
              </w:rPr>
              <w:t>Panel C: Job-switchers</w:t>
            </w:r>
          </w:p>
        </w:tc>
        <w:tc>
          <w:tcPr>
            <w:tcW w:w="1118" w:type="dxa"/>
            <w:tcBorders>
              <w:top w:val="nil"/>
              <w:left w:val="nil"/>
              <w:bottom w:val="nil"/>
              <w:right w:val="nil"/>
            </w:tcBorders>
            <w:shd w:val="clear" w:color="auto" w:fill="auto"/>
            <w:noWrap/>
            <w:vAlign w:val="center"/>
            <w:hideMark/>
          </w:tcPr>
          <w:p w14:paraId="0698C39D" w14:textId="77777777" w:rsidR="00531406" w:rsidRPr="00531406" w:rsidRDefault="00531406" w:rsidP="00531406">
            <w:pPr>
              <w:spacing w:after="0"/>
              <w:rPr>
                <w:rFonts w:ascii="Arial" w:eastAsia="Times New Roman" w:hAnsi="Arial" w:cs="Arial"/>
                <w:i/>
                <w:iCs/>
                <w:color w:val="000000"/>
                <w:sz w:val="20"/>
                <w:szCs w:val="20"/>
                <w:lang w:eastAsia="en-AU"/>
              </w:rPr>
            </w:pPr>
          </w:p>
        </w:tc>
        <w:tc>
          <w:tcPr>
            <w:tcW w:w="1125" w:type="dxa"/>
            <w:tcBorders>
              <w:top w:val="nil"/>
              <w:left w:val="nil"/>
              <w:bottom w:val="nil"/>
              <w:right w:val="nil"/>
            </w:tcBorders>
            <w:shd w:val="clear" w:color="auto" w:fill="auto"/>
            <w:noWrap/>
            <w:vAlign w:val="center"/>
            <w:hideMark/>
          </w:tcPr>
          <w:p w14:paraId="2D951CC0" w14:textId="77777777" w:rsidR="00531406" w:rsidRPr="00531406" w:rsidRDefault="00531406" w:rsidP="00531406">
            <w:pPr>
              <w:spacing w:after="0"/>
              <w:jc w:val="center"/>
              <w:rPr>
                <w:rFonts w:ascii="Times New Roman" w:eastAsia="Times New Roman" w:hAnsi="Times New Roman" w:cs="Times New Roman"/>
                <w:color w:val="auto"/>
                <w:sz w:val="20"/>
                <w:szCs w:val="20"/>
                <w:lang w:eastAsia="en-AU"/>
              </w:rPr>
            </w:pPr>
          </w:p>
        </w:tc>
        <w:tc>
          <w:tcPr>
            <w:tcW w:w="1184" w:type="dxa"/>
            <w:tcBorders>
              <w:top w:val="nil"/>
              <w:left w:val="nil"/>
              <w:bottom w:val="nil"/>
              <w:right w:val="nil"/>
            </w:tcBorders>
            <w:shd w:val="clear" w:color="auto" w:fill="auto"/>
            <w:noWrap/>
            <w:vAlign w:val="center"/>
            <w:hideMark/>
          </w:tcPr>
          <w:p w14:paraId="4C7CCCDD" w14:textId="77777777" w:rsidR="00531406" w:rsidRPr="00531406" w:rsidRDefault="00531406" w:rsidP="00531406">
            <w:pPr>
              <w:spacing w:after="0"/>
              <w:jc w:val="center"/>
              <w:rPr>
                <w:rFonts w:ascii="Times New Roman" w:eastAsia="Times New Roman" w:hAnsi="Times New Roman" w:cs="Times New Roman"/>
                <w:color w:val="auto"/>
                <w:sz w:val="20"/>
                <w:szCs w:val="20"/>
                <w:lang w:eastAsia="en-AU"/>
              </w:rPr>
            </w:pPr>
          </w:p>
        </w:tc>
        <w:tc>
          <w:tcPr>
            <w:tcW w:w="1276" w:type="dxa"/>
            <w:tcBorders>
              <w:top w:val="nil"/>
              <w:left w:val="nil"/>
              <w:bottom w:val="nil"/>
              <w:right w:val="nil"/>
            </w:tcBorders>
            <w:shd w:val="clear" w:color="auto" w:fill="auto"/>
            <w:noWrap/>
            <w:vAlign w:val="center"/>
            <w:hideMark/>
          </w:tcPr>
          <w:p w14:paraId="6ACC0F54" w14:textId="77777777" w:rsidR="00531406" w:rsidRPr="00531406" w:rsidRDefault="00531406" w:rsidP="00531406">
            <w:pPr>
              <w:spacing w:after="0"/>
              <w:jc w:val="center"/>
              <w:rPr>
                <w:rFonts w:ascii="Times New Roman" w:eastAsia="Times New Roman" w:hAnsi="Times New Roman" w:cs="Times New Roman"/>
                <w:color w:val="auto"/>
                <w:sz w:val="20"/>
                <w:szCs w:val="20"/>
                <w:lang w:eastAsia="en-AU"/>
              </w:rPr>
            </w:pPr>
          </w:p>
        </w:tc>
        <w:tc>
          <w:tcPr>
            <w:tcW w:w="1417" w:type="dxa"/>
            <w:tcBorders>
              <w:top w:val="nil"/>
              <w:left w:val="nil"/>
              <w:bottom w:val="nil"/>
              <w:right w:val="nil"/>
            </w:tcBorders>
            <w:shd w:val="clear" w:color="auto" w:fill="auto"/>
            <w:noWrap/>
            <w:vAlign w:val="center"/>
            <w:hideMark/>
          </w:tcPr>
          <w:p w14:paraId="3174E993" w14:textId="77777777" w:rsidR="00531406" w:rsidRPr="00531406" w:rsidRDefault="00531406" w:rsidP="00531406">
            <w:pPr>
              <w:spacing w:after="0"/>
              <w:jc w:val="center"/>
              <w:rPr>
                <w:rFonts w:ascii="Times New Roman" w:eastAsia="Times New Roman" w:hAnsi="Times New Roman" w:cs="Times New Roman"/>
                <w:color w:val="auto"/>
                <w:sz w:val="20"/>
                <w:szCs w:val="20"/>
                <w:lang w:eastAsia="en-AU"/>
              </w:rPr>
            </w:pPr>
          </w:p>
        </w:tc>
      </w:tr>
      <w:tr w:rsidR="00531406" w:rsidRPr="00531406" w14:paraId="450FE989" w14:textId="77777777" w:rsidTr="00C0556C">
        <w:trPr>
          <w:trHeight w:val="255"/>
        </w:trPr>
        <w:tc>
          <w:tcPr>
            <w:tcW w:w="3202" w:type="dxa"/>
            <w:tcBorders>
              <w:top w:val="nil"/>
              <w:left w:val="nil"/>
              <w:bottom w:val="nil"/>
              <w:right w:val="nil"/>
            </w:tcBorders>
            <w:shd w:val="clear" w:color="auto" w:fill="auto"/>
            <w:noWrap/>
            <w:vAlign w:val="bottom"/>
            <w:hideMark/>
          </w:tcPr>
          <w:p w14:paraId="1F3452FE" w14:textId="77777777" w:rsidR="00531406" w:rsidRPr="00531406" w:rsidRDefault="00531406"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Wages</w:t>
            </w:r>
          </w:p>
        </w:tc>
        <w:tc>
          <w:tcPr>
            <w:tcW w:w="1118" w:type="dxa"/>
            <w:tcBorders>
              <w:top w:val="nil"/>
              <w:left w:val="nil"/>
              <w:bottom w:val="nil"/>
              <w:right w:val="nil"/>
            </w:tcBorders>
            <w:shd w:val="clear" w:color="000000" w:fill="FFFFFF"/>
            <w:vAlign w:val="center"/>
            <w:hideMark/>
          </w:tcPr>
          <w:p w14:paraId="35609924"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48,202</w:t>
            </w:r>
          </w:p>
        </w:tc>
        <w:tc>
          <w:tcPr>
            <w:tcW w:w="1125" w:type="dxa"/>
            <w:tcBorders>
              <w:top w:val="nil"/>
              <w:left w:val="nil"/>
              <w:bottom w:val="nil"/>
              <w:right w:val="nil"/>
            </w:tcBorders>
            <w:shd w:val="clear" w:color="000000" w:fill="FFFFFF"/>
            <w:vAlign w:val="center"/>
            <w:hideMark/>
          </w:tcPr>
          <w:p w14:paraId="55DFBCC3"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11,336</w:t>
            </w:r>
          </w:p>
        </w:tc>
        <w:tc>
          <w:tcPr>
            <w:tcW w:w="1184" w:type="dxa"/>
            <w:tcBorders>
              <w:top w:val="nil"/>
              <w:left w:val="nil"/>
              <w:bottom w:val="nil"/>
              <w:right w:val="nil"/>
            </w:tcBorders>
            <w:shd w:val="clear" w:color="000000" w:fill="FFFFFF"/>
            <w:vAlign w:val="center"/>
            <w:hideMark/>
          </w:tcPr>
          <w:p w14:paraId="03597802"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39,377</w:t>
            </w:r>
          </w:p>
        </w:tc>
        <w:tc>
          <w:tcPr>
            <w:tcW w:w="1276" w:type="dxa"/>
            <w:tcBorders>
              <w:top w:val="nil"/>
              <w:left w:val="nil"/>
              <w:bottom w:val="nil"/>
              <w:right w:val="nil"/>
            </w:tcBorders>
            <w:shd w:val="clear" w:color="000000" w:fill="FFFFFF"/>
            <w:vAlign w:val="center"/>
            <w:hideMark/>
          </w:tcPr>
          <w:p w14:paraId="1A5D9F2C"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93,886</w:t>
            </w:r>
          </w:p>
        </w:tc>
        <w:tc>
          <w:tcPr>
            <w:tcW w:w="1417" w:type="dxa"/>
            <w:tcBorders>
              <w:top w:val="nil"/>
              <w:left w:val="nil"/>
              <w:bottom w:val="nil"/>
              <w:right w:val="nil"/>
            </w:tcBorders>
            <w:shd w:val="clear" w:color="auto" w:fill="auto"/>
            <w:noWrap/>
            <w:vAlign w:val="center"/>
            <w:hideMark/>
          </w:tcPr>
          <w:p w14:paraId="14B0288A"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9,520,700</w:t>
            </w:r>
          </w:p>
        </w:tc>
      </w:tr>
      <w:tr w:rsidR="00531406" w:rsidRPr="00531406" w14:paraId="48D2A210" w14:textId="77777777" w:rsidTr="00C0556C">
        <w:trPr>
          <w:trHeight w:val="255"/>
        </w:trPr>
        <w:tc>
          <w:tcPr>
            <w:tcW w:w="3202" w:type="dxa"/>
            <w:tcBorders>
              <w:top w:val="nil"/>
              <w:left w:val="nil"/>
              <w:bottom w:val="nil"/>
              <w:right w:val="nil"/>
            </w:tcBorders>
            <w:shd w:val="clear" w:color="auto" w:fill="auto"/>
            <w:noWrap/>
            <w:vAlign w:val="bottom"/>
            <w:hideMark/>
          </w:tcPr>
          <w:p w14:paraId="0E7EF77A" w14:textId="77777777" w:rsidR="00531406" w:rsidRPr="00531406" w:rsidRDefault="00531406"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Wages growth</w:t>
            </w:r>
          </w:p>
        </w:tc>
        <w:tc>
          <w:tcPr>
            <w:tcW w:w="1118" w:type="dxa"/>
            <w:tcBorders>
              <w:top w:val="nil"/>
              <w:left w:val="nil"/>
              <w:bottom w:val="nil"/>
              <w:right w:val="nil"/>
            </w:tcBorders>
            <w:shd w:val="clear" w:color="auto" w:fill="auto"/>
            <w:noWrap/>
            <w:vAlign w:val="center"/>
            <w:hideMark/>
          </w:tcPr>
          <w:p w14:paraId="37E8BA78" w14:textId="77777777" w:rsidR="00531406" w:rsidRPr="00531406" w:rsidRDefault="00531406" w:rsidP="00531406">
            <w:pPr>
              <w:spacing w:after="0"/>
              <w:ind w:firstLineChars="100" w:firstLine="200"/>
              <w:rPr>
                <w:rFonts w:ascii="Arial" w:eastAsia="Times New Roman" w:hAnsi="Arial" w:cs="Arial"/>
                <w:color w:val="000000"/>
                <w:sz w:val="20"/>
                <w:szCs w:val="20"/>
                <w:lang w:eastAsia="en-AU"/>
              </w:rPr>
            </w:pPr>
          </w:p>
        </w:tc>
        <w:tc>
          <w:tcPr>
            <w:tcW w:w="1125" w:type="dxa"/>
            <w:tcBorders>
              <w:top w:val="nil"/>
              <w:left w:val="nil"/>
              <w:bottom w:val="nil"/>
              <w:right w:val="nil"/>
            </w:tcBorders>
            <w:shd w:val="clear" w:color="auto" w:fill="auto"/>
            <w:noWrap/>
            <w:vAlign w:val="center"/>
            <w:hideMark/>
          </w:tcPr>
          <w:p w14:paraId="76465B71" w14:textId="77777777" w:rsidR="00531406" w:rsidRPr="00531406" w:rsidRDefault="00531406" w:rsidP="00531406">
            <w:pPr>
              <w:spacing w:after="0"/>
              <w:jc w:val="center"/>
              <w:rPr>
                <w:rFonts w:ascii="Times New Roman" w:eastAsia="Times New Roman" w:hAnsi="Times New Roman" w:cs="Times New Roman"/>
                <w:color w:val="auto"/>
                <w:sz w:val="20"/>
                <w:szCs w:val="20"/>
                <w:lang w:eastAsia="en-AU"/>
              </w:rPr>
            </w:pPr>
          </w:p>
        </w:tc>
        <w:tc>
          <w:tcPr>
            <w:tcW w:w="1184" w:type="dxa"/>
            <w:tcBorders>
              <w:top w:val="nil"/>
              <w:left w:val="nil"/>
              <w:bottom w:val="nil"/>
              <w:right w:val="nil"/>
            </w:tcBorders>
            <w:shd w:val="clear" w:color="auto" w:fill="auto"/>
            <w:noWrap/>
            <w:vAlign w:val="center"/>
            <w:hideMark/>
          </w:tcPr>
          <w:p w14:paraId="042EF3B1"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15.5</w:t>
            </w:r>
          </w:p>
        </w:tc>
        <w:tc>
          <w:tcPr>
            <w:tcW w:w="1276" w:type="dxa"/>
            <w:tcBorders>
              <w:top w:val="nil"/>
              <w:left w:val="nil"/>
              <w:bottom w:val="nil"/>
              <w:right w:val="nil"/>
            </w:tcBorders>
            <w:shd w:val="clear" w:color="auto" w:fill="auto"/>
            <w:noWrap/>
            <w:vAlign w:val="center"/>
            <w:hideMark/>
          </w:tcPr>
          <w:p w14:paraId="184787AC" w14:textId="77777777" w:rsidR="00531406" w:rsidRPr="00531406" w:rsidRDefault="00531406" w:rsidP="00531406">
            <w:pPr>
              <w:spacing w:after="0"/>
              <w:jc w:val="center"/>
              <w:rPr>
                <w:rFonts w:ascii="Arial" w:eastAsia="Times New Roman" w:hAnsi="Arial" w:cs="Arial"/>
                <w:color w:val="000000"/>
                <w:sz w:val="20"/>
                <w:szCs w:val="20"/>
                <w:lang w:eastAsia="en-AU"/>
              </w:rPr>
            </w:pPr>
          </w:p>
        </w:tc>
        <w:tc>
          <w:tcPr>
            <w:tcW w:w="1417" w:type="dxa"/>
            <w:tcBorders>
              <w:top w:val="nil"/>
              <w:left w:val="nil"/>
              <w:bottom w:val="nil"/>
              <w:right w:val="nil"/>
            </w:tcBorders>
            <w:shd w:val="clear" w:color="auto" w:fill="auto"/>
            <w:noWrap/>
            <w:vAlign w:val="center"/>
            <w:hideMark/>
          </w:tcPr>
          <w:p w14:paraId="0B2C9812"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9,520,700</w:t>
            </w:r>
          </w:p>
        </w:tc>
      </w:tr>
      <w:tr w:rsidR="00531406" w:rsidRPr="00531406" w14:paraId="3B8F4379" w14:textId="77777777" w:rsidTr="00C0556C">
        <w:trPr>
          <w:trHeight w:val="300"/>
        </w:trPr>
        <w:tc>
          <w:tcPr>
            <w:tcW w:w="3202" w:type="dxa"/>
            <w:tcBorders>
              <w:top w:val="nil"/>
              <w:left w:val="nil"/>
              <w:bottom w:val="nil"/>
              <w:right w:val="nil"/>
            </w:tcBorders>
            <w:shd w:val="clear" w:color="auto" w:fill="auto"/>
            <w:noWrap/>
            <w:vAlign w:val="bottom"/>
            <w:hideMark/>
          </w:tcPr>
          <w:p w14:paraId="53A00A24" w14:textId="77777777" w:rsidR="00531406" w:rsidRPr="00531406" w:rsidRDefault="00531406"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Age</w:t>
            </w:r>
          </w:p>
        </w:tc>
        <w:tc>
          <w:tcPr>
            <w:tcW w:w="1118" w:type="dxa"/>
            <w:tcBorders>
              <w:top w:val="nil"/>
              <w:left w:val="nil"/>
              <w:bottom w:val="nil"/>
              <w:right w:val="nil"/>
            </w:tcBorders>
            <w:shd w:val="clear" w:color="000000" w:fill="FFFFFF"/>
            <w:vAlign w:val="center"/>
            <w:hideMark/>
          </w:tcPr>
          <w:p w14:paraId="3DB1E81C"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34.1</w:t>
            </w:r>
          </w:p>
        </w:tc>
        <w:tc>
          <w:tcPr>
            <w:tcW w:w="1125" w:type="dxa"/>
            <w:tcBorders>
              <w:top w:val="nil"/>
              <w:left w:val="nil"/>
              <w:bottom w:val="nil"/>
              <w:right w:val="nil"/>
            </w:tcBorders>
            <w:shd w:val="clear" w:color="000000" w:fill="FFFFFF"/>
            <w:vAlign w:val="center"/>
            <w:hideMark/>
          </w:tcPr>
          <w:p w14:paraId="6D225CA0"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19.9</w:t>
            </w:r>
          </w:p>
        </w:tc>
        <w:tc>
          <w:tcPr>
            <w:tcW w:w="1184" w:type="dxa"/>
            <w:tcBorders>
              <w:top w:val="nil"/>
              <w:left w:val="nil"/>
              <w:bottom w:val="nil"/>
              <w:right w:val="nil"/>
            </w:tcBorders>
            <w:shd w:val="clear" w:color="000000" w:fill="FFFFFF"/>
            <w:vAlign w:val="center"/>
            <w:hideMark/>
          </w:tcPr>
          <w:p w14:paraId="5A4859E3"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31.5</w:t>
            </w:r>
          </w:p>
        </w:tc>
        <w:tc>
          <w:tcPr>
            <w:tcW w:w="1276" w:type="dxa"/>
            <w:tcBorders>
              <w:top w:val="nil"/>
              <w:left w:val="nil"/>
              <w:bottom w:val="nil"/>
              <w:right w:val="nil"/>
            </w:tcBorders>
            <w:shd w:val="clear" w:color="000000" w:fill="FFFFFF"/>
            <w:vAlign w:val="center"/>
            <w:hideMark/>
          </w:tcPr>
          <w:p w14:paraId="24AD4BBC"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52.4</w:t>
            </w:r>
          </w:p>
        </w:tc>
        <w:tc>
          <w:tcPr>
            <w:tcW w:w="1417" w:type="dxa"/>
            <w:tcBorders>
              <w:top w:val="nil"/>
              <w:left w:val="nil"/>
              <w:bottom w:val="nil"/>
              <w:right w:val="nil"/>
            </w:tcBorders>
            <w:shd w:val="clear" w:color="auto" w:fill="auto"/>
            <w:noWrap/>
            <w:vAlign w:val="center"/>
            <w:hideMark/>
          </w:tcPr>
          <w:p w14:paraId="273F1ED9"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9,509,800</w:t>
            </w:r>
          </w:p>
        </w:tc>
      </w:tr>
      <w:tr w:rsidR="00531406" w:rsidRPr="00531406" w14:paraId="186B42FF" w14:textId="77777777" w:rsidTr="00C0556C">
        <w:trPr>
          <w:trHeight w:val="300"/>
        </w:trPr>
        <w:tc>
          <w:tcPr>
            <w:tcW w:w="3202" w:type="dxa"/>
            <w:tcBorders>
              <w:top w:val="nil"/>
              <w:left w:val="nil"/>
              <w:bottom w:val="nil"/>
              <w:right w:val="nil"/>
            </w:tcBorders>
            <w:shd w:val="clear" w:color="auto" w:fill="auto"/>
            <w:noWrap/>
            <w:vAlign w:val="bottom"/>
            <w:hideMark/>
          </w:tcPr>
          <w:p w14:paraId="021C4E3B" w14:textId="77777777" w:rsidR="00531406" w:rsidRPr="00531406" w:rsidRDefault="00531406"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Proportion female</w:t>
            </w:r>
          </w:p>
        </w:tc>
        <w:tc>
          <w:tcPr>
            <w:tcW w:w="1118" w:type="dxa"/>
            <w:tcBorders>
              <w:top w:val="nil"/>
              <w:left w:val="nil"/>
              <w:bottom w:val="nil"/>
              <w:right w:val="nil"/>
            </w:tcBorders>
            <w:shd w:val="clear" w:color="auto" w:fill="auto"/>
            <w:noWrap/>
            <w:vAlign w:val="center"/>
            <w:hideMark/>
          </w:tcPr>
          <w:p w14:paraId="12F1D5AC"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0.48</w:t>
            </w:r>
          </w:p>
        </w:tc>
        <w:tc>
          <w:tcPr>
            <w:tcW w:w="1125" w:type="dxa"/>
            <w:tcBorders>
              <w:top w:val="nil"/>
              <w:left w:val="nil"/>
              <w:bottom w:val="nil"/>
              <w:right w:val="nil"/>
            </w:tcBorders>
            <w:shd w:val="clear" w:color="000000" w:fill="FFFFFF"/>
            <w:vAlign w:val="center"/>
            <w:hideMark/>
          </w:tcPr>
          <w:p w14:paraId="629EEFB7"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84" w:type="dxa"/>
            <w:tcBorders>
              <w:top w:val="nil"/>
              <w:left w:val="nil"/>
              <w:bottom w:val="nil"/>
              <w:right w:val="nil"/>
            </w:tcBorders>
            <w:shd w:val="clear" w:color="000000" w:fill="FFFFFF"/>
            <w:vAlign w:val="center"/>
            <w:hideMark/>
          </w:tcPr>
          <w:p w14:paraId="065F3439"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276" w:type="dxa"/>
            <w:tcBorders>
              <w:top w:val="nil"/>
              <w:left w:val="nil"/>
              <w:bottom w:val="nil"/>
              <w:right w:val="nil"/>
            </w:tcBorders>
            <w:shd w:val="clear" w:color="000000" w:fill="FFFFFF"/>
            <w:vAlign w:val="center"/>
            <w:hideMark/>
          </w:tcPr>
          <w:p w14:paraId="0D632209"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417" w:type="dxa"/>
            <w:tcBorders>
              <w:top w:val="nil"/>
              <w:left w:val="nil"/>
              <w:bottom w:val="nil"/>
              <w:right w:val="nil"/>
            </w:tcBorders>
            <w:shd w:val="clear" w:color="auto" w:fill="auto"/>
            <w:noWrap/>
            <w:vAlign w:val="center"/>
            <w:hideMark/>
          </w:tcPr>
          <w:p w14:paraId="2F1D7702"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9,509,800</w:t>
            </w:r>
          </w:p>
        </w:tc>
      </w:tr>
      <w:tr w:rsidR="00531406" w:rsidRPr="00531406" w14:paraId="5E5F54AC" w14:textId="77777777" w:rsidTr="00C0556C">
        <w:trPr>
          <w:trHeight w:val="60"/>
        </w:trPr>
        <w:tc>
          <w:tcPr>
            <w:tcW w:w="3202" w:type="dxa"/>
            <w:tcBorders>
              <w:top w:val="nil"/>
              <w:left w:val="nil"/>
              <w:bottom w:val="double" w:sz="6" w:space="0" w:color="auto"/>
              <w:right w:val="nil"/>
            </w:tcBorders>
            <w:shd w:val="clear" w:color="auto" w:fill="auto"/>
            <w:noWrap/>
            <w:vAlign w:val="bottom"/>
            <w:hideMark/>
          </w:tcPr>
          <w:p w14:paraId="65F5FE1C" w14:textId="77777777" w:rsidR="00531406" w:rsidRPr="00531406" w:rsidRDefault="00531406"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18" w:type="dxa"/>
            <w:tcBorders>
              <w:top w:val="nil"/>
              <w:left w:val="nil"/>
              <w:bottom w:val="double" w:sz="6" w:space="0" w:color="auto"/>
              <w:right w:val="nil"/>
            </w:tcBorders>
            <w:shd w:val="clear" w:color="auto" w:fill="auto"/>
            <w:noWrap/>
            <w:vAlign w:val="center"/>
            <w:hideMark/>
          </w:tcPr>
          <w:p w14:paraId="29227155"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25" w:type="dxa"/>
            <w:tcBorders>
              <w:top w:val="nil"/>
              <w:left w:val="nil"/>
              <w:bottom w:val="double" w:sz="6" w:space="0" w:color="auto"/>
              <w:right w:val="nil"/>
            </w:tcBorders>
            <w:shd w:val="clear" w:color="auto" w:fill="auto"/>
            <w:noWrap/>
            <w:vAlign w:val="center"/>
            <w:hideMark/>
          </w:tcPr>
          <w:p w14:paraId="296298B5"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84" w:type="dxa"/>
            <w:tcBorders>
              <w:top w:val="nil"/>
              <w:left w:val="nil"/>
              <w:bottom w:val="double" w:sz="6" w:space="0" w:color="auto"/>
              <w:right w:val="nil"/>
            </w:tcBorders>
            <w:shd w:val="clear" w:color="000000" w:fill="FFFFFF"/>
            <w:vAlign w:val="center"/>
            <w:hideMark/>
          </w:tcPr>
          <w:p w14:paraId="46890E87"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276" w:type="dxa"/>
            <w:tcBorders>
              <w:top w:val="nil"/>
              <w:left w:val="nil"/>
              <w:bottom w:val="double" w:sz="6" w:space="0" w:color="auto"/>
              <w:right w:val="nil"/>
            </w:tcBorders>
            <w:shd w:val="clear" w:color="auto" w:fill="auto"/>
            <w:noWrap/>
            <w:vAlign w:val="center"/>
            <w:hideMark/>
          </w:tcPr>
          <w:p w14:paraId="12FF226B"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417" w:type="dxa"/>
            <w:tcBorders>
              <w:top w:val="nil"/>
              <w:left w:val="nil"/>
              <w:bottom w:val="double" w:sz="6" w:space="0" w:color="auto"/>
              <w:right w:val="nil"/>
            </w:tcBorders>
            <w:shd w:val="clear" w:color="auto" w:fill="auto"/>
            <w:noWrap/>
            <w:vAlign w:val="center"/>
            <w:hideMark/>
          </w:tcPr>
          <w:p w14:paraId="60D82063" w14:textId="77777777" w:rsidR="00531406" w:rsidRPr="00531406" w:rsidRDefault="00531406"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r>
    </w:tbl>
    <w:p w14:paraId="5F516454" w14:textId="0AF31FBF" w:rsidR="00792600" w:rsidRPr="00531406" w:rsidRDefault="00792600" w:rsidP="00531406">
      <w:pPr>
        <w:pStyle w:val="Caption1"/>
        <w:rPr>
          <w:lang w:val="en-US"/>
        </w:rPr>
        <w:sectPr w:rsidR="00792600" w:rsidRPr="00531406" w:rsidSect="008C0793">
          <w:headerReference w:type="even" r:id="rId28"/>
          <w:headerReference w:type="default" r:id="rId29"/>
          <w:footerReference w:type="default" r:id="rId30"/>
          <w:headerReference w:type="first" r:id="rId31"/>
          <w:footerReference w:type="first" r:id="rId32"/>
          <w:pgSz w:w="11906" w:h="16838" w:code="9"/>
          <w:pgMar w:top="1418" w:right="1304" w:bottom="1418" w:left="1304" w:header="567" w:footer="567" w:gutter="0"/>
          <w:pgNumType w:start="1"/>
          <w:cols w:space="708"/>
          <w:titlePg/>
          <w:docGrid w:linePitch="360"/>
        </w:sectPr>
      </w:pPr>
    </w:p>
    <w:p w14:paraId="5FF9E64B" w14:textId="192B9C12" w:rsidR="001547F2" w:rsidRPr="00F507AB" w:rsidRDefault="007C7837" w:rsidP="00697AED">
      <w:pPr>
        <w:pStyle w:val="ChartorTableNote"/>
      </w:pPr>
      <w:r w:rsidRPr="00F507AB">
        <w:t xml:space="preserve">Note: </w:t>
      </w:r>
      <w:r w:rsidR="00792600" w:rsidRPr="00F507AB">
        <w:t>Shows summary statistics for key outcome and demographic variables for the three analysis samples.</w:t>
      </w:r>
      <w:r w:rsidR="00537526">
        <w:t xml:space="preserve"> Wages and wages growth are in nominal terms.</w:t>
      </w:r>
      <w:r w:rsidR="00792600" w:rsidRPr="00F507AB">
        <w:t xml:space="preserve"> </w:t>
      </w:r>
      <w:r w:rsidR="00D46B8F" w:rsidRPr="00F507AB">
        <w:br/>
      </w:r>
      <w:r w:rsidR="008D73E9" w:rsidRPr="00F507AB">
        <w:t xml:space="preserve">Source: </w:t>
      </w:r>
      <w:r w:rsidR="00DE7064">
        <w:t>Treasury calculations using de-identified Pay-As-You-Go annual payment summaries, 2004-05 to 2015-16, and the Australian Taxation Office Longitudinal Information Files.</w:t>
      </w:r>
    </w:p>
    <w:p w14:paraId="60198AC8" w14:textId="77777777" w:rsidR="00792600" w:rsidRPr="00F507AB" w:rsidRDefault="00792600" w:rsidP="00792600">
      <w:pPr>
        <w:spacing w:after="0"/>
        <w:jc w:val="both"/>
        <w:rPr>
          <w:sz w:val="20"/>
          <w:szCs w:val="20"/>
        </w:rPr>
      </w:pPr>
    </w:p>
    <w:p w14:paraId="0EB74CAA" w14:textId="77777777" w:rsidR="00697AED" w:rsidRDefault="001E43A8" w:rsidP="00697AED">
      <w:pPr>
        <w:pStyle w:val="FigureHeading"/>
        <w:rPr>
          <w:rStyle w:val="Caption1Char"/>
          <w:rFonts w:eastAsiaTheme="minorHAnsi"/>
        </w:rPr>
      </w:pPr>
      <w:r w:rsidRPr="00F507AB">
        <w:rPr>
          <w:rStyle w:val="Caption1Char"/>
          <w:rFonts w:eastAsiaTheme="minorHAnsi"/>
        </w:rPr>
        <w:lastRenderedPageBreak/>
        <w:t>Figure 2: Job switching rates by age and gender, and associated wage growth</w:t>
      </w:r>
      <w:r w:rsidR="0091583D">
        <w:rPr>
          <w:rFonts w:ascii="Arial" w:hAnsi="Arial"/>
          <w:noProof/>
          <w:color w:val="003157"/>
          <w:sz w:val="24"/>
          <w:szCs w:val="24"/>
        </w:rPr>
        <w:drawing>
          <wp:inline distT="0" distB="0" distL="0" distR="0" wp14:anchorId="3997B2E8" wp14:editId="05EEA427">
            <wp:extent cx="5905500" cy="4295775"/>
            <wp:effectExtent l="0" t="0" r="0" b="9525"/>
            <wp:docPr id="12" name="Picture 12" descr="H:\MMPD\Models\Micro Data\Job switching and wages\1. Job switching and wages\Output\Charts\FIG2_EE_de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MMPD\Models\Micro Data\Job switching and wages\1. Job switching and wages\Output\Charts\FIG2_EE_demo.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0" cy="4295775"/>
                    </a:xfrm>
                    <a:prstGeom prst="rect">
                      <a:avLst/>
                    </a:prstGeom>
                    <a:noFill/>
                    <a:ln>
                      <a:noFill/>
                    </a:ln>
                  </pic:spPr>
                </pic:pic>
              </a:graphicData>
            </a:graphic>
          </wp:inline>
        </w:drawing>
      </w:r>
    </w:p>
    <w:p w14:paraId="13A76611" w14:textId="3D26A5E6" w:rsidR="001E43A8" w:rsidRDefault="001E43A8" w:rsidP="00697AED">
      <w:pPr>
        <w:pStyle w:val="ChartorTableNote"/>
      </w:pPr>
      <w:r w:rsidRPr="00F507AB">
        <w:t xml:space="preserve">Notes: </w:t>
      </w:r>
      <w:r w:rsidR="0036265D" w:rsidRPr="00F507AB">
        <w:t>Left panel s</w:t>
      </w:r>
      <w:r w:rsidRPr="00F507AB">
        <w:t>hows the job switching rate for individuals of the given gender and in the given five-year age group.</w:t>
      </w:r>
      <w:r w:rsidR="00AC01E1">
        <w:t xml:space="preserve"> </w:t>
      </w:r>
      <w:r w:rsidR="0036265D" w:rsidRPr="00F507AB">
        <w:t>Right panel</w:t>
      </w:r>
      <w:r w:rsidR="008D73E9" w:rsidRPr="00F507AB">
        <w:t xml:space="preserve"> shows the median annual </w:t>
      </w:r>
      <w:r w:rsidR="00204A00">
        <w:t>wage</w:t>
      </w:r>
      <w:r w:rsidR="008D73E9" w:rsidRPr="00F507AB">
        <w:t>s</w:t>
      </w:r>
      <w:r w:rsidR="0036265D" w:rsidRPr="00F507AB">
        <w:t xml:space="preserve"> growth for individuals of the given gender and in the given five-year age group by whether the individual is a job switcher or stayer.</w:t>
      </w:r>
      <w:r w:rsidRPr="00F507AB">
        <w:br/>
        <w:t xml:space="preserve">Source: </w:t>
      </w:r>
      <w:r w:rsidR="00DE7064">
        <w:t>Treasury calculations using de-identified Pay-As-You-Go annual payment summaries, 2004-05 to 2015-16, and the Australian Taxation Office Longitudinal Information Files.</w:t>
      </w:r>
    </w:p>
    <w:p w14:paraId="43205021" w14:textId="6D665EDF" w:rsidR="00B03266" w:rsidRDefault="00B03266" w:rsidP="001E43A8">
      <w:pPr>
        <w:spacing w:after="0"/>
        <w:jc w:val="both"/>
        <w:rPr>
          <w:rStyle w:val="Caption1Char"/>
          <w:rFonts w:ascii="Calibri" w:eastAsiaTheme="minorHAnsi" w:hAnsi="Calibri" w:cstheme="minorBidi"/>
          <w:color w:val="000000" w:themeColor="text1"/>
          <w:sz w:val="20"/>
          <w:szCs w:val="20"/>
          <w:lang w:eastAsia="en-US"/>
        </w:rPr>
      </w:pPr>
    </w:p>
    <w:p w14:paraId="5BC58D4B" w14:textId="6531DE73" w:rsidR="006B2B6C" w:rsidRDefault="00B03266" w:rsidP="00B03266">
      <w:pPr>
        <w:jc w:val="both"/>
        <w:rPr>
          <w:lang w:val="en-US" w:eastAsia="en-AU"/>
        </w:rPr>
      </w:pPr>
      <w:r w:rsidRPr="00F507AB">
        <w:rPr>
          <w:lang w:val="en-US" w:eastAsia="en-AU"/>
        </w:rPr>
        <w:t>There are clear cyclical influences on job switching rates.</w:t>
      </w:r>
      <w:r>
        <w:rPr>
          <w:lang w:val="en-US" w:eastAsia="en-AU"/>
        </w:rPr>
        <w:t xml:space="preserve"> </w:t>
      </w:r>
      <w:r w:rsidRPr="00F507AB">
        <w:rPr>
          <w:lang w:val="en-US" w:eastAsia="en-AU"/>
        </w:rPr>
        <w:t>Figure 3 shows how job-to-job transition rates have varied over time, both nationally and within local labour markets.</w:t>
      </w:r>
      <w:r>
        <w:rPr>
          <w:lang w:val="en-US" w:eastAsia="en-AU"/>
        </w:rPr>
        <w:t xml:space="preserve"> Both the level and general time trend in the national job-to are similar to those observed in past Treasury work using the HILDA survey (Treasury 2017). </w:t>
      </w:r>
      <w:r w:rsidRPr="00F507AB">
        <w:rPr>
          <w:lang w:val="en-US" w:eastAsia="en-AU"/>
        </w:rPr>
        <w:t>There is a pro-cyclicality to the job-to-job transition rate, with it rising in years of strong economic growth in the 2000s, falling with the Global Financial Crisis, and recovering somewhat thereafter.</w:t>
      </w:r>
      <w:r>
        <w:rPr>
          <w:lang w:val="en-US" w:eastAsia="en-AU"/>
        </w:rPr>
        <w:t xml:space="preserve"> </w:t>
      </w:r>
      <w:r w:rsidRPr="00F507AB">
        <w:rPr>
          <w:lang w:val="en-US" w:eastAsia="en-AU"/>
        </w:rPr>
        <w:t>A similar pattern is also apparent in earnings growth.</w:t>
      </w:r>
      <w:r>
        <w:rPr>
          <w:lang w:val="en-US" w:eastAsia="en-AU"/>
        </w:rPr>
        <w:t xml:space="preserve"> </w:t>
      </w:r>
    </w:p>
    <w:p w14:paraId="793DD7CA" w14:textId="2DE0F0FF" w:rsidR="00B03266" w:rsidRPr="00F507AB" w:rsidRDefault="006B2B6C" w:rsidP="00B03266">
      <w:pPr>
        <w:jc w:val="both"/>
        <w:rPr>
          <w:rStyle w:val="Caption1Char"/>
          <w:rFonts w:ascii="Calibri" w:eastAsiaTheme="minorHAnsi" w:hAnsi="Calibri" w:cstheme="minorBidi"/>
          <w:color w:val="000000" w:themeColor="text1"/>
          <w:sz w:val="22"/>
          <w:szCs w:val="22"/>
          <w:lang w:val="en-US"/>
        </w:rPr>
      </w:pPr>
      <w:r>
        <w:rPr>
          <w:lang w:val="en-US" w:eastAsia="en-AU"/>
        </w:rPr>
        <w:t>T</w:t>
      </w:r>
      <w:r w:rsidR="00B03266" w:rsidRPr="00F507AB">
        <w:rPr>
          <w:lang w:val="en-US" w:eastAsia="en-AU"/>
        </w:rPr>
        <w:t>here is also notable variation</w:t>
      </w:r>
      <w:r>
        <w:rPr>
          <w:lang w:val="en-US" w:eastAsia="en-AU"/>
        </w:rPr>
        <w:t xml:space="preserve"> in job switching rates</w:t>
      </w:r>
      <w:r w:rsidR="00B03266" w:rsidRPr="00F507AB">
        <w:rPr>
          <w:lang w:val="en-US" w:eastAsia="en-AU"/>
        </w:rPr>
        <w:t xml:space="preserve"> between local labour markets</w:t>
      </w:r>
      <w:r>
        <w:rPr>
          <w:lang w:val="en-US" w:eastAsia="en-AU"/>
        </w:rPr>
        <w:t xml:space="preserve"> evident in Figure 3</w:t>
      </w:r>
      <w:r w:rsidR="00B03266" w:rsidRPr="00F507AB">
        <w:rPr>
          <w:lang w:val="en-US" w:eastAsia="en-AU"/>
        </w:rPr>
        <w:t>.</w:t>
      </w:r>
      <w:r w:rsidR="00B03266">
        <w:rPr>
          <w:lang w:val="en-US" w:eastAsia="en-AU"/>
        </w:rPr>
        <w:t xml:space="preserve"> </w:t>
      </w:r>
      <w:r w:rsidR="00B03266" w:rsidRPr="00F507AB">
        <w:rPr>
          <w:lang w:val="en-US" w:eastAsia="en-AU"/>
        </w:rPr>
        <w:t xml:space="preserve">In Figure </w:t>
      </w:r>
      <w:r w:rsidR="00B03266">
        <w:rPr>
          <w:lang w:val="en-US" w:eastAsia="en-AU"/>
        </w:rPr>
        <w:t>B</w:t>
      </w:r>
      <w:r w:rsidR="00B03266" w:rsidRPr="00F507AB">
        <w:rPr>
          <w:lang w:val="en-US" w:eastAsia="en-AU"/>
        </w:rPr>
        <w:t>1</w:t>
      </w:r>
      <w:r w:rsidR="00B03266">
        <w:rPr>
          <w:lang w:val="en-US" w:eastAsia="en-AU"/>
        </w:rPr>
        <w:t xml:space="preserve"> (see Appendix)</w:t>
      </w:r>
      <w:r w:rsidR="00B03266" w:rsidRPr="00F507AB">
        <w:rPr>
          <w:lang w:val="en-US" w:eastAsia="en-AU"/>
        </w:rPr>
        <w:t xml:space="preserve"> I explore these differences in a little more detail.</w:t>
      </w:r>
      <w:r w:rsidR="00B03266">
        <w:rPr>
          <w:lang w:val="en-US" w:eastAsia="en-AU"/>
        </w:rPr>
        <w:t xml:space="preserve"> </w:t>
      </w:r>
      <w:r w:rsidR="00B03266" w:rsidRPr="00F507AB">
        <w:rPr>
          <w:lang w:val="en-US" w:eastAsia="en-AU"/>
        </w:rPr>
        <w:t>Queensland and Western</w:t>
      </w:r>
      <w:r w:rsidR="00C0556C">
        <w:rPr>
          <w:lang w:val="en-US" w:eastAsia="en-AU"/>
        </w:rPr>
        <w:t> </w:t>
      </w:r>
      <w:r w:rsidR="00B03266" w:rsidRPr="00F507AB">
        <w:rPr>
          <w:lang w:val="en-US" w:eastAsia="en-AU"/>
        </w:rPr>
        <w:t>Australia have had persistently higher job switching rates than New South Wales and Victoria; these four states also appear to have experienced different cyclical fluctuations in switching rates.</w:t>
      </w:r>
      <w:r w:rsidR="00B03266">
        <w:rPr>
          <w:lang w:val="en-US" w:eastAsia="en-AU"/>
        </w:rPr>
        <w:t xml:space="preserve"> </w:t>
      </w:r>
      <w:r w:rsidR="00B03266" w:rsidRPr="00F507AB">
        <w:rPr>
          <w:lang w:val="en-US" w:eastAsia="en-AU"/>
        </w:rPr>
        <w:t xml:space="preserve">In contrast there is little difference between switching rates in capital city versus regional labour markets. </w:t>
      </w:r>
    </w:p>
    <w:p w14:paraId="0B528ED2" w14:textId="77777777" w:rsidR="00B03266" w:rsidRDefault="00B03266" w:rsidP="001E43A8">
      <w:pPr>
        <w:spacing w:after="0"/>
        <w:jc w:val="both"/>
        <w:rPr>
          <w:rStyle w:val="Caption1Char"/>
          <w:rFonts w:ascii="Calibri" w:eastAsiaTheme="minorHAnsi" w:hAnsi="Calibri" w:cstheme="minorBidi"/>
          <w:color w:val="000000" w:themeColor="text1"/>
          <w:sz w:val="20"/>
          <w:szCs w:val="20"/>
          <w:lang w:eastAsia="en-US"/>
        </w:rPr>
      </w:pPr>
    </w:p>
    <w:p w14:paraId="5459C325" w14:textId="1D5939CF" w:rsidR="00B03266" w:rsidRPr="00F507AB" w:rsidRDefault="00B03266" w:rsidP="001E43A8">
      <w:pPr>
        <w:spacing w:after="0"/>
        <w:jc w:val="both"/>
        <w:rPr>
          <w:rStyle w:val="Caption1Char"/>
          <w:rFonts w:ascii="Calibri" w:eastAsiaTheme="minorHAnsi" w:hAnsi="Calibri" w:cstheme="minorBidi"/>
          <w:color w:val="000000" w:themeColor="text1"/>
          <w:sz w:val="20"/>
          <w:szCs w:val="20"/>
          <w:lang w:eastAsia="en-US"/>
        </w:rPr>
        <w:sectPr w:rsidR="00B03266" w:rsidRPr="00F507AB" w:rsidSect="00621D02">
          <w:type w:val="continuous"/>
          <w:pgSz w:w="11906" w:h="16838" w:code="9"/>
          <w:pgMar w:top="1418" w:right="1304" w:bottom="1418" w:left="1304" w:header="567" w:footer="567" w:gutter="0"/>
          <w:cols w:space="708"/>
          <w:titlePg/>
          <w:docGrid w:linePitch="360"/>
        </w:sectPr>
      </w:pPr>
    </w:p>
    <w:p w14:paraId="010D0592" w14:textId="769DA076" w:rsidR="007F6917" w:rsidRPr="00F507AB" w:rsidRDefault="00773263" w:rsidP="00697AED">
      <w:pPr>
        <w:pStyle w:val="FigureHeading"/>
        <w:rPr>
          <w:rStyle w:val="Caption1Char"/>
          <w:rFonts w:eastAsiaTheme="minorHAnsi"/>
        </w:rPr>
        <w:sectPr w:rsidR="007F6917" w:rsidRPr="00F507AB" w:rsidSect="0051465F">
          <w:headerReference w:type="even" r:id="rId34"/>
          <w:headerReference w:type="default" r:id="rId35"/>
          <w:headerReference w:type="first" r:id="rId36"/>
          <w:footerReference w:type="first" r:id="rId37"/>
          <w:pgSz w:w="11906" w:h="16838" w:code="9"/>
          <w:pgMar w:top="1418" w:right="1304" w:bottom="1418" w:left="1304" w:header="567" w:footer="567" w:gutter="0"/>
          <w:cols w:space="708"/>
          <w:titlePg/>
          <w:docGrid w:linePitch="360"/>
        </w:sectPr>
      </w:pPr>
      <w:r w:rsidRPr="00F507AB">
        <w:rPr>
          <w:rStyle w:val="Caption1Char"/>
          <w:rFonts w:eastAsiaTheme="minorHAnsi"/>
        </w:rPr>
        <w:lastRenderedPageBreak/>
        <w:t xml:space="preserve">Figure </w:t>
      </w:r>
      <w:r w:rsidR="008D73E9" w:rsidRPr="00F507AB">
        <w:rPr>
          <w:rStyle w:val="Caption1Char"/>
          <w:rFonts w:eastAsiaTheme="minorHAnsi"/>
        </w:rPr>
        <w:t>3</w:t>
      </w:r>
      <w:r w:rsidRPr="00F507AB">
        <w:rPr>
          <w:rStyle w:val="Caption1Char"/>
          <w:rFonts w:eastAsiaTheme="minorHAnsi"/>
        </w:rPr>
        <w:t>: National and regional job-to-job transition rates</w:t>
      </w:r>
      <w:r w:rsidR="0091583D">
        <w:rPr>
          <w:noProof/>
        </w:rPr>
        <w:drawing>
          <wp:inline distT="0" distB="0" distL="0" distR="0" wp14:anchorId="5D88F060" wp14:editId="39AE8128">
            <wp:extent cx="5905500" cy="4295775"/>
            <wp:effectExtent l="0" t="0" r="0" b="9525"/>
            <wp:docPr id="18" name="Picture 18" descr="H:\MMPD\Models\Micro Data\Job switching and wages\1. Job switching and wages\Output\Charts\FIG3_EE_g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MMPD\Models\Micro Data\Job switching and wages\1. Job switching and wages\Output\Charts\FIG3_EE_geo.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05500" cy="4295775"/>
                    </a:xfrm>
                    <a:prstGeom prst="rect">
                      <a:avLst/>
                    </a:prstGeom>
                    <a:noFill/>
                    <a:ln>
                      <a:noFill/>
                    </a:ln>
                  </pic:spPr>
                </pic:pic>
              </a:graphicData>
            </a:graphic>
          </wp:inline>
        </w:drawing>
      </w:r>
    </w:p>
    <w:p w14:paraId="7869CAFA" w14:textId="56449221" w:rsidR="00F774B6" w:rsidRPr="000B5D0E" w:rsidRDefault="00773263" w:rsidP="00697AED">
      <w:pPr>
        <w:pStyle w:val="ChartorTableNote"/>
      </w:pPr>
      <w:r w:rsidRPr="00F507AB">
        <w:t xml:space="preserve">Note: </w:t>
      </w:r>
      <w:r w:rsidR="00792600" w:rsidRPr="00F507AB">
        <w:t>Shows the national job switching rate (bold black line) and SA4 job switching rates (</w:t>
      </w:r>
      <w:r w:rsidR="00943715">
        <w:t>light blue</w:t>
      </w:r>
      <w:r w:rsidR="00792600" w:rsidRPr="00F507AB">
        <w:t xml:space="preserve"> lines), as well as the bottom and top quintile of SA4 job switching rates.</w:t>
      </w:r>
      <w:r w:rsidR="00AC01E1">
        <w:t xml:space="preserve"> </w:t>
      </w:r>
      <w:r w:rsidR="00792600" w:rsidRPr="00F507AB">
        <w:t xml:space="preserve">National nominal annual </w:t>
      </w:r>
      <w:r w:rsidR="00204A00">
        <w:t>wage</w:t>
      </w:r>
      <w:r w:rsidR="00792600" w:rsidRPr="00F507AB">
        <w:t>s growth for the stable employment sample is also shown.</w:t>
      </w:r>
      <w:r w:rsidR="00AC01E1">
        <w:t xml:space="preserve"> </w:t>
      </w:r>
      <w:r w:rsidR="00792600" w:rsidRPr="00F507AB">
        <w:t xml:space="preserve">Note this includes </w:t>
      </w:r>
      <w:r w:rsidR="00F56EB0">
        <w:t>growth from both wage rate increases in the same role, changes in hours and changes in role and so is not directly comparable to the Wage Price Index, for example.</w:t>
      </w:r>
      <w:r w:rsidRPr="00F507AB">
        <w:t xml:space="preserve"> </w:t>
      </w:r>
      <w:r w:rsidRPr="00F507AB">
        <w:br/>
      </w:r>
      <w:r w:rsidR="00DE7064">
        <w:t>Source: Treasury calculations using de-identified Pay-As-You-Go annual payment summaries, 2004-05 to 2015-16.</w:t>
      </w:r>
    </w:p>
    <w:p w14:paraId="638B9EDB" w14:textId="20172308" w:rsidR="00F012EA" w:rsidRDefault="000B5D0E" w:rsidP="00A57848">
      <w:pPr>
        <w:pStyle w:val="Heading2"/>
      </w:pPr>
      <w:r>
        <w:t>Empirical framework</w:t>
      </w:r>
    </w:p>
    <w:p w14:paraId="2084C21A" w14:textId="6F20DA63" w:rsidR="000B5D0E" w:rsidRDefault="00960CEB" w:rsidP="00FD6D8B">
      <w:pPr>
        <w:jc w:val="both"/>
      </w:pPr>
      <w:r>
        <w:t>As</w:t>
      </w:r>
      <w:r w:rsidR="00D06378">
        <w:t xml:space="preserve"> is</w:t>
      </w:r>
      <w:r>
        <w:t xml:space="preserve"> </w:t>
      </w:r>
      <w:r w:rsidR="00A92E15">
        <w:t xml:space="preserve">apparent in Figure </w:t>
      </w:r>
      <w:r w:rsidR="00B936BC">
        <w:t>3</w:t>
      </w:r>
      <w:r w:rsidR="00A92E15">
        <w:t xml:space="preserve">, </w:t>
      </w:r>
      <w:r w:rsidR="00B472E0">
        <w:t>job-to-job</w:t>
      </w:r>
      <w:r w:rsidR="00084B2C">
        <w:t xml:space="preserve"> transition rates and wages growth tend to </w:t>
      </w:r>
      <w:r>
        <w:t>follow</w:t>
      </w:r>
      <w:r w:rsidR="00B472E0">
        <w:t xml:space="preserve"> the</w:t>
      </w:r>
      <w:r w:rsidR="00A92E15">
        <w:t xml:space="preserve"> economic cycle</w:t>
      </w:r>
      <w:r w:rsidR="00084B2C">
        <w:t>.</w:t>
      </w:r>
      <w:r w:rsidR="00AC01E1">
        <w:t xml:space="preserve"> </w:t>
      </w:r>
      <w:r w:rsidR="00084B2C">
        <w:t>I turn to regression analysis and experiment with a range of controls</w:t>
      </w:r>
      <w:r w:rsidR="00B472E0" w:rsidRPr="00B472E0">
        <w:t xml:space="preserve"> </w:t>
      </w:r>
      <w:r w:rsidR="00B472E0">
        <w:t>in order to look beyond this cyclical association</w:t>
      </w:r>
      <w:r w:rsidR="00084B2C">
        <w:t>.</w:t>
      </w:r>
      <w:r w:rsidR="00AC01E1">
        <w:t xml:space="preserve"> </w:t>
      </w:r>
      <w:r w:rsidR="003C44F3">
        <w:t>T</w:t>
      </w:r>
      <w:r w:rsidR="003C44F3">
        <w:rPr>
          <w:rFonts w:eastAsiaTheme="minorEastAsia"/>
        </w:rPr>
        <w:t>he empirical framework is not intended to establish a definitive causal effect</w:t>
      </w:r>
      <w:r w:rsidR="00DE6719">
        <w:rPr>
          <w:rFonts w:eastAsiaTheme="minorEastAsia"/>
        </w:rPr>
        <w:t xml:space="preserve"> – it is not clear that movements in the job-to-job transition rate </w:t>
      </w:r>
      <w:r w:rsidR="00DE6719" w:rsidRPr="00BF3D5A">
        <w:rPr>
          <w:rFonts w:eastAsiaTheme="minorEastAsia"/>
          <w:i/>
        </w:rPr>
        <w:t>cause</w:t>
      </w:r>
      <w:r w:rsidR="00DE6719">
        <w:rPr>
          <w:rFonts w:eastAsiaTheme="minorEastAsia"/>
        </w:rPr>
        <w:t xml:space="preserve"> movements in wages growth</w:t>
      </w:r>
      <w:r w:rsidR="003C44F3">
        <w:rPr>
          <w:rFonts w:eastAsiaTheme="minorEastAsia"/>
        </w:rPr>
        <w:t>.</w:t>
      </w:r>
      <w:r w:rsidR="00AC01E1">
        <w:rPr>
          <w:rFonts w:eastAsiaTheme="minorEastAsia"/>
        </w:rPr>
        <w:t xml:space="preserve"> </w:t>
      </w:r>
      <w:r w:rsidR="003C44F3">
        <w:rPr>
          <w:rFonts w:eastAsiaTheme="minorEastAsia"/>
        </w:rPr>
        <w:t>Doing this would require an exogenous source of variation in job switching rates that seems likely to prove elusive.</w:t>
      </w:r>
      <w:r w:rsidR="00AC01E1">
        <w:rPr>
          <w:rFonts w:eastAsiaTheme="minorEastAsia"/>
        </w:rPr>
        <w:t xml:space="preserve"> </w:t>
      </w:r>
      <w:r w:rsidR="003C44F3">
        <w:rPr>
          <w:rFonts w:eastAsiaTheme="minorEastAsia"/>
        </w:rPr>
        <w:t>Rather, I</w:t>
      </w:r>
      <w:r w:rsidR="006B2B6C">
        <w:rPr>
          <w:rFonts w:eastAsiaTheme="minorEastAsia"/>
        </w:rPr>
        <w:t xml:space="preserve"> explore whether the association between the two remains after controlling for a host more obvious confounders, such as national and </w:t>
      </w:r>
      <w:r w:rsidR="00AC13F5">
        <w:rPr>
          <w:rFonts w:eastAsiaTheme="minorEastAsia"/>
        </w:rPr>
        <w:t xml:space="preserve">regional </w:t>
      </w:r>
      <w:r w:rsidR="006B2B6C">
        <w:rPr>
          <w:rFonts w:eastAsiaTheme="minorEastAsia"/>
        </w:rPr>
        <w:t xml:space="preserve">cyclical factors, as would be expected if the link reflected a </w:t>
      </w:r>
      <w:r w:rsidR="00AC13F5">
        <w:rPr>
          <w:rFonts w:eastAsiaTheme="minorEastAsia"/>
        </w:rPr>
        <w:t>deeper link, such as that arising in models of job search</w:t>
      </w:r>
      <w:r w:rsidR="006B2B6C">
        <w:rPr>
          <w:rFonts w:eastAsiaTheme="minorEastAsia"/>
        </w:rPr>
        <w:t>. I</w:t>
      </w:r>
      <w:r w:rsidR="00AC13F5">
        <w:rPr>
          <w:rFonts w:eastAsiaTheme="minorEastAsia"/>
        </w:rPr>
        <w:t>n particular, I</w:t>
      </w:r>
      <w:r w:rsidR="003C44F3">
        <w:rPr>
          <w:rFonts w:eastAsiaTheme="minorEastAsia"/>
        </w:rPr>
        <w:t xml:space="preserve"> test the relative predictive power of employment </w:t>
      </w:r>
      <w:r w:rsidR="00D06378">
        <w:rPr>
          <w:rFonts w:eastAsiaTheme="minorEastAsia"/>
        </w:rPr>
        <w:t xml:space="preserve">and unemployment </w:t>
      </w:r>
      <w:r w:rsidR="003C44F3">
        <w:rPr>
          <w:rFonts w:eastAsiaTheme="minorEastAsia"/>
        </w:rPr>
        <w:t xml:space="preserve">transitions on wages growth through </w:t>
      </w:r>
      <w:r w:rsidR="00C820C5">
        <w:t xml:space="preserve">regressions of the form: </w:t>
      </w:r>
    </w:p>
    <w:p w14:paraId="54AD9DB4" w14:textId="46FA15A8" w:rsidR="000B5D0E" w:rsidRDefault="00540CA6" w:rsidP="000B5D0E">
      <w:pPr>
        <w:jc w:val="center"/>
      </w:pPr>
      <m:oMath>
        <m:func>
          <m:funcPr>
            <m:ctrlPr>
              <w:rPr>
                <w:rFonts w:ascii="Cambria Math" w:hAnsi="Cambria Math"/>
                <w:i/>
                <w:iCs/>
              </w:rPr>
            </m:ctrlPr>
          </m:funcPr>
          <m:fName>
            <m:r>
              <m:rPr>
                <m:sty m:val="p"/>
              </m:rPr>
              <w:rPr>
                <w:rFonts w:ascii="Cambria Math" w:hAnsi="Cambria Math"/>
              </w:rPr>
              <m:t>∆log</m:t>
            </m:r>
          </m:fName>
          <m:e>
            <m:sSub>
              <m:sSubPr>
                <m:ctrlPr>
                  <w:rPr>
                    <w:rFonts w:ascii="Cambria Math" w:hAnsi="Cambria Math"/>
                    <w:i/>
                    <w:iCs/>
                  </w:rPr>
                </m:ctrlPr>
              </m:sSubPr>
              <m:e>
                <m:r>
                  <w:rPr>
                    <w:rFonts w:ascii="Cambria Math" w:hAnsi="Cambria Math"/>
                  </w:rPr>
                  <m:t>W</m:t>
                </m:r>
              </m:e>
              <m:sub>
                <m:r>
                  <w:rPr>
                    <w:rFonts w:ascii="Cambria Math" w:hAnsi="Cambria Math"/>
                  </w:rPr>
                  <m:t>jt</m:t>
                </m:r>
              </m:sub>
            </m:sSub>
          </m:e>
        </m:func>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j</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 X</m:t>
            </m:r>
          </m:e>
          <m:sub>
            <m:r>
              <w:rPr>
                <w:rFonts w:ascii="Cambria Math" w:hAnsi="Cambria Math"/>
              </w:rPr>
              <m:t>jt</m:t>
            </m:r>
          </m:sub>
        </m:sSub>
        <m:r>
          <w:rPr>
            <w:rFonts w:ascii="Cambria Math" w:hAnsi="Cambria Math"/>
          </w:rPr>
          <m:t xml:space="preserve">+ </m:t>
        </m:r>
        <m:sSub>
          <m:sSubPr>
            <m:ctrlPr>
              <w:rPr>
                <w:rFonts w:ascii="Cambria Math" w:hAnsi="Cambria Math"/>
                <w:i/>
                <w:iCs/>
              </w:rPr>
            </m:ctrlPr>
          </m:sSubPr>
          <m:e>
            <m:r>
              <w:rPr>
                <w:rFonts w:ascii="Cambria Math" w:hAnsi="Cambria Math"/>
              </w:rPr>
              <m:t>γ EE</m:t>
            </m:r>
          </m:e>
          <m:sub>
            <m:r>
              <w:rPr>
                <w:rFonts w:ascii="Cambria Math" w:hAnsi="Cambria Math"/>
              </w:rPr>
              <m:t>jt</m:t>
            </m:r>
          </m:sub>
        </m:sSub>
        <m:r>
          <w:rPr>
            <w:rFonts w:ascii="Cambria Math" w:hAnsi="Cambria Math"/>
          </w:rPr>
          <m:t xml:space="preserve">+δ </m:t>
        </m:r>
        <m:sSub>
          <m:sSubPr>
            <m:ctrlPr>
              <w:rPr>
                <w:rFonts w:ascii="Cambria Math" w:hAnsi="Cambria Math"/>
                <w:i/>
                <w:iCs/>
              </w:rPr>
            </m:ctrlPr>
          </m:sSubPr>
          <m:e>
            <m:r>
              <w:rPr>
                <w:rFonts w:ascii="Cambria Math" w:hAnsi="Cambria Math"/>
              </w:rPr>
              <m:t>UE</m:t>
            </m:r>
          </m:e>
          <m:sub>
            <m:r>
              <w:rPr>
                <w:rFonts w:ascii="Cambria Math" w:hAnsi="Cambria Math"/>
              </w:rPr>
              <m:t>jt</m:t>
            </m:r>
          </m:sub>
        </m:sSub>
        <m:r>
          <w:rPr>
            <w:rFonts w:ascii="Cambria Math" w:hAnsi="Cambria Math"/>
          </w:rPr>
          <m:t> +</m:t>
        </m:r>
        <m:sSub>
          <m:sSubPr>
            <m:ctrlPr>
              <w:rPr>
                <w:rFonts w:ascii="Cambria Math" w:hAnsi="Cambria Math"/>
                <w:i/>
                <w:iCs/>
              </w:rPr>
            </m:ctrlPr>
          </m:sSubPr>
          <m:e>
            <m:r>
              <w:rPr>
                <w:rFonts w:ascii="Cambria Math" w:hAnsi="Cambria Math"/>
              </w:rPr>
              <m:t>ε</m:t>
            </m:r>
          </m:e>
          <m:sub>
            <m:r>
              <w:rPr>
                <w:rFonts w:ascii="Cambria Math" w:hAnsi="Cambria Math"/>
              </w:rPr>
              <m:t>jt</m:t>
            </m:r>
          </m:sub>
        </m:sSub>
      </m:oMath>
      <w:r w:rsidR="00A768B6">
        <w:rPr>
          <w:rFonts w:eastAsiaTheme="minorEastAsia"/>
          <w:iCs/>
        </w:rPr>
        <w:t>.</w:t>
      </w:r>
      <w:r w:rsidR="00F0249B">
        <w:rPr>
          <w:rFonts w:eastAsiaTheme="minorEastAsia"/>
          <w:iCs/>
        </w:rPr>
        <w:tab/>
      </w:r>
      <w:r w:rsidR="00F0249B">
        <w:rPr>
          <w:rFonts w:eastAsiaTheme="minorEastAsia"/>
          <w:iCs/>
        </w:rPr>
        <w:tab/>
        <w:t>(1)</w:t>
      </w:r>
    </w:p>
    <w:p w14:paraId="463BEEF3" w14:textId="645ED6EB" w:rsidR="00F75430" w:rsidRDefault="00F0249B" w:rsidP="00FD6D8B">
      <w:pPr>
        <w:jc w:val="both"/>
        <w:rPr>
          <w:rFonts w:eastAsiaTheme="minorEastAsia"/>
        </w:rPr>
      </w:pPr>
      <w:r>
        <w:rPr>
          <w:rFonts w:eastAsiaTheme="minorEastAsia"/>
        </w:rPr>
        <w:t xml:space="preserve">The dependent variable, </w:t>
      </w:r>
      <m:oMath>
        <m:func>
          <m:funcPr>
            <m:ctrlPr>
              <w:rPr>
                <w:rFonts w:ascii="Cambria Math" w:hAnsi="Cambria Math"/>
                <w:i/>
                <w:iCs/>
              </w:rPr>
            </m:ctrlPr>
          </m:funcPr>
          <m:fName>
            <m:r>
              <m:rPr>
                <m:sty m:val="p"/>
              </m:rPr>
              <w:rPr>
                <w:rFonts w:ascii="Cambria Math" w:hAnsi="Cambria Math"/>
              </w:rPr>
              <m:t>∆log</m:t>
            </m:r>
          </m:fName>
          <m:e>
            <m:sSub>
              <m:sSubPr>
                <m:ctrlPr>
                  <w:rPr>
                    <w:rFonts w:ascii="Cambria Math" w:hAnsi="Cambria Math"/>
                    <w:i/>
                    <w:iCs/>
                  </w:rPr>
                </m:ctrlPr>
              </m:sSubPr>
              <m:e>
                <m:r>
                  <w:rPr>
                    <w:rFonts w:ascii="Cambria Math" w:hAnsi="Cambria Math"/>
                  </w:rPr>
                  <m:t>W</m:t>
                </m:r>
              </m:e>
              <m:sub>
                <m:r>
                  <w:rPr>
                    <w:rFonts w:ascii="Cambria Math" w:hAnsi="Cambria Math"/>
                  </w:rPr>
                  <m:t>jt</m:t>
                </m:r>
              </m:sub>
            </m:sSub>
          </m:e>
        </m:func>
      </m:oMath>
      <w:r>
        <w:rPr>
          <w:rFonts w:eastAsiaTheme="minorEastAsia"/>
          <w:iCs/>
        </w:rPr>
        <w:t>,</w:t>
      </w:r>
      <w:r w:rsidR="00C820C5">
        <w:rPr>
          <w:rFonts w:eastAsiaTheme="minorEastAsia"/>
          <w:iCs/>
        </w:rPr>
        <w:t xml:space="preserve"> is </w:t>
      </w:r>
      <w:r>
        <w:rPr>
          <w:rFonts w:eastAsiaTheme="minorEastAsia"/>
          <w:iCs/>
        </w:rPr>
        <w:t>the change in the natural logarithm of average wages</w:t>
      </w:r>
      <w:r w:rsidR="00C820C5">
        <w:rPr>
          <w:rFonts w:eastAsiaTheme="minorEastAsia"/>
          <w:iCs/>
        </w:rPr>
        <w:t xml:space="preserve"> in SA4</w:t>
      </w:r>
      <w:r w:rsidR="00C820C5">
        <w:t xml:space="preserve"> </w:t>
      </w:r>
      <m:oMath>
        <m:r>
          <w:rPr>
            <w:rFonts w:ascii="Cambria Math" w:hAnsi="Cambria Math"/>
          </w:rPr>
          <m:t>j</m:t>
        </m:r>
      </m:oMath>
      <w:r w:rsidR="00C820C5">
        <w:rPr>
          <w:rFonts w:eastAsiaTheme="minorEastAsia"/>
        </w:rPr>
        <w:t xml:space="preserve"> and financial year </w:t>
      </w:r>
      <m:oMath>
        <m:r>
          <w:rPr>
            <w:rFonts w:ascii="Cambria Math" w:eastAsiaTheme="minorEastAsia" w:hAnsi="Cambria Math"/>
          </w:rPr>
          <m:t>t</m:t>
        </m:r>
      </m:oMath>
      <w:r>
        <w:rPr>
          <w:rFonts w:eastAsiaTheme="minorEastAsia"/>
        </w:rPr>
        <w:t>.</w:t>
      </w:r>
      <w:r w:rsidR="00AC01E1">
        <w:rPr>
          <w:rFonts w:eastAsiaTheme="minorEastAsia"/>
        </w:rPr>
        <w:t xml:space="preserve"> </w:t>
      </w:r>
      <w:r>
        <w:rPr>
          <w:rFonts w:eastAsiaTheme="minorEastAsia"/>
        </w:rPr>
        <w:t>T</w:t>
      </w:r>
      <w:r w:rsidR="00C820C5">
        <w:rPr>
          <w:rFonts w:eastAsiaTheme="minorEastAsia"/>
        </w:rPr>
        <w:t>he key independent variables are the</w:t>
      </w:r>
      <w:r w:rsidR="00F75430">
        <w:rPr>
          <w:rFonts w:eastAsiaTheme="minorEastAsia"/>
        </w:rPr>
        <w:t xml:space="preserve"> job-to-job (</w:t>
      </w:r>
      <m:oMath>
        <m:sSub>
          <m:sSubPr>
            <m:ctrlPr>
              <w:rPr>
                <w:rFonts w:ascii="Cambria Math" w:hAnsi="Cambria Math"/>
                <w:i/>
                <w:iCs/>
              </w:rPr>
            </m:ctrlPr>
          </m:sSubPr>
          <m:e>
            <m:r>
              <w:rPr>
                <w:rFonts w:ascii="Cambria Math" w:hAnsi="Cambria Math"/>
              </w:rPr>
              <m:t>EE</m:t>
            </m:r>
          </m:e>
          <m:sub>
            <m:r>
              <w:rPr>
                <w:rFonts w:ascii="Cambria Math" w:hAnsi="Cambria Math"/>
              </w:rPr>
              <m:t>jt</m:t>
            </m:r>
          </m:sub>
        </m:sSub>
      </m:oMath>
      <w:r w:rsidR="00F75430">
        <w:rPr>
          <w:rFonts w:eastAsiaTheme="minorEastAsia"/>
          <w:iCs/>
        </w:rPr>
        <w:t xml:space="preserve">) </w:t>
      </w:r>
      <w:r w:rsidR="00F75430">
        <w:rPr>
          <w:rFonts w:eastAsiaTheme="minorEastAsia"/>
        </w:rPr>
        <w:t>and unemployment-to-job (</w:t>
      </w:r>
      <m:oMath>
        <m:sSub>
          <m:sSubPr>
            <m:ctrlPr>
              <w:rPr>
                <w:rFonts w:ascii="Cambria Math" w:hAnsi="Cambria Math"/>
                <w:i/>
                <w:iCs/>
              </w:rPr>
            </m:ctrlPr>
          </m:sSubPr>
          <m:e>
            <m:r>
              <w:rPr>
                <w:rFonts w:ascii="Cambria Math" w:hAnsi="Cambria Math"/>
              </w:rPr>
              <m:t>UE</m:t>
            </m:r>
          </m:e>
          <m:sub>
            <m:r>
              <w:rPr>
                <w:rFonts w:ascii="Cambria Math" w:hAnsi="Cambria Math"/>
              </w:rPr>
              <m:t>jt</m:t>
            </m:r>
          </m:sub>
        </m:sSub>
      </m:oMath>
      <w:r w:rsidR="00F75430">
        <w:rPr>
          <w:rFonts w:eastAsiaTheme="minorEastAsia"/>
          <w:iCs/>
        </w:rPr>
        <w:t>)</w:t>
      </w:r>
      <w:r w:rsidR="00C820C5">
        <w:rPr>
          <w:rFonts w:eastAsiaTheme="minorEastAsia"/>
          <w:iCs/>
        </w:rPr>
        <w:t xml:space="preserve"> transition rates</w:t>
      </w:r>
      <w:r w:rsidR="00B472E0">
        <w:rPr>
          <w:rFonts w:eastAsiaTheme="minorEastAsia"/>
          <w:iCs/>
        </w:rPr>
        <w:t xml:space="preserve"> as defined above</w:t>
      </w:r>
      <w:r w:rsidR="00F75430">
        <w:rPr>
          <w:rFonts w:eastAsiaTheme="minorEastAsia"/>
        </w:rPr>
        <w:t>.</w:t>
      </w:r>
      <w:r w:rsidR="00AC01E1">
        <w:rPr>
          <w:rFonts w:eastAsiaTheme="minorEastAsia"/>
        </w:rPr>
        <w:t xml:space="preserve"> </w:t>
      </w:r>
    </w:p>
    <w:p w14:paraId="2567EB16" w14:textId="5CA208EE" w:rsidR="00070378" w:rsidRDefault="00070378" w:rsidP="00FD6D8B">
      <w:pPr>
        <w:jc w:val="both"/>
        <w:rPr>
          <w:rFonts w:eastAsiaTheme="minorEastAsia"/>
        </w:rPr>
      </w:pPr>
      <w:r>
        <w:rPr>
          <w:rFonts w:eastAsiaTheme="minorEastAsia"/>
        </w:rPr>
        <w:t>This approach is broadly in line with that taken by Karahan et al (2017)</w:t>
      </w:r>
      <w:r w:rsidR="002051EC">
        <w:rPr>
          <w:rFonts w:eastAsiaTheme="minorEastAsia"/>
        </w:rPr>
        <w:t xml:space="preserve"> where the relative predictive power of employment transitions on wages across US states is examined through similar regressions</w:t>
      </w:r>
      <w:r>
        <w:rPr>
          <w:rFonts w:eastAsiaTheme="minorEastAsia"/>
        </w:rPr>
        <w:t xml:space="preserve">.  </w:t>
      </w:r>
      <w:r w:rsidR="002051EC">
        <w:rPr>
          <w:rFonts w:eastAsiaTheme="minorEastAsia"/>
        </w:rPr>
        <w:lastRenderedPageBreak/>
        <w:t xml:space="preserve">While the US data has the advantage of being quarterly rather than annual, I </w:t>
      </w:r>
      <w:r w:rsidR="00A768B6">
        <w:rPr>
          <w:rFonts w:eastAsiaTheme="minorEastAsia"/>
        </w:rPr>
        <w:t xml:space="preserve">use more localised labour markets (Australian SA4).  </w:t>
      </w:r>
    </w:p>
    <w:p w14:paraId="15D13574" w14:textId="0982C547" w:rsidR="00960CEB" w:rsidRDefault="00960CEB" w:rsidP="00FD6D8B">
      <w:pPr>
        <w:jc w:val="both"/>
        <w:rPr>
          <w:rFonts w:eastAsiaTheme="minorEastAsia"/>
        </w:rPr>
      </w:pPr>
      <w:r>
        <w:rPr>
          <w:rFonts w:eastAsiaTheme="minorEastAsia"/>
        </w:rPr>
        <w:t>I focus on wages growth, rather than levels, following the approac</w:t>
      </w:r>
      <w:r w:rsidR="00C0556C">
        <w:rPr>
          <w:rFonts w:eastAsiaTheme="minorEastAsia"/>
        </w:rPr>
        <w:t>h taken by Moscarini and Postel</w:t>
      </w:r>
      <w:r w:rsidR="00C0556C">
        <w:rPr>
          <w:rFonts w:eastAsiaTheme="minorEastAsia"/>
        </w:rPr>
        <w:noBreakHyphen/>
      </w:r>
      <w:r>
        <w:rPr>
          <w:rFonts w:eastAsiaTheme="minorEastAsia"/>
        </w:rPr>
        <w:t>Vinay (2017).</w:t>
      </w:r>
      <w:r w:rsidR="00AC01E1">
        <w:rPr>
          <w:rFonts w:eastAsiaTheme="minorEastAsia"/>
        </w:rPr>
        <w:t xml:space="preserve"> </w:t>
      </w:r>
      <w:r>
        <w:rPr>
          <w:rFonts w:eastAsiaTheme="minorEastAsia"/>
        </w:rPr>
        <w:t xml:space="preserve">The </w:t>
      </w:r>
      <w:r w:rsidR="0065742C">
        <w:rPr>
          <w:rFonts w:eastAsiaTheme="minorEastAsia"/>
        </w:rPr>
        <w:t>rationale</w:t>
      </w:r>
      <w:r>
        <w:rPr>
          <w:rFonts w:eastAsiaTheme="minorEastAsia"/>
        </w:rPr>
        <w:t xml:space="preserve"> </w:t>
      </w:r>
      <w:r w:rsidR="0065742C">
        <w:rPr>
          <w:rFonts w:eastAsiaTheme="minorEastAsia"/>
        </w:rPr>
        <w:t>is that the determinants of wages</w:t>
      </w:r>
      <w:r w:rsidR="00C0556C">
        <w:rPr>
          <w:rFonts w:eastAsiaTheme="minorEastAsia"/>
        </w:rPr>
        <w:t xml:space="preserve"> growth are likely more forward</w:t>
      </w:r>
      <w:r w:rsidR="00C0556C">
        <w:rPr>
          <w:rFonts w:eastAsiaTheme="minorEastAsia"/>
        </w:rPr>
        <w:noBreakHyphen/>
      </w:r>
      <w:r w:rsidR="0065742C">
        <w:rPr>
          <w:rFonts w:eastAsiaTheme="minorEastAsia"/>
        </w:rPr>
        <w:t xml:space="preserve">looking and hence better able to respond to employment transition rates than </w:t>
      </w:r>
      <w:r>
        <w:rPr>
          <w:rFonts w:eastAsiaTheme="minorEastAsia"/>
        </w:rPr>
        <w:t>wage levels</w:t>
      </w:r>
      <w:r w:rsidR="0065742C">
        <w:rPr>
          <w:rFonts w:eastAsiaTheme="minorEastAsia"/>
        </w:rPr>
        <w:t xml:space="preserve">, which may be </w:t>
      </w:r>
      <w:r>
        <w:rPr>
          <w:rFonts w:eastAsiaTheme="minorEastAsia"/>
        </w:rPr>
        <w:t>sticky due to past commitments</w:t>
      </w:r>
      <w:r w:rsidR="0065742C">
        <w:rPr>
          <w:rFonts w:eastAsiaTheme="minorEastAsia"/>
        </w:rPr>
        <w:t>.</w:t>
      </w:r>
      <w:r w:rsidR="00AC01E1">
        <w:rPr>
          <w:rFonts w:eastAsiaTheme="minorEastAsia"/>
        </w:rPr>
        <w:t xml:space="preserve"> </w:t>
      </w:r>
      <w:r w:rsidR="00D22245">
        <w:rPr>
          <w:rFonts w:eastAsiaTheme="minorEastAsia"/>
        </w:rPr>
        <w:t xml:space="preserve">However, </w:t>
      </w:r>
      <w:r w:rsidR="0065742C">
        <w:rPr>
          <w:rFonts w:eastAsiaTheme="minorEastAsia"/>
        </w:rPr>
        <w:t xml:space="preserve">I replicate the regressions with </w:t>
      </w:r>
      <w:r w:rsidR="00D22245">
        <w:rPr>
          <w:rFonts w:eastAsiaTheme="minorEastAsia"/>
        </w:rPr>
        <w:t xml:space="preserve">the level of </w:t>
      </w:r>
      <w:r w:rsidR="00B472E0">
        <w:rPr>
          <w:rFonts w:eastAsiaTheme="minorEastAsia"/>
        </w:rPr>
        <w:t>log wage</w:t>
      </w:r>
      <w:r w:rsidR="0065742C">
        <w:rPr>
          <w:rFonts w:eastAsiaTheme="minorEastAsia"/>
        </w:rPr>
        <w:t>s as</w:t>
      </w:r>
      <w:r w:rsidR="00D22245">
        <w:rPr>
          <w:rFonts w:eastAsiaTheme="minorEastAsia"/>
        </w:rPr>
        <w:t xml:space="preserve"> the dependent variable to ensure this choice does not drive the conclusions</w:t>
      </w:r>
      <w:r w:rsidR="0065742C">
        <w:rPr>
          <w:rFonts w:eastAsiaTheme="minorEastAsia"/>
        </w:rPr>
        <w:t>.</w:t>
      </w:r>
      <w:r w:rsidR="00AC01E1">
        <w:rPr>
          <w:rFonts w:eastAsiaTheme="minorEastAsia"/>
        </w:rPr>
        <w:t xml:space="preserve"> </w:t>
      </w:r>
      <w:r w:rsidR="00D22245">
        <w:rPr>
          <w:rFonts w:eastAsiaTheme="minorEastAsia"/>
        </w:rPr>
        <w:t>Across all regressions, I weight by the number of individuals underlying the regional wages aggregate.</w:t>
      </w:r>
      <w:r w:rsidR="00AC01E1">
        <w:rPr>
          <w:rFonts w:eastAsiaTheme="minorEastAsia"/>
        </w:rPr>
        <w:t xml:space="preserve"> </w:t>
      </w:r>
    </w:p>
    <w:p w14:paraId="70815A71" w14:textId="4F795F21" w:rsidR="00E20B2F" w:rsidRDefault="0065742C" w:rsidP="00FD6D8B">
      <w:pPr>
        <w:jc w:val="both"/>
        <w:rPr>
          <w:rFonts w:eastAsiaTheme="minorEastAsia"/>
        </w:rPr>
      </w:pPr>
      <w:r>
        <w:rPr>
          <w:rFonts w:eastAsiaTheme="minorEastAsia"/>
        </w:rPr>
        <w:t>I consider a diverse set of control variables.</w:t>
      </w:r>
      <w:r w:rsidR="00AC01E1">
        <w:rPr>
          <w:rFonts w:eastAsiaTheme="minorEastAsia"/>
        </w:rPr>
        <w:t xml:space="preserve"> </w:t>
      </w:r>
      <w:r>
        <w:rPr>
          <w:rFonts w:eastAsiaTheme="minorEastAsia"/>
        </w:rPr>
        <w:t xml:space="preserve">This includes </w:t>
      </w:r>
      <w:r w:rsidR="00C820C5">
        <w:rPr>
          <w:rFonts w:eastAsiaTheme="minorEastAsia"/>
        </w:rPr>
        <w:t xml:space="preserve">financial year fixed effects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t</m:t>
            </m:r>
          </m:sub>
        </m:sSub>
      </m:oMath>
      <w:r w:rsidR="00B472E0">
        <w:rPr>
          <w:rFonts w:eastAsiaTheme="minorEastAsia"/>
        </w:rPr>
        <w:t xml:space="preserve"> to control for </w:t>
      </w:r>
      <w:r w:rsidR="00C820C5">
        <w:rPr>
          <w:rFonts w:eastAsiaTheme="minorEastAsia"/>
        </w:rPr>
        <w:t>national-level business cycle effects</w:t>
      </w:r>
      <w:r w:rsidR="00B472E0">
        <w:rPr>
          <w:rFonts w:eastAsiaTheme="minorEastAsia"/>
        </w:rPr>
        <w:t xml:space="preserve"> and regional fixed effects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j</m:t>
            </m:r>
          </m:sub>
        </m:sSub>
      </m:oMath>
      <w:r w:rsidR="00B472E0">
        <w:rPr>
          <w:rFonts w:eastAsiaTheme="minorEastAsia"/>
        </w:rPr>
        <w:t xml:space="preserve"> to control for persistent tendencies towards higher or lower wage growth in given regions.</w:t>
      </w:r>
      <w:r w:rsidR="00AC01E1">
        <w:rPr>
          <w:rFonts w:eastAsiaTheme="minorEastAsia"/>
        </w:rPr>
        <w:t xml:space="preserve"> </w:t>
      </w:r>
      <w:r w:rsidR="00537526">
        <w:rPr>
          <w:rFonts w:eastAsiaTheme="minorEastAsia"/>
        </w:rPr>
        <w:t xml:space="preserve">Note also that while the dependent variable is in nominal terms, the inclusion of year fixed effects will sweep out changes in the national price level, meaning the coefficients of interest can in this sense be interpreted as an effect on real wages growth.  </w:t>
      </w:r>
      <w:r w:rsidR="00B472E0">
        <w:rPr>
          <w:rFonts w:eastAsiaTheme="minorEastAsia"/>
        </w:rPr>
        <w:t xml:space="preserve">Finally, in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jt</m:t>
            </m:r>
          </m:sub>
        </m:sSub>
      </m:oMath>
      <w:r w:rsidR="00AC01E1">
        <w:rPr>
          <w:rFonts w:eastAsiaTheme="minorEastAsia"/>
        </w:rPr>
        <w:t xml:space="preserve"> </w:t>
      </w:r>
      <w:r w:rsidR="00C75B61">
        <w:rPr>
          <w:rFonts w:eastAsiaTheme="minorEastAsia"/>
        </w:rPr>
        <w:t>I include</w:t>
      </w:r>
      <w:r w:rsidR="00B472E0">
        <w:rPr>
          <w:rFonts w:eastAsiaTheme="minorEastAsia"/>
        </w:rPr>
        <w:t xml:space="preserve"> controls that are allowed to vary both across time and regions.</w:t>
      </w:r>
      <w:r w:rsidR="00AC01E1">
        <w:rPr>
          <w:rFonts w:eastAsiaTheme="minorEastAsia"/>
        </w:rPr>
        <w:t xml:space="preserve"> </w:t>
      </w:r>
      <w:r w:rsidR="00C75B61">
        <w:rPr>
          <w:rFonts w:eastAsiaTheme="minorEastAsia"/>
        </w:rPr>
        <w:t>I allow for</w:t>
      </w:r>
      <w:r w:rsidR="00BE1165">
        <w:rPr>
          <w:rFonts w:eastAsiaTheme="minorEastAsia"/>
        </w:rPr>
        <w:t xml:space="preserve"> linear trends within regions</w:t>
      </w:r>
      <w:r w:rsidR="008D25A2">
        <w:rPr>
          <w:rFonts w:eastAsiaTheme="minorEastAsia"/>
        </w:rPr>
        <w:t xml:space="preserve"> and</w:t>
      </w:r>
      <w:r w:rsidR="00C75B61">
        <w:rPr>
          <w:rFonts w:eastAsiaTheme="minorEastAsia"/>
        </w:rPr>
        <w:t>/or</w:t>
      </w:r>
      <w:r w:rsidR="008D25A2">
        <w:rPr>
          <w:rFonts w:eastAsiaTheme="minorEastAsia"/>
        </w:rPr>
        <w:t xml:space="preserve"> state interacted with year</w:t>
      </w:r>
      <w:r w:rsidR="00C75B61">
        <w:rPr>
          <w:rFonts w:eastAsiaTheme="minorEastAsia"/>
        </w:rPr>
        <w:t xml:space="preserve"> to control for more localised time trends. I also include</w:t>
      </w:r>
      <w:r w:rsidR="008D25A2">
        <w:rPr>
          <w:rFonts w:eastAsiaTheme="minorEastAsia"/>
        </w:rPr>
        <w:t xml:space="preserve"> </w:t>
      </w:r>
      <w:r w:rsidR="008D25A2">
        <w:t xml:space="preserve">the </w:t>
      </w:r>
      <w:r w:rsidR="00D06378">
        <w:t xml:space="preserve">regional </w:t>
      </w:r>
      <w:r w:rsidR="008D25A2">
        <w:t xml:space="preserve">unemployment rate, average duration of unemployment and </w:t>
      </w:r>
      <w:r w:rsidR="00C75B61">
        <w:t xml:space="preserve">proportion employed in each </w:t>
      </w:r>
      <w:r w:rsidR="008D25A2">
        <w:t xml:space="preserve">industry </w:t>
      </w:r>
      <w:r w:rsidR="008D25A2" w:rsidRPr="00CA5BFD">
        <w:t>according to the Australian Bureau of Statistics (ABS 2018b; ABS 2018c), as well as the average age and proportion female in the population underlying the outcome measures for the region.</w:t>
      </w:r>
      <w:r w:rsidR="008D25A2">
        <w:t xml:space="preserve"> </w:t>
      </w:r>
    </w:p>
    <w:p w14:paraId="24120C4F" w14:textId="77777777" w:rsidR="000B5D0E" w:rsidRDefault="000B5D0E" w:rsidP="000B5D0E">
      <w:pPr>
        <w:pStyle w:val="Heading2"/>
      </w:pPr>
      <w:r>
        <w:t>Results</w:t>
      </w:r>
    </w:p>
    <w:p w14:paraId="5FCBF941" w14:textId="4690531B" w:rsidR="00CB05C2" w:rsidRDefault="00C820C5" w:rsidP="00FD6D8B">
      <w:pPr>
        <w:jc w:val="both"/>
      </w:pPr>
      <w:r>
        <w:t xml:space="preserve">The results from </w:t>
      </w:r>
      <w:r w:rsidR="000A5FF0">
        <w:t xml:space="preserve">the regressions are in Table </w:t>
      </w:r>
      <w:r w:rsidR="00C32E80">
        <w:t>2</w:t>
      </w:r>
      <w:r w:rsidR="00F67BE3">
        <w:t>.</w:t>
      </w:r>
      <w:r w:rsidR="00AC01E1">
        <w:t xml:space="preserve"> </w:t>
      </w:r>
      <w:r w:rsidR="00F67BE3">
        <w:t>Panel A shows a strong and relatively robust association between the job-to-job transition rate in a local labour market and wages growth.</w:t>
      </w:r>
      <w:r w:rsidR="00AC01E1">
        <w:t xml:space="preserve"> </w:t>
      </w:r>
      <w:r w:rsidR="00F67BE3">
        <w:t>A 1 percentage point increase in the rate at which the employed switch jobs is associated with a 0.</w:t>
      </w:r>
      <w:r w:rsidR="0008773C">
        <w:t>4</w:t>
      </w:r>
      <w:r w:rsidR="00F67BE3">
        <w:t>-0.</w:t>
      </w:r>
      <w:r w:rsidR="0008773C">
        <w:t>5</w:t>
      </w:r>
      <w:r w:rsidR="00D375AA">
        <w:t xml:space="preserve"> per</w:t>
      </w:r>
      <w:r w:rsidR="00F67BE3">
        <w:t>cent</w:t>
      </w:r>
      <w:r w:rsidR="00D375AA">
        <w:t>age point</w:t>
      </w:r>
      <w:r w:rsidR="00F67BE3">
        <w:t xml:space="preserve"> increase in wages</w:t>
      </w:r>
      <w:r w:rsidR="00D375AA">
        <w:t xml:space="preserve"> growth</w:t>
      </w:r>
      <w:r w:rsidR="00F67BE3">
        <w:t>.</w:t>
      </w:r>
      <w:r w:rsidR="00AC01E1">
        <w:t xml:space="preserve"> </w:t>
      </w:r>
      <w:r w:rsidR="00F67BE3">
        <w:t>The same increase in the rate at which the unemployed find jo</w:t>
      </w:r>
      <w:r w:rsidR="00D375AA">
        <w:t>bs is associated with a 0.1 per</w:t>
      </w:r>
      <w:r w:rsidR="00F67BE3">
        <w:t>cent</w:t>
      </w:r>
      <w:r w:rsidR="00D375AA">
        <w:t>age point</w:t>
      </w:r>
      <w:r w:rsidR="00F67BE3">
        <w:t xml:space="preserve"> increase in wages</w:t>
      </w:r>
      <w:r w:rsidR="00D375AA">
        <w:t xml:space="preserve"> growth</w:t>
      </w:r>
      <w:r w:rsidR="00F67BE3">
        <w:t>.</w:t>
      </w:r>
      <w:r w:rsidR="00BE1165">
        <w:rPr>
          <w:rStyle w:val="FootnoteReference"/>
        </w:rPr>
        <w:footnoteReference w:id="12"/>
      </w:r>
      <w:r w:rsidR="00CB05C2">
        <w:t xml:space="preserve"> </w:t>
      </w:r>
      <w:r w:rsidR="001927F6">
        <w:t>These coefficients remain of similar size and highly statistically significant as controls are added.</w:t>
      </w:r>
      <w:r w:rsidR="00AC01E1">
        <w:t xml:space="preserve"> </w:t>
      </w:r>
      <w:r w:rsidR="001927F6">
        <w:t>This includes allowing linear trends within local labour markets (2) or state</w:t>
      </w:r>
      <w:r w:rsidR="0079619D">
        <w:t>-year fixed effects</w:t>
      </w:r>
      <w:r w:rsidR="001927F6">
        <w:t xml:space="preserve"> (3) to account for potentially different experiences of business cycles</w:t>
      </w:r>
      <w:r w:rsidR="0079619D">
        <w:t xml:space="preserve"> within states</w:t>
      </w:r>
      <w:r w:rsidR="004046D3">
        <w:t>, or both (4).</w:t>
      </w:r>
      <w:r w:rsidR="00AC01E1">
        <w:t xml:space="preserve"> </w:t>
      </w:r>
      <w:r w:rsidR="004046D3">
        <w:t>Finally in column (5</w:t>
      </w:r>
      <w:r w:rsidR="001927F6">
        <w:t xml:space="preserve">) I </w:t>
      </w:r>
      <w:r w:rsidR="008D25A2">
        <w:t>include the full set of control variables covering local business cycles, industry composition and demographics.</w:t>
      </w:r>
      <w:r w:rsidR="00CB05C2">
        <w:t xml:space="preserve"> </w:t>
      </w:r>
    </w:p>
    <w:p w14:paraId="3C23A1B4" w14:textId="300A1FEB" w:rsidR="001927F6" w:rsidRDefault="00CB05C2" w:rsidP="00FD6D8B">
      <w:pPr>
        <w:jc w:val="both"/>
      </w:pPr>
      <w:r>
        <w:t>The association between job-to-job transitions and wages growth in on-the-job search models arise</w:t>
      </w:r>
      <w:r w:rsidR="001F4217">
        <w:t>s</w:t>
      </w:r>
      <w:r>
        <w:t xml:space="preserve"> from two channels. First, a composition effect – more transitions imply higher wages growth given workers who switch typically </w:t>
      </w:r>
      <w:r w:rsidR="0079118E">
        <w:t>experience</w:t>
      </w:r>
      <w:r>
        <w:t xml:space="preserve"> higher wages</w:t>
      </w:r>
      <w:r w:rsidR="0079118E">
        <w:t xml:space="preserve"> growth when they do</w:t>
      </w:r>
      <w:r>
        <w:t xml:space="preserve"> (Figure 2)</w:t>
      </w:r>
      <w:r w:rsidR="0079118E">
        <w:t>.</w:t>
      </w:r>
      <w:r>
        <w:t xml:space="preserve"> </w:t>
      </w:r>
      <w:r w:rsidR="0079118E">
        <w:t>Second, a strategic effect, whereby employers offer higher wages in order to retain staff in the face of more intense competition for employed workers. To examine this further I split the full sample into those who switch versus those who stay with their employer</w:t>
      </w:r>
      <w:r w:rsidR="00734665">
        <w:t xml:space="preserve"> to abstract from compositional effects</w:t>
      </w:r>
      <w:r w:rsidR="0079118E">
        <w:t xml:space="preserve">.     </w:t>
      </w:r>
    </w:p>
    <w:p w14:paraId="7711476C" w14:textId="4CE6893D" w:rsidR="00714C9B" w:rsidRDefault="001927F6" w:rsidP="00FD6D8B">
      <w:pPr>
        <w:jc w:val="both"/>
      </w:pPr>
      <w:r>
        <w:t>The association between the job-to-job transition rate and wages growth is even stronger when we focus on the outcomes of the job-switchers themselves (Panel B).</w:t>
      </w:r>
      <w:r w:rsidR="00AC01E1">
        <w:t xml:space="preserve"> </w:t>
      </w:r>
      <w:r>
        <w:t xml:space="preserve">A 1 percentage point increase in the rate at which the employed switch jobs is associated with around a 1-2 percentage point increase in wages growth. This is </w:t>
      </w:r>
      <w:r w:rsidR="00734665">
        <w:t>consistent with employers needing to offer higher wages growth in more fluid labour markets, but causation could also run the other way</w:t>
      </w:r>
      <w:r>
        <w:t>.</w:t>
      </w:r>
      <w:r w:rsidR="00AC01E1">
        <w:t xml:space="preserve"> </w:t>
      </w:r>
      <w:r>
        <w:t xml:space="preserve">For example, it may be that local labour </w:t>
      </w:r>
      <w:r>
        <w:lastRenderedPageBreak/>
        <w:t>markets with higher</w:t>
      </w:r>
      <w:r w:rsidR="00AB5DF4">
        <w:t xml:space="preserve"> </w:t>
      </w:r>
      <w:r>
        <w:t>wages growth</w:t>
      </w:r>
      <w:r w:rsidR="00734665">
        <w:t xml:space="preserve"> on switching</w:t>
      </w:r>
      <w:r w:rsidR="00715D0D">
        <w:t>, due to the nature of employment creation,</w:t>
      </w:r>
      <w:r>
        <w:t xml:space="preserve"> induce more job switching.</w:t>
      </w:r>
      <w:r w:rsidR="00AC01E1">
        <w:t xml:space="preserve"> </w:t>
      </w:r>
    </w:p>
    <w:p w14:paraId="0AF04E3D" w14:textId="577FD4A7" w:rsidR="00275A2F" w:rsidRDefault="001927F6" w:rsidP="009E6FA4">
      <w:r>
        <w:t>The strongest evidence for a causal link between the job-to-job transition rate and wages growth is the strong and robust association for those staying in their jobs (Panel C).</w:t>
      </w:r>
      <w:r w:rsidR="00AC01E1">
        <w:t xml:space="preserve"> </w:t>
      </w:r>
      <w:r>
        <w:t>Even for those staying in their jobs, higher switching rates are associated with strong wages growth.</w:t>
      </w:r>
      <w:r w:rsidR="00714C9B">
        <w:t xml:space="preserve"> This is consistent with </w:t>
      </w:r>
      <w:r w:rsidR="00715D0D">
        <w:t>workers being better placed to bargain for increases in wages, hours or promotions when they have more outside options, namely other employers who want to hire them.</w:t>
      </w:r>
    </w:p>
    <w:p w14:paraId="5E0DE0C2" w14:textId="20E1656C" w:rsidR="009E6FA4" w:rsidRDefault="009E6FA4" w:rsidP="00E91637">
      <w:pPr>
        <w:pStyle w:val="TableMainHeading"/>
        <w:jc w:val="center"/>
      </w:pPr>
      <w:r w:rsidRPr="00E91637">
        <w:rPr>
          <w:rStyle w:val="Caption1Char"/>
          <w:rFonts w:eastAsiaTheme="minorHAnsi"/>
        </w:rPr>
        <w:t>Table 2 – Power of employment transitions in predicting wages growth</w:t>
      </w:r>
      <w:r w:rsidR="0047267F">
        <w:rPr>
          <w:noProof/>
        </w:rPr>
        <mc:AlternateContent>
          <mc:Choice Requires="wps">
            <w:drawing>
              <wp:inline distT="0" distB="0" distL="0" distR="0" wp14:anchorId="01FCB0B6" wp14:editId="7890A9B8">
                <wp:extent cx="5904230" cy="3895725"/>
                <wp:effectExtent l="0" t="0" r="1270" b="0"/>
                <wp:docPr id="1" name="Text Box 1"/>
                <wp:cNvGraphicFramePr/>
                <a:graphic xmlns:a="http://schemas.openxmlformats.org/drawingml/2006/main">
                  <a:graphicData uri="http://schemas.microsoft.com/office/word/2010/wordprocessingShape">
                    <wps:wsp>
                      <wps:cNvSpPr txBox="1"/>
                      <wps:spPr>
                        <a:xfrm>
                          <a:off x="0" y="0"/>
                          <a:ext cx="5904230" cy="3895725"/>
                        </a:xfrm>
                        <a:prstGeom prst="rect">
                          <a:avLst/>
                        </a:prstGeom>
                        <a:noFill/>
                        <a:ln w="6350">
                          <a:noFill/>
                        </a:ln>
                        <a:effectLst/>
                      </wps:spPr>
                      <wps:txbx>
                        <w:txbxContent>
                          <w:tbl>
                            <w:tblPr>
                              <w:tblW w:w="9124" w:type="dxa"/>
                              <w:jc w:val="center"/>
                              <w:tblLayout w:type="fixed"/>
                              <w:tblLook w:val="04A0" w:firstRow="1" w:lastRow="0" w:firstColumn="1" w:lastColumn="0" w:noHBand="0" w:noVBand="1"/>
                            </w:tblPr>
                            <w:tblGrid>
                              <w:gridCol w:w="3440"/>
                              <w:gridCol w:w="1136"/>
                              <w:gridCol w:w="1137"/>
                              <w:gridCol w:w="1137"/>
                              <w:gridCol w:w="1137"/>
                              <w:gridCol w:w="1137"/>
                            </w:tblGrid>
                            <w:tr w:rsidR="00DF77C5" w:rsidRPr="00531406" w14:paraId="4B52145A" w14:textId="77777777" w:rsidTr="00E91637">
                              <w:trPr>
                                <w:trHeight w:val="270"/>
                                <w:jc w:val="center"/>
                              </w:trPr>
                              <w:tc>
                                <w:tcPr>
                                  <w:tcW w:w="3440" w:type="dxa"/>
                                  <w:tcBorders>
                                    <w:top w:val="double" w:sz="6" w:space="0" w:color="auto"/>
                                    <w:left w:val="nil"/>
                                    <w:bottom w:val="nil"/>
                                    <w:right w:val="nil"/>
                                  </w:tcBorders>
                                  <w:shd w:val="clear" w:color="auto" w:fill="auto"/>
                                  <w:noWrap/>
                                  <w:vAlign w:val="bottom"/>
                                  <w:hideMark/>
                                </w:tcPr>
                                <w:p w14:paraId="50EE2D03" w14:textId="77777777" w:rsidR="00DF77C5" w:rsidRPr="00531406" w:rsidRDefault="00DF77C5" w:rsidP="00531406">
                                  <w:pPr>
                                    <w:spacing w:after="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6" w:type="dxa"/>
                                  <w:tcBorders>
                                    <w:top w:val="double" w:sz="6" w:space="0" w:color="auto"/>
                                    <w:left w:val="nil"/>
                                    <w:bottom w:val="nil"/>
                                    <w:right w:val="nil"/>
                                  </w:tcBorders>
                                  <w:shd w:val="clear" w:color="auto" w:fill="auto"/>
                                  <w:noWrap/>
                                  <w:vAlign w:val="bottom"/>
                                  <w:hideMark/>
                                </w:tcPr>
                                <w:p w14:paraId="5C41AAB9"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(1)</w:t>
                                  </w:r>
                                </w:p>
                              </w:tc>
                              <w:tc>
                                <w:tcPr>
                                  <w:tcW w:w="1137" w:type="dxa"/>
                                  <w:tcBorders>
                                    <w:top w:val="double" w:sz="6" w:space="0" w:color="auto"/>
                                    <w:left w:val="nil"/>
                                    <w:bottom w:val="nil"/>
                                    <w:right w:val="nil"/>
                                  </w:tcBorders>
                                  <w:shd w:val="clear" w:color="auto" w:fill="auto"/>
                                  <w:noWrap/>
                                  <w:vAlign w:val="bottom"/>
                                  <w:hideMark/>
                                </w:tcPr>
                                <w:p w14:paraId="5E3F64DB"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(2)</w:t>
                                  </w:r>
                                </w:p>
                              </w:tc>
                              <w:tc>
                                <w:tcPr>
                                  <w:tcW w:w="1137" w:type="dxa"/>
                                  <w:tcBorders>
                                    <w:top w:val="double" w:sz="6" w:space="0" w:color="auto"/>
                                    <w:left w:val="nil"/>
                                    <w:bottom w:val="nil"/>
                                    <w:right w:val="nil"/>
                                  </w:tcBorders>
                                  <w:shd w:val="clear" w:color="auto" w:fill="auto"/>
                                  <w:noWrap/>
                                  <w:vAlign w:val="bottom"/>
                                  <w:hideMark/>
                                </w:tcPr>
                                <w:p w14:paraId="410D03BE"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(3)</w:t>
                                  </w:r>
                                </w:p>
                              </w:tc>
                              <w:tc>
                                <w:tcPr>
                                  <w:tcW w:w="1137" w:type="dxa"/>
                                  <w:tcBorders>
                                    <w:top w:val="double" w:sz="6" w:space="0" w:color="auto"/>
                                    <w:left w:val="nil"/>
                                    <w:bottom w:val="nil"/>
                                    <w:right w:val="nil"/>
                                  </w:tcBorders>
                                  <w:shd w:val="clear" w:color="auto" w:fill="auto"/>
                                  <w:noWrap/>
                                  <w:vAlign w:val="bottom"/>
                                  <w:hideMark/>
                                </w:tcPr>
                                <w:p w14:paraId="2B55763A"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(4)</w:t>
                                  </w:r>
                                </w:p>
                              </w:tc>
                              <w:tc>
                                <w:tcPr>
                                  <w:tcW w:w="1137" w:type="dxa"/>
                                  <w:tcBorders>
                                    <w:top w:val="double" w:sz="6" w:space="0" w:color="auto"/>
                                    <w:left w:val="nil"/>
                                    <w:bottom w:val="nil"/>
                                    <w:right w:val="nil"/>
                                  </w:tcBorders>
                                  <w:shd w:val="clear" w:color="auto" w:fill="auto"/>
                                  <w:noWrap/>
                                  <w:vAlign w:val="bottom"/>
                                  <w:hideMark/>
                                </w:tcPr>
                                <w:p w14:paraId="08A55F9F"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(5)</w:t>
                                  </w:r>
                                </w:p>
                              </w:tc>
                            </w:tr>
                            <w:tr w:rsidR="00DF77C5" w:rsidRPr="00531406" w14:paraId="2E24DBF6" w14:textId="77777777" w:rsidTr="00E91637">
                              <w:trPr>
                                <w:trHeight w:val="255"/>
                                <w:jc w:val="center"/>
                              </w:trPr>
                              <w:tc>
                                <w:tcPr>
                                  <w:tcW w:w="3440" w:type="dxa"/>
                                  <w:tcBorders>
                                    <w:top w:val="single" w:sz="4" w:space="0" w:color="auto"/>
                                    <w:left w:val="nil"/>
                                    <w:bottom w:val="nil"/>
                                    <w:right w:val="nil"/>
                                  </w:tcBorders>
                                  <w:shd w:val="clear" w:color="auto" w:fill="auto"/>
                                  <w:noWrap/>
                                  <w:vAlign w:val="bottom"/>
                                  <w:hideMark/>
                                </w:tcPr>
                                <w:p w14:paraId="26E3A660" w14:textId="77777777" w:rsidR="00DF77C5" w:rsidRPr="00531406" w:rsidRDefault="00DF77C5" w:rsidP="00531406">
                                  <w:pPr>
                                    <w:spacing w:after="0"/>
                                    <w:rPr>
                                      <w:rFonts w:ascii="Arial" w:eastAsia="Times New Roman" w:hAnsi="Arial" w:cs="Arial"/>
                                      <w:i/>
                                      <w:iCs/>
                                      <w:color w:val="000000"/>
                                      <w:sz w:val="20"/>
                                      <w:szCs w:val="20"/>
                                      <w:lang w:eastAsia="en-AU"/>
                                    </w:rPr>
                                  </w:pPr>
                                  <w:r w:rsidRPr="00531406">
                                    <w:rPr>
                                      <w:rFonts w:ascii="Arial" w:eastAsia="Times New Roman" w:hAnsi="Arial" w:cs="Arial"/>
                                      <w:i/>
                                      <w:iCs/>
                                      <w:color w:val="000000"/>
                                      <w:sz w:val="20"/>
                                      <w:szCs w:val="20"/>
                                      <w:lang w:eastAsia="en-AU"/>
                                    </w:rPr>
                                    <w:t>Panel A:  All wage earners</w:t>
                                  </w:r>
                                </w:p>
                              </w:tc>
                              <w:tc>
                                <w:tcPr>
                                  <w:tcW w:w="1136" w:type="dxa"/>
                                  <w:tcBorders>
                                    <w:top w:val="single" w:sz="4" w:space="0" w:color="auto"/>
                                    <w:left w:val="nil"/>
                                    <w:bottom w:val="nil"/>
                                    <w:right w:val="nil"/>
                                  </w:tcBorders>
                                  <w:shd w:val="clear" w:color="auto" w:fill="auto"/>
                                  <w:noWrap/>
                                  <w:vAlign w:val="bottom"/>
                                  <w:hideMark/>
                                </w:tcPr>
                                <w:p w14:paraId="06727703"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single" w:sz="4" w:space="0" w:color="auto"/>
                                    <w:left w:val="nil"/>
                                    <w:bottom w:val="nil"/>
                                    <w:right w:val="nil"/>
                                  </w:tcBorders>
                                  <w:shd w:val="clear" w:color="auto" w:fill="auto"/>
                                  <w:noWrap/>
                                  <w:vAlign w:val="bottom"/>
                                  <w:hideMark/>
                                </w:tcPr>
                                <w:p w14:paraId="704C622A"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single" w:sz="4" w:space="0" w:color="auto"/>
                                    <w:left w:val="nil"/>
                                    <w:bottom w:val="nil"/>
                                    <w:right w:val="nil"/>
                                  </w:tcBorders>
                                  <w:shd w:val="clear" w:color="auto" w:fill="auto"/>
                                  <w:noWrap/>
                                  <w:vAlign w:val="bottom"/>
                                  <w:hideMark/>
                                </w:tcPr>
                                <w:p w14:paraId="3D5EC850"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single" w:sz="4" w:space="0" w:color="auto"/>
                                    <w:left w:val="nil"/>
                                    <w:bottom w:val="nil"/>
                                    <w:right w:val="nil"/>
                                  </w:tcBorders>
                                  <w:shd w:val="clear" w:color="auto" w:fill="auto"/>
                                  <w:noWrap/>
                                  <w:vAlign w:val="bottom"/>
                                  <w:hideMark/>
                                </w:tcPr>
                                <w:p w14:paraId="783783FE"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single" w:sz="4" w:space="0" w:color="auto"/>
                                    <w:left w:val="nil"/>
                                    <w:bottom w:val="nil"/>
                                    <w:right w:val="nil"/>
                                  </w:tcBorders>
                                  <w:shd w:val="clear" w:color="auto" w:fill="auto"/>
                                  <w:noWrap/>
                                  <w:vAlign w:val="bottom"/>
                                  <w:hideMark/>
                                </w:tcPr>
                                <w:p w14:paraId="04CFACCD"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r>
                            <w:tr w:rsidR="00DF77C5" w:rsidRPr="00531406" w14:paraId="013F1DA6"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57173BA4"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EE (job-to-job) rate</w:t>
                                  </w:r>
                                </w:p>
                              </w:tc>
                              <w:tc>
                                <w:tcPr>
                                  <w:tcW w:w="1136" w:type="dxa"/>
                                  <w:tcBorders>
                                    <w:top w:val="nil"/>
                                    <w:left w:val="nil"/>
                                    <w:bottom w:val="nil"/>
                                    <w:right w:val="nil"/>
                                  </w:tcBorders>
                                  <w:shd w:val="clear" w:color="auto" w:fill="auto"/>
                                  <w:noWrap/>
                                  <w:vAlign w:val="bottom"/>
                                  <w:hideMark/>
                                </w:tcPr>
                                <w:p w14:paraId="3157E329"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0.45***</w:t>
                                  </w:r>
                                </w:p>
                              </w:tc>
                              <w:tc>
                                <w:tcPr>
                                  <w:tcW w:w="1137" w:type="dxa"/>
                                  <w:tcBorders>
                                    <w:top w:val="nil"/>
                                    <w:left w:val="nil"/>
                                    <w:bottom w:val="nil"/>
                                    <w:right w:val="nil"/>
                                  </w:tcBorders>
                                  <w:shd w:val="clear" w:color="auto" w:fill="auto"/>
                                  <w:noWrap/>
                                  <w:vAlign w:val="bottom"/>
                                  <w:hideMark/>
                                </w:tcPr>
                                <w:p w14:paraId="13B27AE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0.40***</w:t>
                                  </w:r>
                                </w:p>
                              </w:tc>
                              <w:tc>
                                <w:tcPr>
                                  <w:tcW w:w="1137" w:type="dxa"/>
                                  <w:tcBorders>
                                    <w:top w:val="nil"/>
                                    <w:left w:val="nil"/>
                                    <w:bottom w:val="nil"/>
                                    <w:right w:val="nil"/>
                                  </w:tcBorders>
                                  <w:shd w:val="clear" w:color="auto" w:fill="auto"/>
                                  <w:noWrap/>
                                  <w:vAlign w:val="bottom"/>
                                  <w:hideMark/>
                                </w:tcPr>
                                <w:p w14:paraId="4121D60C"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0.51***</w:t>
                                  </w:r>
                                </w:p>
                              </w:tc>
                              <w:tc>
                                <w:tcPr>
                                  <w:tcW w:w="1137" w:type="dxa"/>
                                  <w:tcBorders>
                                    <w:top w:val="nil"/>
                                    <w:left w:val="nil"/>
                                    <w:bottom w:val="nil"/>
                                    <w:right w:val="nil"/>
                                  </w:tcBorders>
                                  <w:shd w:val="clear" w:color="auto" w:fill="auto"/>
                                  <w:noWrap/>
                                  <w:vAlign w:val="bottom"/>
                                  <w:hideMark/>
                                </w:tcPr>
                                <w:p w14:paraId="4A1D53F0"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0.55***</w:t>
                                  </w:r>
                                </w:p>
                              </w:tc>
                              <w:tc>
                                <w:tcPr>
                                  <w:tcW w:w="1137" w:type="dxa"/>
                                  <w:tcBorders>
                                    <w:top w:val="nil"/>
                                    <w:left w:val="nil"/>
                                    <w:bottom w:val="nil"/>
                                    <w:right w:val="nil"/>
                                  </w:tcBorders>
                                  <w:shd w:val="clear" w:color="auto" w:fill="auto"/>
                                  <w:noWrap/>
                                  <w:vAlign w:val="bottom"/>
                                  <w:hideMark/>
                                </w:tcPr>
                                <w:p w14:paraId="622A0643"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0.55***</w:t>
                                  </w:r>
                                </w:p>
                              </w:tc>
                            </w:tr>
                            <w:tr w:rsidR="00DF77C5" w:rsidRPr="00531406" w14:paraId="38D8C53D"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6D610C98" w14:textId="77777777" w:rsidR="00DF77C5" w:rsidRPr="00531406" w:rsidRDefault="00DF77C5" w:rsidP="00531406">
                                  <w:pPr>
                                    <w:spacing w:after="0"/>
                                    <w:jc w:val="center"/>
                                    <w:rPr>
                                      <w:rFonts w:ascii="Arial" w:eastAsia="Times New Roman" w:hAnsi="Arial" w:cs="Arial"/>
                                      <w:color w:val="000000"/>
                                      <w:sz w:val="20"/>
                                      <w:szCs w:val="20"/>
                                      <w:lang w:eastAsia="en-AU"/>
                                    </w:rPr>
                                  </w:pPr>
                                </w:p>
                              </w:tc>
                              <w:tc>
                                <w:tcPr>
                                  <w:tcW w:w="1136" w:type="dxa"/>
                                  <w:tcBorders>
                                    <w:top w:val="nil"/>
                                    <w:left w:val="nil"/>
                                    <w:bottom w:val="nil"/>
                                    <w:right w:val="nil"/>
                                  </w:tcBorders>
                                  <w:shd w:val="clear" w:color="auto" w:fill="auto"/>
                                  <w:noWrap/>
                                  <w:vAlign w:val="bottom"/>
                                  <w:hideMark/>
                                </w:tcPr>
                                <w:p w14:paraId="3F2D1244"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(0.05)</w:t>
                                  </w:r>
                                </w:p>
                              </w:tc>
                              <w:tc>
                                <w:tcPr>
                                  <w:tcW w:w="1137" w:type="dxa"/>
                                  <w:tcBorders>
                                    <w:top w:val="nil"/>
                                    <w:left w:val="nil"/>
                                    <w:bottom w:val="nil"/>
                                    <w:right w:val="nil"/>
                                  </w:tcBorders>
                                  <w:shd w:val="clear" w:color="auto" w:fill="auto"/>
                                  <w:noWrap/>
                                  <w:vAlign w:val="bottom"/>
                                  <w:hideMark/>
                                </w:tcPr>
                                <w:p w14:paraId="3F228110"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(0.05)</w:t>
                                  </w:r>
                                </w:p>
                              </w:tc>
                              <w:tc>
                                <w:tcPr>
                                  <w:tcW w:w="1137" w:type="dxa"/>
                                  <w:tcBorders>
                                    <w:top w:val="nil"/>
                                    <w:left w:val="nil"/>
                                    <w:bottom w:val="nil"/>
                                    <w:right w:val="nil"/>
                                  </w:tcBorders>
                                  <w:shd w:val="clear" w:color="auto" w:fill="auto"/>
                                  <w:noWrap/>
                                  <w:vAlign w:val="bottom"/>
                                  <w:hideMark/>
                                </w:tcPr>
                                <w:p w14:paraId="29BE0BCB"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(0.07)</w:t>
                                  </w:r>
                                </w:p>
                              </w:tc>
                              <w:tc>
                                <w:tcPr>
                                  <w:tcW w:w="1137" w:type="dxa"/>
                                  <w:tcBorders>
                                    <w:top w:val="nil"/>
                                    <w:left w:val="nil"/>
                                    <w:bottom w:val="nil"/>
                                    <w:right w:val="nil"/>
                                  </w:tcBorders>
                                  <w:shd w:val="clear" w:color="auto" w:fill="auto"/>
                                  <w:noWrap/>
                                  <w:vAlign w:val="bottom"/>
                                  <w:hideMark/>
                                </w:tcPr>
                                <w:p w14:paraId="7AD7416F"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(0.08)</w:t>
                                  </w:r>
                                </w:p>
                              </w:tc>
                              <w:tc>
                                <w:tcPr>
                                  <w:tcW w:w="1137" w:type="dxa"/>
                                  <w:tcBorders>
                                    <w:top w:val="nil"/>
                                    <w:left w:val="nil"/>
                                    <w:bottom w:val="nil"/>
                                    <w:right w:val="nil"/>
                                  </w:tcBorders>
                                  <w:shd w:val="clear" w:color="auto" w:fill="auto"/>
                                  <w:noWrap/>
                                  <w:vAlign w:val="bottom"/>
                                  <w:hideMark/>
                                </w:tcPr>
                                <w:p w14:paraId="2EF64599"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(0.09)</w:t>
                                  </w:r>
                                </w:p>
                              </w:tc>
                            </w:tr>
                            <w:tr w:rsidR="00DF77C5" w:rsidRPr="00531406" w14:paraId="699EB87A"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6F139A03"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UE (unemployment-to-job rate)</w:t>
                                  </w:r>
                                </w:p>
                              </w:tc>
                              <w:tc>
                                <w:tcPr>
                                  <w:tcW w:w="1136" w:type="dxa"/>
                                  <w:tcBorders>
                                    <w:top w:val="nil"/>
                                    <w:left w:val="nil"/>
                                    <w:bottom w:val="nil"/>
                                    <w:right w:val="nil"/>
                                  </w:tcBorders>
                                  <w:shd w:val="clear" w:color="auto" w:fill="auto"/>
                                  <w:noWrap/>
                                  <w:vAlign w:val="bottom"/>
                                  <w:hideMark/>
                                </w:tcPr>
                                <w:p w14:paraId="5E0851A9"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0.15***</w:t>
                                  </w:r>
                                </w:p>
                              </w:tc>
                              <w:tc>
                                <w:tcPr>
                                  <w:tcW w:w="1137" w:type="dxa"/>
                                  <w:tcBorders>
                                    <w:top w:val="nil"/>
                                    <w:left w:val="nil"/>
                                    <w:bottom w:val="nil"/>
                                    <w:right w:val="nil"/>
                                  </w:tcBorders>
                                  <w:shd w:val="clear" w:color="auto" w:fill="auto"/>
                                  <w:noWrap/>
                                  <w:vAlign w:val="bottom"/>
                                  <w:hideMark/>
                                </w:tcPr>
                                <w:p w14:paraId="0031A1E1"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0.12***</w:t>
                                  </w:r>
                                </w:p>
                              </w:tc>
                              <w:tc>
                                <w:tcPr>
                                  <w:tcW w:w="1137" w:type="dxa"/>
                                  <w:tcBorders>
                                    <w:top w:val="nil"/>
                                    <w:left w:val="nil"/>
                                    <w:bottom w:val="nil"/>
                                    <w:right w:val="nil"/>
                                  </w:tcBorders>
                                  <w:shd w:val="clear" w:color="auto" w:fill="auto"/>
                                  <w:noWrap/>
                                  <w:vAlign w:val="bottom"/>
                                  <w:hideMark/>
                                </w:tcPr>
                                <w:p w14:paraId="0B1BF44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0.08***</w:t>
                                  </w:r>
                                </w:p>
                              </w:tc>
                              <w:tc>
                                <w:tcPr>
                                  <w:tcW w:w="1137" w:type="dxa"/>
                                  <w:tcBorders>
                                    <w:top w:val="nil"/>
                                    <w:left w:val="nil"/>
                                    <w:bottom w:val="nil"/>
                                    <w:right w:val="nil"/>
                                  </w:tcBorders>
                                  <w:shd w:val="clear" w:color="auto" w:fill="auto"/>
                                  <w:noWrap/>
                                  <w:vAlign w:val="bottom"/>
                                  <w:hideMark/>
                                </w:tcPr>
                                <w:p w14:paraId="4A7722D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0.10***</w:t>
                                  </w:r>
                                </w:p>
                              </w:tc>
                              <w:tc>
                                <w:tcPr>
                                  <w:tcW w:w="1137" w:type="dxa"/>
                                  <w:tcBorders>
                                    <w:top w:val="nil"/>
                                    <w:left w:val="nil"/>
                                    <w:bottom w:val="nil"/>
                                    <w:right w:val="nil"/>
                                  </w:tcBorders>
                                  <w:shd w:val="clear" w:color="auto" w:fill="auto"/>
                                  <w:noWrap/>
                                  <w:vAlign w:val="bottom"/>
                                  <w:hideMark/>
                                </w:tcPr>
                                <w:p w14:paraId="578021D4"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0.10***</w:t>
                                  </w:r>
                                </w:p>
                              </w:tc>
                            </w:tr>
                            <w:tr w:rsidR="00DF77C5" w:rsidRPr="00531406" w14:paraId="6CCEACAD"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091800D5" w14:textId="77777777" w:rsidR="00DF77C5" w:rsidRPr="00531406" w:rsidRDefault="00DF77C5" w:rsidP="00531406">
                                  <w:pPr>
                                    <w:spacing w:after="0"/>
                                    <w:jc w:val="center"/>
                                    <w:rPr>
                                      <w:rFonts w:ascii="Arial" w:eastAsia="Times New Roman" w:hAnsi="Arial" w:cs="Arial"/>
                                      <w:color w:val="000000"/>
                                      <w:sz w:val="20"/>
                                      <w:szCs w:val="20"/>
                                      <w:lang w:eastAsia="en-AU"/>
                                    </w:rPr>
                                  </w:pPr>
                                </w:p>
                              </w:tc>
                              <w:tc>
                                <w:tcPr>
                                  <w:tcW w:w="1136" w:type="dxa"/>
                                  <w:tcBorders>
                                    <w:top w:val="nil"/>
                                    <w:left w:val="nil"/>
                                    <w:bottom w:val="nil"/>
                                    <w:right w:val="nil"/>
                                  </w:tcBorders>
                                  <w:shd w:val="clear" w:color="auto" w:fill="auto"/>
                                  <w:noWrap/>
                                  <w:vAlign w:val="bottom"/>
                                  <w:hideMark/>
                                </w:tcPr>
                                <w:p w14:paraId="78E49D0E"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(0.02)</w:t>
                                  </w:r>
                                </w:p>
                              </w:tc>
                              <w:tc>
                                <w:tcPr>
                                  <w:tcW w:w="1137" w:type="dxa"/>
                                  <w:tcBorders>
                                    <w:top w:val="nil"/>
                                    <w:left w:val="nil"/>
                                    <w:bottom w:val="nil"/>
                                    <w:right w:val="nil"/>
                                  </w:tcBorders>
                                  <w:shd w:val="clear" w:color="auto" w:fill="auto"/>
                                  <w:noWrap/>
                                  <w:vAlign w:val="bottom"/>
                                  <w:hideMark/>
                                </w:tcPr>
                                <w:p w14:paraId="756A0C5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(0.03)</w:t>
                                  </w:r>
                                </w:p>
                              </w:tc>
                              <w:tc>
                                <w:tcPr>
                                  <w:tcW w:w="1137" w:type="dxa"/>
                                  <w:tcBorders>
                                    <w:top w:val="nil"/>
                                    <w:left w:val="nil"/>
                                    <w:bottom w:val="nil"/>
                                    <w:right w:val="nil"/>
                                  </w:tcBorders>
                                  <w:shd w:val="clear" w:color="auto" w:fill="auto"/>
                                  <w:noWrap/>
                                  <w:vAlign w:val="bottom"/>
                                  <w:hideMark/>
                                </w:tcPr>
                                <w:p w14:paraId="0068089A"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(0.03)</w:t>
                                  </w:r>
                                </w:p>
                              </w:tc>
                              <w:tc>
                                <w:tcPr>
                                  <w:tcW w:w="1137" w:type="dxa"/>
                                  <w:tcBorders>
                                    <w:top w:val="nil"/>
                                    <w:left w:val="nil"/>
                                    <w:bottom w:val="nil"/>
                                    <w:right w:val="nil"/>
                                  </w:tcBorders>
                                  <w:shd w:val="clear" w:color="auto" w:fill="auto"/>
                                  <w:noWrap/>
                                  <w:vAlign w:val="bottom"/>
                                  <w:hideMark/>
                                </w:tcPr>
                                <w:p w14:paraId="321EA8D4"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(0.03)</w:t>
                                  </w:r>
                                </w:p>
                              </w:tc>
                              <w:tc>
                                <w:tcPr>
                                  <w:tcW w:w="1137" w:type="dxa"/>
                                  <w:tcBorders>
                                    <w:top w:val="nil"/>
                                    <w:left w:val="nil"/>
                                    <w:bottom w:val="nil"/>
                                    <w:right w:val="nil"/>
                                  </w:tcBorders>
                                  <w:shd w:val="clear" w:color="auto" w:fill="auto"/>
                                  <w:noWrap/>
                                  <w:vAlign w:val="bottom"/>
                                  <w:hideMark/>
                                </w:tcPr>
                                <w:p w14:paraId="5D3F9F49"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(0.03)</w:t>
                                  </w:r>
                                </w:p>
                              </w:tc>
                            </w:tr>
                            <w:tr w:rsidR="00DF77C5" w:rsidRPr="00531406" w14:paraId="7E1983E2"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4FC35E09" w14:textId="77777777" w:rsidR="00DF77C5" w:rsidRPr="00531406" w:rsidRDefault="00DF77C5" w:rsidP="00531406">
                                  <w:pPr>
                                    <w:spacing w:after="0"/>
                                    <w:rPr>
                                      <w:rFonts w:ascii="Arial" w:eastAsia="Times New Roman" w:hAnsi="Arial" w:cs="Arial"/>
                                      <w:i/>
                                      <w:iCs/>
                                      <w:color w:val="000000"/>
                                      <w:sz w:val="20"/>
                                      <w:szCs w:val="20"/>
                                      <w:lang w:eastAsia="en-AU"/>
                                    </w:rPr>
                                  </w:pPr>
                                  <w:r w:rsidRPr="00531406">
                                    <w:rPr>
                                      <w:rFonts w:ascii="Arial" w:eastAsia="Times New Roman" w:hAnsi="Arial" w:cs="Arial"/>
                                      <w:i/>
                                      <w:iCs/>
                                      <w:color w:val="000000"/>
                                      <w:sz w:val="20"/>
                                      <w:szCs w:val="20"/>
                                      <w:lang w:eastAsia="en-AU"/>
                                    </w:rPr>
                                    <w:t>Panel B: Job-switchers</w:t>
                                  </w:r>
                                </w:p>
                              </w:tc>
                              <w:tc>
                                <w:tcPr>
                                  <w:tcW w:w="1136" w:type="dxa"/>
                                  <w:tcBorders>
                                    <w:top w:val="nil"/>
                                    <w:left w:val="nil"/>
                                    <w:bottom w:val="nil"/>
                                    <w:right w:val="nil"/>
                                  </w:tcBorders>
                                  <w:shd w:val="clear" w:color="auto" w:fill="auto"/>
                                  <w:noWrap/>
                                  <w:vAlign w:val="bottom"/>
                                  <w:hideMark/>
                                </w:tcPr>
                                <w:p w14:paraId="14FB5C69" w14:textId="77777777" w:rsidR="00DF77C5" w:rsidRPr="00531406" w:rsidRDefault="00DF77C5" w:rsidP="00531406">
                                  <w:pPr>
                                    <w:spacing w:after="0"/>
                                    <w:rPr>
                                      <w:rFonts w:ascii="Arial" w:eastAsia="Times New Roman" w:hAnsi="Arial" w:cs="Arial"/>
                                      <w:i/>
                                      <w:iCs/>
                                      <w:color w:val="000000"/>
                                      <w:sz w:val="20"/>
                                      <w:szCs w:val="20"/>
                                      <w:lang w:eastAsia="en-AU"/>
                                    </w:rPr>
                                  </w:pPr>
                                </w:p>
                              </w:tc>
                              <w:tc>
                                <w:tcPr>
                                  <w:tcW w:w="1137" w:type="dxa"/>
                                  <w:tcBorders>
                                    <w:top w:val="nil"/>
                                    <w:left w:val="nil"/>
                                    <w:bottom w:val="nil"/>
                                    <w:right w:val="nil"/>
                                  </w:tcBorders>
                                  <w:shd w:val="clear" w:color="auto" w:fill="auto"/>
                                  <w:noWrap/>
                                  <w:vAlign w:val="bottom"/>
                                  <w:hideMark/>
                                </w:tcPr>
                                <w:p w14:paraId="0A14D328"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5BF5630C"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6FE5A211"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578756CB"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r>
                            <w:tr w:rsidR="00DF77C5" w:rsidRPr="00531406" w14:paraId="5E1F78A6"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33E562A6"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EE (job-to-job) rate</w:t>
                                  </w:r>
                                </w:p>
                              </w:tc>
                              <w:tc>
                                <w:tcPr>
                                  <w:tcW w:w="1136" w:type="dxa"/>
                                  <w:tcBorders>
                                    <w:top w:val="nil"/>
                                    <w:left w:val="nil"/>
                                    <w:bottom w:val="nil"/>
                                    <w:right w:val="nil"/>
                                  </w:tcBorders>
                                  <w:shd w:val="clear" w:color="auto" w:fill="auto"/>
                                  <w:noWrap/>
                                  <w:vAlign w:val="bottom"/>
                                  <w:hideMark/>
                                </w:tcPr>
                                <w:p w14:paraId="0206435D"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1.78***</w:t>
                                  </w:r>
                                </w:p>
                              </w:tc>
                              <w:tc>
                                <w:tcPr>
                                  <w:tcW w:w="1137" w:type="dxa"/>
                                  <w:tcBorders>
                                    <w:top w:val="nil"/>
                                    <w:left w:val="nil"/>
                                    <w:bottom w:val="nil"/>
                                    <w:right w:val="nil"/>
                                  </w:tcBorders>
                                  <w:shd w:val="clear" w:color="auto" w:fill="auto"/>
                                  <w:noWrap/>
                                  <w:vAlign w:val="bottom"/>
                                  <w:hideMark/>
                                </w:tcPr>
                                <w:p w14:paraId="4552FE1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1.86***</w:t>
                                  </w:r>
                                </w:p>
                              </w:tc>
                              <w:tc>
                                <w:tcPr>
                                  <w:tcW w:w="1137" w:type="dxa"/>
                                  <w:tcBorders>
                                    <w:top w:val="nil"/>
                                    <w:left w:val="nil"/>
                                    <w:bottom w:val="nil"/>
                                    <w:right w:val="nil"/>
                                  </w:tcBorders>
                                  <w:shd w:val="clear" w:color="auto" w:fill="auto"/>
                                  <w:noWrap/>
                                  <w:vAlign w:val="bottom"/>
                                  <w:hideMark/>
                                </w:tcPr>
                                <w:p w14:paraId="1BEA476C"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1.64***</w:t>
                                  </w:r>
                                </w:p>
                              </w:tc>
                              <w:tc>
                                <w:tcPr>
                                  <w:tcW w:w="1137" w:type="dxa"/>
                                  <w:tcBorders>
                                    <w:top w:val="nil"/>
                                    <w:left w:val="nil"/>
                                    <w:bottom w:val="nil"/>
                                    <w:right w:val="nil"/>
                                  </w:tcBorders>
                                  <w:shd w:val="clear" w:color="auto" w:fill="auto"/>
                                  <w:noWrap/>
                                  <w:vAlign w:val="bottom"/>
                                  <w:hideMark/>
                                </w:tcPr>
                                <w:p w14:paraId="05C2B1E9"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1.96***</w:t>
                                  </w:r>
                                </w:p>
                              </w:tc>
                              <w:tc>
                                <w:tcPr>
                                  <w:tcW w:w="1137" w:type="dxa"/>
                                  <w:tcBorders>
                                    <w:top w:val="nil"/>
                                    <w:left w:val="nil"/>
                                    <w:bottom w:val="nil"/>
                                    <w:right w:val="nil"/>
                                  </w:tcBorders>
                                  <w:shd w:val="clear" w:color="auto" w:fill="auto"/>
                                  <w:noWrap/>
                                  <w:vAlign w:val="bottom"/>
                                  <w:hideMark/>
                                </w:tcPr>
                                <w:p w14:paraId="192FE98D"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1.52***</w:t>
                                  </w:r>
                                </w:p>
                              </w:tc>
                            </w:tr>
                            <w:tr w:rsidR="00DF77C5" w:rsidRPr="00531406" w14:paraId="3958C889"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78645B82" w14:textId="77777777" w:rsidR="00DF77C5" w:rsidRPr="00531406" w:rsidRDefault="00DF77C5" w:rsidP="00531406">
                                  <w:pPr>
                                    <w:spacing w:after="0"/>
                                    <w:jc w:val="center"/>
                                    <w:rPr>
                                      <w:rFonts w:ascii="Arial" w:eastAsia="Times New Roman" w:hAnsi="Arial" w:cs="Arial"/>
                                      <w:color w:val="000000"/>
                                      <w:sz w:val="20"/>
                                      <w:szCs w:val="20"/>
                                      <w:lang w:eastAsia="en-AU"/>
                                    </w:rPr>
                                  </w:pPr>
                                </w:p>
                              </w:tc>
                              <w:tc>
                                <w:tcPr>
                                  <w:tcW w:w="1136" w:type="dxa"/>
                                  <w:tcBorders>
                                    <w:top w:val="nil"/>
                                    <w:left w:val="nil"/>
                                    <w:bottom w:val="nil"/>
                                    <w:right w:val="nil"/>
                                  </w:tcBorders>
                                  <w:shd w:val="clear" w:color="auto" w:fill="auto"/>
                                  <w:noWrap/>
                                  <w:vAlign w:val="bottom"/>
                                  <w:hideMark/>
                                </w:tcPr>
                                <w:p w14:paraId="3D1776F3"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(0.13)</w:t>
                                  </w:r>
                                </w:p>
                              </w:tc>
                              <w:tc>
                                <w:tcPr>
                                  <w:tcW w:w="1137" w:type="dxa"/>
                                  <w:tcBorders>
                                    <w:top w:val="nil"/>
                                    <w:left w:val="nil"/>
                                    <w:bottom w:val="nil"/>
                                    <w:right w:val="nil"/>
                                  </w:tcBorders>
                                  <w:shd w:val="clear" w:color="auto" w:fill="auto"/>
                                  <w:noWrap/>
                                  <w:vAlign w:val="bottom"/>
                                  <w:hideMark/>
                                </w:tcPr>
                                <w:p w14:paraId="483B115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(0.15)</w:t>
                                  </w:r>
                                </w:p>
                              </w:tc>
                              <w:tc>
                                <w:tcPr>
                                  <w:tcW w:w="1137" w:type="dxa"/>
                                  <w:tcBorders>
                                    <w:top w:val="nil"/>
                                    <w:left w:val="nil"/>
                                    <w:bottom w:val="nil"/>
                                    <w:right w:val="nil"/>
                                  </w:tcBorders>
                                  <w:shd w:val="clear" w:color="auto" w:fill="auto"/>
                                  <w:noWrap/>
                                  <w:vAlign w:val="bottom"/>
                                  <w:hideMark/>
                                </w:tcPr>
                                <w:p w14:paraId="1D14C78B"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(0.19)</w:t>
                                  </w:r>
                                </w:p>
                              </w:tc>
                              <w:tc>
                                <w:tcPr>
                                  <w:tcW w:w="1137" w:type="dxa"/>
                                  <w:tcBorders>
                                    <w:top w:val="nil"/>
                                    <w:left w:val="nil"/>
                                    <w:bottom w:val="nil"/>
                                    <w:right w:val="nil"/>
                                  </w:tcBorders>
                                  <w:shd w:val="clear" w:color="auto" w:fill="auto"/>
                                  <w:noWrap/>
                                  <w:vAlign w:val="bottom"/>
                                  <w:hideMark/>
                                </w:tcPr>
                                <w:p w14:paraId="4137D4EC"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(0.21)</w:t>
                                  </w:r>
                                </w:p>
                              </w:tc>
                              <w:tc>
                                <w:tcPr>
                                  <w:tcW w:w="1137" w:type="dxa"/>
                                  <w:tcBorders>
                                    <w:top w:val="nil"/>
                                    <w:left w:val="nil"/>
                                    <w:bottom w:val="nil"/>
                                    <w:right w:val="nil"/>
                                  </w:tcBorders>
                                  <w:shd w:val="clear" w:color="auto" w:fill="auto"/>
                                  <w:noWrap/>
                                  <w:vAlign w:val="bottom"/>
                                  <w:hideMark/>
                                </w:tcPr>
                                <w:p w14:paraId="15F028C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(0.23)</w:t>
                                  </w:r>
                                </w:p>
                              </w:tc>
                            </w:tr>
                            <w:tr w:rsidR="00DF77C5" w:rsidRPr="00531406" w14:paraId="0C6FB45D"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1E1207BD"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UE (unemployment-to-job rate)</w:t>
                                  </w:r>
                                </w:p>
                              </w:tc>
                              <w:tc>
                                <w:tcPr>
                                  <w:tcW w:w="1136" w:type="dxa"/>
                                  <w:tcBorders>
                                    <w:top w:val="nil"/>
                                    <w:left w:val="nil"/>
                                    <w:bottom w:val="nil"/>
                                    <w:right w:val="nil"/>
                                  </w:tcBorders>
                                  <w:shd w:val="clear" w:color="auto" w:fill="auto"/>
                                  <w:noWrap/>
                                  <w:vAlign w:val="bottom"/>
                                  <w:hideMark/>
                                </w:tcPr>
                                <w:p w14:paraId="34BF9A94"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-0.13*</w:t>
                                  </w:r>
                                </w:p>
                              </w:tc>
                              <w:tc>
                                <w:tcPr>
                                  <w:tcW w:w="1137" w:type="dxa"/>
                                  <w:tcBorders>
                                    <w:top w:val="nil"/>
                                    <w:left w:val="nil"/>
                                    <w:bottom w:val="nil"/>
                                    <w:right w:val="nil"/>
                                  </w:tcBorders>
                                  <w:shd w:val="clear" w:color="auto" w:fill="auto"/>
                                  <w:noWrap/>
                                  <w:vAlign w:val="bottom"/>
                                  <w:hideMark/>
                                </w:tcPr>
                                <w:p w14:paraId="3599ED1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-0.22***</w:t>
                                  </w:r>
                                </w:p>
                              </w:tc>
                              <w:tc>
                                <w:tcPr>
                                  <w:tcW w:w="1137" w:type="dxa"/>
                                  <w:tcBorders>
                                    <w:top w:val="nil"/>
                                    <w:left w:val="nil"/>
                                    <w:bottom w:val="nil"/>
                                    <w:right w:val="nil"/>
                                  </w:tcBorders>
                                  <w:shd w:val="clear" w:color="auto" w:fill="auto"/>
                                  <w:noWrap/>
                                  <w:vAlign w:val="bottom"/>
                                  <w:hideMark/>
                                </w:tcPr>
                                <w:p w14:paraId="6D297693"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-0.05</w:t>
                                  </w:r>
                                </w:p>
                              </w:tc>
                              <w:tc>
                                <w:tcPr>
                                  <w:tcW w:w="1137" w:type="dxa"/>
                                  <w:tcBorders>
                                    <w:top w:val="nil"/>
                                    <w:left w:val="nil"/>
                                    <w:bottom w:val="nil"/>
                                    <w:right w:val="nil"/>
                                  </w:tcBorders>
                                  <w:shd w:val="clear" w:color="auto" w:fill="auto"/>
                                  <w:noWrap/>
                                  <w:vAlign w:val="bottom"/>
                                  <w:hideMark/>
                                </w:tcPr>
                                <w:p w14:paraId="6AB6E2D4"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-0.15*</w:t>
                                  </w:r>
                                </w:p>
                              </w:tc>
                              <w:tc>
                                <w:tcPr>
                                  <w:tcW w:w="1137" w:type="dxa"/>
                                  <w:tcBorders>
                                    <w:top w:val="nil"/>
                                    <w:left w:val="nil"/>
                                    <w:bottom w:val="nil"/>
                                    <w:right w:val="nil"/>
                                  </w:tcBorders>
                                  <w:shd w:val="clear" w:color="auto" w:fill="auto"/>
                                  <w:noWrap/>
                                  <w:vAlign w:val="bottom"/>
                                  <w:hideMark/>
                                </w:tcPr>
                                <w:p w14:paraId="0528E1EB"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-0.02</w:t>
                                  </w:r>
                                </w:p>
                              </w:tc>
                            </w:tr>
                            <w:tr w:rsidR="00DF77C5" w:rsidRPr="00531406" w14:paraId="6A317175"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34670BE8" w14:textId="77777777" w:rsidR="00DF77C5" w:rsidRPr="00531406" w:rsidRDefault="00DF77C5" w:rsidP="00531406">
                                  <w:pPr>
                                    <w:spacing w:after="0"/>
                                    <w:jc w:val="center"/>
                                    <w:rPr>
                                      <w:rFonts w:ascii="Arial" w:eastAsia="Times New Roman" w:hAnsi="Arial" w:cs="Arial"/>
                                      <w:color w:val="000000"/>
                                      <w:sz w:val="20"/>
                                      <w:szCs w:val="20"/>
                                      <w:lang w:eastAsia="en-AU"/>
                                    </w:rPr>
                                  </w:pPr>
                                </w:p>
                              </w:tc>
                              <w:tc>
                                <w:tcPr>
                                  <w:tcW w:w="1136" w:type="dxa"/>
                                  <w:tcBorders>
                                    <w:top w:val="nil"/>
                                    <w:left w:val="nil"/>
                                    <w:bottom w:val="nil"/>
                                    <w:right w:val="nil"/>
                                  </w:tcBorders>
                                  <w:shd w:val="clear" w:color="auto" w:fill="auto"/>
                                  <w:noWrap/>
                                  <w:vAlign w:val="bottom"/>
                                  <w:hideMark/>
                                </w:tcPr>
                                <w:p w14:paraId="70409EFE"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(0.07)</w:t>
                                  </w:r>
                                </w:p>
                              </w:tc>
                              <w:tc>
                                <w:tcPr>
                                  <w:tcW w:w="1137" w:type="dxa"/>
                                  <w:tcBorders>
                                    <w:top w:val="nil"/>
                                    <w:left w:val="nil"/>
                                    <w:bottom w:val="nil"/>
                                    <w:right w:val="nil"/>
                                  </w:tcBorders>
                                  <w:shd w:val="clear" w:color="auto" w:fill="auto"/>
                                  <w:noWrap/>
                                  <w:vAlign w:val="bottom"/>
                                  <w:hideMark/>
                                </w:tcPr>
                                <w:p w14:paraId="7A205CB2"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(0.08)</w:t>
                                  </w:r>
                                </w:p>
                              </w:tc>
                              <w:tc>
                                <w:tcPr>
                                  <w:tcW w:w="1137" w:type="dxa"/>
                                  <w:tcBorders>
                                    <w:top w:val="nil"/>
                                    <w:left w:val="nil"/>
                                    <w:bottom w:val="nil"/>
                                    <w:right w:val="nil"/>
                                  </w:tcBorders>
                                  <w:shd w:val="clear" w:color="auto" w:fill="auto"/>
                                  <w:noWrap/>
                                  <w:vAlign w:val="bottom"/>
                                  <w:hideMark/>
                                </w:tcPr>
                                <w:p w14:paraId="4691248E"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(0.07)</w:t>
                                  </w:r>
                                </w:p>
                              </w:tc>
                              <w:tc>
                                <w:tcPr>
                                  <w:tcW w:w="1137" w:type="dxa"/>
                                  <w:tcBorders>
                                    <w:top w:val="nil"/>
                                    <w:left w:val="nil"/>
                                    <w:bottom w:val="nil"/>
                                    <w:right w:val="nil"/>
                                  </w:tcBorders>
                                  <w:shd w:val="clear" w:color="auto" w:fill="auto"/>
                                  <w:noWrap/>
                                  <w:vAlign w:val="bottom"/>
                                  <w:hideMark/>
                                </w:tcPr>
                                <w:p w14:paraId="49343A3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(0.09)</w:t>
                                  </w:r>
                                </w:p>
                              </w:tc>
                              <w:tc>
                                <w:tcPr>
                                  <w:tcW w:w="1137" w:type="dxa"/>
                                  <w:tcBorders>
                                    <w:top w:val="nil"/>
                                    <w:left w:val="nil"/>
                                    <w:bottom w:val="nil"/>
                                    <w:right w:val="nil"/>
                                  </w:tcBorders>
                                  <w:shd w:val="clear" w:color="auto" w:fill="auto"/>
                                  <w:noWrap/>
                                  <w:vAlign w:val="bottom"/>
                                  <w:hideMark/>
                                </w:tcPr>
                                <w:p w14:paraId="73AA5FFD"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(0.09)</w:t>
                                  </w:r>
                                </w:p>
                              </w:tc>
                            </w:tr>
                            <w:tr w:rsidR="00DF77C5" w:rsidRPr="00531406" w14:paraId="5D58D569"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05DA7BC9" w14:textId="77777777" w:rsidR="00DF77C5" w:rsidRPr="00531406" w:rsidRDefault="00DF77C5" w:rsidP="00531406">
                                  <w:pPr>
                                    <w:spacing w:after="0"/>
                                    <w:rPr>
                                      <w:rFonts w:ascii="Arial" w:eastAsia="Times New Roman" w:hAnsi="Arial" w:cs="Arial"/>
                                      <w:i/>
                                      <w:iCs/>
                                      <w:color w:val="000000"/>
                                      <w:sz w:val="20"/>
                                      <w:szCs w:val="20"/>
                                      <w:lang w:eastAsia="en-AU"/>
                                    </w:rPr>
                                  </w:pPr>
                                  <w:r w:rsidRPr="00531406">
                                    <w:rPr>
                                      <w:rFonts w:ascii="Arial" w:eastAsia="Times New Roman" w:hAnsi="Arial" w:cs="Arial"/>
                                      <w:i/>
                                      <w:iCs/>
                                      <w:color w:val="000000"/>
                                      <w:sz w:val="20"/>
                                      <w:szCs w:val="20"/>
                                      <w:lang w:eastAsia="en-AU"/>
                                    </w:rPr>
                                    <w:t>Panel C: Job-stayers</w:t>
                                  </w:r>
                                </w:p>
                              </w:tc>
                              <w:tc>
                                <w:tcPr>
                                  <w:tcW w:w="1136" w:type="dxa"/>
                                  <w:tcBorders>
                                    <w:top w:val="nil"/>
                                    <w:left w:val="nil"/>
                                    <w:bottom w:val="nil"/>
                                    <w:right w:val="nil"/>
                                  </w:tcBorders>
                                  <w:shd w:val="clear" w:color="auto" w:fill="auto"/>
                                  <w:noWrap/>
                                  <w:vAlign w:val="bottom"/>
                                  <w:hideMark/>
                                </w:tcPr>
                                <w:p w14:paraId="29CB7F2D" w14:textId="77777777" w:rsidR="00DF77C5" w:rsidRPr="00531406" w:rsidRDefault="00DF77C5" w:rsidP="00531406">
                                  <w:pPr>
                                    <w:spacing w:after="0"/>
                                    <w:rPr>
                                      <w:rFonts w:ascii="Arial" w:eastAsia="Times New Roman" w:hAnsi="Arial" w:cs="Arial"/>
                                      <w:i/>
                                      <w:iCs/>
                                      <w:color w:val="000000"/>
                                      <w:sz w:val="20"/>
                                      <w:szCs w:val="20"/>
                                      <w:lang w:eastAsia="en-AU"/>
                                    </w:rPr>
                                  </w:pPr>
                                </w:p>
                              </w:tc>
                              <w:tc>
                                <w:tcPr>
                                  <w:tcW w:w="1137" w:type="dxa"/>
                                  <w:tcBorders>
                                    <w:top w:val="nil"/>
                                    <w:left w:val="nil"/>
                                    <w:bottom w:val="nil"/>
                                    <w:right w:val="nil"/>
                                  </w:tcBorders>
                                  <w:shd w:val="clear" w:color="auto" w:fill="auto"/>
                                  <w:noWrap/>
                                  <w:vAlign w:val="bottom"/>
                                  <w:hideMark/>
                                </w:tcPr>
                                <w:p w14:paraId="7EDA9AD0"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237229FB"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6DC144F1"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2A7ECBB0"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r>
                            <w:tr w:rsidR="00DF77C5" w:rsidRPr="00531406" w14:paraId="42E194EB"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33FFF902"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EE (job-to-job) rate</w:t>
                                  </w:r>
                                </w:p>
                              </w:tc>
                              <w:tc>
                                <w:tcPr>
                                  <w:tcW w:w="1136" w:type="dxa"/>
                                  <w:tcBorders>
                                    <w:top w:val="nil"/>
                                    <w:left w:val="nil"/>
                                    <w:bottom w:val="nil"/>
                                    <w:right w:val="nil"/>
                                  </w:tcBorders>
                                  <w:shd w:val="clear" w:color="auto" w:fill="auto"/>
                                  <w:noWrap/>
                                  <w:vAlign w:val="bottom"/>
                                  <w:hideMark/>
                                </w:tcPr>
                                <w:p w14:paraId="7E008FB9"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0.40***</w:t>
                                  </w:r>
                                </w:p>
                              </w:tc>
                              <w:tc>
                                <w:tcPr>
                                  <w:tcW w:w="1137" w:type="dxa"/>
                                  <w:tcBorders>
                                    <w:top w:val="nil"/>
                                    <w:left w:val="nil"/>
                                    <w:bottom w:val="nil"/>
                                    <w:right w:val="nil"/>
                                  </w:tcBorders>
                                  <w:shd w:val="clear" w:color="auto" w:fill="auto"/>
                                  <w:noWrap/>
                                  <w:vAlign w:val="bottom"/>
                                  <w:hideMark/>
                                </w:tcPr>
                                <w:p w14:paraId="7696AFC7"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0.35***</w:t>
                                  </w:r>
                                </w:p>
                              </w:tc>
                              <w:tc>
                                <w:tcPr>
                                  <w:tcW w:w="1137" w:type="dxa"/>
                                  <w:tcBorders>
                                    <w:top w:val="nil"/>
                                    <w:left w:val="nil"/>
                                    <w:bottom w:val="nil"/>
                                    <w:right w:val="nil"/>
                                  </w:tcBorders>
                                  <w:shd w:val="clear" w:color="auto" w:fill="auto"/>
                                  <w:noWrap/>
                                  <w:vAlign w:val="bottom"/>
                                  <w:hideMark/>
                                </w:tcPr>
                                <w:p w14:paraId="0DE26400"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0.45***</w:t>
                                  </w:r>
                                </w:p>
                              </w:tc>
                              <w:tc>
                                <w:tcPr>
                                  <w:tcW w:w="1137" w:type="dxa"/>
                                  <w:tcBorders>
                                    <w:top w:val="nil"/>
                                    <w:left w:val="nil"/>
                                    <w:bottom w:val="nil"/>
                                    <w:right w:val="nil"/>
                                  </w:tcBorders>
                                  <w:shd w:val="clear" w:color="auto" w:fill="auto"/>
                                  <w:noWrap/>
                                  <w:vAlign w:val="bottom"/>
                                  <w:hideMark/>
                                </w:tcPr>
                                <w:p w14:paraId="41230D7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0.47***</w:t>
                                  </w:r>
                                </w:p>
                              </w:tc>
                              <w:tc>
                                <w:tcPr>
                                  <w:tcW w:w="1137" w:type="dxa"/>
                                  <w:tcBorders>
                                    <w:top w:val="nil"/>
                                    <w:left w:val="nil"/>
                                    <w:bottom w:val="nil"/>
                                    <w:right w:val="nil"/>
                                  </w:tcBorders>
                                  <w:shd w:val="clear" w:color="auto" w:fill="auto"/>
                                  <w:noWrap/>
                                  <w:vAlign w:val="bottom"/>
                                  <w:hideMark/>
                                </w:tcPr>
                                <w:p w14:paraId="78C89AA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0.32***</w:t>
                                  </w:r>
                                </w:p>
                              </w:tc>
                            </w:tr>
                            <w:tr w:rsidR="00DF77C5" w:rsidRPr="00531406" w14:paraId="11E54D8C"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631AC147" w14:textId="77777777" w:rsidR="00DF77C5" w:rsidRPr="00531406" w:rsidRDefault="00DF77C5" w:rsidP="00531406">
                                  <w:pPr>
                                    <w:spacing w:after="0"/>
                                    <w:jc w:val="center"/>
                                    <w:rPr>
                                      <w:rFonts w:ascii="Arial" w:eastAsia="Times New Roman" w:hAnsi="Arial" w:cs="Arial"/>
                                      <w:color w:val="000000"/>
                                      <w:sz w:val="20"/>
                                      <w:szCs w:val="20"/>
                                      <w:lang w:eastAsia="en-AU"/>
                                    </w:rPr>
                                  </w:pPr>
                                </w:p>
                              </w:tc>
                              <w:tc>
                                <w:tcPr>
                                  <w:tcW w:w="1136" w:type="dxa"/>
                                  <w:tcBorders>
                                    <w:top w:val="nil"/>
                                    <w:left w:val="nil"/>
                                    <w:bottom w:val="nil"/>
                                    <w:right w:val="nil"/>
                                  </w:tcBorders>
                                  <w:shd w:val="clear" w:color="auto" w:fill="auto"/>
                                  <w:noWrap/>
                                  <w:vAlign w:val="bottom"/>
                                  <w:hideMark/>
                                </w:tcPr>
                                <w:p w14:paraId="1475ACB1"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(0.05)</w:t>
                                  </w:r>
                                </w:p>
                              </w:tc>
                              <w:tc>
                                <w:tcPr>
                                  <w:tcW w:w="1137" w:type="dxa"/>
                                  <w:tcBorders>
                                    <w:top w:val="nil"/>
                                    <w:left w:val="nil"/>
                                    <w:bottom w:val="nil"/>
                                    <w:right w:val="nil"/>
                                  </w:tcBorders>
                                  <w:shd w:val="clear" w:color="auto" w:fill="auto"/>
                                  <w:noWrap/>
                                  <w:vAlign w:val="bottom"/>
                                  <w:hideMark/>
                                </w:tcPr>
                                <w:p w14:paraId="016ECB5C"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(0.06)</w:t>
                                  </w:r>
                                </w:p>
                              </w:tc>
                              <w:tc>
                                <w:tcPr>
                                  <w:tcW w:w="1137" w:type="dxa"/>
                                  <w:tcBorders>
                                    <w:top w:val="nil"/>
                                    <w:left w:val="nil"/>
                                    <w:bottom w:val="nil"/>
                                    <w:right w:val="nil"/>
                                  </w:tcBorders>
                                  <w:shd w:val="clear" w:color="auto" w:fill="auto"/>
                                  <w:noWrap/>
                                  <w:vAlign w:val="bottom"/>
                                  <w:hideMark/>
                                </w:tcPr>
                                <w:p w14:paraId="127C3FB9"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(0.08)</w:t>
                                  </w:r>
                                </w:p>
                              </w:tc>
                              <w:tc>
                                <w:tcPr>
                                  <w:tcW w:w="1137" w:type="dxa"/>
                                  <w:tcBorders>
                                    <w:top w:val="nil"/>
                                    <w:left w:val="nil"/>
                                    <w:bottom w:val="nil"/>
                                    <w:right w:val="nil"/>
                                  </w:tcBorders>
                                  <w:shd w:val="clear" w:color="auto" w:fill="auto"/>
                                  <w:noWrap/>
                                  <w:vAlign w:val="bottom"/>
                                  <w:hideMark/>
                                </w:tcPr>
                                <w:p w14:paraId="43A551A2"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(0.09)</w:t>
                                  </w:r>
                                </w:p>
                              </w:tc>
                              <w:tc>
                                <w:tcPr>
                                  <w:tcW w:w="1137" w:type="dxa"/>
                                  <w:tcBorders>
                                    <w:top w:val="nil"/>
                                    <w:left w:val="nil"/>
                                    <w:bottom w:val="nil"/>
                                    <w:right w:val="nil"/>
                                  </w:tcBorders>
                                  <w:shd w:val="clear" w:color="auto" w:fill="auto"/>
                                  <w:noWrap/>
                                  <w:vAlign w:val="bottom"/>
                                  <w:hideMark/>
                                </w:tcPr>
                                <w:p w14:paraId="38398663"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(0.10)</w:t>
                                  </w:r>
                                </w:p>
                              </w:tc>
                            </w:tr>
                            <w:tr w:rsidR="00DF77C5" w:rsidRPr="00531406" w14:paraId="5E69DCFD"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24DCB593"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UE (unemployment-to-job rate)</w:t>
                                  </w:r>
                                </w:p>
                              </w:tc>
                              <w:tc>
                                <w:tcPr>
                                  <w:tcW w:w="1136" w:type="dxa"/>
                                  <w:tcBorders>
                                    <w:top w:val="nil"/>
                                    <w:left w:val="nil"/>
                                    <w:bottom w:val="nil"/>
                                    <w:right w:val="nil"/>
                                  </w:tcBorders>
                                  <w:shd w:val="clear" w:color="auto" w:fill="auto"/>
                                  <w:noWrap/>
                                  <w:vAlign w:val="bottom"/>
                                  <w:hideMark/>
                                </w:tcPr>
                                <w:p w14:paraId="422E875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0.17***</w:t>
                                  </w:r>
                                </w:p>
                              </w:tc>
                              <w:tc>
                                <w:tcPr>
                                  <w:tcW w:w="1137" w:type="dxa"/>
                                  <w:tcBorders>
                                    <w:top w:val="nil"/>
                                    <w:left w:val="nil"/>
                                    <w:bottom w:val="nil"/>
                                    <w:right w:val="nil"/>
                                  </w:tcBorders>
                                  <w:shd w:val="clear" w:color="auto" w:fill="auto"/>
                                  <w:noWrap/>
                                  <w:vAlign w:val="bottom"/>
                                  <w:hideMark/>
                                </w:tcPr>
                                <w:p w14:paraId="0E0B04A0"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0.16***</w:t>
                                  </w:r>
                                </w:p>
                              </w:tc>
                              <w:tc>
                                <w:tcPr>
                                  <w:tcW w:w="1137" w:type="dxa"/>
                                  <w:tcBorders>
                                    <w:top w:val="nil"/>
                                    <w:left w:val="nil"/>
                                    <w:bottom w:val="nil"/>
                                    <w:right w:val="nil"/>
                                  </w:tcBorders>
                                  <w:shd w:val="clear" w:color="auto" w:fill="auto"/>
                                  <w:noWrap/>
                                  <w:vAlign w:val="bottom"/>
                                  <w:hideMark/>
                                </w:tcPr>
                                <w:p w14:paraId="57BD36CE"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0.11***</w:t>
                                  </w:r>
                                </w:p>
                              </w:tc>
                              <w:tc>
                                <w:tcPr>
                                  <w:tcW w:w="1137" w:type="dxa"/>
                                  <w:tcBorders>
                                    <w:top w:val="nil"/>
                                    <w:left w:val="nil"/>
                                    <w:bottom w:val="nil"/>
                                    <w:right w:val="nil"/>
                                  </w:tcBorders>
                                  <w:shd w:val="clear" w:color="auto" w:fill="auto"/>
                                  <w:noWrap/>
                                  <w:vAlign w:val="bottom"/>
                                  <w:hideMark/>
                                </w:tcPr>
                                <w:p w14:paraId="10EC5E0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0.13***</w:t>
                                  </w:r>
                                </w:p>
                              </w:tc>
                              <w:tc>
                                <w:tcPr>
                                  <w:tcW w:w="1137" w:type="dxa"/>
                                  <w:tcBorders>
                                    <w:top w:val="nil"/>
                                    <w:left w:val="nil"/>
                                    <w:bottom w:val="nil"/>
                                    <w:right w:val="nil"/>
                                  </w:tcBorders>
                                  <w:shd w:val="clear" w:color="auto" w:fill="auto"/>
                                  <w:noWrap/>
                                  <w:vAlign w:val="bottom"/>
                                  <w:hideMark/>
                                </w:tcPr>
                                <w:p w14:paraId="56DFAFD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0.11***</w:t>
                                  </w:r>
                                </w:p>
                              </w:tc>
                            </w:tr>
                            <w:tr w:rsidR="00DF77C5" w:rsidRPr="00531406" w14:paraId="3F4EA5D0"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1E4FC8DA" w14:textId="77777777" w:rsidR="00DF77C5" w:rsidRPr="00531406" w:rsidRDefault="00DF77C5" w:rsidP="00531406">
                                  <w:pPr>
                                    <w:spacing w:after="0"/>
                                    <w:jc w:val="center"/>
                                    <w:rPr>
                                      <w:rFonts w:ascii="Arial" w:eastAsia="Times New Roman" w:hAnsi="Arial" w:cs="Arial"/>
                                      <w:color w:val="000000"/>
                                      <w:sz w:val="20"/>
                                      <w:szCs w:val="20"/>
                                      <w:lang w:eastAsia="en-AU"/>
                                    </w:rPr>
                                  </w:pPr>
                                </w:p>
                              </w:tc>
                              <w:tc>
                                <w:tcPr>
                                  <w:tcW w:w="1136" w:type="dxa"/>
                                  <w:tcBorders>
                                    <w:top w:val="nil"/>
                                    <w:left w:val="nil"/>
                                    <w:bottom w:val="nil"/>
                                    <w:right w:val="nil"/>
                                  </w:tcBorders>
                                  <w:shd w:val="clear" w:color="auto" w:fill="auto"/>
                                  <w:noWrap/>
                                  <w:vAlign w:val="bottom"/>
                                  <w:hideMark/>
                                </w:tcPr>
                                <w:p w14:paraId="75D91F1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(0.02)</w:t>
                                  </w:r>
                                </w:p>
                              </w:tc>
                              <w:tc>
                                <w:tcPr>
                                  <w:tcW w:w="1137" w:type="dxa"/>
                                  <w:tcBorders>
                                    <w:top w:val="nil"/>
                                    <w:left w:val="nil"/>
                                    <w:bottom w:val="nil"/>
                                    <w:right w:val="nil"/>
                                  </w:tcBorders>
                                  <w:shd w:val="clear" w:color="auto" w:fill="auto"/>
                                  <w:noWrap/>
                                  <w:vAlign w:val="bottom"/>
                                  <w:hideMark/>
                                </w:tcPr>
                                <w:p w14:paraId="258ADBFF"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(0.03)</w:t>
                                  </w:r>
                                </w:p>
                              </w:tc>
                              <w:tc>
                                <w:tcPr>
                                  <w:tcW w:w="1137" w:type="dxa"/>
                                  <w:tcBorders>
                                    <w:top w:val="nil"/>
                                    <w:left w:val="nil"/>
                                    <w:bottom w:val="nil"/>
                                    <w:right w:val="nil"/>
                                  </w:tcBorders>
                                  <w:shd w:val="clear" w:color="auto" w:fill="auto"/>
                                  <w:noWrap/>
                                  <w:vAlign w:val="bottom"/>
                                  <w:hideMark/>
                                </w:tcPr>
                                <w:p w14:paraId="5B269E47"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(0.03)</w:t>
                                  </w:r>
                                </w:p>
                              </w:tc>
                              <w:tc>
                                <w:tcPr>
                                  <w:tcW w:w="1137" w:type="dxa"/>
                                  <w:tcBorders>
                                    <w:top w:val="nil"/>
                                    <w:left w:val="nil"/>
                                    <w:bottom w:val="nil"/>
                                    <w:right w:val="nil"/>
                                  </w:tcBorders>
                                  <w:shd w:val="clear" w:color="auto" w:fill="auto"/>
                                  <w:noWrap/>
                                  <w:vAlign w:val="bottom"/>
                                  <w:hideMark/>
                                </w:tcPr>
                                <w:p w14:paraId="7392DF0F"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(0.04)</w:t>
                                  </w:r>
                                </w:p>
                              </w:tc>
                              <w:tc>
                                <w:tcPr>
                                  <w:tcW w:w="1137" w:type="dxa"/>
                                  <w:tcBorders>
                                    <w:top w:val="nil"/>
                                    <w:left w:val="nil"/>
                                    <w:bottom w:val="nil"/>
                                    <w:right w:val="nil"/>
                                  </w:tcBorders>
                                  <w:shd w:val="clear" w:color="auto" w:fill="auto"/>
                                  <w:noWrap/>
                                  <w:vAlign w:val="bottom"/>
                                  <w:hideMark/>
                                </w:tcPr>
                                <w:p w14:paraId="64843769"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(0.04)</w:t>
                                  </w:r>
                                </w:p>
                              </w:tc>
                            </w:tr>
                            <w:tr w:rsidR="00DF77C5" w:rsidRPr="00531406" w14:paraId="27259EB4" w14:textId="77777777" w:rsidTr="00E91637">
                              <w:trPr>
                                <w:trHeight w:val="255"/>
                                <w:jc w:val="center"/>
                              </w:trPr>
                              <w:tc>
                                <w:tcPr>
                                  <w:tcW w:w="3440" w:type="dxa"/>
                                  <w:tcBorders>
                                    <w:top w:val="nil"/>
                                    <w:left w:val="nil"/>
                                    <w:bottom w:val="single" w:sz="4" w:space="0" w:color="auto"/>
                                    <w:right w:val="nil"/>
                                  </w:tcBorders>
                                  <w:shd w:val="clear" w:color="auto" w:fill="auto"/>
                                  <w:noWrap/>
                                  <w:vAlign w:val="bottom"/>
                                  <w:hideMark/>
                                </w:tcPr>
                                <w:p w14:paraId="473C0144" w14:textId="77777777" w:rsidR="00DF77C5" w:rsidRPr="00531406" w:rsidRDefault="00DF77C5" w:rsidP="00531406">
                                  <w:pPr>
                                    <w:spacing w:after="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6" w:type="dxa"/>
                                  <w:tcBorders>
                                    <w:top w:val="nil"/>
                                    <w:left w:val="nil"/>
                                    <w:bottom w:val="single" w:sz="4" w:space="0" w:color="auto"/>
                                    <w:right w:val="nil"/>
                                  </w:tcBorders>
                                  <w:shd w:val="clear" w:color="auto" w:fill="auto"/>
                                  <w:noWrap/>
                                  <w:vAlign w:val="bottom"/>
                                  <w:hideMark/>
                                </w:tcPr>
                                <w:p w14:paraId="64096C56"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nil"/>
                                    <w:left w:val="nil"/>
                                    <w:bottom w:val="single" w:sz="4" w:space="0" w:color="auto"/>
                                    <w:right w:val="nil"/>
                                  </w:tcBorders>
                                  <w:shd w:val="clear" w:color="auto" w:fill="auto"/>
                                  <w:noWrap/>
                                  <w:vAlign w:val="bottom"/>
                                  <w:hideMark/>
                                </w:tcPr>
                                <w:p w14:paraId="588E08E4"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nil"/>
                                    <w:left w:val="nil"/>
                                    <w:bottom w:val="single" w:sz="4" w:space="0" w:color="auto"/>
                                    <w:right w:val="nil"/>
                                  </w:tcBorders>
                                  <w:shd w:val="clear" w:color="auto" w:fill="auto"/>
                                  <w:noWrap/>
                                  <w:vAlign w:val="bottom"/>
                                  <w:hideMark/>
                                </w:tcPr>
                                <w:p w14:paraId="5BF7F103"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nil"/>
                                    <w:left w:val="nil"/>
                                    <w:bottom w:val="single" w:sz="4" w:space="0" w:color="auto"/>
                                    <w:right w:val="nil"/>
                                  </w:tcBorders>
                                  <w:shd w:val="clear" w:color="auto" w:fill="auto"/>
                                  <w:noWrap/>
                                  <w:vAlign w:val="bottom"/>
                                  <w:hideMark/>
                                </w:tcPr>
                                <w:p w14:paraId="51E5E64B"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nil"/>
                                    <w:left w:val="nil"/>
                                    <w:bottom w:val="single" w:sz="4" w:space="0" w:color="auto"/>
                                    <w:right w:val="nil"/>
                                  </w:tcBorders>
                                  <w:shd w:val="clear" w:color="auto" w:fill="auto"/>
                                  <w:noWrap/>
                                  <w:vAlign w:val="bottom"/>
                                  <w:hideMark/>
                                </w:tcPr>
                                <w:p w14:paraId="7BC09BCA"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r>
                            <w:tr w:rsidR="00DF77C5" w:rsidRPr="00531406" w14:paraId="054D58A4"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69461EDA" w14:textId="77777777" w:rsidR="00DF77C5" w:rsidRPr="00531406" w:rsidRDefault="00DF77C5" w:rsidP="00531406">
                                  <w:pPr>
                                    <w:spacing w:after="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Specification details</w:t>
                                  </w:r>
                                </w:p>
                              </w:tc>
                              <w:tc>
                                <w:tcPr>
                                  <w:tcW w:w="1136" w:type="dxa"/>
                                  <w:tcBorders>
                                    <w:top w:val="nil"/>
                                    <w:left w:val="nil"/>
                                    <w:bottom w:val="nil"/>
                                    <w:right w:val="nil"/>
                                  </w:tcBorders>
                                  <w:shd w:val="clear" w:color="auto" w:fill="auto"/>
                                  <w:noWrap/>
                                  <w:vAlign w:val="bottom"/>
                                  <w:hideMark/>
                                </w:tcPr>
                                <w:p w14:paraId="421A8BA1" w14:textId="77777777" w:rsidR="00DF77C5" w:rsidRPr="00531406" w:rsidRDefault="00DF77C5" w:rsidP="00531406">
                                  <w:pPr>
                                    <w:spacing w:after="0"/>
                                    <w:rPr>
                                      <w:rFonts w:ascii="Arial" w:eastAsia="Times New Roman" w:hAnsi="Arial" w:cs="Arial"/>
                                      <w:color w:val="000000"/>
                                      <w:sz w:val="20"/>
                                      <w:szCs w:val="20"/>
                                      <w:lang w:eastAsia="en-AU"/>
                                    </w:rPr>
                                  </w:pPr>
                                </w:p>
                              </w:tc>
                              <w:tc>
                                <w:tcPr>
                                  <w:tcW w:w="1137" w:type="dxa"/>
                                  <w:tcBorders>
                                    <w:top w:val="nil"/>
                                    <w:left w:val="nil"/>
                                    <w:bottom w:val="nil"/>
                                    <w:right w:val="nil"/>
                                  </w:tcBorders>
                                  <w:shd w:val="clear" w:color="auto" w:fill="auto"/>
                                  <w:noWrap/>
                                  <w:vAlign w:val="bottom"/>
                                  <w:hideMark/>
                                </w:tcPr>
                                <w:p w14:paraId="0F6B71B0"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27F52A61"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0367A2FC"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39E4458F"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r>
                            <w:tr w:rsidR="00DF77C5" w:rsidRPr="00531406" w14:paraId="36A93A58"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034E4F51"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Year fixed effect</w:t>
                                  </w:r>
                                </w:p>
                              </w:tc>
                              <w:tc>
                                <w:tcPr>
                                  <w:tcW w:w="1136" w:type="dxa"/>
                                  <w:tcBorders>
                                    <w:top w:val="nil"/>
                                    <w:left w:val="nil"/>
                                    <w:bottom w:val="nil"/>
                                    <w:right w:val="nil"/>
                                  </w:tcBorders>
                                  <w:shd w:val="clear" w:color="auto" w:fill="auto"/>
                                  <w:noWrap/>
                                  <w:vAlign w:val="bottom"/>
                                  <w:hideMark/>
                                </w:tcPr>
                                <w:p w14:paraId="6E4591B1"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7DF32724"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743179F3"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29205272"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580799EF"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r>
                            <w:tr w:rsidR="00DF77C5" w:rsidRPr="00531406" w14:paraId="516B3703"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1530179D"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SA4 fixed effect</w:t>
                                  </w:r>
                                </w:p>
                              </w:tc>
                              <w:tc>
                                <w:tcPr>
                                  <w:tcW w:w="1136" w:type="dxa"/>
                                  <w:tcBorders>
                                    <w:top w:val="nil"/>
                                    <w:left w:val="nil"/>
                                    <w:bottom w:val="nil"/>
                                    <w:right w:val="nil"/>
                                  </w:tcBorders>
                                  <w:shd w:val="clear" w:color="auto" w:fill="auto"/>
                                  <w:noWrap/>
                                  <w:vAlign w:val="bottom"/>
                                  <w:hideMark/>
                                </w:tcPr>
                                <w:p w14:paraId="7106AD1C"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282C0B87"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3CC2F35D"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1DFF0EE7"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5CEB7EC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r>
                            <w:tr w:rsidR="00DF77C5" w:rsidRPr="00531406" w14:paraId="5BABF3BC"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192A5A10"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SA4 trend</w:t>
                                  </w:r>
                                </w:p>
                              </w:tc>
                              <w:tc>
                                <w:tcPr>
                                  <w:tcW w:w="1136" w:type="dxa"/>
                                  <w:tcBorders>
                                    <w:top w:val="nil"/>
                                    <w:left w:val="nil"/>
                                    <w:bottom w:val="nil"/>
                                    <w:right w:val="nil"/>
                                  </w:tcBorders>
                                  <w:shd w:val="clear" w:color="auto" w:fill="auto"/>
                                  <w:noWrap/>
                                  <w:vAlign w:val="bottom"/>
                                  <w:hideMark/>
                                </w:tcPr>
                                <w:p w14:paraId="08CDE7D7"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p>
                              </w:tc>
                              <w:tc>
                                <w:tcPr>
                                  <w:tcW w:w="1137" w:type="dxa"/>
                                  <w:tcBorders>
                                    <w:top w:val="nil"/>
                                    <w:left w:val="nil"/>
                                    <w:bottom w:val="nil"/>
                                    <w:right w:val="nil"/>
                                  </w:tcBorders>
                                  <w:shd w:val="clear" w:color="auto" w:fill="auto"/>
                                  <w:noWrap/>
                                  <w:vAlign w:val="bottom"/>
                                  <w:hideMark/>
                                </w:tcPr>
                                <w:p w14:paraId="5E43D64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6B806451" w14:textId="77777777" w:rsidR="00DF77C5" w:rsidRPr="00531406" w:rsidRDefault="00DF77C5" w:rsidP="00531406">
                                  <w:pPr>
                                    <w:spacing w:after="0"/>
                                    <w:jc w:val="center"/>
                                    <w:rPr>
                                      <w:rFonts w:ascii="Arial" w:eastAsia="Times New Roman" w:hAnsi="Arial" w:cs="Arial"/>
                                      <w:color w:val="000000"/>
                                      <w:sz w:val="20"/>
                                      <w:szCs w:val="20"/>
                                      <w:lang w:eastAsia="en-AU"/>
                                    </w:rPr>
                                  </w:pPr>
                                </w:p>
                              </w:tc>
                              <w:tc>
                                <w:tcPr>
                                  <w:tcW w:w="1137" w:type="dxa"/>
                                  <w:tcBorders>
                                    <w:top w:val="nil"/>
                                    <w:left w:val="nil"/>
                                    <w:bottom w:val="nil"/>
                                    <w:right w:val="nil"/>
                                  </w:tcBorders>
                                  <w:shd w:val="clear" w:color="auto" w:fill="auto"/>
                                  <w:noWrap/>
                                  <w:vAlign w:val="bottom"/>
                                  <w:hideMark/>
                                </w:tcPr>
                                <w:p w14:paraId="3795614D"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78C293C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r>
                            <w:tr w:rsidR="00DF77C5" w:rsidRPr="00531406" w14:paraId="2E91C506"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6EB26735"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xml:space="preserve">State X Year fixed effect </w:t>
                                  </w:r>
                                </w:p>
                              </w:tc>
                              <w:tc>
                                <w:tcPr>
                                  <w:tcW w:w="1136" w:type="dxa"/>
                                  <w:tcBorders>
                                    <w:top w:val="nil"/>
                                    <w:left w:val="nil"/>
                                    <w:bottom w:val="nil"/>
                                    <w:right w:val="nil"/>
                                  </w:tcBorders>
                                  <w:shd w:val="clear" w:color="auto" w:fill="auto"/>
                                  <w:noWrap/>
                                  <w:vAlign w:val="bottom"/>
                                  <w:hideMark/>
                                </w:tcPr>
                                <w:p w14:paraId="4D2E5C61"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p>
                              </w:tc>
                              <w:tc>
                                <w:tcPr>
                                  <w:tcW w:w="1137" w:type="dxa"/>
                                  <w:tcBorders>
                                    <w:top w:val="nil"/>
                                    <w:left w:val="nil"/>
                                    <w:bottom w:val="nil"/>
                                    <w:right w:val="nil"/>
                                  </w:tcBorders>
                                  <w:shd w:val="clear" w:color="auto" w:fill="auto"/>
                                  <w:noWrap/>
                                  <w:vAlign w:val="bottom"/>
                                  <w:hideMark/>
                                </w:tcPr>
                                <w:p w14:paraId="069AE675"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7F87DB96"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19FFF577"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0B78A65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r>
                            <w:tr w:rsidR="00DF77C5" w:rsidRPr="00531406" w14:paraId="7E95FE06" w14:textId="77777777" w:rsidTr="00E91637">
                              <w:trPr>
                                <w:trHeight w:val="270"/>
                                <w:jc w:val="center"/>
                              </w:trPr>
                              <w:tc>
                                <w:tcPr>
                                  <w:tcW w:w="3440" w:type="dxa"/>
                                  <w:tcBorders>
                                    <w:top w:val="nil"/>
                                    <w:left w:val="nil"/>
                                    <w:bottom w:val="double" w:sz="6" w:space="0" w:color="auto"/>
                                    <w:right w:val="nil"/>
                                  </w:tcBorders>
                                  <w:shd w:val="clear" w:color="auto" w:fill="auto"/>
                                  <w:noWrap/>
                                  <w:vAlign w:val="bottom"/>
                                  <w:hideMark/>
                                </w:tcPr>
                                <w:p w14:paraId="29404F39"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SA4 time varying controls</w:t>
                                  </w:r>
                                </w:p>
                              </w:tc>
                              <w:tc>
                                <w:tcPr>
                                  <w:tcW w:w="1136" w:type="dxa"/>
                                  <w:tcBorders>
                                    <w:top w:val="nil"/>
                                    <w:left w:val="nil"/>
                                    <w:bottom w:val="double" w:sz="6" w:space="0" w:color="auto"/>
                                    <w:right w:val="nil"/>
                                  </w:tcBorders>
                                  <w:shd w:val="clear" w:color="auto" w:fill="auto"/>
                                  <w:noWrap/>
                                  <w:vAlign w:val="bottom"/>
                                  <w:hideMark/>
                                </w:tcPr>
                                <w:p w14:paraId="232C019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nil"/>
                                    <w:left w:val="nil"/>
                                    <w:bottom w:val="double" w:sz="6" w:space="0" w:color="auto"/>
                                    <w:right w:val="nil"/>
                                  </w:tcBorders>
                                  <w:shd w:val="clear" w:color="auto" w:fill="auto"/>
                                  <w:noWrap/>
                                  <w:vAlign w:val="bottom"/>
                                  <w:hideMark/>
                                </w:tcPr>
                                <w:p w14:paraId="6A45ED6C"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nil"/>
                                    <w:left w:val="nil"/>
                                    <w:bottom w:val="double" w:sz="6" w:space="0" w:color="auto"/>
                                    <w:right w:val="nil"/>
                                  </w:tcBorders>
                                  <w:shd w:val="clear" w:color="auto" w:fill="auto"/>
                                  <w:noWrap/>
                                  <w:vAlign w:val="bottom"/>
                                  <w:hideMark/>
                                </w:tcPr>
                                <w:p w14:paraId="17B233D6"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nil"/>
                                    <w:left w:val="nil"/>
                                    <w:bottom w:val="double" w:sz="6" w:space="0" w:color="auto"/>
                                    <w:right w:val="nil"/>
                                  </w:tcBorders>
                                  <w:shd w:val="clear" w:color="auto" w:fill="auto"/>
                                  <w:noWrap/>
                                  <w:vAlign w:val="bottom"/>
                                  <w:hideMark/>
                                </w:tcPr>
                                <w:p w14:paraId="2A7B45ED"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nil"/>
                                    <w:left w:val="nil"/>
                                    <w:bottom w:val="double" w:sz="6" w:space="0" w:color="auto"/>
                                    <w:right w:val="nil"/>
                                  </w:tcBorders>
                                  <w:shd w:val="clear" w:color="auto" w:fill="auto"/>
                                  <w:noWrap/>
                                  <w:vAlign w:val="bottom"/>
                                  <w:hideMark/>
                                </w:tcPr>
                                <w:p w14:paraId="56365CE1"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r>
                          </w:tbl>
                          <w:p w14:paraId="5B3F27A9" w14:textId="77777777" w:rsidR="00DF77C5" w:rsidRPr="005E173D" w:rsidRDefault="00DF77C5" w:rsidP="0047267F">
                            <w:pPr>
                              <w:pStyle w:val="ChartorTableNote"/>
                              <w:rPr>
                                <w:sz w:val="20"/>
                              </w:rPr>
                            </w:pPr>
                            <w: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shapetype w14:anchorId="01FCB0B6" id="_x0000_t202" coordsize="21600,21600" o:spt="202" path="m,l,21600r21600,l21600,xe">
                <v:stroke joinstyle="miter"/>
                <v:path gradientshapeok="t" o:connecttype="rect"/>
              </v:shapetype>
              <v:shape id="Text Box 1" o:spid="_x0000_s1026" type="#_x0000_t202" style="width:464.9pt;height:3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" filled="f" stroked="f" strokeweight=".5pt">
                <v:textbox inset="0,,0">
                  <w:txbxContent>
                    <w:tbl>
                      <w:tblPr>
                        <w:tblW w:w="9124" w:type="dxa"/>
                        <w:jc w:val="center"/>
                        <w:tblLayout w:type="fixed"/>
                        <w:tblLook w:val="04A0" w:firstRow="1" w:lastRow="0" w:firstColumn="1" w:lastColumn="0" w:noHBand="0" w:noVBand="1"/>
                      </w:tblPr>
                      <w:tblGrid>
                        <w:gridCol w:w="3440"/>
                        <w:gridCol w:w="1136"/>
                        <w:gridCol w:w="1137"/>
                        <w:gridCol w:w="1137"/>
                        <w:gridCol w:w="1137"/>
                        <w:gridCol w:w="1137"/>
                      </w:tblGrid>
                      <w:tr w:rsidR="00DF77C5" w:rsidRPr="00531406" w14:paraId="4B52145A" w14:textId="77777777" w:rsidTr="00E91637">
                        <w:trPr>
                          <w:trHeight w:val="270"/>
                          <w:jc w:val="center"/>
                        </w:trPr>
                        <w:tc>
                          <w:tcPr>
                            <w:tcW w:w="3440" w:type="dxa"/>
                            <w:tcBorders>
                              <w:top w:val="double" w:sz="6" w:space="0" w:color="auto"/>
                              <w:left w:val="nil"/>
                              <w:bottom w:val="nil"/>
                              <w:right w:val="nil"/>
                            </w:tcBorders>
                            <w:shd w:val="clear" w:color="auto" w:fill="auto"/>
                            <w:noWrap/>
                            <w:vAlign w:val="bottom"/>
                            <w:hideMark/>
                          </w:tcPr>
                          <w:p w14:paraId="50EE2D03" w14:textId="77777777" w:rsidR="00DF77C5" w:rsidRPr="00531406" w:rsidRDefault="00DF77C5" w:rsidP="00531406">
                            <w:pPr>
                              <w:spacing w:after="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6" w:type="dxa"/>
                            <w:tcBorders>
                              <w:top w:val="double" w:sz="6" w:space="0" w:color="auto"/>
                              <w:left w:val="nil"/>
                              <w:bottom w:val="nil"/>
                              <w:right w:val="nil"/>
                            </w:tcBorders>
                            <w:shd w:val="clear" w:color="auto" w:fill="auto"/>
                            <w:noWrap/>
                            <w:vAlign w:val="bottom"/>
                            <w:hideMark/>
                          </w:tcPr>
                          <w:p w14:paraId="5C41AAB9"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(1)</w:t>
                            </w:r>
                          </w:p>
                        </w:tc>
                        <w:tc>
                          <w:tcPr>
                            <w:tcW w:w="1137" w:type="dxa"/>
                            <w:tcBorders>
                              <w:top w:val="double" w:sz="6" w:space="0" w:color="auto"/>
                              <w:left w:val="nil"/>
                              <w:bottom w:val="nil"/>
                              <w:right w:val="nil"/>
                            </w:tcBorders>
                            <w:shd w:val="clear" w:color="auto" w:fill="auto"/>
                            <w:noWrap/>
                            <w:vAlign w:val="bottom"/>
                            <w:hideMark/>
                          </w:tcPr>
                          <w:p w14:paraId="5E3F64DB"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(2)</w:t>
                            </w:r>
                          </w:p>
                        </w:tc>
                        <w:tc>
                          <w:tcPr>
                            <w:tcW w:w="1137" w:type="dxa"/>
                            <w:tcBorders>
                              <w:top w:val="double" w:sz="6" w:space="0" w:color="auto"/>
                              <w:left w:val="nil"/>
                              <w:bottom w:val="nil"/>
                              <w:right w:val="nil"/>
                            </w:tcBorders>
                            <w:shd w:val="clear" w:color="auto" w:fill="auto"/>
                            <w:noWrap/>
                            <w:vAlign w:val="bottom"/>
                            <w:hideMark/>
                          </w:tcPr>
                          <w:p w14:paraId="410D03BE"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(3)</w:t>
                            </w:r>
                          </w:p>
                        </w:tc>
                        <w:tc>
                          <w:tcPr>
                            <w:tcW w:w="1137" w:type="dxa"/>
                            <w:tcBorders>
                              <w:top w:val="double" w:sz="6" w:space="0" w:color="auto"/>
                              <w:left w:val="nil"/>
                              <w:bottom w:val="nil"/>
                              <w:right w:val="nil"/>
                            </w:tcBorders>
                            <w:shd w:val="clear" w:color="auto" w:fill="auto"/>
                            <w:noWrap/>
                            <w:vAlign w:val="bottom"/>
                            <w:hideMark/>
                          </w:tcPr>
                          <w:p w14:paraId="2B55763A"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(4)</w:t>
                            </w:r>
                          </w:p>
                        </w:tc>
                        <w:tc>
                          <w:tcPr>
                            <w:tcW w:w="1137" w:type="dxa"/>
                            <w:tcBorders>
                              <w:top w:val="double" w:sz="6" w:space="0" w:color="auto"/>
                              <w:left w:val="nil"/>
                              <w:bottom w:val="nil"/>
                              <w:right w:val="nil"/>
                            </w:tcBorders>
                            <w:shd w:val="clear" w:color="auto" w:fill="auto"/>
                            <w:noWrap/>
                            <w:vAlign w:val="bottom"/>
                            <w:hideMark/>
                          </w:tcPr>
                          <w:p w14:paraId="08A55F9F"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(5)</w:t>
                            </w:r>
                          </w:p>
                        </w:tc>
                      </w:tr>
                      <w:tr w:rsidR="00DF77C5" w:rsidRPr="00531406" w14:paraId="2E24DBF6" w14:textId="77777777" w:rsidTr="00E91637">
                        <w:trPr>
                          <w:trHeight w:val="255"/>
                          <w:jc w:val="center"/>
                        </w:trPr>
                        <w:tc>
                          <w:tcPr>
                            <w:tcW w:w="3440" w:type="dxa"/>
                            <w:tcBorders>
                              <w:top w:val="single" w:sz="4" w:space="0" w:color="auto"/>
                              <w:left w:val="nil"/>
                              <w:bottom w:val="nil"/>
                              <w:right w:val="nil"/>
                            </w:tcBorders>
                            <w:shd w:val="clear" w:color="auto" w:fill="auto"/>
                            <w:noWrap/>
                            <w:vAlign w:val="bottom"/>
                            <w:hideMark/>
                          </w:tcPr>
                          <w:p w14:paraId="26E3A660" w14:textId="77777777" w:rsidR="00DF77C5" w:rsidRPr="00531406" w:rsidRDefault="00DF77C5" w:rsidP="00531406">
                            <w:pPr>
                              <w:spacing w:after="0"/>
                              <w:rPr>
                                <w:rFonts w:ascii="Arial" w:eastAsia="Times New Roman" w:hAnsi="Arial" w:cs="Arial"/>
                                <w:i/>
                                <w:iCs/>
                                <w:color w:val="000000"/>
                                <w:sz w:val="20"/>
                                <w:szCs w:val="20"/>
                                <w:lang w:eastAsia="en-AU"/>
                              </w:rPr>
                            </w:pPr>
                            <w:r w:rsidRPr="00531406">
                              <w:rPr>
                                <w:rFonts w:ascii="Arial" w:eastAsia="Times New Roman" w:hAnsi="Arial" w:cs="Arial"/>
                                <w:i/>
                                <w:iCs/>
                                <w:color w:val="000000"/>
                                <w:sz w:val="20"/>
                                <w:szCs w:val="20"/>
                                <w:lang w:eastAsia="en-AU"/>
                              </w:rPr>
                              <w:t>Panel A:  All wage earners</w:t>
                            </w:r>
                          </w:p>
                        </w:tc>
                        <w:tc>
                          <w:tcPr>
                            <w:tcW w:w="1136" w:type="dxa"/>
                            <w:tcBorders>
                              <w:top w:val="single" w:sz="4" w:space="0" w:color="auto"/>
                              <w:left w:val="nil"/>
                              <w:bottom w:val="nil"/>
                              <w:right w:val="nil"/>
                            </w:tcBorders>
                            <w:shd w:val="clear" w:color="auto" w:fill="auto"/>
                            <w:noWrap/>
                            <w:vAlign w:val="bottom"/>
                            <w:hideMark/>
                          </w:tcPr>
                          <w:p w14:paraId="06727703"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single" w:sz="4" w:space="0" w:color="auto"/>
                              <w:left w:val="nil"/>
                              <w:bottom w:val="nil"/>
                              <w:right w:val="nil"/>
                            </w:tcBorders>
                            <w:shd w:val="clear" w:color="auto" w:fill="auto"/>
                            <w:noWrap/>
                            <w:vAlign w:val="bottom"/>
                            <w:hideMark/>
                          </w:tcPr>
                          <w:p w14:paraId="704C622A"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single" w:sz="4" w:space="0" w:color="auto"/>
                              <w:left w:val="nil"/>
                              <w:bottom w:val="nil"/>
                              <w:right w:val="nil"/>
                            </w:tcBorders>
                            <w:shd w:val="clear" w:color="auto" w:fill="auto"/>
                            <w:noWrap/>
                            <w:vAlign w:val="bottom"/>
                            <w:hideMark/>
                          </w:tcPr>
                          <w:p w14:paraId="3D5EC850"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single" w:sz="4" w:space="0" w:color="auto"/>
                              <w:left w:val="nil"/>
                              <w:bottom w:val="nil"/>
                              <w:right w:val="nil"/>
                            </w:tcBorders>
                            <w:shd w:val="clear" w:color="auto" w:fill="auto"/>
                            <w:noWrap/>
                            <w:vAlign w:val="bottom"/>
                            <w:hideMark/>
                          </w:tcPr>
                          <w:p w14:paraId="783783FE"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single" w:sz="4" w:space="0" w:color="auto"/>
                              <w:left w:val="nil"/>
                              <w:bottom w:val="nil"/>
                              <w:right w:val="nil"/>
                            </w:tcBorders>
                            <w:shd w:val="clear" w:color="auto" w:fill="auto"/>
                            <w:noWrap/>
                            <w:vAlign w:val="bottom"/>
                            <w:hideMark/>
                          </w:tcPr>
                          <w:p w14:paraId="04CFACCD"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r>
                      <w:tr w:rsidR="00DF77C5" w:rsidRPr="00531406" w14:paraId="013F1DA6"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57173BA4"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EE (job-to-job) rate</w:t>
                            </w:r>
                          </w:p>
                        </w:tc>
                        <w:tc>
                          <w:tcPr>
                            <w:tcW w:w="1136" w:type="dxa"/>
                            <w:tcBorders>
                              <w:top w:val="nil"/>
                              <w:left w:val="nil"/>
                              <w:bottom w:val="nil"/>
                              <w:right w:val="nil"/>
                            </w:tcBorders>
                            <w:shd w:val="clear" w:color="auto" w:fill="auto"/>
                            <w:noWrap/>
                            <w:vAlign w:val="bottom"/>
                            <w:hideMark/>
                          </w:tcPr>
                          <w:p w14:paraId="3157E329"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0.45***</w:t>
                            </w:r>
                          </w:p>
                        </w:tc>
                        <w:tc>
                          <w:tcPr>
                            <w:tcW w:w="1137" w:type="dxa"/>
                            <w:tcBorders>
                              <w:top w:val="nil"/>
                              <w:left w:val="nil"/>
                              <w:bottom w:val="nil"/>
                              <w:right w:val="nil"/>
                            </w:tcBorders>
                            <w:shd w:val="clear" w:color="auto" w:fill="auto"/>
                            <w:noWrap/>
                            <w:vAlign w:val="bottom"/>
                            <w:hideMark/>
                          </w:tcPr>
                          <w:p w14:paraId="13B27AE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0.40***</w:t>
                            </w:r>
                          </w:p>
                        </w:tc>
                        <w:tc>
                          <w:tcPr>
                            <w:tcW w:w="1137" w:type="dxa"/>
                            <w:tcBorders>
                              <w:top w:val="nil"/>
                              <w:left w:val="nil"/>
                              <w:bottom w:val="nil"/>
                              <w:right w:val="nil"/>
                            </w:tcBorders>
                            <w:shd w:val="clear" w:color="auto" w:fill="auto"/>
                            <w:noWrap/>
                            <w:vAlign w:val="bottom"/>
                            <w:hideMark/>
                          </w:tcPr>
                          <w:p w14:paraId="4121D60C"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0.51***</w:t>
                            </w:r>
                          </w:p>
                        </w:tc>
                        <w:tc>
                          <w:tcPr>
                            <w:tcW w:w="1137" w:type="dxa"/>
                            <w:tcBorders>
                              <w:top w:val="nil"/>
                              <w:left w:val="nil"/>
                              <w:bottom w:val="nil"/>
                              <w:right w:val="nil"/>
                            </w:tcBorders>
                            <w:shd w:val="clear" w:color="auto" w:fill="auto"/>
                            <w:noWrap/>
                            <w:vAlign w:val="bottom"/>
                            <w:hideMark/>
                          </w:tcPr>
                          <w:p w14:paraId="4A1D53F0"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0.55***</w:t>
                            </w:r>
                          </w:p>
                        </w:tc>
                        <w:tc>
                          <w:tcPr>
                            <w:tcW w:w="1137" w:type="dxa"/>
                            <w:tcBorders>
                              <w:top w:val="nil"/>
                              <w:left w:val="nil"/>
                              <w:bottom w:val="nil"/>
                              <w:right w:val="nil"/>
                            </w:tcBorders>
                            <w:shd w:val="clear" w:color="auto" w:fill="auto"/>
                            <w:noWrap/>
                            <w:vAlign w:val="bottom"/>
                            <w:hideMark/>
                          </w:tcPr>
                          <w:p w14:paraId="622A0643"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0.55***</w:t>
                            </w:r>
                          </w:p>
                        </w:tc>
                      </w:tr>
                      <w:tr w:rsidR="00DF77C5" w:rsidRPr="00531406" w14:paraId="38D8C53D"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6D610C98" w14:textId="77777777" w:rsidR="00DF77C5" w:rsidRPr="00531406" w:rsidRDefault="00DF77C5" w:rsidP="00531406">
                            <w:pPr>
                              <w:spacing w:after="0"/>
                              <w:jc w:val="center"/>
                              <w:rPr>
                                <w:rFonts w:ascii="Arial" w:eastAsia="Times New Roman" w:hAnsi="Arial" w:cs="Arial"/>
                                <w:color w:val="000000"/>
                                <w:sz w:val="20"/>
                                <w:szCs w:val="20"/>
                                <w:lang w:eastAsia="en-AU"/>
                              </w:rPr>
                            </w:pPr>
                          </w:p>
                        </w:tc>
                        <w:tc>
                          <w:tcPr>
                            <w:tcW w:w="1136" w:type="dxa"/>
                            <w:tcBorders>
                              <w:top w:val="nil"/>
                              <w:left w:val="nil"/>
                              <w:bottom w:val="nil"/>
                              <w:right w:val="nil"/>
                            </w:tcBorders>
                            <w:shd w:val="clear" w:color="auto" w:fill="auto"/>
                            <w:noWrap/>
                            <w:vAlign w:val="bottom"/>
                            <w:hideMark/>
                          </w:tcPr>
                          <w:p w14:paraId="3F2D1244"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(0.05)</w:t>
                            </w:r>
                          </w:p>
                        </w:tc>
                        <w:tc>
                          <w:tcPr>
                            <w:tcW w:w="1137" w:type="dxa"/>
                            <w:tcBorders>
                              <w:top w:val="nil"/>
                              <w:left w:val="nil"/>
                              <w:bottom w:val="nil"/>
                              <w:right w:val="nil"/>
                            </w:tcBorders>
                            <w:shd w:val="clear" w:color="auto" w:fill="auto"/>
                            <w:noWrap/>
                            <w:vAlign w:val="bottom"/>
                            <w:hideMark/>
                          </w:tcPr>
                          <w:p w14:paraId="3F228110"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(0.05)</w:t>
                            </w:r>
                          </w:p>
                        </w:tc>
                        <w:tc>
                          <w:tcPr>
                            <w:tcW w:w="1137" w:type="dxa"/>
                            <w:tcBorders>
                              <w:top w:val="nil"/>
                              <w:left w:val="nil"/>
                              <w:bottom w:val="nil"/>
                              <w:right w:val="nil"/>
                            </w:tcBorders>
                            <w:shd w:val="clear" w:color="auto" w:fill="auto"/>
                            <w:noWrap/>
                            <w:vAlign w:val="bottom"/>
                            <w:hideMark/>
                          </w:tcPr>
                          <w:p w14:paraId="29BE0BCB"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(0.07)</w:t>
                            </w:r>
                          </w:p>
                        </w:tc>
                        <w:tc>
                          <w:tcPr>
                            <w:tcW w:w="1137" w:type="dxa"/>
                            <w:tcBorders>
                              <w:top w:val="nil"/>
                              <w:left w:val="nil"/>
                              <w:bottom w:val="nil"/>
                              <w:right w:val="nil"/>
                            </w:tcBorders>
                            <w:shd w:val="clear" w:color="auto" w:fill="auto"/>
                            <w:noWrap/>
                            <w:vAlign w:val="bottom"/>
                            <w:hideMark/>
                          </w:tcPr>
                          <w:p w14:paraId="7AD7416F"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(0.08)</w:t>
                            </w:r>
                          </w:p>
                        </w:tc>
                        <w:tc>
                          <w:tcPr>
                            <w:tcW w:w="1137" w:type="dxa"/>
                            <w:tcBorders>
                              <w:top w:val="nil"/>
                              <w:left w:val="nil"/>
                              <w:bottom w:val="nil"/>
                              <w:right w:val="nil"/>
                            </w:tcBorders>
                            <w:shd w:val="clear" w:color="auto" w:fill="auto"/>
                            <w:noWrap/>
                            <w:vAlign w:val="bottom"/>
                            <w:hideMark/>
                          </w:tcPr>
                          <w:p w14:paraId="2EF64599"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(0.09)</w:t>
                            </w:r>
                          </w:p>
                        </w:tc>
                      </w:tr>
                      <w:tr w:rsidR="00DF77C5" w:rsidRPr="00531406" w14:paraId="699EB87A"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6F139A03"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UE (unemployment-to-job rate)</w:t>
                            </w:r>
                          </w:p>
                        </w:tc>
                        <w:tc>
                          <w:tcPr>
                            <w:tcW w:w="1136" w:type="dxa"/>
                            <w:tcBorders>
                              <w:top w:val="nil"/>
                              <w:left w:val="nil"/>
                              <w:bottom w:val="nil"/>
                              <w:right w:val="nil"/>
                            </w:tcBorders>
                            <w:shd w:val="clear" w:color="auto" w:fill="auto"/>
                            <w:noWrap/>
                            <w:vAlign w:val="bottom"/>
                            <w:hideMark/>
                          </w:tcPr>
                          <w:p w14:paraId="5E0851A9"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0.15***</w:t>
                            </w:r>
                          </w:p>
                        </w:tc>
                        <w:tc>
                          <w:tcPr>
                            <w:tcW w:w="1137" w:type="dxa"/>
                            <w:tcBorders>
                              <w:top w:val="nil"/>
                              <w:left w:val="nil"/>
                              <w:bottom w:val="nil"/>
                              <w:right w:val="nil"/>
                            </w:tcBorders>
                            <w:shd w:val="clear" w:color="auto" w:fill="auto"/>
                            <w:noWrap/>
                            <w:vAlign w:val="bottom"/>
                            <w:hideMark/>
                          </w:tcPr>
                          <w:p w14:paraId="0031A1E1"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0.12***</w:t>
                            </w:r>
                          </w:p>
                        </w:tc>
                        <w:tc>
                          <w:tcPr>
                            <w:tcW w:w="1137" w:type="dxa"/>
                            <w:tcBorders>
                              <w:top w:val="nil"/>
                              <w:left w:val="nil"/>
                              <w:bottom w:val="nil"/>
                              <w:right w:val="nil"/>
                            </w:tcBorders>
                            <w:shd w:val="clear" w:color="auto" w:fill="auto"/>
                            <w:noWrap/>
                            <w:vAlign w:val="bottom"/>
                            <w:hideMark/>
                          </w:tcPr>
                          <w:p w14:paraId="0B1BF44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0.08***</w:t>
                            </w:r>
                          </w:p>
                        </w:tc>
                        <w:tc>
                          <w:tcPr>
                            <w:tcW w:w="1137" w:type="dxa"/>
                            <w:tcBorders>
                              <w:top w:val="nil"/>
                              <w:left w:val="nil"/>
                              <w:bottom w:val="nil"/>
                              <w:right w:val="nil"/>
                            </w:tcBorders>
                            <w:shd w:val="clear" w:color="auto" w:fill="auto"/>
                            <w:noWrap/>
                            <w:vAlign w:val="bottom"/>
                            <w:hideMark/>
                          </w:tcPr>
                          <w:p w14:paraId="4A7722D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0.10***</w:t>
                            </w:r>
                          </w:p>
                        </w:tc>
                        <w:tc>
                          <w:tcPr>
                            <w:tcW w:w="1137" w:type="dxa"/>
                            <w:tcBorders>
                              <w:top w:val="nil"/>
                              <w:left w:val="nil"/>
                              <w:bottom w:val="nil"/>
                              <w:right w:val="nil"/>
                            </w:tcBorders>
                            <w:shd w:val="clear" w:color="auto" w:fill="auto"/>
                            <w:noWrap/>
                            <w:vAlign w:val="bottom"/>
                            <w:hideMark/>
                          </w:tcPr>
                          <w:p w14:paraId="578021D4"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0.10***</w:t>
                            </w:r>
                          </w:p>
                        </w:tc>
                      </w:tr>
                      <w:tr w:rsidR="00DF77C5" w:rsidRPr="00531406" w14:paraId="6CCEACAD"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091800D5" w14:textId="77777777" w:rsidR="00DF77C5" w:rsidRPr="00531406" w:rsidRDefault="00DF77C5" w:rsidP="00531406">
                            <w:pPr>
                              <w:spacing w:after="0"/>
                              <w:jc w:val="center"/>
                              <w:rPr>
                                <w:rFonts w:ascii="Arial" w:eastAsia="Times New Roman" w:hAnsi="Arial" w:cs="Arial"/>
                                <w:color w:val="000000"/>
                                <w:sz w:val="20"/>
                                <w:szCs w:val="20"/>
                                <w:lang w:eastAsia="en-AU"/>
                              </w:rPr>
                            </w:pPr>
                          </w:p>
                        </w:tc>
                        <w:tc>
                          <w:tcPr>
                            <w:tcW w:w="1136" w:type="dxa"/>
                            <w:tcBorders>
                              <w:top w:val="nil"/>
                              <w:left w:val="nil"/>
                              <w:bottom w:val="nil"/>
                              <w:right w:val="nil"/>
                            </w:tcBorders>
                            <w:shd w:val="clear" w:color="auto" w:fill="auto"/>
                            <w:noWrap/>
                            <w:vAlign w:val="bottom"/>
                            <w:hideMark/>
                          </w:tcPr>
                          <w:p w14:paraId="78E49D0E"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(0.02)</w:t>
                            </w:r>
                          </w:p>
                        </w:tc>
                        <w:tc>
                          <w:tcPr>
                            <w:tcW w:w="1137" w:type="dxa"/>
                            <w:tcBorders>
                              <w:top w:val="nil"/>
                              <w:left w:val="nil"/>
                              <w:bottom w:val="nil"/>
                              <w:right w:val="nil"/>
                            </w:tcBorders>
                            <w:shd w:val="clear" w:color="auto" w:fill="auto"/>
                            <w:noWrap/>
                            <w:vAlign w:val="bottom"/>
                            <w:hideMark/>
                          </w:tcPr>
                          <w:p w14:paraId="756A0C5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(0.03)</w:t>
                            </w:r>
                          </w:p>
                        </w:tc>
                        <w:tc>
                          <w:tcPr>
                            <w:tcW w:w="1137" w:type="dxa"/>
                            <w:tcBorders>
                              <w:top w:val="nil"/>
                              <w:left w:val="nil"/>
                              <w:bottom w:val="nil"/>
                              <w:right w:val="nil"/>
                            </w:tcBorders>
                            <w:shd w:val="clear" w:color="auto" w:fill="auto"/>
                            <w:noWrap/>
                            <w:vAlign w:val="bottom"/>
                            <w:hideMark/>
                          </w:tcPr>
                          <w:p w14:paraId="0068089A"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(0.03)</w:t>
                            </w:r>
                          </w:p>
                        </w:tc>
                        <w:tc>
                          <w:tcPr>
                            <w:tcW w:w="1137" w:type="dxa"/>
                            <w:tcBorders>
                              <w:top w:val="nil"/>
                              <w:left w:val="nil"/>
                              <w:bottom w:val="nil"/>
                              <w:right w:val="nil"/>
                            </w:tcBorders>
                            <w:shd w:val="clear" w:color="auto" w:fill="auto"/>
                            <w:noWrap/>
                            <w:vAlign w:val="bottom"/>
                            <w:hideMark/>
                          </w:tcPr>
                          <w:p w14:paraId="321EA8D4"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(0.03)</w:t>
                            </w:r>
                          </w:p>
                        </w:tc>
                        <w:tc>
                          <w:tcPr>
                            <w:tcW w:w="1137" w:type="dxa"/>
                            <w:tcBorders>
                              <w:top w:val="nil"/>
                              <w:left w:val="nil"/>
                              <w:bottom w:val="nil"/>
                              <w:right w:val="nil"/>
                            </w:tcBorders>
                            <w:shd w:val="clear" w:color="auto" w:fill="auto"/>
                            <w:noWrap/>
                            <w:vAlign w:val="bottom"/>
                            <w:hideMark/>
                          </w:tcPr>
                          <w:p w14:paraId="5D3F9F49"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(0.03)</w:t>
                            </w:r>
                          </w:p>
                        </w:tc>
                      </w:tr>
                      <w:tr w:rsidR="00DF77C5" w:rsidRPr="00531406" w14:paraId="7E1983E2"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4FC35E09" w14:textId="77777777" w:rsidR="00DF77C5" w:rsidRPr="00531406" w:rsidRDefault="00DF77C5" w:rsidP="00531406">
                            <w:pPr>
                              <w:spacing w:after="0"/>
                              <w:rPr>
                                <w:rFonts w:ascii="Arial" w:eastAsia="Times New Roman" w:hAnsi="Arial" w:cs="Arial"/>
                                <w:i/>
                                <w:iCs/>
                                <w:color w:val="000000"/>
                                <w:sz w:val="20"/>
                                <w:szCs w:val="20"/>
                                <w:lang w:eastAsia="en-AU"/>
                              </w:rPr>
                            </w:pPr>
                            <w:r w:rsidRPr="00531406">
                              <w:rPr>
                                <w:rFonts w:ascii="Arial" w:eastAsia="Times New Roman" w:hAnsi="Arial" w:cs="Arial"/>
                                <w:i/>
                                <w:iCs/>
                                <w:color w:val="000000"/>
                                <w:sz w:val="20"/>
                                <w:szCs w:val="20"/>
                                <w:lang w:eastAsia="en-AU"/>
                              </w:rPr>
                              <w:t>Panel B: Job-switchers</w:t>
                            </w:r>
                          </w:p>
                        </w:tc>
                        <w:tc>
                          <w:tcPr>
                            <w:tcW w:w="1136" w:type="dxa"/>
                            <w:tcBorders>
                              <w:top w:val="nil"/>
                              <w:left w:val="nil"/>
                              <w:bottom w:val="nil"/>
                              <w:right w:val="nil"/>
                            </w:tcBorders>
                            <w:shd w:val="clear" w:color="auto" w:fill="auto"/>
                            <w:noWrap/>
                            <w:vAlign w:val="bottom"/>
                            <w:hideMark/>
                          </w:tcPr>
                          <w:p w14:paraId="14FB5C69" w14:textId="77777777" w:rsidR="00DF77C5" w:rsidRPr="00531406" w:rsidRDefault="00DF77C5" w:rsidP="00531406">
                            <w:pPr>
                              <w:spacing w:after="0"/>
                              <w:rPr>
                                <w:rFonts w:ascii="Arial" w:eastAsia="Times New Roman" w:hAnsi="Arial" w:cs="Arial"/>
                                <w:i/>
                                <w:iCs/>
                                <w:color w:val="000000"/>
                                <w:sz w:val="20"/>
                                <w:szCs w:val="20"/>
                                <w:lang w:eastAsia="en-AU"/>
                              </w:rPr>
                            </w:pPr>
                          </w:p>
                        </w:tc>
                        <w:tc>
                          <w:tcPr>
                            <w:tcW w:w="1137" w:type="dxa"/>
                            <w:tcBorders>
                              <w:top w:val="nil"/>
                              <w:left w:val="nil"/>
                              <w:bottom w:val="nil"/>
                              <w:right w:val="nil"/>
                            </w:tcBorders>
                            <w:shd w:val="clear" w:color="auto" w:fill="auto"/>
                            <w:noWrap/>
                            <w:vAlign w:val="bottom"/>
                            <w:hideMark/>
                          </w:tcPr>
                          <w:p w14:paraId="0A14D328"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5BF5630C"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6FE5A211"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578756CB"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r>
                      <w:tr w:rsidR="00DF77C5" w:rsidRPr="00531406" w14:paraId="5E1F78A6"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33E562A6"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EE (job-to-job) rate</w:t>
                            </w:r>
                          </w:p>
                        </w:tc>
                        <w:tc>
                          <w:tcPr>
                            <w:tcW w:w="1136" w:type="dxa"/>
                            <w:tcBorders>
                              <w:top w:val="nil"/>
                              <w:left w:val="nil"/>
                              <w:bottom w:val="nil"/>
                              <w:right w:val="nil"/>
                            </w:tcBorders>
                            <w:shd w:val="clear" w:color="auto" w:fill="auto"/>
                            <w:noWrap/>
                            <w:vAlign w:val="bottom"/>
                            <w:hideMark/>
                          </w:tcPr>
                          <w:p w14:paraId="0206435D"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1.78***</w:t>
                            </w:r>
                          </w:p>
                        </w:tc>
                        <w:tc>
                          <w:tcPr>
                            <w:tcW w:w="1137" w:type="dxa"/>
                            <w:tcBorders>
                              <w:top w:val="nil"/>
                              <w:left w:val="nil"/>
                              <w:bottom w:val="nil"/>
                              <w:right w:val="nil"/>
                            </w:tcBorders>
                            <w:shd w:val="clear" w:color="auto" w:fill="auto"/>
                            <w:noWrap/>
                            <w:vAlign w:val="bottom"/>
                            <w:hideMark/>
                          </w:tcPr>
                          <w:p w14:paraId="4552FE1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1.86***</w:t>
                            </w:r>
                          </w:p>
                        </w:tc>
                        <w:tc>
                          <w:tcPr>
                            <w:tcW w:w="1137" w:type="dxa"/>
                            <w:tcBorders>
                              <w:top w:val="nil"/>
                              <w:left w:val="nil"/>
                              <w:bottom w:val="nil"/>
                              <w:right w:val="nil"/>
                            </w:tcBorders>
                            <w:shd w:val="clear" w:color="auto" w:fill="auto"/>
                            <w:noWrap/>
                            <w:vAlign w:val="bottom"/>
                            <w:hideMark/>
                          </w:tcPr>
                          <w:p w14:paraId="1BEA476C"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1.64***</w:t>
                            </w:r>
                          </w:p>
                        </w:tc>
                        <w:tc>
                          <w:tcPr>
                            <w:tcW w:w="1137" w:type="dxa"/>
                            <w:tcBorders>
                              <w:top w:val="nil"/>
                              <w:left w:val="nil"/>
                              <w:bottom w:val="nil"/>
                              <w:right w:val="nil"/>
                            </w:tcBorders>
                            <w:shd w:val="clear" w:color="auto" w:fill="auto"/>
                            <w:noWrap/>
                            <w:vAlign w:val="bottom"/>
                            <w:hideMark/>
                          </w:tcPr>
                          <w:p w14:paraId="05C2B1E9"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1.96***</w:t>
                            </w:r>
                          </w:p>
                        </w:tc>
                        <w:tc>
                          <w:tcPr>
                            <w:tcW w:w="1137" w:type="dxa"/>
                            <w:tcBorders>
                              <w:top w:val="nil"/>
                              <w:left w:val="nil"/>
                              <w:bottom w:val="nil"/>
                              <w:right w:val="nil"/>
                            </w:tcBorders>
                            <w:shd w:val="clear" w:color="auto" w:fill="auto"/>
                            <w:noWrap/>
                            <w:vAlign w:val="bottom"/>
                            <w:hideMark/>
                          </w:tcPr>
                          <w:p w14:paraId="192FE98D"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1.52***</w:t>
                            </w:r>
                          </w:p>
                        </w:tc>
                      </w:tr>
                      <w:tr w:rsidR="00DF77C5" w:rsidRPr="00531406" w14:paraId="3958C889"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78645B82" w14:textId="77777777" w:rsidR="00DF77C5" w:rsidRPr="00531406" w:rsidRDefault="00DF77C5" w:rsidP="00531406">
                            <w:pPr>
                              <w:spacing w:after="0"/>
                              <w:jc w:val="center"/>
                              <w:rPr>
                                <w:rFonts w:ascii="Arial" w:eastAsia="Times New Roman" w:hAnsi="Arial" w:cs="Arial"/>
                                <w:color w:val="000000"/>
                                <w:sz w:val="20"/>
                                <w:szCs w:val="20"/>
                                <w:lang w:eastAsia="en-AU"/>
                              </w:rPr>
                            </w:pPr>
                          </w:p>
                        </w:tc>
                        <w:tc>
                          <w:tcPr>
                            <w:tcW w:w="1136" w:type="dxa"/>
                            <w:tcBorders>
                              <w:top w:val="nil"/>
                              <w:left w:val="nil"/>
                              <w:bottom w:val="nil"/>
                              <w:right w:val="nil"/>
                            </w:tcBorders>
                            <w:shd w:val="clear" w:color="auto" w:fill="auto"/>
                            <w:noWrap/>
                            <w:vAlign w:val="bottom"/>
                            <w:hideMark/>
                          </w:tcPr>
                          <w:p w14:paraId="3D1776F3"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(0.13)</w:t>
                            </w:r>
                          </w:p>
                        </w:tc>
                        <w:tc>
                          <w:tcPr>
                            <w:tcW w:w="1137" w:type="dxa"/>
                            <w:tcBorders>
                              <w:top w:val="nil"/>
                              <w:left w:val="nil"/>
                              <w:bottom w:val="nil"/>
                              <w:right w:val="nil"/>
                            </w:tcBorders>
                            <w:shd w:val="clear" w:color="auto" w:fill="auto"/>
                            <w:noWrap/>
                            <w:vAlign w:val="bottom"/>
                            <w:hideMark/>
                          </w:tcPr>
                          <w:p w14:paraId="483B115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(0.15)</w:t>
                            </w:r>
                          </w:p>
                        </w:tc>
                        <w:tc>
                          <w:tcPr>
                            <w:tcW w:w="1137" w:type="dxa"/>
                            <w:tcBorders>
                              <w:top w:val="nil"/>
                              <w:left w:val="nil"/>
                              <w:bottom w:val="nil"/>
                              <w:right w:val="nil"/>
                            </w:tcBorders>
                            <w:shd w:val="clear" w:color="auto" w:fill="auto"/>
                            <w:noWrap/>
                            <w:vAlign w:val="bottom"/>
                            <w:hideMark/>
                          </w:tcPr>
                          <w:p w14:paraId="1D14C78B"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(0.19)</w:t>
                            </w:r>
                          </w:p>
                        </w:tc>
                        <w:tc>
                          <w:tcPr>
                            <w:tcW w:w="1137" w:type="dxa"/>
                            <w:tcBorders>
                              <w:top w:val="nil"/>
                              <w:left w:val="nil"/>
                              <w:bottom w:val="nil"/>
                              <w:right w:val="nil"/>
                            </w:tcBorders>
                            <w:shd w:val="clear" w:color="auto" w:fill="auto"/>
                            <w:noWrap/>
                            <w:vAlign w:val="bottom"/>
                            <w:hideMark/>
                          </w:tcPr>
                          <w:p w14:paraId="4137D4EC"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(0.21)</w:t>
                            </w:r>
                          </w:p>
                        </w:tc>
                        <w:tc>
                          <w:tcPr>
                            <w:tcW w:w="1137" w:type="dxa"/>
                            <w:tcBorders>
                              <w:top w:val="nil"/>
                              <w:left w:val="nil"/>
                              <w:bottom w:val="nil"/>
                              <w:right w:val="nil"/>
                            </w:tcBorders>
                            <w:shd w:val="clear" w:color="auto" w:fill="auto"/>
                            <w:noWrap/>
                            <w:vAlign w:val="bottom"/>
                            <w:hideMark/>
                          </w:tcPr>
                          <w:p w14:paraId="15F028C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(0.23)</w:t>
                            </w:r>
                          </w:p>
                        </w:tc>
                      </w:tr>
                      <w:tr w:rsidR="00DF77C5" w:rsidRPr="00531406" w14:paraId="0C6FB45D"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1E1207BD"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UE (unemployment-to-job rate)</w:t>
                            </w:r>
                          </w:p>
                        </w:tc>
                        <w:tc>
                          <w:tcPr>
                            <w:tcW w:w="1136" w:type="dxa"/>
                            <w:tcBorders>
                              <w:top w:val="nil"/>
                              <w:left w:val="nil"/>
                              <w:bottom w:val="nil"/>
                              <w:right w:val="nil"/>
                            </w:tcBorders>
                            <w:shd w:val="clear" w:color="auto" w:fill="auto"/>
                            <w:noWrap/>
                            <w:vAlign w:val="bottom"/>
                            <w:hideMark/>
                          </w:tcPr>
                          <w:p w14:paraId="34BF9A94"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-0.13*</w:t>
                            </w:r>
                          </w:p>
                        </w:tc>
                        <w:tc>
                          <w:tcPr>
                            <w:tcW w:w="1137" w:type="dxa"/>
                            <w:tcBorders>
                              <w:top w:val="nil"/>
                              <w:left w:val="nil"/>
                              <w:bottom w:val="nil"/>
                              <w:right w:val="nil"/>
                            </w:tcBorders>
                            <w:shd w:val="clear" w:color="auto" w:fill="auto"/>
                            <w:noWrap/>
                            <w:vAlign w:val="bottom"/>
                            <w:hideMark/>
                          </w:tcPr>
                          <w:p w14:paraId="3599ED1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-0.22***</w:t>
                            </w:r>
                          </w:p>
                        </w:tc>
                        <w:tc>
                          <w:tcPr>
                            <w:tcW w:w="1137" w:type="dxa"/>
                            <w:tcBorders>
                              <w:top w:val="nil"/>
                              <w:left w:val="nil"/>
                              <w:bottom w:val="nil"/>
                              <w:right w:val="nil"/>
                            </w:tcBorders>
                            <w:shd w:val="clear" w:color="auto" w:fill="auto"/>
                            <w:noWrap/>
                            <w:vAlign w:val="bottom"/>
                            <w:hideMark/>
                          </w:tcPr>
                          <w:p w14:paraId="6D297693"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-0.05</w:t>
                            </w:r>
                          </w:p>
                        </w:tc>
                        <w:tc>
                          <w:tcPr>
                            <w:tcW w:w="1137" w:type="dxa"/>
                            <w:tcBorders>
                              <w:top w:val="nil"/>
                              <w:left w:val="nil"/>
                              <w:bottom w:val="nil"/>
                              <w:right w:val="nil"/>
                            </w:tcBorders>
                            <w:shd w:val="clear" w:color="auto" w:fill="auto"/>
                            <w:noWrap/>
                            <w:vAlign w:val="bottom"/>
                            <w:hideMark/>
                          </w:tcPr>
                          <w:p w14:paraId="6AB6E2D4"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-0.15*</w:t>
                            </w:r>
                          </w:p>
                        </w:tc>
                        <w:tc>
                          <w:tcPr>
                            <w:tcW w:w="1137" w:type="dxa"/>
                            <w:tcBorders>
                              <w:top w:val="nil"/>
                              <w:left w:val="nil"/>
                              <w:bottom w:val="nil"/>
                              <w:right w:val="nil"/>
                            </w:tcBorders>
                            <w:shd w:val="clear" w:color="auto" w:fill="auto"/>
                            <w:noWrap/>
                            <w:vAlign w:val="bottom"/>
                            <w:hideMark/>
                          </w:tcPr>
                          <w:p w14:paraId="0528E1EB"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-0.02</w:t>
                            </w:r>
                          </w:p>
                        </w:tc>
                      </w:tr>
                      <w:tr w:rsidR="00DF77C5" w:rsidRPr="00531406" w14:paraId="6A317175"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34670BE8" w14:textId="77777777" w:rsidR="00DF77C5" w:rsidRPr="00531406" w:rsidRDefault="00DF77C5" w:rsidP="00531406">
                            <w:pPr>
                              <w:spacing w:after="0"/>
                              <w:jc w:val="center"/>
                              <w:rPr>
                                <w:rFonts w:ascii="Arial" w:eastAsia="Times New Roman" w:hAnsi="Arial" w:cs="Arial"/>
                                <w:color w:val="000000"/>
                                <w:sz w:val="20"/>
                                <w:szCs w:val="20"/>
                                <w:lang w:eastAsia="en-AU"/>
                              </w:rPr>
                            </w:pPr>
                          </w:p>
                        </w:tc>
                        <w:tc>
                          <w:tcPr>
                            <w:tcW w:w="1136" w:type="dxa"/>
                            <w:tcBorders>
                              <w:top w:val="nil"/>
                              <w:left w:val="nil"/>
                              <w:bottom w:val="nil"/>
                              <w:right w:val="nil"/>
                            </w:tcBorders>
                            <w:shd w:val="clear" w:color="auto" w:fill="auto"/>
                            <w:noWrap/>
                            <w:vAlign w:val="bottom"/>
                            <w:hideMark/>
                          </w:tcPr>
                          <w:p w14:paraId="70409EFE"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(0.07)</w:t>
                            </w:r>
                          </w:p>
                        </w:tc>
                        <w:tc>
                          <w:tcPr>
                            <w:tcW w:w="1137" w:type="dxa"/>
                            <w:tcBorders>
                              <w:top w:val="nil"/>
                              <w:left w:val="nil"/>
                              <w:bottom w:val="nil"/>
                              <w:right w:val="nil"/>
                            </w:tcBorders>
                            <w:shd w:val="clear" w:color="auto" w:fill="auto"/>
                            <w:noWrap/>
                            <w:vAlign w:val="bottom"/>
                            <w:hideMark/>
                          </w:tcPr>
                          <w:p w14:paraId="7A205CB2"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(0.08)</w:t>
                            </w:r>
                          </w:p>
                        </w:tc>
                        <w:tc>
                          <w:tcPr>
                            <w:tcW w:w="1137" w:type="dxa"/>
                            <w:tcBorders>
                              <w:top w:val="nil"/>
                              <w:left w:val="nil"/>
                              <w:bottom w:val="nil"/>
                              <w:right w:val="nil"/>
                            </w:tcBorders>
                            <w:shd w:val="clear" w:color="auto" w:fill="auto"/>
                            <w:noWrap/>
                            <w:vAlign w:val="bottom"/>
                            <w:hideMark/>
                          </w:tcPr>
                          <w:p w14:paraId="4691248E"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(0.07)</w:t>
                            </w:r>
                          </w:p>
                        </w:tc>
                        <w:tc>
                          <w:tcPr>
                            <w:tcW w:w="1137" w:type="dxa"/>
                            <w:tcBorders>
                              <w:top w:val="nil"/>
                              <w:left w:val="nil"/>
                              <w:bottom w:val="nil"/>
                              <w:right w:val="nil"/>
                            </w:tcBorders>
                            <w:shd w:val="clear" w:color="auto" w:fill="auto"/>
                            <w:noWrap/>
                            <w:vAlign w:val="bottom"/>
                            <w:hideMark/>
                          </w:tcPr>
                          <w:p w14:paraId="49343A3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(0.09)</w:t>
                            </w:r>
                          </w:p>
                        </w:tc>
                        <w:tc>
                          <w:tcPr>
                            <w:tcW w:w="1137" w:type="dxa"/>
                            <w:tcBorders>
                              <w:top w:val="nil"/>
                              <w:left w:val="nil"/>
                              <w:bottom w:val="nil"/>
                              <w:right w:val="nil"/>
                            </w:tcBorders>
                            <w:shd w:val="clear" w:color="auto" w:fill="auto"/>
                            <w:noWrap/>
                            <w:vAlign w:val="bottom"/>
                            <w:hideMark/>
                          </w:tcPr>
                          <w:p w14:paraId="73AA5FFD"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(0.09)</w:t>
                            </w:r>
                          </w:p>
                        </w:tc>
                      </w:tr>
                      <w:tr w:rsidR="00DF77C5" w:rsidRPr="00531406" w14:paraId="5D58D569"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05DA7BC9" w14:textId="77777777" w:rsidR="00DF77C5" w:rsidRPr="00531406" w:rsidRDefault="00DF77C5" w:rsidP="00531406">
                            <w:pPr>
                              <w:spacing w:after="0"/>
                              <w:rPr>
                                <w:rFonts w:ascii="Arial" w:eastAsia="Times New Roman" w:hAnsi="Arial" w:cs="Arial"/>
                                <w:i/>
                                <w:iCs/>
                                <w:color w:val="000000"/>
                                <w:sz w:val="20"/>
                                <w:szCs w:val="20"/>
                                <w:lang w:eastAsia="en-AU"/>
                              </w:rPr>
                            </w:pPr>
                            <w:r w:rsidRPr="00531406">
                              <w:rPr>
                                <w:rFonts w:ascii="Arial" w:eastAsia="Times New Roman" w:hAnsi="Arial" w:cs="Arial"/>
                                <w:i/>
                                <w:iCs/>
                                <w:color w:val="000000"/>
                                <w:sz w:val="20"/>
                                <w:szCs w:val="20"/>
                                <w:lang w:eastAsia="en-AU"/>
                              </w:rPr>
                              <w:t>Panel C: Job-stayers</w:t>
                            </w:r>
                          </w:p>
                        </w:tc>
                        <w:tc>
                          <w:tcPr>
                            <w:tcW w:w="1136" w:type="dxa"/>
                            <w:tcBorders>
                              <w:top w:val="nil"/>
                              <w:left w:val="nil"/>
                              <w:bottom w:val="nil"/>
                              <w:right w:val="nil"/>
                            </w:tcBorders>
                            <w:shd w:val="clear" w:color="auto" w:fill="auto"/>
                            <w:noWrap/>
                            <w:vAlign w:val="bottom"/>
                            <w:hideMark/>
                          </w:tcPr>
                          <w:p w14:paraId="29CB7F2D" w14:textId="77777777" w:rsidR="00DF77C5" w:rsidRPr="00531406" w:rsidRDefault="00DF77C5" w:rsidP="00531406">
                            <w:pPr>
                              <w:spacing w:after="0"/>
                              <w:rPr>
                                <w:rFonts w:ascii="Arial" w:eastAsia="Times New Roman" w:hAnsi="Arial" w:cs="Arial"/>
                                <w:i/>
                                <w:iCs/>
                                <w:color w:val="000000"/>
                                <w:sz w:val="20"/>
                                <w:szCs w:val="20"/>
                                <w:lang w:eastAsia="en-AU"/>
                              </w:rPr>
                            </w:pPr>
                          </w:p>
                        </w:tc>
                        <w:tc>
                          <w:tcPr>
                            <w:tcW w:w="1137" w:type="dxa"/>
                            <w:tcBorders>
                              <w:top w:val="nil"/>
                              <w:left w:val="nil"/>
                              <w:bottom w:val="nil"/>
                              <w:right w:val="nil"/>
                            </w:tcBorders>
                            <w:shd w:val="clear" w:color="auto" w:fill="auto"/>
                            <w:noWrap/>
                            <w:vAlign w:val="bottom"/>
                            <w:hideMark/>
                          </w:tcPr>
                          <w:p w14:paraId="7EDA9AD0"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237229FB"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6DC144F1"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2A7ECBB0"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r>
                      <w:tr w:rsidR="00DF77C5" w:rsidRPr="00531406" w14:paraId="42E194EB"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33FFF902"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EE (job-to-job) rate</w:t>
                            </w:r>
                          </w:p>
                        </w:tc>
                        <w:tc>
                          <w:tcPr>
                            <w:tcW w:w="1136" w:type="dxa"/>
                            <w:tcBorders>
                              <w:top w:val="nil"/>
                              <w:left w:val="nil"/>
                              <w:bottom w:val="nil"/>
                              <w:right w:val="nil"/>
                            </w:tcBorders>
                            <w:shd w:val="clear" w:color="auto" w:fill="auto"/>
                            <w:noWrap/>
                            <w:vAlign w:val="bottom"/>
                            <w:hideMark/>
                          </w:tcPr>
                          <w:p w14:paraId="7E008FB9"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0.40***</w:t>
                            </w:r>
                          </w:p>
                        </w:tc>
                        <w:tc>
                          <w:tcPr>
                            <w:tcW w:w="1137" w:type="dxa"/>
                            <w:tcBorders>
                              <w:top w:val="nil"/>
                              <w:left w:val="nil"/>
                              <w:bottom w:val="nil"/>
                              <w:right w:val="nil"/>
                            </w:tcBorders>
                            <w:shd w:val="clear" w:color="auto" w:fill="auto"/>
                            <w:noWrap/>
                            <w:vAlign w:val="bottom"/>
                            <w:hideMark/>
                          </w:tcPr>
                          <w:p w14:paraId="7696AFC7"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0.35***</w:t>
                            </w:r>
                          </w:p>
                        </w:tc>
                        <w:tc>
                          <w:tcPr>
                            <w:tcW w:w="1137" w:type="dxa"/>
                            <w:tcBorders>
                              <w:top w:val="nil"/>
                              <w:left w:val="nil"/>
                              <w:bottom w:val="nil"/>
                              <w:right w:val="nil"/>
                            </w:tcBorders>
                            <w:shd w:val="clear" w:color="auto" w:fill="auto"/>
                            <w:noWrap/>
                            <w:vAlign w:val="bottom"/>
                            <w:hideMark/>
                          </w:tcPr>
                          <w:p w14:paraId="0DE26400"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0.45***</w:t>
                            </w:r>
                          </w:p>
                        </w:tc>
                        <w:tc>
                          <w:tcPr>
                            <w:tcW w:w="1137" w:type="dxa"/>
                            <w:tcBorders>
                              <w:top w:val="nil"/>
                              <w:left w:val="nil"/>
                              <w:bottom w:val="nil"/>
                              <w:right w:val="nil"/>
                            </w:tcBorders>
                            <w:shd w:val="clear" w:color="auto" w:fill="auto"/>
                            <w:noWrap/>
                            <w:vAlign w:val="bottom"/>
                            <w:hideMark/>
                          </w:tcPr>
                          <w:p w14:paraId="41230D7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0.47***</w:t>
                            </w:r>
                          </w:p>
                        </w:tc>
                        <w:tc>
                          <w:tcPr>
                            <w:tcW w:w="1137" w:type="dxa"/>
                            <w:tcBorders>
                              <w:top w:val="nil"/>
                              <w:left w:val="nil"/>
                              <w:bottom w:val="nil"/>
                              <w:right w:val="nil"/>
                            </w:tcBorders>
                            <w:shd w:val="clear" w:color="auto" w:fill="auto"/>
                            <w:noWrap/>
                            <w:vAlign w:val="bottom"/>
                            <w:hideMark/>
                          </w:tcPr>
                          <w:p w14:paraId="78C89AA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0.32***</w:t>
                            </w:r>
                          </w:p>
                        </w:tc>
                      </w:tr>
                      <w:tr w:rsidR="00DF77C5" w:rsidRPr="00531406" w14:paraId="11E54D8C"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631AC147" w14:textId="77777777" w:rsidR="00DF77C5" w:rsidRPr="00531406" w:rsidRDefault="00DF77C5" w:rsidP="00531406">
                            <w:pPr>
                              <w:spacing w:after="0"/>
                              <w:jc w:val="center"/>
                              <w:rPr>
                                <w:rFonts w:ascii="Arial" w:eastAsia="Times New Roman" w:hAnsi="Arial" w:cs="Arial"/>
                                <w:color w:val="000000"/>
                                <w:sz w:val="20"/>
                                <w:szCs w:val="20"/>
                                <w:lang w:eastAsia="en-AU"/>
                              </w:rPr>
                            </w:pPr>
                          </w:p>
                        </w:tc>
                        <w:tc>
                          <w:tcPr>
                            <w:tcW w:w="1136" w:type="dxa"/>
                            <w:tcBorders>
                              <w:top w:val="nil"/>
                              <w:left w:val="nil"/>
                              <w:bottom w:val="nil"/>
                              <w:right w:val="nil"/>
                            </w:tcBorders>
                            <w:shd w:val="clear" w:color="auto" w:fill="auto"/>
                            <w:noWrap/>
                            <w:vAlign w:val="bottom"/>
                            <w:hideMark/>
                          </w:tcPr>
                          <w:p w14:paraId="1475ACB1"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(0.05)</w:t>
                            </w:r>
                          </w:p>
                        </w:tc>
                        <w:tc>
                          <w:tcPr>
                            <w:tcW w:w="1137" w:type="dxa"/>
                            <w:tcBorders>
                              <w:top w:val="nil"/>
                              <w:left w:val="nil"/>
                              <w:bottom w:val="nil"/>
                              <w:right w:val="nil"/>
                            </w:tcBorders>
                            <w:shd w:val="clear" w:color="auto" w:fill="auto"/>
                            <w:noWrap/>
                            <w:vAlign w:val="bottom"/>
                            <w:hideMark/>
                          </w:tcPr>
                          <w:p w14:paraId="016ECB5C"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(0.06)</w:t>
                            </w:r>
                          </w:p>
                        </w:tc>
                        <w:tc>
                          <w:tcPr>
                            <w:tcW w:w="1137" w:type="dxa"/>
                            <w:tcBorders>
                              <w:top w:val="nil"/>
                              <w:left w:val="nil"/>
                              <w:bottom w:val="nil"/>
                              <w:right w:val="nil"/>
                            </w:tcBorders>
                            <w:shd w:val="clear" w:color="auto" w:fill="auto"/>
                            <w:noWrap/>
                            <w:vAlign w:val="bottom"/>
                            <w:hideMark/>
                          </w:tcPr>
                          <w:p w14:paraId="127C3FB9"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(0.08)</w:t>
                            </w:r>
                          </w:p>
                        </w:tc>
                        <w:tc>
                          <w:tcPr>
                            <w:tcW w:w="1137" w:type="dxa"/>
                            <w:tcBorders>
                              <w:top w:val="nil"/>
                              <w:left w:val="nil"/>
                              <w:bottom w:val="nil"/>
                              <w:right w:val="nil"/>
                            </w:tcBorders>
                            <w:shd w:val="clear" w:color="auto" w:fill="auto"/>
                            <w:noWrap/>
                            <w:vAlign w:val="bottom"/>
                            <w:hideMark/>
                          </w:tcPr>
                          <w:p w14:paraId="43A551A2"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(0.09)</w:t>
                            </w:r>
                          </w:p>
                        </w:tc>
                        <w:tc>
                          <w:tcPr>
                            <w:tcW w:w="1137" w:type="dxa"/>
                            <w:tcBorders>
                              <w:top w:val="nil"/>
                              <w:left w:val="nil"/>
                              <w:bottom w:val="nil"/>
                              <w:right w:val="nil"/>
                            </w:tcBorders>
                            <w:shd w:val="clear" w:color="auto" w:fill="auto"/>
                            <w:noWrap/>
                            <w:vAlign w:val="bottom"/>
                            <w:hideMark/>
                          </w:tcPr>
                          <w:p w14:paraId="38398663"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(0.10)</w:t>
                            </w:r>
                          </w:p>
                        </w:tc>
                      </w:tr>
                      <w:tr w:rsidR="00DF77C5" w:rsidRPr="00531406" w14:paraId="5E69DCFD"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24DCB593"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UE (unemployment-to-job rate)</w:t>
                            </w:r>
                          </w:p>
                        </w:tc>
                        <w:tc>
                          <w:tcPr>
                            <w:tcW w:w="1136" w:type="dxa"/>
                            <w:tcBorders>
                              <w:top w:val="nil"/>
                              <w:left w:val="nil"/>
                              <w:bottom w:val="nil"/>
                              <w:right w:val="nil"/>
                            </w:tcBorders>
                            <w:shd w:val="clear" w:color="auto" w:fill="auto"/>
                            <w:noWrap/>
                            <w:vAlign w:val="bottom"/>
                            <w:hideMark/>
                          </w:tcPr>
                          <w:p w14:paraId="422E875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0.17***</w:t>
                            </w:r>
                          </w:p>
                        </w:tc>
                        <w:tc>
                          <w:tcPr>
                            <w:tcW w:w="1137" w:type="dxa"/>
                            <w:tcBorders>
                              <w:top w:val="nil"/>
                              <w:left w:val="nil"/>
                              <w:bottom w:val="nil"/>
                              <w:right w:val="nil"/>
                            </w:tcBorders>
                            <w:shd w:val="clear" w:color="auto" w:fill="auto"/>
                            <w:noWrap/>
                            <w:vAlign w:val="bottom"/>
                            <w:hideMark/>
                          </w:tcPr>
                          <w:p w14:paraId="0E0B04A0"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0.16***</w:t>
                            </w:r>
                          </w:p>
                        </w:tc>
                        <w:tc>
                          <w:tcPr>
                            <w:tcW w:w="1137" w:type="dxa"/>
                            <w:tcBorders>
                              <w:top w:val="nil"/>
                              <w:left w:val="nil"/>
                              <w:bottom w:val="nil"/>
                              <w:right w:val="nil"/>
                            </w:tcBorders>
                            <w:shd w:val="clear" w:color="auto" w:fill="auto"/>
                            <w:noWrap/>
                            <w:vAlign w:val="bottom"/>
                            <w:hideMark/>
                          </w:tcPr>
                          <w:p w14:paraId="57BD36CE"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0.11***</w:t>
                            </w:r>
                          </w:p>
                        </w:tc>
                        <w:tc>
                          <w:tcPr>
                            <w:tcW w:w="1137" w:type="dxa"/>
                            <w:tcBorders>
                              <w:top w:val="nil"/>
                              <w:left w:val="nil"/>
                              <w:bottom w:val="nil"/>
                              <w:right w:val="nil"/>
                            </w:tcBorders>
                            <w:shd w:val="clear" w:color="auto" w:fill="auto"/>
                            <w:noWrap/>
                            <w:vAlign w:val="bottom"/>
                            <w:hideMark/>
                          </w:tcPr>
                          <w:p w14:paraId="10EC5E0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0.13***</w:t>
                            </w:r>
                          </w:p>
                        </w:tc>
                        <w:tc>
                          <w:tcPr>
                            <w:tcW w:w="1137" w:type="dxa"/>
                            <w:tcBorders>
                              <w:top w:val="nil"/>
                              <w:left w:val="nil"/>
                              <w:bottom w:val="nil"/>
                              <w:right w:val="nil"/>
                            </w:tcBorders>
                            <w:shd w:val="clear" w:color="auto" w:fill="auto"/>
                            <w:noWrap/>
                            <w:vAlign w:val="bottom"/>
                            <w:hideMark/>
                          </w:tcPr>
                          <w:p w14:paraId="56DFAFD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0.11***</w:t>
                            </w:r>
                          </w:p>
                        </w:tc>
                      </w:tr>
                      <w:tr w:rsidR="00DF77C5" w:rsidRPr="00531406" w14:paraId="3F4EA5D0"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1E4FC8DA" w14:textId="77777777" w:rsidR="00DF77C5" w:rsidRPr="00531406" w:rsidRDefault="00DF77C5" w:rsidP="00531406">
                            <w:pPr>
                              <w:spacing w:after="0"/>
                              <w:jc w:val="center"/>
                              <w:rPr>
                                <w:rFonts w:ascii="Arial" w:eastAsia="Times New Roman" w:hAnsi="Arial" w:cs="Arial"/>
                                <w:color w:val="000000"/>
                                <w:sz w:val="20"/>
                                <w:szCs w:val="20"/>
                                <w:lang w:eastAsia="en-AU"/>
                              </w:rPr>
                            </w:pPr>
                          </w:p>
                        </w:tc>
                        <w:tc>
                          <w:tcPr>
                            <w:tcW w:w="1136" w:type="dxa"/>
                            <w:tcBorders>
                              <w:top w:val="nil"/>
                              <w:left w:val="nil"/>
                              <w:bottom w:val="nil"/>
                              <w:right w:val="nil"/>
                            </w:tcBorders>
                            <w:shd w:val="clear" w:color="auto" w:fill="auto"/>
                            <w:noWrap/>
                            <w:vAlign w:val="bottom"/>
                            <w:hideMark/>
                          </w:tcPr>
                          <w:p w14:paraId="75D91F1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(0.02)</w:t>
                            </w:r>
                          </w:p>
                        </w:tc>
                        <w:tc>
                          <w:tcPr>
                            <w:tcW w:w="1137" w:type="dxa"/>
                            <w:tcBorders>
                              <w:top w:val="nil"/>
                              <w:left w:val="nil"/>
                              <w:bottom w:val="nil"/>
                              <w:right w:val="nil"/>
                            </w:tcBorders>
                            <w:shd w:val="clear" w:color="auto" w:fill="auto"/>
                            <w:noWrap/>
                            <w:vAlign w:val="bottom"/>
                            <w:hideMark/>
                          </w:tcPr>
                          <w:p w14:paraId="258ADBFF"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(0.03)</w:t>
                            </w:r>
                          </w:p>
                        </w:tc>
                        <w:tc>
                          <w:tcPr>
                            <w:tcW w:w="1137" w:type="dxa"/>
                            <w:tcBorders>
                              <w:top w:val="nil"/>
                              <w:left w:val="nil"/>
                              <w:bottom w:val="nil"/>
                              <w:right w:val="nil"/>
                            </w:tcBorders>
                            <w:shd w:val="clear" w:color="auto" w:fill="auto"/>
                            <w:noWrap/>
                            <w:vAlign w:val="bottom"/>
                            <w:hideMark/>
                          </w:tcPr>
                          <w:p w14:paraId="5B269E47"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(0.03)</w:t>
                            </w:r>
                          </w:p>
                        </w:tc>
                        <w:tc>
                          <w:tcPr>
                            <w:tcW w:w="1137" w:type="dxa"/>
                            <w:tcBorders>
                              <w:top w:val="nil"/>
                              <w:left w:val="nil"/>
                              <w:bottom w:val="nil"/>
                              <w:right w:val="nil"/>
                            </w:tcBorders>
                            <w:shd w:val="clear" w:color="auto" w:fill="auto"/>
                            <w:noWrap/>
                            <w:vAlign w:val="bottom"/>
                            <w:hideMark/>
                          </w:tcPr>
                          <w:p w14:paraId="7392DF0F"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(0.04)</w:t>
                            </w:r>
                          </w:p>
                        </w:tc>
                        <w:tc>
                          <w:tcPr>
                            <w:tcW w:w="1137" w:type="dxa"/>
                            <w:tcBorders>
                              <w:top w:val="nil"/>
                              <w:left w:val="nil"/>
                              <w:bottom w:val="nil"/>
                              <w:right w:val="nil"/>
                            </w:tcBorders>
                            <w:shd w:val="clear" w:color="auto" w:fill="auto"/>
                            <w:noWrap/>
                            <w:vAlign w:val="bottom"/>
                            <w:hideMark/>
                          </w:tcPr>
                          <w:p w14:paraId="64843769"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(0.04)</w:t>
                            </w:r>
                          </w:p>
                        </w:tc>
                      </w:tr>
                      <w:tr w:rsidR="00DF77C5" w:rsidRPr="00531406" w14:paraId="27259EB4" w14:textId="77777777" w:rsidTr="00E91637">
                        <w:trPr>
                          <w:trHeight w:val="255"/>
                          <w:jc w:val="center"/>
                        </w:trPr>
                        <w:tc>
                          <w:tcPr>
                            <w:tcW w:w="3440" w:type="dxa"/>
                            <w:tcBorders>
                              <w:top w:val="nil"/>
                              <w:left w:val="nil"/>
                              <w:bottom w:val="single" w:sz="4" w:space="0" w:color="auto"/>
                              <w:right w:val="nil"/>
                            </w:tcBorders>
                            <w:shd w:val="clear" w:color="auto" w:fill="auto"/>
                            <w:noWrap/>
                            <w:vAlign w:val="bottom"/>
                            <w:hideMark/>
                          </w:tcPr>
                          <w:p w14:paraId="473C0144" w14:textId="77777777" w:rsidR="00DF77C5" w:rsidRPr="00531406" w:rsidRDefault="00DF77C5" w:rsidP="00531406">
                            <w:pPr>
                              <w:spacing w:after="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6" w:type="dxa"/>
                            <w:tcBorders>
                              <w:top w:val="nil"/>
                              <w:left w:val="nil"/>
                              <w:bottom w:val="single" w:sz="4" w:space="0" w:color="auto"/>
                              <w:right w:val="nil"/>
                            </w:tcBorders>
                            <w:shd w:val="clear" w:color="auto" w:fill="auto"/>
                            <w:noWrap/>
                            <w:vAlign w:val="bottom"/>
                            <w:hideMark/>
                          </w:tcPr>
                          <w:p w14:paraId="64096C56"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nil"/>
                              <w:left w:val="nil"/>
                              <w:bottom w:val="single" w:sz="4" w:space="0" w:color="auto"/>
                              <w:right w:val="nil"/>
                            </w:tcBorders>
                            <w:shd w:val="clear" w:color="auto" w:fill="auto"/>
                            <w:noWrap/>
                            <w:vAlign w:val="bottom"/>
                            <w:hideMark/>
                          </w:tcPr>
                          <w:p w14:paraId="588E08E4"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nil"/>
                              <w:left w:val="nil"/>
                              <w:bottom w:val="single" w:sz="4" w:space="0" w:color="auto"/>
                              <w:right w:val="nil"/>
                            </w:tcBorders>
                            <w:shd w:val="clear" w:color="auto" w:fill="auto"/>
                            <w:noWrap/>
                            <w:vAlign w:val="bottom"/>
                            <w:hideMark/>
                          </w:tcPr>
                          <w:p w14:paraId="5BF7F103"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nil"/>
                              <w:left w:val="nil"/>
                              <w:bottom w:val="single" w:sz="4" w:space="0" w:color="auto"/>
                              <w:right w:val="nil"/>
                            </w:tcBorders>
                            <w:shd w:val="clear" w:color="auto" w:fill="auto"/>
                            <w:noWrap/>
                            <w:vAlign w:val="bottom"/>
                            <w:hideMark/>
                          </w:tcPr>
                          <w:p w14:paraId="51E5E64B"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nil"/>
                              <w:left w:val="nil"/>
                              <w:bottom w:val="single" w:sz="4" w:space="0" w:color="auto"/>
                              <w:right w:val="nil"/>
                            </w:tcBorders>
                            <w:shd w:val="clear" w:color="auto" w:fill="auto"/>
                            <w:noWrap/>
                            <w:vAlign w:val="bottom"/>
                            <w:hideMark/>
                          </w:tcPr>
                          <w:p w14:paraId="7BC09BCA"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r>
                      <w:tr w:rsidR="00DF77C5" w:rsidRPr="00531406" w14:paraId="054D58A4"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69461EDA" w14:textId="77777777" w:rsidR="00DF77C5" w:rsidRPr="00531406" w:rsidRDefault="00DF77C5" w:rsidP="00531406">
                            <w:pPr>
                              <w:spacing w:after="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Specification details</w:t>
                            </w:r>
                          </w:p>
                        </w:tc>
                        <w:tc>
                          <w:tcPr>
                            <w:tcW w:w="1136" w:type="dxa"/>
                            <w:tcBorders>
                              <w:top w:val="nil"/>
                              <w:left w:val="nil"/>
                              <w:bottom w:val="nil"/>
                              <w:right w:val="nil"/>
                            </w:tcBorders>
                            <w:shd w:val="clear" w:color="auto" w:fill="auto"/>
                            <w:noWrap/>
                            <w:vAlign w:val="bottom"/>
                            <w:hideMark/>
                          </w:tcPr>
                          <w:p w14:paraId="421A8BA1" w14:textId="77777777" w:rsidR="00DF77C5" w:rsidRPr="00531406" w:rsidRDefault="00DF77C5" w:rsidP="00531406">
                            <w:pPr>
                              <w:spacing w:after="0"/>
                              <w:rPr>
                                <w:rFonts w:ascii="Arial" w:eastAsia="Times New Roman" w:hAnsi="Arial" w:cs="Arial"/>
                                <w:color w:val="000000"/>
                                <w:sz w:val="20"/>
                                <w:szCs w:val="20"/>
                                <w:lang w:eastAsia="en-AU"/>
                              </w:rPr>
                            </w:pPr>
                          </w:p>
                        </w:tc>
                        <w:tc>
                          <w:tcPr>
                            <w:tcW w:w="1137" w:type="dxa"/>
                            <w:tcBorders>
                              <w:top w:val="nil"/>
                              <w:left w:val="nil"/>
                              <w:bottom w:val="nil"/>
                              <w:right w:val="nil"/>
                            </w:tcBorders>
                            <w:shd w:val="clear" w:color="auto" w:fill="auto"/>
                            <w:noWrap/>
                            <w:vAlign w:val="bottom"/>
                            <w:hideMark/>
                          </w:tcPr>
                          <w:p w14:paraId="0F6B71B0"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27F52A61"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0367A2FC"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39E4458F"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r>
                      <w:tr w:rsidR="00DF77C5" w:rsidRPr="00531406" w14:paraId="36A93A58"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034E4F51"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Year fixed effect</w:t>
                            </w:r>
                          </w:p>
                        </w:tc>
                        <w:tc>
                          <w:tcPr>
                            <w:tcW w:w="1136" w:type="dxa"/>
                            <w:tcBorders>
                              <w:top w:val="nil"/>
                              <w:left w:val="nil"/>
                              <w:bottom w:val="nil"/>
                              <w:right w:val="nil"/>
                            </w:tcBorders>
                            <w:shd w:val="clear" w:color="auto" w:fill="auto"/>
                            <w:noWrap/>
                            <w:vAlign w:val="bottom"/>
                            <w:hideMark/>
                          </w:tcPr>
                          <w:p w14:paraId="6E4591B1"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7DF32724"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743179F3"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29205272"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580799EF"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r>
                      <w:tr w:rsidR="00DF77C5" w:rsidRPr="00531406" w14:paraId="516B3703"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1530179D"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SA4 fixed effect</w:t>
                            </w:r>
                          </w:p>
                        </w:tc>
                        <w:tc>
                          <w:tcPr>
                            <w:tcW w:w="1136" w:type="dxa"/>
                            <w:tcBorders>
                              <w:top w:val="nil"/>
                              <w:left w:val="nil"/>
                              <w:bottom w:val="nil"/>
                              <w:right w:val="nil"/>
                            </w:tcBorders>
                            <w:shd w:val="clear" w:color="auto" w:fill="auto"/>
                            <w:noWrap/>
                            <w:vAlign w:val="bottom"/>
                            <w:hideMark/>
                          </w:tcPr>
                          <w:p w14:paraId="7106AD1C"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282C0B87"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3CC2F35D"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1DFF0EE7"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5CEB7EC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r>
                      <w:tr w:rsidR="00DF77C5" w:rsidRPr="00531406" w14:paraId="5BABF3BC"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192A5A10"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SA4 trend</w:t>
                            </w:r>
                          </w:p>
                        </w:tc>
                        <w:tc>
                          <w:tcPr>
                            <w:tcW w:w="1136" w:type="dxa"/>
                            <w:tcBorders>
                              <w:top w:val="nil"/>
                              <w:left w:val="nil"/>
                              <w:bottom w:val="nil"/>
                              <w:right w:val="nil"/>
                            </w:tcBorders>
                            <w:shd w:val="clear" w:color="auto" w:fill="auto"/>
                            <w:noWrap/>
                            <w:vAlign w:val="bottom"/>
                            <w:hideMark/>
                          </w:tcPr>
                          <w:p w14:paraId="08CDE7D7"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p>
                        </w:tc>
                        <w:tc>
                          <w:tcPr>
                            <w:tcW w:w="1137" w:type="dxa"/>
                            <w:tcBorders>
                              <w:top w:val="nil"/>
                              <w:left w:val="nil"/>
                              <w:bottom w:val="nil"/>
                              <w:right w:val="nil"/>
                            </w:tcBorders>
                            <w:shd w:val="clear" w:color="auto" w:fill="auto"/>
                            <w:noWrap/>
                            <w:vAlign w:val="bottom"/>
                            <w:hideMark/>
                          </w:tcPr>
                          <w:p w14:paraId="5E43D64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6B806451" w14:textId="77777777" w:rsidR="00DF77C5" w:rsidRPr="00531406" w:rsidRDefault="00DF77C5" w:rsidP="00531406">
                            <w:pPr>
                              <w:spacing w:after="0"/>
                              <w:jc w:val="center"/>
                              <w:rPr>
                                <w:rFonts w:ascii="Arial" w:eastAsia="Times New Roman" w:hAnsi="Arial" w:cs="Arial"/>
                                <w:color w:val="000000"/>
                                <w:sz w:val="20"/>
                                <w:szCs w:val="20"/>
                                <w:lang w:eastAsia="en-AU"/>
                              </w:rPr>
                            </w:pPr>
                          </w:p>
                        </w:tc>
                        <w:tc>
                          <w:tcPr>
                            <w:tcW w:w="1137" w:type="dxa"/>
                            <w:tcBorders>
                              <w:top w:val="nil"/>
                              <w:left w:val="nil"/>
                              <w:bottom w:val="nil"/>
                              <w:right w:val="nil"/>
                            </w:tcBorders>
                            <w:shd w:val="clear" w:color="auto" w:fill="auto"/>
                            <w:noWrap/>
                            <w:vAlign w:val="bottom"/>
                            <w:hideMark/>
                          </w:tcPr>
                          <w:p w14:paraId="3795614D"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78C293C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r>
                      <w:tr w:rsidR="00DF77C5" w:rsidRPr="00531406" w14:paraId="2E91C506" w14:textId="77777777" w:rsidTr="00E91637">
                        <w:trPr>
                          <w:trHeight w:val="255"/>
                          <w:jc w:val="center"/>
                        </w:trPr>
                        <w:tc>
                          <w:tcPr>
                            <w:tcW w:w="3440" w:type="dxa"/>
                            <w:tcBorders>
                              <w:top w:val="nil"/>
                              <w:left w:val="nil"/>
                              <w:bottom w:val="nil"/>
                              <w:right w:val="nil"/>
                            </w:tcBorders>
                            <w:shd w:val="clear" w:color="auto" w:fill="auto"/>
                            <w:noWrap/>
                            <w:vAlign w:val="bottom"/>
                            <w:hideMark/>
                          </w:tcPr>
                          <w:p w14:paraId="6EB26735"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xml:space="preserve">State X Year fixed effect </w:t>
                            </w:r>
                          </w:p>
                        </w:tc>
                        <w:tc>
                          <w:tcPr>
                            <w:tcW w:w="1136" w:type="dxa"/>
                            <w:tcBorders>
                              <w:top w:val="nil"/>
                              <w:left w:val="nil"/>
                              <w:bottom w:val="nil"/>
                              <w:right w:val="nil"/>
                            </w:tcBorders>
                            <w:shd w:val="clear" w:color="auto" w:fill="auto"/>
                            <w:noWrap/>
                            <w:vAlign w:val="bottom"/>
                            <w:hideMark/>
                          </w:tcPr>
                          <w:p w14:paraId="4D2E5C61"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p>
                        </w:tc>
                        <w:tc>
                          <w:tcPr>
                            <w:tcW w:w="1137" w:type="dxa"/>
                            <w:tcBorders>
                              <w:top w:val="nil"/>
                              <w:left w:val="nil"/>
                              <w:bottom w:val="nil"/>
                              <w:right w:val="nil"/>
                            </w:tcBorders>
                            <w:shd w:val="clear" w:color="auto" w:fill="auto"/>
                            <w:noWrap/>
                            <w:vAlign w:val="bottom"/>
                            <w:hideMark/>
                          </w:tcPr>
                          <w:p w14:paraId="069AE675" w14:textId="77777777" w:rsidR="00DF77C5" w:rsidRPr="00531406" w:rsidRDefault="00DF77C5" w:rsidP="00531406">
                            <w:pPr>
                              <w:spacing w:after="0"/>
                              <w:jc w:val="center"/>
                              <w:rPr>
                                <w:rFonts w:ascii="Times New Roman" w:eastAsia="Times New Roman" w:hAnsi="Times New Roman" w:cs="Times New Roman"/>
                                <w:color w:val="auto"/>
                                <w:sz w:val="20"/>
                                <w:szCs w:val="20"/>
                                <w:lang w:eastAsia="en-AU"/>
                              </w:rPr>
                            </w:pPr>
                          </w:p>
                        </w:tc>
                        <w:tc>
                          <w:tcPr>
                            <w:tcW w:w="1137" w:type="dxa"/>
                            <w:tcBorders>
                              <w:top w:val="nil"/>
                              <w:left w:val="nil"/>
                              <w:bottom w:val="nil"/>
                              <w:right w:val="nil"/>
                            </w:tcBorders>
                            <w:shd w:val="clear" w:color="auto" w:fill="auto"/>
                            <w:noWrap/>
                            <w:vAlign w:val="bottom"/>
                            <w:hideMark/>
                          </w:tcPr>
                          <w:p w14:paraId="7F87DB96"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19FFF577"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c>
                          <w:tcPr>
                            <w:tcW w:w="1137" w:type="dxa"/>
                            <w:tcBorders>
                              <w:top w:val="nil"/>
                              <w:left w:val="nil"/>
                              <w:bottom w:val="nil"/>
                              <w:right w:val="nil"/>
                            </w:tcBorders>
                            <w:shd w:val="clear" w:color="auto" w:fill="auto"/>
                            <w:noWrap/>
                            <w:vAlign w:val="bottom"/>
                            <w:hideMark/>
                          </w:tcPr>
                          <w:p w14:paraId="0B78A655"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r>
                      <w:tr w:rsidR="00DF77C5" w:rsidRPr="00531406" w14:paraId="7E95FE06" w14:textId="77777777" w:rsidTr="00E91637">
                        <w:trPr>
                          <w:trHeight w:val="270"/>
                          <w:jc w:val="center"/>
                        </w:trPr>
                        <w:tc>
                          <w:tcPr>
                            <w:tcW w:w="3440" w:type="dxa"/>
                            <w:tcBorders>
                              <w:top w:val="nil"/>
                              <w:left w:val="nil"/>
                              <w:bottom w:val="double" w:sz="6" w:space="0" w:color="auto"/>
                              <w:right w:val="nil"/>
                            </w:tcBorders>
                            <w:shd w:val="clear" w:color="auto" w:fill="auto"/>
                            <w:noWrap/>
                            <w:vAlign w:val="bottom"/>
                            <w:hideMark/>
                          </w:tcPr>
                          <w:p w14:paraId="29404F39" w14:textId="77777777" w:rsidR="00DF77C5" w:rsidRPr="00531406" w:rsidRDefault="00DF77C5" w:rsidP="00531406">
                            <w:pPr>
                              <w:spacing w:after="0"/>
                              <w:ind w:firstLineChars="100" w:firstLine="200"/>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SA4 time varying controls</w:t>
                            </w:r>
                          </w:p>
                        </w:tc>
                        <w:tc>
                          <w:tcPr>
                            <w:tcW w:w="1136" w:type="dxa"/>
                            <w:tcBorders>
                              <w:top w:val="nil"/>
                              <w:left w:val="nil"/>
                              <w:bottom w:val="double" w:sz="6" w:space="0" w:color="auto"/>
                              <w:right w:val="nil"/>
                            </w:tcBorders>
                            <w:shd w:val="clear" w:color="auto" w:fill="auto"/>
                            <w:noWrap/>
                            <w:vAlign w:val="bottom"/>
                            <w:hideMark/>
                          </w:tcPr>
                          <w:p w14:paraId="232C0198"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nil"/>
                              <w:left w:val="nil"/>
                              <w:bottom w:val="double" w:sz="6" w:space="0" w:color="auto"/>
                              <w:right w:val="nil"/>
                            </w:tcBorders>
                            <w:shd w:val="clear" w:color="auto" w:fill="auto"/>
                            <w:noWrap/>
                            <w:vAlign w:val="bottom"/>
                            <w:hideMark/>
                          </w:tcPr>
                          <w:p w14:paraId="6A45ED6C"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nil"/>
                              <w:left w:val="nil"/>
                              <w:bottom w:val="double" w:sz="6" w:space="0" w:color="auto"/>
                              <w:right w:val="nil"/>
                            </w:tcBorders>
                            <w:shd w:val="clear" w:color="auto" w:fill="auto"/>
                            <w:noWrap/>
                            <w:vAlign w:val="bottom"/>
                            <w:hideMark/>
                          </w:tcPr>
                          <w:p w14:paraId="17B233D6"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nil"/>
                              <w:left w:val="nil"/>
                              <w:bottom w:val="double" w:sz="6" w:space="0" w:color="auto"/>
                              <w:right w:val="nil"/>
                            </w:tcBorders>
                            <w:shd w:val="clear" w:color="auto" w:fill="auto"/>
                            <w:noWrap/>
                            <w:vAlign w:val="bottom"/>
                            <w:hideMark/>
                          </w:tcPr>
                          <w:p w14:paraId="2A7B45ED"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 </w:t>
                            </w:r>
                          </w:p>
                        </w:tc>
                        <w:tc>
                          <w:tcPr>
                            <w:tcW w:w="1137" w:type="dxa"/>
                            <w:tcBorders>
                              <w:top w:val="nil"/>
                              <w:left w:val="nil"/>
                              <w:bottom w:val="double" w:sz="6" w:space="0" w:color="auto"/>
                              <w:right w:val="nil"/>
                            </w:tcBorders>
                            <w:shd w:val="clear" w:color="auto" w:fill="auto"/>
                            <w:noWrap/>
                            <w:vAlign w:val="bottom"/>
                            <w:hideMark/>
                          </w:tcPr>
                          <w:p w14:paraId="56365CE1" w14:textId="77777777" w:rsidR="00DF77C5" w:rsidRPr="00531406" w:rsidRDefault="00DF77C5" w:rsidP="00531406">
                            <w:pPr>
                              <w:spacing w:after="0"/>
                              <w:jc w:val="center"/>
                              <w:rPr>
                                <w:rFonts w:ascii="Arial" w:eastAsia="Times New Roman" w:hAnsi="Arial" w:cs="Arial"/>
                                <w:color w:val="000000"/>
                                <w:sz w:val="20"/>
                                <w:szCs w:val="20"/>
                                <w:lang w:eastAsia="en-AU"/>
                              </w:rPr>
                            </w:pPr>
                            <w:r w:rsidRPr="00531406">
                              <w:rPr>
                                <w:rFonts w:ascii="Arial" w:eastAsia="Times New Roman" w:hAnsi="Arial" w:cs="Arial"/>
                                <w:color w:val="000000"/>
                                <w:sz w:val="20"/>
                                <w:szCs w:val="20"/>
                                <w:lang w:eastAsia="en-AU"/>
                              </w:rPr>
                              <w:t>X</w:t>
                            </w:r>
                          </w:p>
                        </w:tc>
                      </w:tr>
                    </w:tbl>
                    <w:p w14:paraId="5B3F27A9" w14:textId="77777777" w:rsidR="00DF77C5" w:rsidRPr="005E173D" w:rsidRDefault="00DF77C5" w:rsidP="0047267F">
                      <w:pPr>
                        <w:pStyle w:val="ChartorTableNote"/>
                        <w:rPr>
                          <w:sz w:val="20"/>
                        </w:rPr>
                      </w:pPr>
                      <w:r>
                        <w:t xml:space="preserve"> </w:t>
                      </w:r>
                    </w:p>
                  </w:txbxContent>
                </v:textbox>
                <w10:anchorlock/>
              </v:shape>
            </w:pict>
          </mc:Fallback>
        </mc:AlternateContent>
      </w:r>
    </w:p>
    <w:p w14:paraId="33BCFF36" w14:textId="772BA8AD" w:rsidR="009E6FA4" w:rsidRPr="005E173D" w:rsidRDefault="009E6FA4" w:rsidP="009E6FA4">
      <w:pPr>
        <w:pStyle w:val="ChartorTableNote"/>
        <w:rPr>
          <w:sz w:val="20"/>
        </w:rPr>
      </w:pPr>
      <w:r w:rsidRPr="00275A2F">
        <w:t>Note:</w:t>
      </w:r>
      <w:r>
        <w:t xml:space="preserve"> </w:t>
      </w:r>
      <w:r w:rsidRPr="00275A2F">
        <w:t>Presents estimates from equation (1): namely a weighted least squares regression of the change in the natural logarithm of average wages in an SA4 in a given year on the job-to-job and unemployment</w:t>
      </w:r>
      <w:r>
        <w:t>-</w:t>
      </w:r>
      <w:r w:rsidRPr="00275A2F">
        <w:t>to</w:t>
      </w:r>
      <w:r>
        <w:t>-</w:t>
      </w:r>
      <w:r w:rsidRPr="00275A2F">
        <w:t>job transition rates</w:t>
      </w:r>
      <w:r>
        <w:t>,</w:t>
      </w:r>
      <w:r w:rsidRPr="00275A2F">
        <w:t xml:space="preserve"> and a set of control variables.</w:t>
      </w:r>
      <w:r>
        <w:t xml:space="preserve"> </w:t>
      </w:r>
      <w:r w:rsidRPr="00275A2F">
        <w:t>The control variables are as detailed above, noting that the SA4 time</w:t>
      </w:r>
      <w:r w:rsidRPr="00275A2F">
        <w:noBreakHyphen/>
        <w:t>varying controls include the unemployment rate, average number of weeks searching for a job, share of workers in each of 19 one-digit industry classifications based on the Australian</w:t>
      </w:r>
      <w:r w:rsidR="00497BD6">
        <w:t> </w:t>
      </w:r>
      <w:r w:rsidRPr="00275A2F">
        <w:t>Bureau of Statistics Labour Force Survey data</w:t>
      </w:r>
      <w:r>
        <w:t>,</w:t>
      </w:r>
      <w:r w:rsidRPr="00275A2F">
        <w:t xml:space="preserve"> and the average age and proportion</w:t>
      </w:r>
      <w:r>
        <w:t xml:space="preserve"> of</w:t>
      </w:r>
      <w:r w:rsidRPr="00275A2F">
        <w:t xml:space="preserve"> female</w:t>
      </w:r>
      <w:r>
        <w:t>s</w:t>
      </w:r>
      <w:r w:rsidRPr="00275A2F">
        <w:t xml:space="preserve"> </w:t>
      </w:r>
      <w:r>
        <w:t>in</w:t>
      </w:r>
      <w:r w:rsidRPr="00275A2F">
        <w:t xml:space="preserve"> the relevant sample (ABS 2018b; ABS 2018c).</w:t>
      </w:r>
      <w:r>
        <w:t xml:space="preserve"> </w:t>
      </w:r>
      <w:r w:rsidRPr="00275A2F">
        <w:t>Standard errors in parentheses.</w:t>
      </w:r>
      <w:r>
        <w:t xml:space="preserve"> </w:t>
      </w:r>
      <w:r w:rsidRPr="00275A2F">
        <w:t xml:space="preserve">Significance levels are indicated as follows: * 10 </w:t>
      </w:r>
      <w:r w:rsidR="00497BD6">
        <w:t>per cent; ** 5 per cent; *** 1 </w:t>
      </w:r>
      <w:r w:rsidRPr="00275A2F">
        <w:t>per</w:t>
      </w:r>
      <w:r w:rsidR="00497BD6">
        <w:t> </w:t>
      </w:r>
      <w:r w:rsidRPr="00275A2F">
        <w:t>cent.</w:t>
      </w:r>
      <w:r>
        <w:rPr>
          <w:sz w:val="20"/>
        </w:rPr>
        <w:br/>
      </w:r>
      <w:r w:rsidRPr="00F507AB">
        <w:t xml:space="preserve">Source: Treasury calculations using </w:t>
      </w:r>
      <w:r>
        <w:t xml:space="preserve">de-identified </w:t>
      </w:r>
      <w:r w:rsidRPr="00F507AB">
        <w:t>Pay-As-You-Go annual payment summaries, 2004-05 to 2015-16, and the Australian Taxation Office Longitudinal Information Files.</w:t>
      </w:r>
      <w:r>
        <w:rPr>
          <w:sz w:val="20"/>
        </w:rPr>
        <w:t xml:space="preserve">   </w:t>
      </w:r>
    </w:p>
    <w:p w14:paraId="7B99BF85" w14:textId="797B7A63" w:rsidR="009E6FA4" w:rsidRDefault="009E6FA4" w:rsidP="009E6FA4">
      <w:pPr>
        <w:pStyle w:val="SingleParagraph"/>
      </w:pPr>
    </w:p>
    <w:p w14:paraId="64577B38" w14:textId="456D9603" w:rsidR="00B42211" w:rsidRDefault="002A7829" w:rsidP="00FD6D8B">
      <w:pPr>
        <w:jc w:val="both"/>
      </w:pPr>
      <w:r>
        <w:t>These results are economically meaningful, both in the context of aggregate wages growth and the implied effects for individual workers.</w:t>
      </w:r>
      <w:r w:rsidR="00AC01E1">
        <w:t xml:space="preserve"> </w:t>
      </w:r>
      <w:r>
        <w:t>As a simple illustration of this, Figure 4 shows what the coefficients on the job switching rate imply for the additional wages growth received by a worker at the mean level of wages for the relevant group.</w:t>
      </w:r>
      <w:r w:rsidR="00AC01E1">
        <w:t xml:space="preserve"> </w:t>
      </w:r>
      <w:r>
        <w:t>I show the predicted effect of a 2 percentage point increase in the job switching rate – this is roughly the decline in the job switching rate observed over the period examined (from 2006 to 2015).</w:t>
      </w:r>
      <w:r w:rsidR="00AC01E1">
        <w:t xml:space="preserve"> </w:t>
      </w:r>
      <w:r w:rsidR="00B42211">
        <w:t xml:space="preserve">This magnitude is also about twice the standard deviation in the job switching rate after controlling for SA4 and financial year fixed effects, and is thus on par with the </w:t>
      </w:r>
      <w:r w:rsidR="001C5BC7">
        <w:t xml:space="preserve">larger </w:t>
      </w:r>
      <w:r w:rsidR="00B42211">
        <w:t>variation</w:t>
      </w:r>
      <w:r w:rsidR="001C5BC7">
        <w:t>s</w:t>
      </w:r>
      <w:r w:rsidR="00B42211">
        <w:t xml:space="preserve"> observed in the data</w:t>
      </w:r>
      <w:r w:rsidR="00E838F8">
        <w:t xml:space="preserve"> after accounting for</w:t>
      </w:r>
      <w:r w:rsidR="00B42211">
        <w:t xml:space="preserve"> persistent regional effects and the national business cycle.</w:t>
      </w:r>
    </w:p>
    <w:p w14:paraId="5ADBC232" w14:textId="3C11D2FA" w:rsidR="00D375AA" w:rsidRDefault="00BF272F" w:rsidP="00FD6D8B">
      <w:pPr>
        <w:jc w:val="both"/>
      </w:pPr>
      <w:r>
        <w:t>Finally, it is interesting to note that while the rate at which the unemployed find work is associated with higher wages growth, this is entirely driven by those staying in their jobs.</w:t>
      </w:r>
      <w:r w:rsidR="00AC01E1">
        <w:t xml:space="preserve"> </w:t>
      </w:r>
      <w:r>
        <w:t xml:space="preserve">In Karahan et al (2017) they </w:t>
      </w:r>
      <w:r>
        <w:lastRenderedPageBreak/>
        <w:t>find no such association, but note that it is puzzling as theory readily accommodates a role for both</w:t>
      </w:r>
      <w:r w:rsidR="00E838F8">
        <w:t xml:space="preserve"> the unemployment-to-job and job-to-job transition rates</w:t>
      </w:r>
      <w:r>
        <w:t>.</w:t>
      </w:r>
      <w:r w:rsidR="00AC01E1">
        <w:t xml:space="preserve"> </w:t>
      </w:r>
      <w:r>
        <w:t xml:space="preserve">For example, </w:t>
      </w:r>
      <w:r w:rsidR="00E10431">
        <w:t>losing workers is a credible threat whenever they might easily find a new job, whether immediately (through job switching) or after a short stint of unemployment.</w:t>
      </w:r>
      <w:r w:rsidR="00AC01E1">
        <w:t xml:space="preserve"> </w:t>
      </w:r>
      <w:r w:rsidR="00E10431">
        <w:t xml:space="preserve">Thus employers may also need to lift wages to keep workers when </w:t>
      </w:r>
      <w:r w:rsidR="001C5BC7">
        <w:t xml:space="preserve">unemployment-to-job </w:t>
      </w:r>
      <w:r w:rsidR="00E10431">
        <w:t>transition rates are higher.</w:t>
      </w:r>
    </w:p>
    <w:p w14:paraId="01FDC032" w14:textId="1679C731" w:rsidR="001927F6" w:rsidRPr="00F507AB" w:rsidRDefault="001927F6" w:rsidP="00697AED">
      <w:pPr>
        <w:pStyle w:val="FigureHeading"/>
        <w:rPr>
          <w:rStyle w:val="Caption1Char"/>
          <w:rFonts w:eastAsiaTheme="minorHAnsi"/>
        </w:rPr>
        <w:sectPr w:rsidR="001927F6" w:rsidRPr="00F507AB" w:rsidSect="0051465F">
          <w:headerReference w:type="even" r:id="rId39"/>
          <w:headerReference w:type="default" r:id="rId40"/>
          <w:headerReference w:type="first" r:id="rId41"/>
          <w:footerReference w:type="first" r:id="rId42"/>
          <w:type w:val="continuous"/>
          <w:pgSz w:w="11906" w:h="16838" w:code="9"/>
          <w:pgMar w:top="1418" w:right="1304" w:bottom="1418" w:left="1304" w:header="567" w:footer="567" w:gutter="0"/>
          <w:cols w:space="708"/>
          <w:titlePg/>
          <w:docGrid w:linePitch="360"/>
        </w:sectPr>
      </w:pPr>
      <w:r w:rsidRPr="00E91637">
        <w:rPr>
          <w:rStyle w:val="Caption1Char"/>
          <w:rFonts w:eastAsiaTheme="minorHAnsi"/>
        </w:rPr>
        <w:t xml:space="preserve">Figure 4: Predicted effect of a 2 percentage point increase in job-switching rate in a local labour market: additional </w:t>
      </w:r>
      <w:r w:rsidR="00AE35A7" w:rsidRPr="00E91637">
        <w:rPr>
          <w:rStyle w:val="Caption1Char"/>
          <w:rFonts w:eastAsiaTheme="minorHAnsi"/>
        </w:rPr>
        <w:t xml:space="preserve">annual </w:t>
      </w:r>
      <w:r w:rsidRPr="00E91637">
        <w:rPr>
          <w:rStyle w:val="Caption1Char"/>
          <w:rFonts w:eastAsiaTheme="minorHAnsi"/>
        </w:rPr>
        <w:t>wages growth</w:t>
      </w:r>
      <w:r w:rsidR="0091583D">
        <w:rPr>
          <w:noProof/>
        </w:rPr>
        <w:drawing>
          <wp:inline distT="0" distB="0" distL="0" distR="0" wp14:anchorId="0EE35509" wp14:editId="62CABB21">
            <wp:extent cx="5905500" cy="4295775"/>
            <wp:effectExtent l="0" t="0" r="0" b="9525"/>
            <wp:docPr id="19" name="Picture 19" descr="H:\MMPD\Models\Micro Data\Job switching and wages\1. Job switching and wages\Output\Charts\FIG4_Simu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MMPD\Models\Micro Data\Job switching and wages\1. Job switching and wages\Output\Charts\FIG4_Simulation.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05500" cy="4295775"/>
                    </a:xfrm>
                    <a:prstGeom prst="rect">
                      <a:avLst/>
                    </a:prstGeom>
                    <a:noFill/>
                    <a:ln>
                      <a:noFill/>
                    </a:ln>
                  </pic:spPr>
                </pic:pic>
              </a:graphicData>
            </a:graphic>
          </wp:inline>
        </w:drawing>
      </w:r>
    </w:p>
    <w:p w14:paraId="7EC2EBA4" w14:textId="567ABAF2" w:rsidR="001927F6" w:rsidRDefault="001927F6" w:rsidP="00697AED">
      <w:pPr>
        <w:pStyle w:val="ChartorTableNote"/>
      </w:pPr>
      <w:r w:rsidRPr="00275A2F">
        <w:t>Note: Shows, for illustrative purposes only, the predicted effect of a 2 percentage point increase in the job</w:t>
      </w:r>
      <w:r w:rsidRPr="00275A2F">
        <w:noBreakHyphen/>
        <w:t>switching rate in a local labour market on wages growth – either in percentage point terms or in dollar terms (with the latter based on an individual at the mean level of wages for the estimation sample</w:t>
      </w:r>
      <w:r w:rsidR="0051465F" w:rsidRPr="00275A2F">
        <w:t xml:space="preserve"> in 2015-16</w:t>
      </w:r>
      <w:r w:rsidRPr="00275A2F">
        <w:t>).</w:t>
      </w:r>
      <w:r w:rsidR="00AC01E1">
        <w:t xml:space="preserve"> </w:t>
      </w:r>
      <w:r w:rsidRPr="00275A2F">
        <w:t>This is based on coefficient estimates repo</w:t>
      </w:r>
      <w:r w:rsidR="009412D6">
        <w:t>rted in column (5</w:t>
      </w:r>
      <w:r w:rsidR="00E66C68" w:rsidRPr="00275A2F">
        <w:t>) of</w:t>
      </w:r>
      <w:r w:rsidR="00497BD6">
        <w:t> </w:t>
      </w:r>
      <w:r w:rsidR="00E66C68" w:rsidRPr="00275A2F">
        <w:t>Table</w:t>
      </w:r>
      <w:r w:rsidR="00497BD6">
        <w:t> </w:t>
      </w:r>
      <w:r w:rsidR="00C32E80">
        <w:t>2</w:t>
      </w:r>
      <w:r w:rsidR="00E66C68" w:rsidRPr="00275A2F">
        <w:t>.</w:t>
      </w:r>
      <w:r w:rsidR="006F005B">
        <w:t xml:space="preserve"> </w:t>
      </w:r>
      <w:r w:rsidRPr="00275A2F">
        <w:br/>
      </w:r>
      <w:r w:rsidR="00DE7064">
        <w:t>Source: Treasury calculations using de-identified Pay-As-You-Go annual payment summaries, 2004-05 to 2015-16.</w:t>
      </w:r>
    </w:p>
    <w:p w14:paraId="5175C622" w14:textId="77777777" w:rsidR="00697AED" w:rsidRPr="00697AED" w:rsidRDefault="00697AED" w:rsidP="00697AED">
      <w:pPr>
        <w:pStyle w:val="SingleParagraph"/>
        <w:rPr>
          <w:lang w:eastAsia="en-AU"/>
        </w:rPr>
      </w:pPr>
    </w:p>
    <w:p w14:paraId="040E3F7A" w14:textId="613EC40E" w:rsidR="00894EB0" w:rsidRDefault="00894EB0" w:rsidP="00FD6D8B">
      <w:pPr>
        <w:jc w:val="both"/>
      </w:pPr>
      <w:r>
        <w:rPr>
          <w:lang w:val="en-US" w:eastAsia="en-AU"/>
        </w:rPr>
        <w:t xml:space="preserve">In Appendix Table A1, I replicate the results in Table </w:t>
      </w:r>
      <w:r w:rsidR="00C32E80">
        <w:rPr>
          <w:lang w:val="en-US" w:eastAsia="en-AU"/>
        </w:rPr>
        <w:t>2</w:t>
      </w:r>
      <w:r>
        <w:rPr>
          <w:lang w:val="en-US" w:eastAsia="en-AU"/>
        </w:rPr>
        <w:t xml:space="preserve"> with the level rather than change in log wages as the dependent variable.</w:t>
      </w:r>
      <w:r w:rsidR="00AC01E1">
        <w:rPr>
          <w:lang w:val="en-US" w:eastAsia="en-AU"/>
        </w:rPr>
        <w:t xml:space="preserve"> </w:t>
      </w:r>
      <w:r>
        <w:rPr>
          <w:lang w:val="en-US" w:eastAsia="en-AU"/>
        </w:rPr>
        <w:t>This is more akin to</w:t>
      </w:r>
      <w:r w:rsidR="00C32E80">
        <w:rPr>
          <w:lang w:val="en-US" w:eastAsia="en-AU"/>
        </w:rPr>
        <w:t xml:space="preserve"> the</w:t>
      </w:r>
      <w:r>
        <w:rPr>
          <w:lang w:val="en-US" w:eastAsia="en-AU"/>
        </w:rPr>
        <w:t xml:space="preserve"> exercise conducted in Karahan et al (2017).</w:t>
      </w:r>
      <w:r w:rsidR="00AC01E1">
        <w:rPr>
          <w:lang w:val="en-US" w:eastAsia="en-AU"/>
        </w:rPr>
        <w:t xml:space="preserve"> </w:t>
      </w:r>
      <w:r w:rsidR="00DE1632">
        <w:rPr>
          <w:lang w:val="en-US" w:eastAsia="en-AU"/>
        </w:rPr>
        <w:t>The results in Appendix Table A</w:t>
      </w:r>
      <w:r>
        <w:rPr>
          <w:lang w:val="en-US" w:eastAsia="en-AU"/>
        </w:rPr>
        <w:t>1 provide some comfort that the choice of dependent variable has not driven the results.</w:t>
      </w:r>
      <w:r w:rsidR="00AC01E1">
        <w:rPr>
          <w:lang w:val="en-US" w:eastAsia="en-AU"/>
        </w:rPr>
        <w:t xml:space="preserve"> </w:t>
      </w:r>
      <w:r>
        <w:rPr>
          <w:lang w:val="en-US" w:eastAsia="en-AU"/>
        </w:rPr>
        <w:t xml:space="preserve">While the point estimates are more variable across the specifications, the general pattern of results persists – we </w:t>
      </w:r>
      <w:r w:rsidR="00015D27">
        <w:rPr>
          <w:lang w:val="en-US" w:eastAsia="en-AU"/>
        </w:rPr>
        <w:t xml:space="preserve">typically </w:t>
      </w:r>
      <w:r>
        <w:rPr>
          <w:lang w:val="en-US" w:eastAsia="en-AU"/>
        </w:rPr>
        <w:t xml:space="preserve">see a strong association between job-to-job transition rates and wages that is </w:t>
      </w:r>
      <w:r w:rsidRPr="00841D8C">
        <w:rPr>
          <w:lang w:val="en-US" w:eastAsia="en-AU"/>
        </w:rPr>
        <w:t>strongest for switchers but still present for stayers.</w:t>
      </w:r>
      <w:r w:rsidR="00AC01E1">
        <w:rPr>
          <w:lang w:val="en-US" w:eastAsia="en-AU"/>
        </w:rPr>
        <w:t xml:space="preserve"> </w:t>
      </w:r>
    </w:p>
    <w:p w14:paraId="50B49252" w14:textId="580AFE27" w:rsidR="004A5097" w:rsidRDefault="00DE1632" w:rsidP="00FD6D8B">
      <w:pPr>
        <w:jc w:val="both"/>
      </w:pPr>
      <w:r>
        <w:t>Finally,</w:t>
      </w:r>
      <w:r w:rsidR="004A5097">
        <w:t xml:space="preserve"> I explore the stability of the results when splitting the sample into different time periods or geographic regions.</w:t>
      </w:r>
      <w:r w:rsidR="00AC01E1">
        <w:t xml:space="preserve"> </w:t>
      </w:r>
      <w:r w:rsidR="004A5097">
        <w:t xml:space="preserve">If the results </w:t>
      </w:r>
      <w:r w:rsidR="006E5DCB">
        <w:t xml:space="preserve">were </w:t>
      </w:r>
      <w:r w:rsidR="001470A9">
        <w:t>driven by a particular set of years or regions</w:t>
      </w:r>
      <w:r w:rsidR="006E5DCB" w:rsidRPr="006E5DCB">
        <w:t xml:space="preserve"> </w:t>
      </w:r>
      <w:r w:rsidR="006E5DCB">
        <w:t xml:space="preserve">than that would cast doubt on the claim </w:t>
      </w:r>
      <w:r w:rsidR="00E838F8">
        <w:t xml:space="preserve">that </w:t>
      </w:r>
      <w:r w:rsidR="006E5DCB">
        <w:t>they reflect an underlying microeconomic mechanism</w:t>
      </w:r>
      <w:r w:rsidR="001470A9">
        <w:t>.</w:t>
      </w:r>
      <w:r w:rsidR="006845D6">
        <w:t xml:space="preserve"> </w:t>
      </w:r>
      <w:r w:rsidR="004A5097" w:rsidRPr="00841D8C">
        <w:t xml:space="preserve">In Appendix Table A2, I replicate the results in Table </w:t>
      </w:r>
      <w:r w:rsidR="00C32E80">
        <w:t>2</w:t>
      </w:r>
      <w:r w:rsidR="004A5097" w:rsidRPr="00841D8C">
        <w:t xml:space="preserve">, Panel C splitting the sample in two: either into capital cities and other </w:t>
      </w:r>
      <w:r w:rsidR="004A5097" w:rsidRPr="00841D8C">
        <w:lastRenderedPageBreak/>
        <w:t>regions; or into those years strictly prior to 2010-11 or after and including it.</w:t>
      </w:r>
      <w:r w:rsidR="00FF4EB8">
        <w:rPr>
          <w:rStyle w:val="FootnoteReference"/>
        </w:rPr>
        <w:footnoteReference w:id="13"/>
      </w:r>
      <w:r w:rsidR="00AC01E1">
        <w:t xml:space="preserve"> </w:t>
      </w:r>
      <w:r w:rsidR="0006449E">
        <w:t xml:space="preserve">Across all regressions a positive association remains, though it varies in size and significance. </w:t>
      </w:r>
      <w:r w:rsidR="004A5097" w:rsidRPr="00841D8C">
        <w:t xml:space="preserve">If anything the association between job switching rates and wages growth for those staying in their jobs is larger in the capital cities and in </w:t>
      </w:r>
      <w:r w:rsidR="001C5BC7">
        <w:t>earlier</w:t>
      </w:r>
      <w:r w:rsidR="001C5BC7" w:rsidRPr="00841D8C">
        <w:t xml:space="preserve"> </w:t>
      </w:r>
      <w:r w:rsidR="004A5097" w:rsidRPr="00841D8C">
        <w:t>years.</w:t>
      </w:r>
      <w:r w:rsidR="00AC01E1">
        <w:t xml:space="preserve"> </w:t>
      </w:r>
      <w:r w:rsidR="004A5097" w:rsidRPr="00841D8C">
        <w:t>The former result could have easily gone either way.</w:t>
      </w:r>
      <w:r w:rsidR="00AC01E1">
        <w:t xml:space="preserve"> </w:t>
      </w:r>
      <w:r w:rsidR="002047DE">
        <w:t>On the one</w:t>
      </w:r>
      <w:r w:rsidR="002047DE" w:rsidRPr="00841D8C">
        <w:t xml:space="preserve"> hand, job switching may be a better proxy for underlying competitive pressures in urban labour markets </w:t>
      </w:r>
      <w:r w:rsidR="002047DE">
        <w:t xml:space="preserve">rather </w:t>
      </w:r>
      <w:r w:rsidR="002047DE" w:rsidRPr="00841D8C">
        <w:t>than in regions where it may also capture an element</w:t>
      </w:r>
      <w:r w:rsidR="002047DE">
        <w:t xml:space="preserve"> of seasonal agricultural work, structural adjustments or similar. On the other</w:t>
      </w:r>
      <w:r w:rsidR="004A5097" w:rsidRPr="00841D8C">
        <w:t xml:space="preserve"> hand, </w:t>
      </w:r>
      <w:r w:rsidR="002047DE">
        <w:t>there could have been an attenuation in the</w:t>
      </w:r>
      <w:r w:rsidR="004A5097" w:rsidRPr="00841D8C">
        <w:t xml:space="preserve"> relationship</w:t>
      </w:r>
      <w:r w:rsidR="002047DE">
        <w:t xml:space="preserve">, reflecting </w:t>
      </w:r>
      <w:r w:rsidR="004A5097" w:rsidRPr="00841D8C">
        <w:t>spill</w:t>
      </w:r>
      <w:r w:rsidR="001C5BC7">
        <w:t xml:space="preserve"> </w:t>
      </w:r>
      <w:r w:rsidR="004A5097" w:rsidRPr="00841D8C">
        <w:t>overs between local labour markets within capital cities.</w:t>
      </w:r>
      <w:r w:rsidR="002047DE">
        <w:rPr>
          <w:rStyle w:val="FootnoteReference"/>
        </w:rPr>
        <w:footnoteReference w:id="14"/>
      </w:r>
      <w:r w:rsidR="00AC01E1">
        <w:t xml:space="preserve"> </w:t>
      </w:r>
      <w:r w:rsidR="002047DE">
        <w:t>In Appendix C I explore these boundaries between labour markets further</w:t>
      </w:r>
      <w:r w:rsidR="00863846">
        <w:t>.</w:t>
      </w:r>
      <w:r w:rsidR="001C5BC7">
        <w:t xml:space="preserve">  </w:t>
      </w:r>
      <w:r w:rsidR="00863846">
        <w:t xml:space="preserve"> </w:t>
      </w:r>
      <w:r w:rsidR="002047DE">
        <w:t xml:space="preserve"> </w:t>
      </w:r>
    </w:p>
    <w:p w14:paraId="17191B66" w14:textId="2E4D6F31" w:rsidR="00894EB0" w:rsidRDefault="00894EB0" w:rsidP="00894EB0">
      <w:pPr>
        <w:pStyle w:val="Heading3"/>
      </w:pPr>
      <w:r>
        <w:t>Individual level regressions</w:t>
      </w:r>
    </w:p>
    <w:p w14:paraId="448F83C3" w14:textId="55C444C2" w:rsidR="00CC2DA5" w:rsidRDefault="00894EB0" w:rsidP="00FD6D8B">
      <w:pPr>
        <w:jc w:val="both"/>
        <w:rPr>
          <w:lang w:val="en-US" w:eastAsia="en-AU"/>
        </w:rPr>
      </w:pPr>
      <w:r>
        <w:rPr>
          <w:lang w:val="en-US" w:eastAsia="en-AU"/>
        </w:rPr>
        <w:t>The results above</w:t>
      </w:r>
      <w:r w:rsidR="00FB1838">
        <w:rPr>
          <w:lang w:val="en-US" w:eastAsia="en-AU"/>
        </w:rPr>
        <w:t xml:space="preserve"> are based on average wages </w:t>
      </w:r>
      <w:r>
        <w:rPr>
          <w:lang w:val="en-US" w:eastAsia="en-AU"/>
        </w:rPr>
        <w:t>in Australian labour markets (SA4) over a twelve year window.</w:t>
      </w:r>
      <w:r w:rsidR="00AC01E1">
        <w:rPr>
          <w:lang w:val="en-US" w:eastAsia="en-AU"/>
        </w:rPr>
        <w:t xml:space="preserve"> </w:t>
      </w:r>
      <w:r w:rsidR="00AE476E">
        <w:rPr>
          <w:lang w:val="en-US" w:eastAsia="en-AU"/>
        </w:rPr>
        <w:t>This is an intuitive and computationally simple set of regressions</w:t>
      </w:r>
      <w:r w:rsidR="006845D6">
        <w:rPr>
          <w:lang w:val="en-US" w:eastAsia="en-AU"/>
        </w:rPr>
        <w:t xml:space="preserve"> – do more fluid labour markets see higher wages growth?</w:t>
      </w:r>
      <w:r w:rsidR="00AC01E1">
        <w:rPr>
          <w:lang w:val="en-US" w:eastAsia="en-AU"/>
        </w:rPr>
        <w:t xml:space="preserve"> </w:t>
      </w:r>
      <w:r w:rsidR="007F5673">
        <w:rPr>
          <w:lang w:val="en-US" w:eastAsia="en-AU"/>
        </w:rPr>
        <w:t>Th</w:t>
      </w:r>
      <w:r w:rsidR="00B02A2B">
        <w:rPr>
          <w:lang w:val="en-US" w:eastAsia="en-AU"/>
        </w:rPr>
        <w:t xml:space="preserve">is section </w:t>
      </w:r>
      <w:r w:rsidR="005C6E25">
        <w:rPr>
          <w:lang w:val="en-US" w:eastAsia="en-AU"/>
        </w:rPr>
        <w:t>explores</w:t>
      </w:r>
      <w:r w:rsidR="007F5673">
        <w:rPr>
          <w:lang w:val="en-US" w:eastAsia="en-AU"/>
        </w:rPr>
        <w:t xml:space="preserve"> the </w:t>
      </w:r>
      <w:r w:rsidR="007724FA">
        <w:rPr>
          <w:lang w:val="en-US" w:eastAsia="en-AU"/>
        </w:rPr>
        <w:t>individual level data</w:t>
      </w:r>
      <w:r w:rsidR="006845D6">
        <w:rPr>
          <w:lang w:val="en-US" w:eastAsia="en-AU"/>
        </w:rPr>
        <w:t xml:space="preserve">, allowing for a richer </w:t>
      </w:r>
      <w:r w:rsidR="009200F0">
        <w:rPr>
          <w:lang w:val="en-US" w:eastAsia="en-AU"/>
        </w:rPr>
        <w:t>look at</w:t>
      </w:r>
      <w:r w:rsidR="00863846">
        <w:rPr>
          <w:lang w:val="en-US" w:eastAsia="en-AU"/>
        </w:rPr>
        <w:t xml:space="preserve"> the experiences of individuals in labour markets of varying fluidity</w:t>
      </w:r>
      <w:r w:rsidR="007724FA">
        <w:rPr>
          <w:lang w:val="en-US" w:eastAsia="en-AU"/>
        </w:rPr>
        <w:t>.</w:t>
      </w:r>
      <w:r w:rsidR="00AC01E1">
        <w:rPr>
          <w:lang w:val="en-US" w:eastAsia="en-AU"/>
        </w:rPr>
        <w:t xml:space="preserve"> </w:t>
      </w:r>
    </w:p>
    <w:p w14:paraId="50D6D49C" w14:textId="174943F5" w:rsidR="00894EB0" w:rsidRDefault="007724FA" w:rsidP="00FD6D8B">
      <w:pPr>
        <w:jc w:val="both"/>
        <w:rPr>
          <w:lang w:val="en-US" w:eastAsia="en-AU"/>
        </w:rPr>
      </w:pPr>
      <w:r>
        <w:rPr>
          <w:lang w:val="en-US" w:eastAsia="en-AU"/>
        </w:rPr>
        <w:t>I</w:t>
      </w:r>
      <w:r w:rsidR="00213E9D">
        <w:rPr>
          <w:lang w:val="en-US" w:eastAsia="en-AU"/>
        </w:rPr>
        <w:t xml:space="preserve"> make a number of sample restrictions to avoid individuals with particularly high or low earnings growth – potentially reflecting participation decisions – driving the results.</w:t>
      </w:r>
      <w:r w:rsidR="00AC01E1">
        <w:rPr>
          <w:lang w:val="en-US" w:eastAsia="en-AU"/>
        </w:rPr>
        <w:t xml:space="preserve"> </w:t>
      </w:r>
      <w:r w:rsidR="0006449E">
        <w:rPr>
          <w:lang w:val="en-US" w:eastAsia="en-AU"/>
        </w:rPr>
        <w:t xml:space="preserve">For example, transitions from study or to retirement might involve job-to-job transitions from or to lower-paid part time work. </w:t>
      </w:r>
      <w:r w:rsidR="00213E9D">
        <w:rPr>
          <w:lang w:val="en-US" w:eastAsia="en-AU"/>
        </w:rPr>
        <w:t>In particular, I</w:t>
      </w:r>
      <w:r>
        <w:rPr>
          <w:lang w:val="en-US" w:eastAsia="en-AU"/>
        </w:rPr>
        <w:t xml:space="preserve"> restrict attention to working age in</w:t>
      </w:r>
      <w:r w:rsidR="00AC2B70">
        <w:rPr>
          <w:lang w:val="en-US" w:eastAsia="en-AU"/>
        </w:rPr>
        <w:t xml:space="preserve">dividuals, that is, those aged </w:t>
      </w:r>
      <w:r w:rsidR="0006449E">
        <w:rPr>
          <w:lang w:val="en-US" w:eastAsia="en-AU"/>
        </w:rPr>
        <w:t>2</w:t>
      </w:r>
      <w:r w:rsidR="00AC2B70">
        <w:rPr>
          <w:lang w:val="en-US" w:eastAsia="en-AU"/>
        </w:rPr>
        <w:t>5-6</w:t>
      </w:r>
      <w:r>
        <w:rPr>
          <w:lang w:val="en-US" w:eastAsia="en-AU"/>
        </w:rPr>
        <w:t>4 years and exclude those with very low o</w:t>
      </w:r>
      <w:r w:rsidR="005506ED">
        <w:rPr>
          <w:lang w:val="en-US" w:eastAsia="en-AU"/>
        </w:rPr>
        <w:t>r high annual earnings (under $1</w:t>
      </w:r>
      <w:r>
        <w:rPr>
          <w:lang w:val="en-US" w:eastAsia="en-AU"/>
        </w:rPr>
        <w:t>0,000 or over $1m</w:t>
      </w:r>
      <w:r w:rsidR="005506ED">
        <w:rPr>
          <w:lang w:val="en-US" w:eastAsia="en-AU"/>
        </w:rPr>
        <w:t>).</w:t>
      </w:r>
      <w:r w:rsidR="00AC01E1">
        <w:rPr>
          <w:lang w:val="en-US" w:eastAsia="en-AU"/>
        </w:rPr>
        <w:t xml:space="preserve"> </w:t>
      </w:r>
      <w:r w:rsidR="00707B6D">
        <w:rPr>
          <w:lang w:val="en-US" w:eastAsia="en-AU"/>
        </w:rPr>
        <w:t>To aid computation, I further restrict attention to a random 10 per cent sample.</w:t>
      </w:r>
    </w:p>
    <w:p w14:paraId="2B926103" w14:textId="451438C8" w:rsidR="005C6E25" w:rsidRDefault="00F425D3" w:rsidP="00FD6D8B">
      <w:pPr>
        <w:jc w:val="both"/>
        <w:rPr>
          <w:lang w:val="en-US" w:eastAsia="en-AU"/>
        </w:rPr>
      </w:pPr>
      <w:r>
        <w:rPr>
          <w:lang w:val="en-US" w:eastAsia="en-AU"/>
        </w:rPr>
        <w:t xml:space="preserve">To begin, </w:t>
      </w:r>
      <w:r w:rsidR="00FE6257">
        <w:rPr>
          <w:lang w:val="en-US" w:eastAsia="en-AU"/>
        </w:rPr>
        <w:t xml:space="preserve">Figure 5 represents the relationship between </w:t>
      </w:r>
      <w:r w:rsidR="00AB1E59">
        <w:rPr>
          <w:lang w:val="en-US" w:eastAsia="en-AU"/>
        </w:rPr>
        <w:t>the change in the natural logarithm of wages and the job</w:t>
      </w:r>
      <w:r w:rsidR="00AB1E59">
        <w:rPr>
          <w:lang w:val="en-US" w:eastAsia="en-AU"/>
        </w:rPr>
        <w:noBreakHyphen/>
        <w:t>to-job transition rate in the raw data</w:t>
      </w:r>
      <w:r w:rsidR="00B307BD">
        <w:rPr>
          <w:lang w:val="en-US" w:eastAsia="en-AU"/>
        </w:rPr>
        <w:t xml:space="preserve"> for the 5 million individuals in the sample who stayed with their employer</w:t>
      </w:r>
      <w:r>
        <w:rPr>
          <w:lang w:val="en-US" w:eastAsia="en-AU"/>
        </w:rPr>
        <w:t xml:space="preserve">. </w:t>
      </w:r>
      <w:r w:rsidR="00AB1E59">
        <w:rPr>
          <w:lang w:val="en-US" w:eastAsia="en-AU"/>
        </w:rPr>
        <w:t>To control for demographic, cyclical and persistent regional differences both variables are residualised by regressing them on:</w:t>
      </w:r>
      <w:r w:rsidR="00AB1E59" w:rsidRPr="00AB1E59">
        <w:rPr>
          <w:lang w:val="en-US" w:eastAsia="en-AU"/>
        </w:rPr>
        <w:t xml:space="preserve"> sex; a qua</w:t>
      </w:r>
      <w:r w:rsidR="005E255D">
        <w:rPr>
          <w:lang w:val="en-US" w:eastAsia="en-AU"/>
        </w:rPr>
        <w:t>dratic in age; the unemployment</w:t>
      </w:r>
      <w:r w:rsidR="005E255D">
        <w:rPr>
          <w:lang w:val="en-US" w:eastAsia="en-AU"/>
        </w:rPr>
        <w:noBreakHyphen/>
      </w:r>
      <w:r w:rsidR="00AB1E59" w:rsidRPr="00AB1E59">
        <w:rPr>
          <w:lang w:val="en-US" w:eastAsia="en-AU"/>
        </w:rPr>
        <w:t>to</w:t>
      </w:r>
      <w:r w:rsidR="005E255D">
        <w:rPr>
          <w:lang w:val="en-US" w:eastAsia="en-AU"/>
        </w:rPr>
        <w:noBreakHyphen/>
      </w:r>
      <w:r w:rsidR="00AB1E59" w:rsidRPr="00AB1E59">
        <w:rPr>
          <w:lang w:val="en-US" w:eastAsia="en-AU"/>
        </w:rPr>
        <w:t>employment transition rate; and year and SA4 fixed effects.</w:t>
      </w:r>
      <w:r>
        <w:rPr>
          <w:lang w:val="en-US" w:eastAsia="en-AU"/>
        </w:rPr>
        <w:t xml:space="preserve"> </w:t>
      </w:r>
      <w:r w:rsidR="00B307BD">
        <w:rPr>
          <w:lang w:val="en-US" w:eastAsia="en-AU"/>
        </w:rPr>
        <w:t xml:space="preserve">The sample is then split into 20 quantiles according to the residual job-to-job transition rate and the mean residual change in log wages is shown.  A clear relationship is apparent – individuals in more fluid labour markets experience higher wages growth.  As before, a </w:t>
      </w:r>
      <w:r w:rsidR="00B307BD">
        <w:t>1 percentage point increase in the rate at which workers switch jobs is associated with a</w:t>
      </w:r>
      <w:r>
        <w:t xml:space="preserve"> roughly</w:t>
      </w:r>
      <w:r w:rsidR="00B307BD">
        <w:t xml:space="preserve"> ½ percentage point increase in growth in average wages</w:t>
      </w:r>
    </w:p>
    <w:p w14:paraId="2BAD756A" w14:textId="70C0D70E" w:rsidR="009342A9" w:rsidRDefault="006845D6" w:rsidP="00FD6D8B">
      <w:pPr>
        <w:jc w:val="both"/>
      </w:pPr>
      <w:r>
        <w:rPr>
          <w:lang w:val="en-US" w:eastAsia="en-AU"/>
        </w:rPr>
        <w:t xml:space="preserve">In </w:t>
      </w:r>
      <w:r w:rsidR="00FD7A43">
        <w:rPr>
          <w:lang w:val="en-US" w:eastAsia="en-AU"/>
        </w:rPr>
        <w:t>Table 3</w:t>
      </w:r>
      <w:r w:rsidR="00DF3CC4">
        <w:rPr>
          <w:lang w:val="en-US" w:eastAsia="en-AU"/>
        </w:rPr>
        <w:t xml:space="preserve"> </w:t>
      </w:r>
      <w:r>
        <w:rPr>
          <w:lang w:val="en-US" w:eastAsia="en-AU"/>
        </w:rPr>
        <w:t>I</w:t>
      </w:r>
      <w:r w:rsidR="00B307BD">
        <w:rPr>
          <w:lang w:val="en-US" w:eastAsia="en-AU"/>
        </w:rPr>
        <w:t xml:space="preserve"> move beyond this graphical exploration,</w:t>
      </w:r>
      <w:r>
        <w:rPr>
          <w:lang w:val="en-US" w:eastAsia="en-AU"/>
        </w:rPr>
        <w:t xml:space="preserve"> </w:t>
      </w:r>
      <w:r w:rsidR="00B307BD">
        <w:rPr>
          <w:lang w:val="en-US" w:eastAsia="en-AU"/>
        </w:rPr>
        <w:t>largely replicating</w:t>
      </w:r>
      <w:r w:rsidR="00DF3CC4">
        <w:rPr>
          <w:lang w:val="en-US" w:eastAsia="en-AU"/>
        </w:rPr>
        <w:t xml:space="preserve"> the regressions from Table </w:t>
      </w:r>
      <w:r w:rsidR="00C32E80">
        <w:rPr>
          <w:lang w:val="en-US" w:eastAsia="en-AU"/>
        </w:rPr>
        <w:t>2</w:t>
      </w:r>
      <w:r w:rsidR="00DF3CC4">
        <w:rPr>
          <w:lang w:val="en-US" w:eastAsia="en-AU"/>
        </w:rPr>
        <w:t xml:space="preserve">, but this time </w:t>
      </w:r>
      <w:r w:rsidR="00B307BD">
        <w:rPr>
          <w:lang w:val="en-US" w:eastAsia="en-AU"/>
        </w:rPr>
        <w:t>with the unit of observation as</w:t>
      </w:r>
      <w:r w:rsidR="00DF3CC4">
        <w:rPr>
          <w:lang w:val="en-US" w:eastAsia="en-AU"/>
        </w:rPr>
        <w:t xml:space="preserve"> the individual rather than an entire labour market.</w:t>
      </w:r>
      <w:r w:rsidR="00AC01E1">
        <w:rPr>
          <w:lang w:val="en-US" w:eastAsia="en-AU"/>
        </w:rPr>
        <w:t xml:space="preserve"> </w:t>
      </w:r>
      <w:r w:rsidR="009342A9">
        <w:t xml:space="preserve">I run regressions of the form: </w:t>
      </w:r>
    </w:p>
    <w:p w14:paraId="387E31E2" w14:textId="61FAB6F8" w:rsidR="009342A9" w:rsidRDefault="00540CA6" w:rsidP="009342A9">
      <w:pPr>
        <w:jc w:val="center"/>
      </w:pPr>
      <m:oMath>
        <m:func>
          <m:funcPr>
            <m:ctrlPr>
              <w:rPr>
                <w:rFonts w:ascii="Cambria Math" w:hAnsi="Cambria Math"/>
                <w:i/>
                <w:iCs/>
              </w:rPr>
            </m:ctrlPr>
          </m:funcPr>
          <m:fName>
            <m:r>
              <m:rPr>
                <m:sty m:val="p"/>
              </m:rPr>
              <w:rPr>
                <w:rFonts w:ascii="Cambria Math" w:hAnsi="Cambria Math"/>
              </w:rPr>
              <m:t>∆log</m:t>
            </m:r>
          </m:fName>
          <m:e>
            <m:sSub>
              <m:sSubPr>
                <m:ctrlPr>
                  <w:rPr>
                    <w:rFonts w:ascii="Cambria Math" w:hAnsi="Cambria Math"/>
                    <w:i/>
                    <w:iCs/>
                  </w:rPr>
                </m:ctrlPr>
              </m:sSubPr>
              <m:e>
                <m:r>
                  <w:rPr>
                    <w:rFonts w:ascii="Cambria Math" w:hAnsi="Cambria Math"/>
                  </w:rPr>
                  <m:t>W</m:t>
                </m:r>
              </m:e>
              <m:sub>
                <m:r>
                  <w:rPr>
                    <w:rFonts w:ascii="Cambria Math" w:hAnsi="Cambria Math"/>
                  </w:rPr>
                  <m:t>ijt</m:t>
                </m:r>
              </m:sub>
            </m:sSub>
          </m:e>
        </m:func>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j</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 X</m:t>
            </m:r>
          </m:e>
          <m:sub>
            <m:r>
              <w:rPr>
                <w:rFonts w:ascii="Cambria Math" w:hAnsi="Cambria Math"/>
              </w:rPr>
              <m:t>ijt</m:t>
            </m:r>
          </m:sub>
        </m:sSub>
        <m:r>
          <w:rPr>
            <w:rFonts w:ascii="Cambria Math" w:hAnsi="Cambria Math"/>
          </w:rPr>
          <m:t xml:space="preserve">+ </m:t>
        </m:r>
        <m:sSub>
          <m:sSubPr>
            <m:ctrlPr>
              <w:rPr>
                <w:rFonts w:ascii="Cambria Math" w:hAnsi="Cambria Math"/>
                <w:i/>
                <w:iCs/>
              </w:rPr>
            </m:ctrlPr>
          </m:sSubPr>
          <m:e>
            <m:r>
              <w:rPr>
                <w:rFonts w:ascii="Cambria Math" w:hAnsi="Cambria Math"/>
              </w:rPr>
              <m:t>γ EE</m:t>
            </m:r>
          </m:e>
          <m:sub>
            <m:r>
              <w:rPr>
                <w:rFonts w:ascii="Cambria Math" w:hAnsi="Cambria Math"/>
              </w:rPr>
              <m:t>jt</m:t>
            </m:r>
          </m:sub>
        </m:sSub>
        <m:r>
          <w:rPr>
            <w:rFonts w:ascii="Cambria Math" w:hAnsi="Cambria Math"/>
          </w:rPr>
          <m:t xml:space="preserve">+δ </m:t>
        </m:r>
        <m:sSub>
          <m:sSubPr>
            <m:ctrlPr>
              <w:rPr>
                <w:rFonts w:ascii="Cambria Math" w:hAnsi="Cambria Math"/>
                <w:i/>
                <w:iCs/>
              </w:rPr>
            </m:ctrlPr>
          </m:sSubPr>
          <m:e>
            <m:r>
              <w:rPr>
                <w:rFonts w:ascii="Cambria Math" w:hAnsi="Cambria Math"/>
              </w:rPr>
              <m:t>UE</m:t>
            </m:r>
          </m:e>
          <m:sub>
            <m:r>
              <w:rPr>
                <w:rFonts w:ascii="Cambria Math" w:hAnsi="Cambria Math"/>
              </w:rPr>
              <m:t>jt</m:t>
            </m:r>
          </m:sub>
        </m:sSub>
        <m:r>
          <w:rPr>
            <w:rFonts w:ascii="Cambria Math" w:hAnsi="Cambria Math"/>
          </w:rPr>
          <m:t> +</m:t>
        </m:r>
        <m:sSub>
          <m:sSubPr>
            <m:ctrlPr>
              <w:rPr>
                <w:rFonts w:ascii="Cambria Math" w:hAnsi="Cambria Math"/>
                <w:i/>
                <w:iCs/>
              </w:rPr>
            </m:ctrlPr>
          </m:sSubPr>
          <m:e>
            <m:r>
              <w:rPr>
                <w:rFonts w:ascii="Cambria Math" w:hAnsi="Cambria Math"/>
              </w:rPr>
              <m:t>ε</m:t>
            </m:r>
          </m:e>
          <m:sub>
            <m:r>
              <w:rPr>
                <w:rFonts w:ascii="Cambria Math" w:hAnsi="Cambria Math"/>
              </w:rPr>
              <m:t>ijt</m:t>
            </m:r>
          </m:sub>
        </m:sSub>
      </m:oMath>
      <w:r w:rsidR="009342A9">
        <w:rPr>
          <w:rFonts w:eastAsiaTheme="minorEastAsia"/>
          <w:iCs/>
        </w:rPr>
        <w:tab/>
      </w:r>
      <w:r w:rsidR="009342A9">
        <w:rPr>
          <w:rFonts w:eastAsiaTheme="minorEastAsia"/>
          <w:iCs/>
        </w:rPr>
        <w:tab/>
        <w:t>(</w:t>
      </w:r>
      <w:r w:rsidR="001470A9">
        <w:rPr>
          <w:rFonts w:eastAsiaTheme="minorEastAsia"/>
          <w:iCs/>
        </w:rPr>
        <w:t>2</w:t>
      </w:r>
      <w:r w:rsidR="009342A9">
        <w:rPr>
          <w:rFonts w:eastAsiaTheme="minorEastAsia"/>
          <w:iCs/>
        </w:rPr>
        <w:t>)</w:t>
      </w:r>
    </w:p>
    <w:p w14:paraId="5C4C84CA" w14:textId="57BAF44B" w:rsidR="009342A9" w:rsidRDefault="001470A9" w:rsidP="00FD6D8B">
      <w:pPr>
        <w:jc w:val="both"/>
        <w:rPr>
          <w:rFonts w:eastAsiaTheme="minorEastAsia"/>
        </w:rPr>
      </w:pPr>
      <w:r>
        <w:rPr>
          <w:rFonts w:eastAsiaTheme="minorEastAsia"/>
        </w:rPr>
        <w:t>This is identi</w:t>
      </w:r>
      <w:r w:rsidR="006C66CE">
        <w:rPr>
          <w:rFonts w:eastAsiaTheme="minorEastAsia"/>
        </w:rPr>
        <w:t>cal to equation (1) except t</w:t>
      </w:r>
      <w:r w:rsidR="009342A9">
        <w:rPr>
          <w:rFonts w:eastAsiaTheme="minorEastAsia"/>
        </w:rPr>
        <w:t xml:space="preserve">he dependent variable, </w:t>
      </w:r>
      <m:oMath>
        <m:func>
          <m:funcPr>
            <m:ctrlPr>
              <w:rPr>
                <w:rFonts w:ascii="Cambria Math" w:hAnsi="Cambria Math"/>
                <w:i/>
                <w:iCs/>
              </w:rPr>
            </m:ctrlPr>
          </m:funcPr>
          <m:fName>
            <m:r>
              <m:rPr>
                <m:sty m:val="p"/>
              </m:rPr>
              <w:rPr>
                <w:rFonts w:ascii="Cambria Math" w:hAnsi="Cambria Math"/>
              </w:rPr>
              <m:t>∆log</m:t>
            </m:r>
          </m:fName>
          <m:e>
            <m:sSub>
              <m:sSubPr>
                <m:ctrlPr>
                  <w:rPr>
                    <w:rFonts w:ascii="Cambria Math" w:hAnsi="Cambria Math"/>
                    <w:i/>
                    <w:iCs/>
                  </w:rPr>
                </m:ctrlPr>
              </m:sSubPr>
              <m:e>
                <m:r>
                  <w:rPr>
                    <w:rFonts w:ascii="Cambria Math" w:hAnsi="Cambria Math"/>
                  </w:rPr>
                  <m:t>W</m:t>
                </m:r>
              </m:e>
              <m:sub>
                <m:r>
                  <w:rPr>
                    <w:rFonts w:ascii="Cambria Math" w:hAnsi="Cambria Math"/>
                  </w:rPr>
                  <m:t>ijt</m:t>
                </m:r>
              </m:sub>
            </m:sSub>
          </m:e>
        </m:func>
      </m:oMath>
      <w:r w:rsidR="009342A9">
        <w:rPr>
          <w:rFonts w:eastAsiaTheme="minorEastAsia"/>
          <w:iCs/>
        </w:rPr>
        <w:t xml:space="preserve">, is </w:t>
      </w:r>
      <w:r w:rsidR="006C66CE">
        <w:rPr>
          <w:rFonts w:eastAsiaTheme="minorEastAsia"/>
          <w:iCs/>
        </w:rPr>
        <w:t xml:space="preserve">now </w:t>
      </w:r>
      <w:r w:rsidR="009342A9">
        <w:rPr>
          <w:rFonts w:eastAsiaTheme="minorEastAsia"/>
          <w:iCs/>
        </w:rPr>
        <w:t xml:space="preserve">the change in the natural logarithm of </w:t>
      </w:r>
      <w:r w:rsidR="006C66CE">
        <w:rPr>
          <w:rFonts w:eastAsiaTheme="minorEastAsia"/>
          <w:iCs/>
        </w:rPr>
        <w:t>wages for</w:t>
      </w:r>
      <w:r w:rsidR="009342A9">
        <w:rPr>
          <w:rFonts w:eastAsiaTheme="minorEastAsia"/>
          <w:iCs/>
        </w:rPr>
        <w:t xml:space="preserve"> individual</w:t>
      </w:r>
      <w:r w:rsidR="009342A9">
        <w:t xml:space="preserve"> </w:t>
      </w:r>
      <m:oMath>
        <m:r>
          <w:rPr>
            <w:rFonts w:ascii="Cambria Math" w:hAnsi="Cambria Math"/>
          </w:rPr>
          <m:t>i</m:t>
        </m:r>
      </m:oMath>
      <w:r w:rsidR="009342A9">
        <w:rPr>
          <w:rFonts w:eastAsiaTheme="minorEastAsia"/>
        </w:rPr>
        <w:t xml:space="preserve"> in SA4</w:t>
      </w:r>
      <w:r w:rsidR="00AC01E1">
        <w:rPr>
          <w:rFonts w:eastAsiaTheme="minorEastAsia"/>
        </w:rPr>
        <w:t xml:space="preserve"> </w:t>
      </w:r>
      <m:oMath>
        <m:r>
          <w:rPr>
            <w:rFonts w:ascii="Cambria Math" w:hAnsi="Cambria Math"/>
          </w:rPr>
          <m:t>j</m:t>
        </m:r>
      </m:oMath>
      <w:r w:rsidR="009342A9">
        <w:rPr>
          <w:rFonts w:eastAsiaTheme="minorEastAsia"/>
        </w:rPr>
        <w:t xml:space="preserve"> and financial year </w:t>
      </w:r>
      <m:oMath>
        <m:r>
          <w:rPr>
            <w:rFonts w:ascii="Cambria Math" w:eastAsiaTheme="minorEastAsia" w:hAnsi="Cambria Math"/>
          </w:rPr>
          <m:t>t</m:t>
        </m:r>
      </m:oMath>
      <w:r w:rsidR="009342A9">
        <w:rPr>
          <w:rFonts w:eastAsiaTheme="minorEastAsia"/>
        </w:rPr>
        <w:t>.</w:t>
      </w:r>
      <w:r w:rsidR="00AC01E1">
        <w:rPr>
          <w:rFonts w:eastAsiaTheme="minorEastAsia"/>
        </w:rPr>
        <w:t xml:space="preserve"> </w:t>
      </w:r>
      <w:r w:rsidR="009342A9">
        <w:rPr>
          <w:rFonts w:eastAsiaTheme="minorEastAsia"/>
        </w:rPr>
        <w:t>The key independent variables are the job-to-job (</w:t>
      </w:r>
      <m:oMath>
        <m:sSub>
          <m:sSubPr>
            <m:ctrlPr>
              <w:rPr>
                <w:rFonts w:ascii="Cambria Math" w:hAnsi="Cambria Math"/>
                <w:i/>
                <w:iCs/>
              </w:rPr>
            </m:ctrlPr>
          </m:sSubPr>
          <m:e>
            <m:r>
              <w:rPr>
                <w:rFonts w:ascii="Cambria Math" w:hAnsi="Cambria Math"/>
              </w:rPr>
              <m:t>EE</m:t>
            </m:r>
          </m:e>
          <m:sub>
            <m:r>
              <w:rPr>
                <w:rFonts w:ascii="Cambria Math" w:hAnsi="Cambria Math"/>
              </w:rPr>
              <m:t>jt</m:t>
            </m:r>
          </m:sub>
        </m:sSub>
      </m:oMath>
      <w:r w:rsidR="009342A9">
        <w:rPr>
          <w:rFonts w:eastAsiaTheme="minorEastAsia"/>
          <w:iCs/>
        </w:rPr>
        <w:t xml:space="preserve">) </w:t>
      </w:r>
      <w:r w:rsidR="009342A9">
        <w:rPr>
          <w:rFonts w:eastAsiaTheme="minorEastAsia"/>
        </w:rPr>
        <w:t>and unemployment-to-job (</w:t>
      </w:r>
      <m:oMath>
        <m:sSub>
          <m:sSubPr>
            <m:ctrlPr>
              <w:rPr>
                <w:rFonts w:ascii="Cambria Math" w:hAnsi="Cambria Math"/>
                <w:i/>
                <w:iCs/>
              </w:rPr>
            </m:ctrlPr>
          </m:sSubPr>
          <m:e>
            <m:r>
              <w:rPr>
                <w:rFonts w:ascii="Cambria Math" w:hAnsi="Cambria Math"/>
              </w:rPr>
              <m:t>UE</m:t>
            </m:r>
          </m:e>
          <m:sub>
            <m:r>
              <w:rPr>
                <w:rFonts w:ascii="Cambria Math" w:hAnsi="Cambria Math"/>
              </w:rPr>
              <m:t>jt</m:t>
            </m:r>
          </m:sub>
        </m:sSub>
      </m:oMath>
      <w:r w:rsidR="009342A9">
        <w:rPr>
          <w:rFonts w:eastAsiaTheme="minorEastAsia"/>
          <w:iCs/>
        </w:rPr>
        <w:t>) transition rates as defined above</w:t>
      </w:r>
      <w:r>
        <w:rPr>
          <w:rFonts w:eastAsiaTheme="minorEastAsia"/>
          <w:iCs/>
        </w:rPr>
        <w:t>.</w:t>
      </w:r>
      <w:r w:rsidR="00AC01E1">
        <w:rPr>
          <w:rFonts w:eastAsiaTheme="minorEastAsia"/>
          <w:iCs/>
        </w:rPr>
        <w:t xml:space="preserve"> </w:t>
      </w:r>
      <w:r w:rsidR="006E5DCB">
        <w:rPr>
          <w:rFonts w:eastAsiaTheme="minorEastAsia"/>
          <w:iCs/>
        </w:rPr>
        <w:t>As these are only defined</w:t>
      </w:r>
      <w:r w:rsidR="00676D08">
        <w:rPr>
          <w:rFonts w:eastAsiaTheme="minorEastAsia"/>
          <w:iCs/>
        </w:rPr>
        <w:t xml:space="preserve"> at an SA4 level, I cluster standard errors at this level.</w:t>
      </w:r>
      <w:r w:rsidR="00AC01E1">
        <w:rPr>
          <w:rFonts w:eastAsiaTheme="minorEastAsia"/>
          <w:iCs/>
        </w:rPr>
        <w:t xml:space="preserve"> </w:t>
      </w:r>
      <w:r>
        <w:rPr>
          <w:rFonts w:eastAsiaTheme="minorEastAsia"/>
        </w:rPr>
        <w:t xml:space="preserve">I once again include financial year fixed effects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t</m:t>
            </m:r>
          </m:sub>
        </m:sSub>
      </m:oMath>
      <w:r>
        <w:rPr>
          <w:rFonts w:eastAsiaTheme="minorEastAsia"/>
        </w:rPr>
        <w:t xml:space="preserve"> to control for national-level business cycle effects and regional fixed effects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j</m:t>
            </m:r>
          </m:sub>
        </m:sSub>
      </m:oMath>
      <w:r>
        <w:rPr>
          <w:rFonts w:eastAsiaTheme="minorEastAsia"/>
        </w:rPr>
        <w:t xml:space="preserve"> to control for persistent tendencies towards higher or lower</w:t>
      </w:r>
      <w:r w:rsidR="007F31DB">
        <w:rPr>
          <w:rFonts w:eastAsiaTheme="minorEastAsia"/>
        </w:rPr>
        <w:t xml:space="preserve"> wage growth in given regions.</w:t>
      </w:r>
      <w:r w:rsidR="00AC01E1">
        <w:rPr>
          <w:rFonts w:eastAsiaTheme="minorEastAsia"/>
        </w:rPr>
        <w:t xml:space="preserve"> </w:t>
      </w:r>
      <w:r w:rsidR="007F31DB">
        <w:rPr>
          <w:rFonts w:eastAsiaTheme="minorEastAsia"/>
        </w:rPr>
        <w:t xml:space="preserve">I now also </w:t>
      </w:r>
      <w:r w:rsidR="007F31DB">
        <w:rPr>
          <w:rFonts w:eastAsiaTheme="minorEastAsia"/>
        </w:rPr>
        <w:lastRenderedPageBreak/>
        <w:t xml:space="preserve">include individual fixed effects </w:t>
      </w:r>
      <m:oMath>
        <m:sSub>
          <m:sSubPr>
            <m:ctrlPr>
              <w:rPr>
                <w:rFonts w:ascii="Cambria Math" w:hAnsi="Cambria Math"/>
                <w:i/>
                <w:iCs/>
              </w:rPr>
            </m:ctrlPr>
          </m:sSubPr>
          <m:e>
            <m:r>
              <w:rPr>
                <w:rFonts w:ascii="Cambria Math" w:hAnsi="Cambria Math"/>
              </w:rPr>
              <m:t>α</m:t>
            </m:r>
          </m:e>
          <m:sub>
            <m:r>
              <w:rPr>
                <w:rFonts w:ascii="Cambria Math" w:hAnsi="Cambria Math"/>
              </w:rPr>
              <m:t>i</m:t>
            </m:r>
          </m:sub>
        </m:sSub>
      </m:oMath>
      <w:r w:rsidR="00F425D3">
        <w:rPr>
          <w:rFonts w:eastAsiaTheme="minorEastAsia"/>
          <w:iCs/>
        </w:rPr>
        <w:t xml:space="preserve"> to control for the fact that some individuals may have higher average wage growth than others</w:t>
      </w:r>
      <w:r w:rsidR="00E838F8">
        <w:rPr>
          <w:rFonts w:eastAsiaTheme="minorEastAsia"/>
          <w:iCs/>
        </w:rPr>
        <w:t>, and may also be more likely to be found in or move to more or less fluid labour markets</w:t>
      </w:r>
      <w:r w:rsidR="007F31DB">
        <w:rPr>
          <w:rFonts w:eastAsiaTheme="minorEastAsia"/>
          <w:iCs/>
        </w:rPr>
        <w:t>.</w:t>
      </w:r>
      <w:r w:rsidR="007D315F">
        <w:rPr>
          <w:rStyle w:val="FootnoteReference"/>
          <w:rFonts w:eastAsiaTheme="minorEastAsia"/>
          <w:iCs/>
        </w:rPr>
        <w:footnoteReference w:id="15"/>
      </w:r>
      <w:r w:rsidR="00AC01E1">
        <w:rPr>
          <w:rFonts w:eastAsiaTheme="minorEastAsia"/>
        </w:rPr>
        <w:t xml:space="preserve"> </w:t>
      </w:r>
      <w:r>
        <w:rPr>
          <w:rFonts w:eastAsiaTheme="minorEastAsia"/>
        </w:rPr>
        <w:t xml:space="preserve">Finally, in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jt</m:t>
            </m:r>
          </m:sub>
        </m:sSub>
      </m:oMath>
      <w:r w:rsidR="007F31DB">
        <w:rPr>
          <w:rFonts w:eastAsiaTheme="minorEastAsia"/>
        </w:rPr>
        <w:t xml:space="preserve"> </w:t>
      </w:r>
      <w:r>
        <w:rPr>
          <w:rFonts w:eastAsiaTheme="minorEastAsia"/>
        </w:rPr>
        <w:t>I include a variety of controls that are allowed to vary across</w:t>
      </w:r>
      <w:r w:rsidR="00676D08">
        <w:rPr>
          <w:rFonts w:eastAsiaTheme="minorEastAsia"/>
        </w:rPr>
        <w:t xml:space="preserve"> individuals,</w:t>
      </w:r>
      <w:r>
        <w:rPr>
          <w:rFonts w:eastAsiaTheme="minorEastAsia"/>
        </w:rPr>
        <w:t xml:space="preserve"> time and regions.</w:t>
      </w:r>
      <w:r w:rsidR="00AC01E1">
        <w:rPr>
          <w:rFonts w:eastAsiaTheme="minorEastAsia"/>
        </w:rPr>
        <w:t xml:space="preserve"> </w:t>
      </w:r>
      <w:r w:rsidR="007F31DB">
        <w:rPr>
          <w:rFonts w:eastAsiaTheme="minorEastAsia"/>
        </w:rPr>
        <w:t>This includes sex and a</w:t>
      </w:r>
      <w:r w:rsidR="00AC2B70">
        <w:rPr>
          <w:rFonts w:eastAsiaTheme="minorEastAsia"/>
        </w:rPr>
        <w:t xml:space="preserve"> quadratic in age, but also the set of controls for time-varying region characteristics explored earlier.</w:t>
      </w:r>
      <w:r w:rsidR="00AC01E1">
        <w:rPr>
          <w:rFonts w:eastAsiaTheme="minorEastAsia"/>
        </w:rPr>
        <w:t xml:space="preserve"> </w:t>
      </w:r>
    </w:p>
    <w:p w14:paraId="1E163CC9" w14:textId="08E278FF" w:rsidR="00DF3CC4" w:rsidRDefault="00DF3CC4" w:rsidP="00FD6D8B">
      <w:pPr>
        <w:jc w:val="both"/>
        <w:rPr>
          <w:lang w:val="en-US" w:eastAsia="en-AU"/>
        </w:rPr>
      </w:pPr>
      <w:r>
        <w:rPr>
          <w:lang w:val="en-US" w:eastAsia="en-AU"/>
        </w:rPr>
        <w:t>Once again, a higher job switching rate is associated with higher wages growth.</w:t>
      </w:r>
      <w:r w:rsidR="00AC01E1">
        <w:rPr>
          <w:lang w:val="en-US" w:eastAsia="en-AU"/>
        </w:rPr>
        <w:t xml:space="preserve"> </w:t>
      </w:r>
      <w:r>
        <w:rPr>
          <w:lang w:val="en-US" w:eastAsia="en-AU"/>
        </w:rPr>
        <w:t>In the final specification in column (</w:t>
      </w:r>
      <w:r w:rsidR="008205C2">
        <w:rPr>
          <w:lang w:val="en-US" w:eastAsia="en-AU"/>
        </w:rPr>
        <w:t>6</w:t>
      </w:r>
      <w:r>
        <w:rPr>
          <w:lang w:val="en-US" w:eastAsia="en-AU"/>
        </w:rPr>
        <w:t>), a 1 percentage point higher switching rate is associated with a 0.</w:t>
      </w:r>
      <w:r w:rsidR="00342F25">
        <w:rPr>
          <w:lang w:val="en-US" w:eastAsia="en-AU"/>
        </w:rPr>
        <w:t>3</w:t>
      </w:r>
      <w:r>
        <w:rPr>
          <w:lang w:val="en-US" w:eastAsia="en-AU"/>
        </w:rPr>
        <w:t xml:space="preserve"> percentage point increase in wages growth for all wage earners, a </w:t>
      </w:r>
      <w:r w:rsidR="00342F25">
        <w:rPr>
          <w:lang w:val="en-US" w:eastAsia="en-AU"/>
        </w:rPr>
        <w:t>1</w:t>
      </w:r>
      <w:r>
        <w:rPr>
          <w:lang w:val="en-US" w:eastAsia="en-AU"/>
        </w:rPr>
        <w:t xml:space="preserve"> percentage point increase for those switching jobs and a 0.</w:t>
      </w:r>
      <w:r w:rsidR="00342F25">
        <w:rPr>
          <w:lang w:val="en-US" w:eastAsia="en-AU"/>
        </w:rPr>
        <w:t>2</w:t>
      </w:r>
      <w:r>
        <w:rPr>
          <w:lang w:val="en-US" w:eastAsia="en-AU"/>
        </w:rPr>
        <w:t xml:space="preserve"> percentage point increase for those staying in the same job.</w:t>
      </w:r>
      <w:r>
        <w:rPr>
          <w:rStyle w:val="FootnoteReference"/>
          <w:lang w:val="en-US" w:eastAsia="en-AU"/>
        </w:rPr>
        <w:footnoteReference w:id="16"/>
      </w:r>
      <w:r w:rsidR="00AC01E1">
        <w:rPr>
          <w:lang w:val="en-US" w:eastAsia="en-AU"/>
        </w:rPr>
        <w:t xml:space="preserve"> </w:t>
      </w:r>
      <w:r>
        <w:rPr>
          <w:lang w:val="en-US" w:eastAsia="en-AU"/>
        </w:rPr>
        <w:t>This provides comfort that the results are not driven by inadequate controls for differences in the workers found in local labour markets over time</w:t>
      </w:r>
      <w:r w:rsidR="007F307E">
        <w:rPr>
          <w:lang w:val="en-US" w:eastAsia="en-AU"/>
        </w:rPr>
        <w:t xml:space="preserve">, such as </w:t>
      </w:r>
      <w:r>
        <w:rPr>
          <w:lang w:val="en-US" w:eastAsia="en-AU"/>
        </w:rPr>
        <w:t>their age, sex and any fixed differences in skills.</w:t>
      </w:r>
      <w:r w:rsidR="00AC01E1">
        <w:rPr>
          <w:lang w:val="en-US" w:eastAsia="en-AU"/>
        </w:rPr>
        <w:t xml:space="preserve"> </w:t>
      </w:r>
    </w:p>
    <w:p w14:paraId="70ED0D70" w14:textId="77777777" w:rsidR="009E6FA4" w:rsidRDefault="009E6FA4">
      <w:pPr>
        <w:spacing w:after="200" w:line="276" w:lineRule="auto"/>
        <w:rPr>
          <w:rFonts w:ascii="Arial Bold" w:eastAsia="Times New Roman" w:hAnsi="Arial Bold" w:cs="Times New Roman"/>
          <w:b/>
          <w:color w:val="003057"/>
          <w:lang w:eastAsia="en-AU"/>
        </w:rPr>
      </w:pPr>
      <w:r>
        <w:br w:type="page"/>
      </w:r>
    </w:p>
    <w:p w14:paraId="78E173EE" w14:textId="7DECCCA4" w:rsidR="009E6FA4" w:rsidRPr="00F425D3" w:rsidRDefault="009E6FA4" w:rsidP="00E91637">
      <w:pPr>
        <w:pStyle w:val="FigureHeading"/>
        <w:jc w:val="left"/>
        <w:rPr>
          <w:sz w:val="20"/>
          <w:szCs w:val="20"/>
        </w:rPr>
      </w:pPr>
      <w:r w:rsidRPr="00E91637">
        <w:rPr>
          <w:rStyle w:val="Caption1Char"/>
          <w:rFonts w:eastAsiaTheme="minorHAnsi"/>
        </w:rPr>
        <w:lastRenderedPageBreak/>
        <w:t>Figure 5 – Average annual wage growth is higher in more fluid labour markets</w:t>
      </w:r>
      <w:r>
        <w:t xml:space="preserve">  </w:t>
      </w:r>
      <w:r w:rsidR="00E91637">
        <w:rPr>
          <w:rFonts w:eastAsiaTheme="minorEastAsia"/>
          <w:noProof/>
        </w:rPr>
        <w:drawing>
          <wp:inline distT="0" distB="0" distL="0" distR="0" wp14:anchorId="26F09A40" wp14:editId="775A621D">
            <wp:extent cx="5895975" cy="4286250"/>
            <wp:effectExtent l="0" t="0" r="9525" b="0"/>
            <wp:docPr id="7" name="Picture 7" descr="H:\MMPD\Models\Micro Data\Job switching and wages\1. Job switching and wages\Output\Charts\FIG5_Binsca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MMPD\Models\Micro Data\Job switching and wages\1. Job switching and wages\Output\Charts\FIG5_Binscatter.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95975" cy="4286250"/>
                    </a:xfrm>
                    <a:prstGeom prst="rect">
                      <a:avLst/>
                    </a:prstGeom>
                    <a:noFill/>
                    <a:ln>
                      <a:noFill/>
                    </a:ln>
                  </pic:spPr>
                </pic:pic>
              </a:graphicData>
            </a:graphic>
          </wp:inline>
        </w:drawing>
      </w:r>
    </w:p>
    <w:p w14:paraId="5D6169E1" w14:textId="228777E4" w:rsidR="009E6FA4" w:rsidRPr="00275A2F" w:rsidRDefault="009E6FA4" w:rsidP="009E6FA4">
      <w:pPr>
        <w:pStyle w:val="ChartorTableNote"/>
      </w:pPr>
      <w:r w:rsidRPr="00275A2F">
        <w:t>Note:</w:t>
      </w:r>
      <w:r>
        <w:t xml:space="preserve"> </w:t>
      </w:r>
      <w:r w:rsidRPr="00275A2F">
        <w:t xml:space="preserve">Presents </w:t>
      </w:r>
      <w:r>
        <w:t xml:space="preserve">the mean change in log wages for individuals in each of the 20 quantiles of the distribution of job-to-job transition rates.  Both the change in log wages and job-to-job transition rates are first residualised by regressing them on: sex; a quadratic in age; the unemployment-to-employment transition rate; and year and SA4 fixed effects.  </w:t>
      </w:r>
      <w:r>
        <w:br/>
      </w:r>
      <w:r w:rsidRPr="00275A2F">
        <w:t xml:space="preserve">Source: Treasury calculations using </w:t>
      </w:r>
      <w:r>
        <w:t xml:space="preserve">de-identified </w:t>
      </w:r>
      <w:r w:rsidRPr="00275A2F">
        <w:t>Pay-As-You-Go annual payment summaries, 2004-05 to 2015-16, and the Australian Taxation Office Longitudinal Information Files.</w:t>
      </w:r>
    </w:p>
    <w:p w14:paraId="6E86C8A0" w14:textId="6B7C220E" w:rsidR="009E6FA4" w:rsidRDefault="009E6FA4" w:rsidP="00FD6D8B">
      <w:pPr>
        <w:jc w:val="both"/>
        <w:rPr>
          <w:lang w:val="en-US" w:eastAsia="en-AU"/>
        </w:rPr>
      </w:pPr>
    </w:p>
    <w:p w14:paraId="649C07F8" w14:textId="77777777" w:rsidR="009E6FA4" w:rsidRDefault="009E6FA4">
      <w:pPr>
        <w:spacing w:after="200" w:line="276" w:lineRule="auto"/>
        <w:rPr>
          <w:lang w:val="en-US" w:eastAsia="en-AU"/>
        </w:rPr>
      </w:pPr>
      <w:r>
        <w:rPr>
          <w:lang w:val="en-US" w:eastAsia="en-AU"/>
        </w:rPr>
        <w:br w:type="page"/>
      </w:r>
    </w:p>
    <w:p w14:paraId="14335FBC" w14:textId="267AAC8A" w:rsidR="009E6FA4" w:rsidRPr="00E91637" w:rsidRDefault="009E6FA4" w:rsidP="00E91637">
      <w:pPr>
        <w:pStyle w:val="FigureHeading"/>
        <w:rPr>
          <w:rStyle w:val="Caption1Char"/>
          <w:rFonts w:eastAsiaTheme="minorHAnsi"/>
        </w:rPr>
      </w:pPr>
      <w:r w:rsidRPr="00E91637">
        <w:rPr>
          <w:rStyle w:val="Caption1Char"/>
          <w:rFonts w:eastAsiaTheme="minorHAnsi"/>
        </w:rPr>
        <w:lastRenderedPageBreak/>
        <w:t>Table 3 – Power of employment transitions in predicting wages growth (individuals)</w:t>
      </w:r>
    </w:p>
    <w:p w14:paraId="3624D3FD" w14:textId="3FC79B09" w:rsidR="009E6FA4" w:rsidRPr="00275A2F" w:rsidRDefault="00DF3CC4" w:rsidP="009E6FA4">
      <w:pPr>
        <w:pStyle w:val="ChartorTableNote"/>
      </w:pPr>
      <w:r>
        <w:rPr>
          <w:noProof/>
        </w:rPr>
        <mc:AlternateContent>
          <mc:Choice Requires="wps">
            <w:drawing>
              <wp:inline distT="0" distB="0" distL="0" distR="0" wp14:anchorId="7452F206" wp14:editId="2F6B968C">
                <wp:extent cx="1828800" cy="4162425"/>
                <wp:effectExtent l="0" t="0" r="15240" b="0"/>
                <wp:docPr id="9" name="Text Box 9"/>
                <wp:cNvGraphicFramePr/>
                <a:graphic xmlns:a="http://schemas.openxmlformats.org/drawingml/2006/main">
                  <a:graphicData uri="http://schemas.microsoft.com/office/word/2010/wordprocessingShape">
                    <wps:wsp>
                      <wps:cNvSpPr txBox="1"/>
                      <wps:spPr>
                        <a:xfrm>
                          <a:off x="0" y="0"/>
                          <a:ext cx="1828800" cy="4162425"/>
                        </a:xfrm>
                        <a:prstGeom prst="rect">
                          <a:avLst/>
                        </a:prstGeom>
                        <a:noFill/>
                        <a:ln w="6350">
                          <a:noFill/>
                        </a:ln>
                        <a:effectLst/>
                      </wps:spPr>
                      <wps:txbx>
                        <w:txbxContent>
                          <w:tbl>
                            <w:tblPr>
                              <w:tblW w:w="9320" w:type="dxa"/>
                              <w:tblInd w:w="108" w:type="dxa"/>
                              <w:tblLook w:val="04A0" w:firstRow="1" w:lastRow="0" w:firstColumn="1" w:lastColumn="0" w:noHBand="0" w:noVBand="1"/>
                            </w:tblPr>
                            <w:tblGrid>
                              <w:gridCol w:w="3440"/>
                              <w:gridCol w:w="980"/>
                              <w:gridCol w:w="980"/>
                              <w:gridCol w:w="980"/>
                              <w:gridCol w:w="980"/>
                              <w:gridCol w:w="980"/>
                              <w:gridCol w:w="980"/>
                            </w:tblGrid>
                            <w:tr w:rsidR="00DF77C5" w:rsidRPr="00E45F90" w14:paraId="06957212" w14:textId="77777777" w:rsidTr="00E45F90">
                              <w:trPr>
                                <w:trHeight w:val="270"/>
                              </w:trPr>
                              <w:tc>
                                <w:tcPr>
                                  <w:tcW w:w="3440" w:type="dxa"/>
                                  <w:tcBorders>
                                    <w:top w:val="double" w:sz="6" w:space="0" w:color="auto"/>
                                    <w:left w:val="nil"/>
                                    <w:bottom w:val="nil"/>
                                    <w:right w:val="nil"/>
                                  </w:tcBorders>
                                  <w:shd w:val="clear" w:color="auto" w:fill="auto"/>
                                  <w:noWrap/>
                                  <w:vAlign w:val="bottom"/>
                                  <w:hideMark/>
                                </w:tcPr>
                                <w:p w14:paraId="73536E25" w14:textId="77777777" w:rsidR="00DF77C5" w:rsidRPr="00E45F90" w:rsidRDefault="00DF77C5" w:rsidP="00E45F90">
                                  <w:pPr>
                                    <w:spacing w:after="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double" w:sz="6" w:space="0" w:color="auto"/>
                                    <w:left w:val="nil"/>
                                    <w:bottom w:val="nil"/>
                                    <w:right w:val="nil"/>
                                  </w:tcBorders>
                                  <w:shd w:val="clear" w:color="auto" w:fill="auto"/>
                                  <w:noWrap/>
                                  <w:vAlign w:val="bottom"/>
                                  <w:hideMark/>
                                </w:tcPr>
                                <w:p w14:paraId="62B57A39"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(1)</w:t>
                                  </w:r>
                                </w:p>
                              </w:tc>
                              <w:tc>
                                <w:tcPr>
                                  <w:tcW w:w="980" w:type="dxa"/>
                                  <w:tcBorders>
                                    <w:top w:val="double" w:sz="6" w:space="0" w:color="auto"/>
                                    <w:left w:val="nil"/>
                                    <w:bottom w:val="nil"/>
                                    <w:right w:val="nil"/>
                                  </w:tcBorders>
                                  <w:shd w:val="clear" w:color="auto" w:fill="auto"/>
                                  <w:noWrap/>
                                  <w:vAlign w:val="bottom"/>
                                  <w:hideMark/>
                                </w:tcPr>
                                <w:p w14:paraId="671ED56A"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(2)</w:t>
                                  </w:r>
                                </w:p>
                              </w:tc>
                              <w:tc>
                                <w:tcPr>
                                  <w:tcW w:w="980" w:type="dxa"/>
                                  <w:tcBorders>
                                    <w:top w:val="double" w:sz="6" w:space="0" w:color="auto"/>
                                    <w:left w:val="nil"/>
                                    <w:bottom w:val="nil"/>
                                    <w:right w:val="nil"/>
                                  </w:tcBorders>
                                  <w:shd w:val="clear" w:color="auto" w:fill="auto"/>
                                  <w:noWrap/>
                                  <w:vAlign w:val="bottom"/>
                                  <w:hideMark/>
                                </w:tcPr>
                                <w:p w14:paraId="24EE3540"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(3)</w:t>
                                  </w:r>
                                </w:p>
                              </w:tc>
                              <w:tc>
                                <w:tcPr>
                                  <w:tcW w:w="980" w:type="dxa"/>
                                  <w:tcBorders>
                                    <w:top w:val="double" w:sz="6" w:space="0" w:color="auto"/>
                                    <w:left w:val="nil"/>
                                    <w:bottom w:val="nil"/>
                                    <w:right w:val="nil"/>
                                  </w:tcBorders>
                                  <w:shd w:val="clear" w:color="auto" w:fill="auto"/>
                                  <w:noWrap/>
                                  <w:vAlign w:val="bottom"/>
                                  <w:hideMark/>
                                </w:tcPr>
                                <w:p w14:paraId="617DA7B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(4)</w:t>
                                  </w:r>
                                </w:p>
                              </w:tc>
                              <w:tc>
                                <w:tcPr>
                                  <w:tcW w:w="980" w:type="dxa"/>
                                  <w:tcBorders>
                                    <w:top w:val="double" w:sz="6" w:space="0" w:color="auto"/>
                                    <w:left w:val="nil"/>
                                    <w:bottom w:val="nil"/>
                                    <w:right w:val="nil"/>
                                  </w:tcBorders>
                                  <w:shd w:val="clear" w:color="auto" w:fill="auto"/>
                                  <w:noWrap/>
                                  <w:vAlign w:val="bottom"/>
                                  <w:hideMark/>
                                </w:tcPr>
                                <w:p w14:paraId="2C993FE0"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(5)</w:t>
                                  </w:r>
                                </w:p>
                              </w:tc>
                              <w:tc>
                                <w:tcPr>
                                  <w:tcW w:w="980" w:type="dxa"/>
                                  <w:tcBorders>
                                    <w:top w:val="double" w:sz="6" w:space="0" w:color="auto"/>
                                    <w:left w:val="nil"/>
                                    <w:bottom w:val="nil"/>
                                    <w:right w:val="nil"/>
                                  </w:tcBorders>
                                  <w:shd w:val="clear" w:color="auto" w:fill="auto"/>
                                  <w:noWrap/>
                                  <w:vAlign w:val="bottom"/>
                                  <w:hideMark/>
                                </w:tcPr>
                                <w:p w14:paraId="0E344706"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(6)</w:t>
                                  </w:r>
                                </w:p>
                              </w:tc>
                            </w:tr>
                            <w:tr w:rsidR="00DF77C5" w:rsidRPr="00E45F90" w14:paraId="7E497FF7" w14:textId="77777777" w:rsidTr="00E45F90">
                              <w:trPr>
                                <w:trHeight w:val="255"/>
                              </w:trPr>
                              <w:tc>
                                <w:tcPr>
                                  <w:tcW w:w="3440" w:type="dxa"/>
                                  <w:tcBorders>
                                    <w:top w:val="single" w:sz="4" w:space="0" w:color="auto"/>
                                    <w:left w:val="nil"/>
                                    <w:bottom w:val="nil"/>
                                    <w:right w:val="nil"/>
                                  </w:tcBorders>
                                  <w:shd w:val="clear" w:color="auto" w:fill="auto"/>
                                  <w:noWrap/>
                                  <w:vAlign w:val="bottom"/>
                                  <w:hideMark/>
                                </w:tcPr>
                                <w:p w14:paraId="2E45DB8E" w14:textId="77777777" w:rsidR="00DF77C5" w:rsidRPr="00E45F90" w:rsidRDefault="00DF77C5" w:rsidP="00E45F90">
                                  <w:pPr>
                                    <w:spacing w:after="0"/>
                                    <w:rPr>
                                      <w:rFonts w:ascii="Arial" w:eastAsia="Times New Roman" w:hAnsi="Arial" w:cs="Arial"/>
                                      <w:i/>
                                      <w:iCs/>
                                      <w:color w:val="000000"/>
                                      <w:sz w:val="20"/>
                                      <w:szCs w:val="20"/>
                                      <w:lang w:eastAsia="en-AU"/>
                                    </w:rPr>
                                  </w:pPr>
                                  <w:r w:rsidRPr="00E45F90">
                                    <w:rPr>
                                      <w:rFonts w:ascii="Arial" w:eastAsia="Times New Roman" w:hAnsi="Arial" w:cs="Arial"/>
                                      <w:i/>
                                      <w:iCs/>
                                      <w:color w:val="000000"/>
                                      <w:sz w:val="20"/>
                                      <w:szCs w:val="20"/>
                                      <w:lang w:eastAsia="en-AU"/>
                                    </w:rPr>
                                    <w:t>Panel A:  All wage earners</w:t>
                                  </w:r>
                                </w:p>
                              </w:tc>
                              <w:tc>
                                <w:tcPr>
                                  <w:tcW w:w="980" w:type="dxa"/>
                                  <w:tcBorders>
                                    <w:top w:val="single" w:sz="4" w:space="0" w:color="auto"/>
                                    <w:left w:val="nil"/>
                                    <w:bottom w:val="nil"/>
                                    <w:right w:val="nil"/>
                                  </w:tcBorders>
                                  <w:shd w:val="clear" w:color="auto" w:fill="auto"/>
                                  <w:noWrap/>
                                  <w:vAlign w:val="bottom"/>
                                  <w:hideMark/>
                                </w:tcPr>
                                <w:p w14:paraId="4904A735"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single" w:sz="4" w:space="0" w:color="auto"/>
                                    <w:left w:val="nil"/>
                                    <w:bottom w:val="nil"/>
                                    <w:right w:val="nil"/>
                                  </w:tcBorders>
                                  <w:shd w:val="clear" w:color="auto" w:fill="auto"/>
                                  <w:noWrap/>
                                  <w:vAlign w:val="bottom"/>
                                  <w:hideMark/>
                                </w:tcPr>
                                <w:p w14:paraId="528F872D"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single" w:sz="4" w:space="0" w:color="auto"/>
                                    <w:left w:val="nil"/>
                                    <w:bottom w:val="nil"/>
                                    <w:right w:val="nil"/>
                                  </w:tcBorders>
                                  <w:shd w:val="clear" w:color="auto" w:fill="auto"/>
                                  <w:noWrap/>
                                  <w:vAlign w:val="bottom"/>
                                  <w:hideMark/>
                                </w:tcPr>
                                <w:p w14:paraId="6741AAE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single" w:sz="4" w:space="0" w:color="auto"/>
                                    <w:left w:val="nil"/>
                                    <w:bottom w:val="nil"/>
                                    <w:right w:val="nil"/>
                                  </w:tcBorders>
                                  <w:shd w:val="clear" w:color="auto" w:fill="auto"/>
                                  <w:noWrap/>
                                  <w:vAlign w:val="bottom"/>
                                  <w:hideMark/>
                                </w:tcPr>
                                <w:p w14:paraId="5D464CCA"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single" w:sz="4" w:space="0" w:color="auto"/>
                                    <w:left w:val="nil"/>
                                    <w:bottom w:val="nil"/>
                                    <w:right w:val="nil"/>
                                  </w:tcBorders>
                                  <w:shd w:val="clear" w:color="auto" w:fill="auto"/>
                                  <w:noWrap/>
                                  <w:vAlign w:val="bottom"/>
                                  <w:hideMark/>
                                </w:tcPr>
                                <w:p w14:paraId="6CFCB84C"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single" w:sz="4" w:space="0" w:color="auto"/>
                                    <w:left w:val="nil"/>
                                    <w:bottom w:val="nil"/>
                                    <w:right w:val="nil"/>
                                  </w:tcBorders>
                                  <w:shd w:val="clear" w:color="auto" w:fill="auto"/>
                                  <w:noWrap/>
                                  <w:vAlign w:val="bottom"/>
                                  <w:hideMark/>
                                </w:tcPr>
                                <w:p w14:paraId="3637306C"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r>
                            <w:tr w:rsidR="00DF77C5" w:rsidRPr="00E45F90" w14:paraId="748F0714" w14:textId="77777777" w:rsidTr="00E45F90">
                              <w:trPr>
                                <w:trHeight w:val="255"/>
                              </w:trPr>
                              <w:tc>
                                <w:tcPr>
                                  <w:tcW w:w="3440" w:type="dxa"/>
                                  <w:tcBorders>
                                    <w:top w:val="nil"/>
                                    <w:left w:val="nil"/>
                                    <w:bottom w:val="nil"/>
                                    <w:right w:val="nil"/>
                                  </w:tcBorders>
                                  <w:shd w:val="clear" w:color="auto" w:fill="auto"/>
                                  <w:noWrap/>
                                  <w:vAlign w:val="bottom"/>
                                  <w:hideMark/>
                                </w:tcPr>
                                <w:p w14:paraId="64BF13AD"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EE (job-to-job) rate</w:t>
                                  </w:r>
                                </w:p>
                              </w:tc>
                              <w:tc>
                                <w:tcPr>
                                  <w:tcW w:w="980" w:type="dxa"/>
                                  <w:tcBorders>
                                    <w:top w:val="nil"/>
                                    <w:left w:val="nil"/>
                                    <w:bottom w:val="nil"/>
                                    <w:right w:val="nil"/>
                                  </w:tcBorders>
                                  <w:shd w:val="clear" w:color="auto" w:fill="auto"/>
                                  <w:noWrap/>
                                  <w:vAlign w:val="bottom"/>
                                  <w:hideMark/>
                                </w:tcPr>
                                <w:p w14:paraId="1162B1E3"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0.49***</w:t>
                                  </w:r>
                                </w:p>
                              </w:tc>
                              <w:tc>
                                <w:tcPr>
                                  <w:tcW w:w="980" w:type="dxa"/>
                                  <w:tcBorders>
                                    <w:top w:val="nil"/>
                                    <w:left w:val="nil"/>
                                    <w:bottom w:val="nil"/>
                                    <w:right w:val="nil"/>
                                  </w:tcBorders>
                                  <w:shd w:val="clear" w:color="auto" w:fill="auto"/>
                                  <w:noWrap/>
                                  <w:vAlign w:val="bottom"/>
                                  <w:hideMark/>
                                </w:tcPr>
                                <w:p w14:paraId="124F035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0.41***</w:t>
                                  </w:r>
                                </w:p>
                              </w:tc>
                              <w:tc>
                                <w:tcPr>
                                  <w:tcW w:w="980" w:type="dxa"/>
                                  <w:tcBorders>
                                    <w:top w:val="nil"/>
                                    <w:left w:val="nil"/>
                                    <w:bottom w:val="nil"/>
                                    <w:right w:val="nil"/>
                                  </w:tcBorders>
                                  <w:shd w:val="clear" w:color="auto" w:fill="auto"/>
                                  <w:noWrap/>
                                  <w:vAlign w:val="bottom"/>
                                  <w:hideMark/>
                                </w:tcPr>
                                <w:p w14:paraId="7C4105E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0.34***</w:t>
                                  </w:r>
                                </w:p>
                              </w:tc>
                              <w:tc>
                                <w:tcPr>
                                  <w:tcW w:w="980" w:type="dxa"/>
                                  <w:tcBorders>
                                    <w:top w:val="nil"/>
                                    <w:left w:val="nil"/>
                                    <w:bottom w:val="nil"/>
                                    <w:right w:val="nil"/>
                                  </w:tcBorders>
                                  <w:shd w:val="clear" w:color="auto" w:fill="auto"/>
                                  <w:noWrap/>
                                  <w:vAlign w:val="bottom"/>
                                  <w:hideMark/>
                                </w:tcPr>
                                <w:p w14:paraId="658DAB64"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0.29**</w:t>
                                  </w:r>
                                </w:p>
                              </w:tc>
                              <w:tc>
                                <w:tcPr>
                                  <w:tcW w:w="980" w:type="dxa"/>
                                  <w:tcBorders>
                                    <w:top w:val="nil"/>
                                    <w:left w:val="nil"/>
                                    <w:bottom w:val="nil"/>
                                    <w:right w:val="nil"/>
                                  </w:tcBorders>
                                  <w:shd w:val="clear" w:color="auto" w:fill="auto"/>
                                  <w:noWrap/>
                                  <w:vAlign w:val="bottom"/>
                                  <w:hideMark/>
                                </w:tcPr>
                                <w:p w14:paraId="06F5080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0.34***</w:t>
                                  </w:r>
                                </w:p>
                              </w:tc>
                              <w:tc>
                                <w:tcPr>
                                  <w:tcW w:w="980" w:type="dxa"/>
                                  <w:tcBorders>
                                    <w:top w:val="nil"/>
                                    <w:left w:val="nil"/>
                                    <w:bottom w:val="nil"/>
                                    <w:right w:val="nil"/>
                                  </w:tcBorders>
                                  <w:shd w:val="clear" w:color="auto" w:fill="auto"/>
                                  <w:noWrap/>
                                  <w:vAlign w:val="bottom"/>
                                  <w:hideMark/>
                                </w:tcPr>
                                <w:p w14:paraId="0142A3B5"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0.32***</w:t>
                                  </w:r>
                                </w:p>
                              </w:tc>
                            </w:tr>
                            <w:tr w:rsidR="00DF77C5" w:rsidRPr="00E45F90" w14:paraId="2ED5581B" w14:textId="77777777" w:rsidTr="00E45F90">
                              <w:trPr>
                                <w:trHeight w:val="255"/>
                              </w:trPr>
                              <w:tc>
                                <w:tcPr>
                                  <w:tcW w:w="3440" w:type="dxa"/>
                                  <w:tcBorders>
                                    <w:top w:val="nil"/>
                                    <w:left w:val="nil"/>
                                    <w:bottom w:val="nil"/>
                                    <w:right w:val="nil"/>
                                  </w:tcBorders>
                                  <w:shd w:val="clear" w:color="auto" w:fill="auto"/>
                                  <w:noWrap/>
                                  <w:vAlign w:val="bottom"/>
                                  <w:hideMark/>
                                </w:tcPr>
                                <w:p w14:paraId="2E0F908A" w14:textId="77777777" w:rsidR="00DF77C5" w:rsidRPr="00E45F90" w:rsidRDefault="00DF77C5" w:rsidP="00E45F90">
                                  <w:pPr>
                                    <w:spacing w:after="0"/>
                                    <w:jc w:val="center"/>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2628D055"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(0.05)</w:t>
                                  </w:r>
                                </w:p>
                              </w:tc>
                              <w:tc>
                                <w:tcPr>
                                  <w:tcW w:w="980" w:type="dxa"/>
                                  <w:tcBorders>
                                    <w:top w:val="nil"/>
                                    <w:left w:val="nil"/>
                                    <w:bottom w:val="nil"/>
                                    <w:right w:val="nil"/>
                                  </w:tcBorders>
                                  <w:shd w:val="clear" w:color="auto" w:fill="auto"/>
                                  <w:noWrap/>
                                  <w:vAlign w:val="bottom"/>
                                  <w:hideMark/>
                                </w:tcPr>
                                <w:p w14:paraId="06CD0A53"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(0.07)</w:t>
                                  </w:r>
                                </w:p>
                              </w:tc>
                              <w:tc>
                                <w:tcPr>
                                  <w:tcW w:w="980" w:type="dxa"/>
                                  <w:tcBorders>
                                    <w:top w:val="nil"/>
                                    <w:left w:val="nil"/>
                                    <w:bottom w:val="nil"/>
                                    <w:right w:val="nil"/>
                                  </w:tcBorders>
                                  <w:shd w:val="clear" w:color="auto" w:fill="auto"/>
                                  <w:noWrap/>
                                  <w:vAlign w:val="bottom"/>
                                  <w:hideMark/>
                                </w:tcPr>
                                <w:p w14:paraId="0311C389"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(0.05)</w:t>
                                  </w:r>
                                </w:p>
                              </w:tc>
                              <w:tc>
                                <w:tcPr>
                                  <w:tcW w:w="980" w:type="dxa"/>
                                  <w:tcBorders>
                                    <w:top w:val="nil"/>
                                    <w:left w:val="nil"/>
                                    <w:bottom w:val="nil"/>
                                    <w:right w:val="nil"/>
                                  </w:tcBorders>
                                  <w:shd w:val="clear" w:color="auto" w:fill="auto"/>
                                  <w:noWrap/>
                                  <w:vAlign w:val="bottom"/>
                                  <w:hideMark/>
                                </w:tcPr>
                                <w:p w14:paraId="5B8706C8"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(0.12)</w:t>
                                  </w:r>
                                </w:p>
                              </w:tc>
                              <w:tc>
                                <w:tcPr>
                                  <w:tcW w:w="980" w:type="dxa"/>
                                  <w:tcBorders>
                                    <w:top w:val="nil"/>
                                    <w:left w:val="nil"/>
                                    <w:bottom w:val="nil"/>
                                    <w:right w:val="nil"/>
                                  </w:tcBorders>
                                  <w:shd w:val="clear" w:color="auto" w:fill="auto"/>
                                  <w:noWrap/>
                                  <w:vAlign w:val="bottom"/>
                                  <w:hideMark/>
                                </w:tcPr>
                                <w:p w14:paraId="661C0059"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(0.11)</w:t>
                                  </w:r>
                                </w:p>
                              </w:tc>
                              <w:tc>
                                <w:tcPr>
                                  <w:tcW w:w="980" w:type="dxa"/>
                                  <w:tcBorders>
                                    <w:top w:val="nil"/>
                                    <w:left w:val="nil"/>
                                    <w:bottom w:val="nil"/>
                                    <w:right w:val="nil"/>
                                  </w:tcBorders>
                                  <w:shd w:val="clear" w:color="auto" w:fill="auto"/>
                                  <w:noWrap/>
                                  <w:vAlign w:val="bottom"/>
                                  <w:hideMark/>
                                </w:tcPr>
                                <w:p w14:paraId="5B463112"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(0.12)</w:t>
                                  </w:r>
                                </w:p>
                              </w:tc>
                            </w:tr>
                            <w:tr w:rsidR="00DF77C5" w:rsidRPr="00E45F90" w14:paraId="1FCDF004" w14:textId="77777777" w:rsidTr="00E45F90">
                              <w:trPr>
                                <w:trHeight w:val="255"/>
                              </w:trPr>
                              <w:tc>
                                <w:tcPr>
                                  <w:tcW w:w="3440" w:type="dxa"/>
                                  <w:tcBorders>
                                    <w:top w:val="nil"/>
                                    <w:left w:val="nil"/>
                                    <w:bottom w:val="nil"/>
                                    <w:right w:val="nil"/>
                                  </w:tcBorders>
                                  <w:shd w:val="clear" w:color="auto" w:fill="auto"/>
                                  <w:noWrap/>
                                  <w:vAlign w:val="bottom"/>
                                  <w:hideMark/>
                                </w:tcPr>
                                <w:p w14:paraId="49A1D21C"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UE (unemployment-to-job rate)</w:t>
                                  </w:r>
                                </w:p>
                              </w:tc>
                              <w:tc>
                                <w:tcPr>
                                  <w:tcW w:w="980" w:type="dxa"/>
                                  <w:tcBorders>
                                    <w:top w:val="nil"/>
                                    <w:left w:val="nil"/>
                                    <w:bottom w:val="nil"/>
                                    <w:right w:val="nil"/>
                                  </w:tcBorders>
                                  <w:shd w:val="clear" w:color="auto" w:fill="auto"/>
                                  <w:noWrap/>
                                  <w:vAlign w:val="bottom"/>
                                  <w:hideMark/>
                                </w:tcPr>
                                <w:p w14:paraId="60064EE4"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0.18***</w:t>
                                  </w:r>
                                </w:p>
                              </w:tc>
                              <w:tc>
                                <w:tcPr>
                                  <w:tcW w:w="980" w:type="dxa"/>
                                  <w:tcBorders>
                                    <w:top w:val="nil"/>
                                    <w:left w:val="nil"/>
                                    <w:bottom w:val="nil"/>
                                    <w:right w:val="nil"/>
                                  </w:tcBorders>
                                  <w:shd w:val="clear" w:color="auto" w:fill="auto"/>
                                  <w:noWrap/>
                                  <w:vAlign w:val="bottom"/>
                                  <w:hideMark/>
                                </w:tcPr>
                                <w:p w14:paraId="6D0D6F0C"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0.18***</w:t>
                                  </w:r>
                                </w:p>
                              </w:tc>
                              <w:tc>
                                <w:tcPr>
                                  <w:tcW w:w="980" w:type="dxa"/>
                                  <w:tcBorders>
                                    <w:top w:val="nil"/>
                                    <w:left w:val="nil"/>
                                    <w:bottom w:val="nil"/>
                                    <w:right w:val="nil"/>
                                  </w:tcBorders>
                                  <w:shd w:val="clear" w:color="auto" w:fill="auto"/>
                                  <w:noWrap/>
                                  <w:vAlign w:val="bottom"/>
                                  <w:hideMark/>
                                </w:tcPr>
                                <w:p w14:paraId="376A009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0.12***</w:t>
                                  </w:r>
                                </w:p>
                              </w:tc>
                              <w:tc>
                                <w:tcPr>
                                  <w:tcW w:w="980" w:type="dxa"/>
                                  <w:tcBorders>
                                    <w:top w:val="nil"/>
                                    <w:left w:val="nil"/>
                                    <w:bottom w:val="nil"/>
                                    <w:right w:val="nil"/>
                                  </w:tcBorders>
                                  <w:shd w:val="clear" w:color="auto" w:fill="auto"/>
                                  <w:noWrap/>
                                  <w:vAlign w:val="bottom"/>
                                  <w:hideMark/>
                                </w:tcPr>
                                <w:p w14:paraId="78A67E8B"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0.14***</w:t>
                                  </w:r>
                                </w:p>
                              </w:tc>
                              <w:tc>
                                <w:tcPr>
                                  <w:tcW w:w="980" w:type="dxa"/>
                                  <w:tcBorders>
                                    <w:top w:val="nil"/>
                                    <w:left w:val="nil"/>
                                    <w:bottom w:val="nil"/>
                                    <w:right w:val="nil"/>
                                  </w:tcBorders>
                                  <w:shd w:val="clear" w:color="auto" w:fill="auto"/>
                                  <w:noWrap/>
                                  <w:vAlign w:val="bottom"/>
                                  <w:hideMark/>
                                </w:tcPr>
                                <w:p w14:paraId="26518FD6"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0.12***</w:t>
                                  </w:r>
                                </w:p>
                              </w:tc>
                              <w:tc>
                                <w:tcPr>
                                  <w:tcW w:w="980" w:type="dxa"/>
                                  <w:tcBorders>
                                    <w:top w:val="nil"/>
                                    <w:left w:val="nil"/>
                                    <w:bottom w:val="nil"/>
                                    <w:right w:val="nil"/>
                                  </w:tcBorders>
                                  <w:shd w:val="clear" w:color="auto" w:fill="auto"/>
                                  <w:noWrap/>
                                  <w:vAlign w:val="bottom"/>
                                  <w:hideMark/>
                                </w:tcPr>
                                <w:p w14:paraId="2207C99A"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0.13***</w:t>
                                  </w:r>
                                </w:p>
                              </w:tc>
                            </w:tr>
                            <w:tr w:rsidR="00DF77C5" w:rsidRPr="00E45F90" w14:paraId="737EADAE" w14:textId="77777777" w:rsidTr="00E45F90">
                              <w:trPr>
                                <w:trHeight w:val="255"/>
                              </w:trPr>
                              <w:tc>
                                <w:tcPr>
                                  <w:tcW w:w="3440" w:type="dxa"/>
                                  <w:tcBorders>
                                    <w:top w:val="nil"/>
                                    <w:left w:val="nil"/>
                                    <w:bottom w:val="nil"/>
                                    <w:right w:val="nil"/>
                                  </w:tcBorders>
                                  <w:shd w:val="clear" w:color="auto" w:fill="auto"/>
                                  <w:noWrap/>
                                  <w:vAlign w:val="bottom"/>
                                  <w:hideMark/>
                                </w:tcPr>
                                <w:p w14:paraId="3A7D7F7A" w14:textId="77777777" w:rsidR="00DF77C5" w:rsidRPr="00E45F90" w:rsidRDefault="00DF77C5" w:rsidP="00E45F90">
                                  <w:pPr>
                                    <w:spacing w:after="0"/>
                                    <w:jc w:val="center"/>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7B9043BB"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c>
                                <w:tcPr>
                                  <w:tcW w:w="980" w:type="dxa"/>
                                  <w:tcBorders>
                                    <w:top w:val="nil"/>
                                    <w:left w:val="nil"/>
                                    <w:bottom w:val="nil"/>
                                    <w:right w:val="nil"/>
                                  </w:tcBorders>
                                  <w:shd w:val="clear" w:color="auto" w:fill="auto"/>
                                  <w:noWrap/>
                                  <w:vAlign w:val="bottom"/>
                                  <w:hideMark/>
                                </w:tcPr>
                                <w:p w14:paraId="68836A05"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(0.04)</w:t>
                                  </w:r>
                                </w:p>
                              </w:tc>
                              <w:tc>
                                <w:tcPr>
                                  <w:tcW w:w="980" w:type="dxa"/>
                                  <w:tcBorders>
                                    <w:top w:val="nil"/>
                                    <w:left w:val="nil"/>
                                    <w:bottom w:val="nil"/>
                                    <w:right w:val="nil"/>
                                  </w:tcBorders>
                                  <w:shd w:val="clear" w:color="auto" w:fill="auto"/>
                                  <w:noWrap/>
                                  <w:vAlign w:val="bottom"/>
                                  <w:hideMark/>
                                </w:tcPr>
                                <w:p w14:paraId="14874338"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c>
                                <w:tcPr>
                                  <w:tcW w:w="980" w:type="dxa"/>
                                  <w:tcBorders>
                                    <w:top w:val="nil"/>
                                    <w:left w:val="nil"/>
                                    <w:bottom w:val="nil"/>
                                    <w:right w:val="nil"/>
                                  </w:tcBorders>
                                  <w:shd w:val="clear" w:color="auto" w:fill="auto"/>
                                  <w:noWrap/>
                                  <w:vAlign w:val="bottom"/>
                                  <w:hideMark/>
                                </w:tcPr>
                                <w:p w14:paraId="242A896C"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c>
                                <w:tcPr>
                                  <w:tcW w:w="980" w:type="dxa"/>
                                  <w:tcBorders>
                                    <w:top w:val="nil"/>
                                    <w:left w:val="nil"/>
                                    <w:bottom w:val="nil"/>
                                    <w:right w:val="nil"/>
                                  </w:tcBorders>
                                  <w:shd w:val="clear" w:color="auto" w:fill="auto"/>
                                  <w:noWrap/>
                                  <w:vAlign w:val="bottom"/>
                                  <w:hideMark/>
                                </w:tcPr>
                                <w:p w14:paraId="0EE6B20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c>
                                <w:tcPr>
                                  <w:tcW w:w="980" w:type="dxa"/>
                                  <w:tcBorders>
                                    <w:top w:val="nil"/>
                                    <w:left w:val="nil"/>
                                    <w:bottom w:val="nil"/>
                                    <w:right w:val="nil"/>
                                  </w:tcBorders>
                                  <w:shd w:val="clear" w:color="auto" w:fill="auto"/>
                                  <w:noWrap/>
                                  <w:vAlign w:val="bottom"/>
                                  <w:hideMark/>
                                </w:tcPr>
                                <w:p w14:paraId="434970F1"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r>
                            <w:tr w:rsidR="00DF77C5" w:rsidRPr="00E45F90" w14:paraId="305751CB" w14:textId="77777777" w:rsidTr="00E45F90">
                              <w:trPr>
                                <w:trHeight w:val="255"/>
                              </w:trPr>
                              <w:tc>
                                <w:tcPr>
                                  <w:tcW w:w="3440" w:type="dxa"/>
                                  <w:tcBorders>
                                    <w:top w:val="nil"/>
                                    <w:left w:val="nil"/>
                                    <w:bottom w:val="nil"/>
                                    <w:right w:val="nil"/>
                                  </w:tcBorders>
                                  <w:shd w:val="clear" w:color="auto" w:fill="auto"/>
                                  <w:noWrap/>
                                  <w:vAlign w:val="bottom"/>
                                  <w:hideMark/>
                                </w:tcPr>
                                <w:p w14:paraId="5DD9EE23" w14:textId="77777777" w:rsidR="00DF77C5" w:rsidRPr="00E45F90" w:rsidRDefault="00DF77C5" w:rsidP="00E45F90">
                                  <w:pPr>
                                    <w:spacing w:after="0"/>
                                    <w:rPr>
                                      <w:rFonts w:ascii="Arial" w:eastAsia="Times New Roman" w:hAnsi="Arial" w:cs="Arial"/>
                                      <w:i/>
                                      <w:iCs/>
                                      <w:color w:val="000000"/>
                                      <w:sz w:val="20"/>
                                      <w:szCs w:val="20"/>
                                      <w:lang w:eastAsia="en-AU"/>
                                    </w:rPr>
                                  </w:pPr>
                                  <w:r w:rsidRPr="00E45F90">
                                    <w:rPr>
                                      <w:rFonts w:ascii="Arial" w:eastAsia="Times New Roman" w:hAnsi="Arial" w:cs="Arial"/>
                                      <w:i/>
                                      <w:iCs/>
                                      <w:color w:val="000000"/>
                                      <w:sz w:val="20"/>
                                      <w:szCs w:val="20"/>
                                      <w:lang w:eastAsia="en-AU"/>
                                    </w:rPr>
                                    <w:t>Panel B: Job-switchers</w:t>
                                  </w:r>
                                </w:p>
                              </w:tc>
                              <w:tc>
                                <w:tcPr>
                                  <w:tcW w:w="980" w:type="dxa"/>
                                  <w:tcBorders>
                                    <w:top w:val="nil"/>
                                    <w:left w:val="nil"/>
                                    <w:bottom w:val="nil"/>
                                    <w:right w:val="nil"/>
                                  </w:tcBorders>
                                  <w:shd w:val="clear" w:color="auto" w:fill="auto"/>
                                  <w:noWrap/>
                                  <w:vAlign w:val="bottom"/>
                                  <w:hideMark/>
                                </w:tcPr>
                                <w:p w14:paraId="0C918D5C" w14:textId="77777777" w:rsidR="00DF77C5" w:rsidRPr="00E45F90" w:rsidRDefault="00DF77C5" w:rsidP="00E45F90">
                                  <w:pPr>
                                    <w:spacing w:after="0"/>
                                    <w:rPr>
                                      <w:rFonts w:ascii="Arial" w:eastAsia="Times New Roman" w:hAnsi="Arial" w:cs="Arial"/>
                                      <w:i/>
                                      <w:iCs/>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46E8B154"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67E7B21D"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3EA8F121"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72375CB9"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50ED07F6"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r>
                            <w:tr w:rsidR="00DF77C5" w:rsidRPr="00E45F90" w14:paraId="0C3F896F" w14:textId="77777777" w:rsidTr="00E45F90">
                              <w:trPr>
                                <w:trHeight w:val="255"/>
                              </w:trPr>
                              <w:tc>
                                <w:tcPr>
                                  <w:tcW w:w="3440" w:type="dxa"/>
                                  <w:tcBorders>
                                    <w:top w:val="nil"/>
                                    <w:left w:val="nil"/>
                                    <w:bottom w:val="nil"/>
                                    <w:right w:val="nil"/>
                                  </w:tcBorders>
                                  <w:shd w:val="clear" w:color="auto" w:fill="auto"/>
                                  <w:noWrap/>
                                  <w:vAlign w:val="bottom"/>
                                  <w:hideMark/>
                                </w:tcPr>
                                <w:p w14:paraId="20E9A207"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EE (job-to-job) rate</w:t>
                                  </w:r>
                                </w:p>
                              </w:tc>
                              <w:tc>
                                <w:tcPr>
                                  <w:tcW w:w="980" w:type="dxa"/>
                                  <w:tcBorders>
                                    <w:top w:val="nil"/>
                                    <w:left w:val="nil"/>
                                    <w:bottom w:val="nil"/>
                                    <w:right w:val="nil"/>
                                  </w:tcBorders>
                                  <w:shd w:val="clear" w:color="auto" w:fill="auto"/>
                                  <w:noWrap/>
                                  <w:vAlign w:val="bottom"/>
                                  <w:hideMark/>
                                </w:tcPr>
                                <w:p w14:paraId="3DF9B2B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c>
                                <w:tcPr>
                                  <w:tcW w:w="980" w:type="dxa"/>
                                  <w:tcBorders>
                                    <w:top w:val="nil"/>
                                    <w:left w:val="nil"/>
                                    <w:bottom w:val="nil"/>
                                    <w:right w:val="nil"/>
                                  </w:tcBorders>
                                  <w:shd w:val="clear" w:color="auto" w:fill="auto"/>
                                  <w:noWrap/>
                                  <w:vAlign w:val="bottom"/>
                                  <w:hideMark/>
                                </w:tcPr>
                                <w:p w14:paraId="2F4B18D0"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0.32</w:t>
                                  </w:r>
                                </w:p>
                              </w:tc>
                              <w:tc>
                                <w:tcPr>
                                  <w:tcW w:w="980" w:type="dxa"/>
                                  <w:tcBorders>
                                    <w:top w:val="nil"/>
                                    <w:left w:val="nil"/>
                                    <w:bottom w:val="nil"/>
                                    <w:right w:val="nil"/>
                                  </w:tcBorders>
                                  <w:shd w:val="clear" w:color="auto" w:fill="auto"/>
                                  <w:noWrap/>
                                  <w:vAlign w:val="bottom"/>
                                  <w:hideMark/>
                                </w:tcPr>
                                <w:p w14:paraId="6F03ABB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0.23</w:t>
                                  </w:r>
                                </w:p>
                              </w:tc>
                              <w:tc>
                                <w:tcPr>
                                  <w:tcW w:w="980" w:type="dxa"/>
                                  <w:tcBorders>
                                    <w:top w:val="nil"/>
                                    <w:left w:val="nil"/>
                                    <w:bottom w:val="nil"/>
                                    <w:right w:val="nil"/>
                                  </w:tcBorders>
                                  <w:shd w:val="clear" w:color="auto" w:fill="auto"/>
                                  <w:noWrap/>
                                  <w:vAlign w:val="bottom"/>
                                  <w:hideMark/>
                                </w:tcPr>
                                <w:p w14:paraId="7ADF889C"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1.04*</w:t>
                                  </w:r>
                                </w:p>
                              </w:tc>
                              <w:tc>
                                <w:tcPr>
                                  <w:tcW w:w="980" w:type="dxa"/>
                                  <w:tcBorders>
                                    <w:top w:val="nil"/>
                                    <w:left w:val="nil"/>
                                    <w:bottom w:val="nil"/>
                                    <w:right w:val="nil"/>
                                  </w:tcBorders>
                                  <w:shd w:val="clear" w:color="auto" w:fill="auto"/>
                                  <w:noWrap/>
                                  <w:vAlign w:val="bottom"/>
                                  <w:hideMark/>
                                </w:tcPr>
                                <w:p w14:paraId="6C88AFB2"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1.14*</w:t>
                                  </w:r>
                                </w:p>
                              </w:tc>
                              <w:tc>
                                <w:tcPr>
                                  <w:tcW w:w="980" w:type="dxa"/>
                                  <w:tcBorders>
                                    <w:top w:val="nil"/>
                                    <w:left w:val="nil"/>
                                    <w:bottom w:val="nil"/>
                                    <w:right w:val="nil"/>
                                  </w:tcBorders>
                                  <w:shd w:val="clear" w:color="auto" w:fill="auto"/>
                                  <w:noWrap/>
                                  <w:vAlign w:val="bottom"/>
                                  <w:hideMark/>
                                </w:tcPr>
                                <w:p w14:paraId="52C93693"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0.98*</w:t>
                                  </w:r>
                                </w:p>
                              </w:tc>
                            </w:tr>
                            <w:tr w:rsidR="00DF77C5" w:rsidRPr="00E45F90" w14:paraId="2DAA3192" w14:textId="77777777" w:rsidTr="00E45F90">
                              <w:trPr>
                                <w:trHeight w:val="255"/>
                              </w:trPr>
                              <w:tc>
                                <w:tcPr>
                                  <w:tcW w:w="3440" w:type="dxa"/>
                                  <w:tcBorders>
                                    <w:top w:val="nil"/>
                                    <w:left w:val="nil"/>
                                    <w:bottom w:val="nil"/>
                                    <w:right w:val="nil"/>
                                  </w:tcBorders>
                                  <w:shd w:val="clear" w:color="auto" w:fill="auto"/>
                                  <w:noWrap/>
                                  <w:vAlign w:val="bottom"/>
                                  <w:hideMark/>
                                </w:tcPr>
                                <w:p w14:paraId="7C882D9B" w14:textId="77777777" w:rsidR="00DF77C5" w:rsidRPr="00E45F90" w:rsidRDefault="00DF77C5" w:rsidP="00E45F90">
                                  <w:pPr>
                                    <w:spacing w:after="0"/>
                                    <w:jc w:val="center"/>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0F4A7BB0"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(0.15)</w:t>
                                  </w:r>
                                </w:p>
                              </w:tc>
                              <w:tc>
                                <w:tcPr>
                                  <w:tcW w:w="980" w:type="dxa"/>
                                  <w:tcBorders>
                                    <w:top w:val="nil"/>
                                    <w:left w:val="nil"/>
                                    <w:bottom w:val="nil"/>
                                    <w:right w:val="nil"/>
                                  </w:tcBorders>
                                  <w:shd w:val="clear" w:color="auto" w:fill="auto"/>
                                  <w:noWrap/>
                                  <w:vAlign w:val="bottom"/>
                                  <w:hideMark/>
                                </w:tcPr>
                                <w:p w14:paraId="3777C37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(0.33)</w:t>
                                  </w:r>
                                </w:p>
                              </w:tc>
                              <w:tc>
                                <w:tcPr>
                                  <w:tcW w:w="980" w:type="dxa"/>
                                  <w:tcBorders>
                                    <w:top w:val="nil"/>
                                    <w:left w:val="nil"/>
                                    <w:bottom w:val="nil"/>
                                    <w:right w:val="nil"/>
                                  </w:tcBorders>
                                  <w:shd w:val="clear" w:color="auto" w:fill="auto"/>
                                  <w:noWrap/>
                                  <w:vAlign w:val="bottom"/>
                                  <w:hideMark/>
                                </w:tcPr>
                                <w:p w14:paraId="08926C5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(0.34)</w:t>
                                  </w:r>
                                </w:p>
                              </w:tc>
                              <w:tc>
                                <w:tcPr>
                                  <w:tcW w:w="980" w:type="dxa"/>
                                  <w:tcBorders>
                                    <w:top w:val="nil"/>
                                    <w:left w:val="nil"/>
                                    <w:bottom w:val="nil"/>
                                    <w:right w:val="nil"/>
                                  </w:tcBorders>
                                  <w:shd w:val="clear" w:color="auto" w:fill="auto"/>
                                  <w:noWrap/>
                                  <w:vAlign w:val="bottom"/>
                                  <w:hideMark/>
                                </w:tcPr>
                                <w:p w14:paraId="74543E91"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(0.53)</w:t>
                                  </w:r>
                                </w:p>
                              </w:tc>
                              <w:tc>
                                <w:tcPr>
                                  <w:tcW w:w="980" w:type="dxa"/>
                                  <w:tcBorders>
                                    <w:top w:val="nil"/>
                                    <w:left w:val="nil"/>
                                    <w:bottom w:val="nil"/>
                                    <w:right w:val="nil"/>
                                  </w:tcBorders>
                                  <w:shd w:val="clear" w:color="auto" w:fill="auto"/>
                                  <w:noWrap/>
                                  <w:vAlign w:val="bottom"/>
                                  <w:hideMark/>
                                </w:tcPr>
                                <w:p w14:paraId="5EF13A82"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(0.58)</w:t>
                                  </w:r>
                                </w:p>
                              </w:tc>
                              <w:tc>
                                <w:tcPr>
                                  <w:tcW w:w="980" w:type="dxa"/>
                                  <w:tcBorders>
                                    <w:top w:val="nil"/>
                                    <w:left w:val="nil"/>
                                    <w:bottom w:val="nil"/>
                                    <w:right w:val="nil"/>
                                  </w:tcBorders>
                                  <w:shd w:val="clear" w:color="auto" w:fill="auto"/>
                                  <w:noWrap/>
                                  <w:vAlign w:val="bottom"/>
                                  <w:hideMark/>
                                </w:tcPr>
                                <w:p w14:paraId="675E748D"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(0.58)</w:t>
                                  </w:r>
                                </w:p>
                              </w:tc>
                            </w:tr>
                            <w:tr w:rsidR="00DF77C5" w:rsidRPr="00E45F90" w14:paraId="6E6F859F" w14:textId="77777777" w:rsidTr="00E45F90">
                              <w:trPr>
                                <w:trHeight w:val="255"/>
                              </w:trPr>
                              <w:tc>
                                <w:tcPr>
                                  <w:tcW w:w="3440" w:type="dxa"/>
                                  <w:tcBorders>
                                    <w:top w:val="nil"/>
                                    <w:left w:val="nil"/>
                                    <w:bottom w:val="nil"/>
                                    <w:right w:val="nil"/>
                                  </w:tcBorders>
                                  <w:shd w:val="clear" w:color="auto" w:fill="auto"/>
                                  <w:noWrap/>
                                  <w:vAlign w:val="bottom"/>
                                  <w:hideMark/>
                                </w:tcPr>
                                <w:p w14:paraId="753C7A8A"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UE (unemployment-to-job rate)</w:t>
                                  </w:r>
                                </w:p>
                              </w:tc>
                              <w:tc>
                                <w:tcPr>
                                  <w:tcW w:w="980" w:type="dxa"/>
                                  <w:tcBorders>
                                    <w:top w:val="nil"/>
                                    <w:left w:val="nil"/>
                                    <w:bottom w:val="nil"/>
                                    <w:right w:val="nil"/>
                                  </w:tcBorders>
                                  <w:shd w:val="clear" w:color="auto" w:fill="auto"/>
                                  <w:noWrap/>
                                  <w:vAlign w:val="bottom"/>
                                  <w:hideMark/>
                                </w:tcPr>
                                <w:p w14:paraId="2C35EB6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0.41***</w:t>
                                  </w:r>
                                </w:p>
                              </w:tc>
                              <w:tc>
                                <w:tcPr>
                                  <w:tcW w:w="980" w:type="dxa"/>
                                  <w:tcBorders>
                                    <w:top w:val="nil"/>
                                    <w:left w:val="nil"/>
                                    <w:bottom w:val="nil"/>
                                    <w:right w:val="nil"/>
                                  </w:tcBorders>
                                  <w:shd w:val="clear" w:color="auto" w:fill="auto"/>
                                  <w:noWrap/>
                                  <w:vAlign w:val="bottom"/>
                                  <w:hideMark/>
                                </w:tcPr>
                                <w:p w14:paraId="2B95B8F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0.28**</w:t>
                                  </w:r>
                                </w:p>
                              </w:tc>
                              <w:tc>
                                <w:tcPr>
                                  <w:tcW w:w="980" w:type="dxa"/>
                                  <w:tcBorders>
                                    <w:top w:val="nil"/>
                                    <w:left w:val="nil"/>
                                    <w:bottom w:val="nil"/>
                                    <w:right w:val="nil"/>
                                  </w:tcBorders>
                                  <w:shd w:val="clear" w:color="auto" w:fill="auto"/>
                                  <w:noWrap/>
                                  <w:vAlign w:val="bottom"/>
                                  <w:hideMark/>
                                </w:tcPr>
                                <w:p w14:paraId="29E6E6E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0.20</w:t>
                                  </w:r>
                                </w:p>
                              </w:tc>
                              <w:tc>
                                <w:tcPr>
                                  <w:tcW w:w="980" w:type="dxa"/>
                                  <w:tcBorders>
                                    <w:top w:val="nil"/>
                                    <w:left w:val="nil"/>
                                    <w:bottom w:val="nil"/>
                                    <w:right w:val="nil"/>
                                  </w:tcBorders>
                                  <w:shd w:val="clear" w:color="auto" w:fill="auto"/>
                                  <w:noWrap/>
                                  <w:vAlign w:val="bottom"/>
                                  <w:hideMark/>
                                </w:tcPr>
                                <w:p w14:paraId="1A3504B6"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0.16</w:t>
                                  </w:r>
                                </w:p>
                              </w:tc>
                              <w:tc>
                                <w:tcPr>
                                  <w:tcW w:w="980" w:type="dxa"/>
                                  <w:tcBorders>
                                    <w:top w:val="nil"/>
                                    <w:left w:val="nil"/>
                                    <w:bottom w:val="nil"/>
                                    <w:right w:val="nil"/>
                                  </w:tcBorders>
                                  <w:shd w:val="clear" w:color="auto" w:fill="auto"/>
                                  <w:noWrap/>
                                  <w:vAlign w:val="bottom"/>
                                  <w:hideMark/>
                                </w:tcPr>
                                <w:p w14:paraId="7F0276F5"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0.07</w:t>
                                  </w:r>
                                </w:p>
                              </w:tc>
                              <w:tc>
                                <w:tcPr>
                                  <w:tcW w:w="980" w:type="dxa"/>
                                  <w:tcBorders>
                                    <w:top w:val="nil"/>
                                    <w:left w:val="nil"/>
                                    <w:bottom w:val="nil"/>
                                    <w:right w:val="nil"/>
                                  </w:tcBorders>
                                  <w:shd w:val="clear" w:color="auto" w:fill="auto"/>
                                  <w:noWrap/>
                                  <w:vAlign w:val="bottom"/>
                                  <w:hideMark/>
                                </w:tcPr>
                                <w:p w14:paraId="1C9A81BA"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0.16</w:t>
                                  </w:r>
                                </w:p>
                              </w:tc>
                            </w:tr>
                            <w:tr w:rsidR="00DF77C5" w:rsidRPr="00E45F90" w14:paraId="2F82620E" w14:textId="77777777" w:rsidTr="00E45F90">
                              <w:trPr>
                                <w:trHeight w:val="255"/>
                              </w:trPr>
                              <w:tc>
                                <w:tcPr>
                                  <w:tcW w:w="3440" w:type="dxa"/>
                                  <w:tcBorders>
                                    <w:top w:val="nil"/>
                                    <w:left w:val="nil"/>
                                    <w:bottom w:val="nil"/>
                                    <w:right w:val="nil"/>
                                  </w:tcBorders>
                                  <w:shd w:val="clear" w:color="auto" w:fill="auto"/>
                                  <w:noWrap/>
                                  <w:vAlign w:val="bottom"/>
                                  <w:hideMark/>
                                </w:tcPr>
                                <w:p w14:paraId="476628C9" w14:textId="77777777" w:rsidR="00DF77C5" w:rsidRPr="00E45F90" w:rsidRDefault="00DF77C5" w:rsidP="00E45F90">
                                  <w:pPr>
                                    <w:spacing w:after="0"/>
                                    <w:jc w:val="center"/>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353782F5"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(0.08)</w:t>
                                  </w:r>
                                </w:p>
                              </w:tc>
                              <w:tc>
                                <w:tcPr>
                                  <w:tcW w:w="980" w:type="dxa"/>
                                  <w:tcBorders>
                                    <w:top w:val="nil"/>
                                    <w:left w:val="nil"/>
                                    <w:bottom w:val="nil"/>
                                    <w:right w:val="nil"/>
                                  </w:tcBorders>
                                  <w:shd w:val="clear" w:color="auto" w:fill="auto"/>
                                  <w:noWrap/>
                                  <w:vAlign w:val="bottom"/>
                                  <w:hideMark/>
                                </w:tcPr>
                                <w:p w14:paraId="2DA7C5F9"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(0.13)</w:t>
                                  </w:r>
                                </w:p>
                              </w:tc>
                              <w:tc>
                                <w:tcPr>
                                  <w:tcW w:w="980" w:type="dxa"/>
                                  <w:tcBorders>
                                    <w:top w:val="nil"/>
                                    <w:left w:val="nil"/>
                                    <w:bottom w:val="nil"/>
                                    <w:right w:val="nil"/>
                                  </w:tcBorders>
                                  <w:shd w:val="clear" w:color="auto" w:fill="auto"/>
                                  <w:noWrap/>
                                  <w:vAlign w:val="bottom"/>
                                  <w:hideMark/>
                                </w:tcPr>
                                <w:p w14:paraId="1862BA8D"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(0.14)</w:t>
                                  </w:r>
                                </w:p>
                              </w:tc>
                              <w:tc>
                                <w:tcPr>
                                  <w:tcW w:w="980" w:type="dxa"/>
                                  <w:tcBorders>
                                    <w:top w:val="nil"/>
                                    <w:left w:val="nil"/>
                                    <w:bottom w:val="nil"/>
                                    <w:right w:val="nil"/>
                                  </w:tcBorders>
                                  <w:shd w:val="clear" w:color="auto" w:fill="auto"/>
                                  <w:noWrap/>
                                  <w:vAlign w:val="bottom"/>
                                  <w:hideMark/>
                                </w:tcPr>
                                <w:p w14:paraId="1E9B6594"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(0.15)</w:t>
                                  </w:r>
                                </w:p>
                              </w:tc>
                              <w:tc>
                                <w:tcPr>
                                  <w:tcW w:w="980" w:type="dxa"/>
                                  <w:tcBorders>
                                    <w:top w:val="nil"/>
                                    <w:left w:val="nil"/>
                                    <w:bottom w:val="nil"/>
                                    <w:right w:val="nil"/>
                                  </w:tcBorders>
                                  <w:shd w:val="clear" w:color="auto" w:fill="auto"/>
                                  <w:noWrap/>
                                  <w:vAlign w:val="bottom"/>
                                  <w:hideMark/>
                                </w:tcPr>
                                <w:p w14:paraId="4A9494A4"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(0.17)</w:t>
                                  </w:r>
                                </w:p>
                              </w:tc>
                              <w:tc>
                                <w:tcPr>
                                  <w:tcW w:w="980" w:type="dxa"/>
                                  <w:tcBorders>
                                    <w:top w:val="nil"/>
                                    <w:left w:val="nil"/>
                                    <w:bottom w:val="nil"/>
                                    <w:right w:val="nil"/>
                                  </w:tcBorders>
                                  <w:shd w:val="clear" w:color="auto" w:fill="auto"/>
                                  <w:noWrap/>
                                  <w:vAlign w:val="bottom"/>
                                  <w:hideMark/>
                                </w:tcPr>
                                <w:p w14:paraId="4117220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(0.18)</w:t>
                                  </w:r>
                                </w:p>
                              </w:tc>
                            </w:tr>
                            <w:tr w:rsidR="00DF77C5" w:rsidRPr="00E45F90" w14:paraId="079F4077" w14:textId="77777777" w:rsidTr="00E45F90">
                              <w:trPr>
                                <w:trHeight w:val="255"/>
                              </w:trPr>
                              <w:tc>
                                <w:tcPr>
                                  <w:tcW w:w="3440" w:type="dxa"/>
                                  <w:tcBorders>
                                    <w:top w:val="nil"/>
                                    <w:left w:val="nil"/>
                                    <w:bottom w:val="nil"/>
                                    <w:right w:val="nil"/>
                                  </w:tcBorders>
                                  <w:shd w:val="clear" w:color="auto" w:fill="auto"/>
                                  <w:noWrap/>
                                  <w:vAlign w:val="bottom"/>
                                  <w:hideMark/>
                                </w:tcPr>
                                <w:p w14:paraId="37F88D4D" w14:textId="77777777" w:rsidR="00DF77C5" w:rsidRPr="00E45F90" w:rsidRDefault="00DF77C5" w:rsidP="00E45F90">
                                  <w:pPr>
                                    <w:spacing w:after="0"/>
                                    <w:rPr>
                                      <w:rFonts w:ascii="Arial" w:eastAsia="Times New Roman" w:hAnsi="Arial" w:cs="Arial"/>
                                      <w:i/>
                                      <w:iCs/>
                                      <w:color w:val="000000"/>
                                      <w:sz w:val="20"/>
                                      <w:szCs w:val="20"/>
                                      <w:lang w:eastAsia="en-AU"/>
                                    </w:rPr>
                                  </w:pPr>
                                  <w:r w:rsidRPr="00E45F90">
                                    <w:rPr>
                                      <w:rFonts w:ascii="Arial" w:eastAsia="Times New Roman" w:hAnsi="Arial" w:cs="Arial"/>
                                      <w:i/>
                                      <w:iCs/>
                                      <w:color w:val="000000"/>
                                      <w:sz w:val="20"/>
                                      <w:szCs w:val="20"/>
                                      <w:lang w:eastAsia="en-AU"/>
                                    </w:rPr>
                                    <w:t>Panel C: Job-stayers</w:t>
                                  </w:r>
                                </w:p>
                              </w:tc>
                              <w:tc>
                                <w:tcPr>
                                  <w:tcW w:w="980" w:type="dxa"/>
                                  <w:tcBorders>
                                    <w:top w:val="nil"/>
                                    <w:left w:val="nil"/>
                                    <w:bottom w:val="nil"/>
                                    <w:right w:val="nil"/>
                                  </w:tcBorders>
                                  <w:shd w:val="clear" w:color="auto" w:fill="auto"/>
                                  <w:noWrap/>
                                  <w:vAlign w:val="bottom"/>
                                  <w:hideMark/>
                                </w:tcPr>
                                <w:p w14:paraId="5551911F" w14:textId="77777777" w:rsidR="00DF77C5" w:rsidRPr="00E45F90" w:rsidRDefault="00DF77C5" w:rsidP="00E45F90">
                                  <w:pPr>
                                    <w:spacing w:after="0"/>
                                    <w:rPr>
                                      <w:rFonts w:ascii="Arial" w:eastAsia="Times New Roman" w:hAnsi="Arial" w:cs="Arial"/>
                                      <w:i/>
                                      <w:iCs/>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35393D69"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6FF5B53E"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4036EC08"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1609C6F3"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10221C2A"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r>
                            <w:tr w:rsidR="00DF77C5" w:rsidRPr="00E45F90" w14:paraId="3DCB9608" w14:textId="77777777" w:rsidTr="00E45F90">
                              <w:trPr>
                                <w:trHeight w:val="255"/>
                              </w:trPr>
                              <w:tc>
                                <w:tcPr>
                                  <w:tcW w:w="3440" w:type="dxa"/>
                                  <w:tcBorders>
                                    <w:top w:val="nil"/>
                                    <w:left w:val="nil"/>
                                    <w:bottom w:val="nil"/>
                                    <w:right w:val="nil"/>
                                  </w:tcBorders>
                                  <w:shd w:val="clear" w:color="auto" w:fill="auto"/>
                                  <w:noWrap/>
                                  <w:vAlign w:val="bottom"/>
                                  <w:hideMark/>
                                </w:tcPr>
                                <w:p w14:paraId="0378DA78"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EE (job-to-job) rate</w:t>
                                  </w:r>
                                </w:p>
                              </w:tc>
                              <w:tc>
                                <w:tcPr>
                                  <w:tcW w:w="980" w:type="dxa"/>
                                  <w:tcBorders>
                                    <w:top w:val="nil"/>
                                    <w:left w:val="nil"/>
                                    <w:bottom w:val="nil"/>
                                    <w:right w:val="nil"/>
                                  </w:tcBorders>
                                  <w:shd w:val="clear" w:color="auto" w:fill="auto"/>
                                  <w:noWrap/>
                                  <w:vAlign w:val="bottom"/>
                                  <w:hideMark/>
                                </w:tcPr>
                                <w:p w14:paraId="4E61DAC6"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0.45***</w:t>
                                  </w:r>
                                </w:p>
                              </w:tc>
                              <w:tc>
                                <w:tcPr>
                                  <w:tcW w:w="980" w:type="dxa"/>
                                  <w:tcBorders>
                                    <w:top w:val="nil"/>
                                    <w:left w:val="nil"/>
                                    <w:bottom w:val="nil"/>
                                    <w:right w:val="nil"/>
                                  </w:tcBorders>
                                  <w:shd w:val="clear" w:color="auto" w:fill="auto"/>
                                  <w:noWrap/>
                                  <w:vAlign w:val="bottom"/>
                                  <w:hideMark/>
                                </w:tcPr>
                                <w:p w14:paraId="1B12CC14"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0.37***</w:t>
                                  </w:r>
                                </w:p>
                              </w:tc>
                              <w:tc>
                                <w:tcPr>
                                  <w:tcW w:w="980" w:type="dxa"/>
                                  <w:tcBorders>
                                    <w:top w:val="nil"/>
                                    <w:left w:val="nil"/>
                                    <w:bottom w:val="nil"/>
                                    <w:right w:val="nil"/>
                                  </w:tcBorders>
                                  <w:shd w:val="clear" w:color="auto" w:fill="auto"/>
                                  <w:noWrap/>
                                  <w:vAlign w:val="bottom"/>
                                  <w:hideMark/>
                                </w:tcPr>
                                <w:p w14:paraId="3B2BCF31"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0.31***</w:t>
                                  </w:r>
                                </w:p>
                              </w:tc>
                              <w:tc>
                                <w:tcPr>
                                  <w:tcW w:w="980" w:type="dxa"/>
                                  <w:tcBorders>
                                    <w:top w:val="nil"/>
                                    <w:left w:val="nil"/>
                                    <w:bottom w:val="nil"/>
                                    <w:right w:val="nil"/>
                                  </w:tcBorders>
                                  <w:shd w:val="clear" w:color="auto" w:fill="auto"/>
                                  <w:noWrap/>
                                  <w:vAlign w:val="bottom"/>
                                  <w:hideMark/>
                                </w:tcPr>
                                <w:p w14:paraId="1AB85FEC"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0.20*</w:t>
                                  </w:r>
                                </w:p>
                              </w:tc>
                              <w:tc>
                                <w:tcPr>
                                  <w:tcW w:w="980" w:type="dxa"/>
                                  <w:tcBorders>
                                    <w:top w:val="nil"/>
                                    <w:left w:val="nil"/>
                                    <w:bottom w:val="nil"/>
                                    <w:right w:val="nil"/>
                                  </w:tcBorders>
                                  <w:shd w:val="clear" w:color="auto" w:fill="auto"/>
                                  <w:noWrap/>
                                  <w:vAlign w:val="bottom"/>
                                  <w:hideMark/>
                                </w:tcPr>
                                <w:p w14:paraId="2E44A166"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0.24***</w:t>
                                  </w:r>
                                </w:p>
                              </w:tc>
                              <w:tc>
                                <w:tcPr>
                                  <w:tcW w:w="980" w:type="dxa"/>
                                  <w:tcBorders>
                                    <w:top w:val="nil"/>
                                    <w:left w:val="nil"/>
                                    <w:bottom w:val="nil"/>
                                    <w:right w:val="nil"/>
                                  </w:tcBorders>
                                  <w:shd w:val="clear" w:color="auto" w:fill="auto"/>
                                  <w:noWrap/>
                                  <w:vAlign w:val="bottom"/>
                                  <w:hideMark/>
                                </w:tcPr>
                                <w:p w14:paraId="19F09688"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0.22**</w:t>
                                  </w:r>
                                </w:p>
                              </w:tc>
                            </w:tr>
                            <w:tr w:rsidR="00DF77C5" w:rsidRPr="00E45F90" w14:paraId="7CD08810" w14:textId="77777777" w:rsidTr="00E45F90">
                              <w:trPr>
                                <w:trHeight w:val="255"/>
                              </w:trPr>
                              <w:tc>
                                <w:tcPr>
                                  <w:tcW w:w="3440" w:type="dxa"/>
                                  <w:tcBorders>
                                    <w:top w:val="nil"/>
                                    <w:left w:val="nil"/>
                                    <w:bottom w:val="nil"/>
                                    <w:right w:val="nil"/>
                                  </w:tcBorders>
                                  <w:shd w:val="clear" w:color="auto" w:fill="auto"/>
                                  <w:noWrap/>
                                  <w:vAlign w:val="bottom"/>
                                  <w:hideMark/>
                                </w:tcPr>
                                <w:p w14:paraId="46477457" w14:textId="77777777" w:rsidR="00DF77C5" w:rsidRPr="00E45F90" w:rsidRDefault="00DF77C5" w:rsidP="00E45F90">
                                  <w:pPr>
                                    <w:spacing w:after="0"/>
                                    <w:jc w:val="center"/>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3E4719BA"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(0.04)</w:t>
                                  </w:r>
                                </w:p>
                              </w:tc>
                              <w:tc>
                                <w:tcPr>
                                  <w:tcW w:w="980" w:type="dxa"/>
                                  <w:tcBorders>
                                    <w:top w:val="nil"/>
                                    <w:left w:val="nil"/>
                                    <w:bottom w:val="nil"/>
                                    <w:right w:val="nil"/>
                                  </w:tcBorders>
                                  <w:shd w:val="clear" w:color="auto" w:fill="auto"/>
                                  <w:noWrap/>
                                  <w:vAlign w:val="bottom"/>
                                  <w:hideMark/>
                                </w:tcPr>
                                <w:p w14:paraId="48B2D288"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(0.06)</w:t>
                                  </w:r>
                                </w:p>
                              </w:tc>
                              <w:tc>
                                <w:tcPr>
                                  <w:tcW w:w="980" w:type="dxa"/>
                                  <w:tcBorders>
                                    <w:top w:val="nil"/>
                                    <w:left w:val="nil"/>
                                    <w:bottom w:val="nil"/>
                                    <w:right w:val="nil"/>
                                  </w:tcBorders>
                                  <w:shd w:val="clear" w:color="auto" w:fill="auto"/>
                                  <w:noWrap/>
                                  <w:vAlign w:val="bottom"/>
                                  <w:hideMark/>
                                </w:tcPr>
                                <w:p w14:paraId="0F437CB5"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(0.04)</w:t>
                                  </w:r>
                                </w:p>
                              </w:tc>
                              <w:tc>
                                <w:tcPr>
                                  <w:tcW w:w="980" w:type="dxa"/>
                                  <w:tcBorders>
                                    <w:top w:val="nil"/>
                                    <w:left w:val="nil"/>
                                    <w:bottom w:val="nil"/>
                                    <w:right w:val="nil"/>
                                  </w:tcBorders>
                                  <w:shd w:val="clear" w:color="auto" w:fill="auto"/>
                                  <w:noWrap/>
                                  <w:vAlign w:val="bottom"/>
                                  <w:hideMark/>
                                </w:tcPr>
                                <w:p w14:paraId="2B13E24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(0.11)</w:t>
                                  </w:r>
                                </w:p>
                              </w:tc>
                              <w:tc>
                                <w:tcPr>
                                  <w:tcW w:w="980" w:type="dxa"/>
                                  <w:tcBorders>
                                    <w:top w:val="nil"/>
                                    <w:left w:val="nil"/>
                                    <w:bottom w:val="nil"/>
                                    <w:right w:val="nil"/>
                                  </w:tcBorders>
                                  <w:shd w:val="clear" w:color="auto" w:fill="auto"/>
                                  <w:noWrap/>
                                  <w:vAlign w:val="bottom"/>
                                  <w:hideMark/>
                                </w:tcPr>
                                <w:p w14:paraId="34DD86C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(0.09)</w:t>
                                  </w:r>
                                </w:p>
                              </w:tc>
                              <w:tc>
                                <w:tcPr>
                                  <w:tcW w:w="980" w:type="dxa"/>
                                  <w:tcBorders>
                                    <w:top w:val="nil"/>
                                    <w:left w:val="nil"/>
                                    <w:bottom w:val="nil"/>
                                    <w:right w:val="nil"/>
                                  </w:tcBorders>
                                  <w:shd w:val="clear" w:color="auto" w:fill="auto"/>
                                  <w:noWrap/>
                                  <w:vAlign w:val="bottom"/>
                                  <w:hideMark/>
                                </w:tcPr>
                                <w:p w14:paraId="318956B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(0.10)</w:t>
                                  </w:r>
                                </w:p>
                              </w:tc>
                            </w:tr>
                            <w:tr w:rsidR="00DF77C5" w:rsidRPr="00E45F90" w14:paraId="0D7CEDC3" w14:textId="77777777" w:rsidTr="00E45F90">
                              <w:trPr>
                                <w:trHeight w:val="255"/>
                              </w:trPr>
                              <w:tc>
                                <w:tcPr>
                                  <w:tcW w:w="3440" w:type="dxa"/>
                                  <w:tcBorders>
                                    <w:top w:val="nil"/>
                                    <w:left w:val="nil"/>
                                    <w:bottom w:val="nil"/>
                                    <w:right w:val="nil"/>
                                  </w:tcBorders>
                                  <w:shd w:val="clear" w:color="auto" w:fill="auto"/>
                                  <w:noWrap/>
                                  <w:vAlign w:val="bottom"/>
                                  <w:hideMark/>
                                </w:tcPr>
                                <w:p w14:paraId="6700C8FE"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UE (unemployment-to-job rate)</w:t>
                                  </w:r>
                                </w:p>
                              </w:tc>
                              <w:tc>
                                <w:tcPr>
                                  <w:tcW w:w="980" w:type="dxa"/>
                                  <w:tcBorders>
                                    <w:top w:val="nil"/>
                                    <w:left w:val="nil"/>
                                    <w:bottom w:val="nil"/>
                                    <w:right w:val="nil"/>
                                  </w:tcBorders>
                                  <w:shd w:val="clear" w:color="auto" w:fill="auto"/>
                                  <w:noWrap/>
                                  <w:vAlign w:val="bottom"/>
                                  <w:hideMark/>
                                </w:tcPr>
                                <w:p w14:paraId="242BA9CB"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0.15***</w:t>
                                  </w:r>
                                </w:p>
                              </w:tc>
                              <w:tc>
                                <w:tcPr>
                                  <w:tcW w:w="980" w:type="dxa"/>
                                  <w:tcBorders>
                                    <w:top w:val="nil"/>
                                    <w:left w:val="nil"/>
                                    <w:bottom w:val="nil"/>
                                    <w:right w:val="nil"/>
                                  </w:tcBorders>
                                  <w:shd w:val="clear" w:color="auto" w:fill="auto"/>
                                  <w:noWrap/>
                                  <w:vAlign w:val="bottom"/>
                                  <w:hideMark/>
                                </w:tcPr>
                                <w:p w14:paraId="3A1D8B5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0.15***</w:t>
                                  </w:r>
                                </w:p>
                              </w:tc>
                              <w:tc>
                                <w:tcPr>
                                  <w:tcW w:w="980" w:type="dxa"/>
                                  <w:tcBorders>
                                    <w:top w:val="nil"/>
                                    <w:left w:val="nil"/>
                                    <w:bottom w:val="nil"/>
                                    <w:right w:val="nil"/>
                                  </w:tcBorders>
                                  <w:shd w:val="clear" w:color="auto" w:fill="auto"/>
                                  <w:noWrap/>
                                  <w:vAlign w:val="bottom"/>
                                  <w:hideMark/>
                                </w:tcPr>
                                <w:p w14:paraId="1A776418"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0.10***</w:t>
                                  </w:r>
                                </w:p>
                              </w:tc>
                              <w:tc>
                                <w:tcPr>
                                  <w:tcW w:w="980" w:type="dxa"/>
                                  <w:tcBorders>
                                    <w:top w:val="nil"/>
                                    <w:left w:val="nil"/>
                                    <w:bottom w:val="nil"/>
                                    <w:right w:val="nil"/>
                                  </w:tcBorders>
                                  <w:shd w:val="clear" w:color="auto" w:fill="auto"/>
                                  <w:noWrap/>
                                  <w:vAlign w:val="bottom"/>
                                  <w:hideMark/>
                                </w:tcPr>
                                <w:p w14:paraId="7147BE3D"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0.12***</w:t>
                                  </w:r>
                                </w:p>
                              </w:tc>
                              <w:tc>
                                <w:tcPr>
                                  <w:tcW w:w="980" w:type="dxa"/>
                                  <w:tcBorders>
                                    <w:top w:val="nil"/>
                                    <w:left w:val="nil"/>
                                    <w:bottom w:val="nil"/>
                                    <w:right w:val="nil"/>
                                  </w:tcBorders>
                                  <w:shd w:val="clear" w:color="auto" w:fill="auto"/>
                                  <w:noWrap/>
                                  <w:vAlign w:val="bottom"/>
                                  <w:hideMark/>
                                </w:tcPr>
                                <w:p w14:paraId="685A1BF9"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0.11***</w:t>
                                  </w:r>
                                </w:p>
                              </w:tc>
                              <w:tc>
                                <w:tcPr>
                                  <w:tcW w:w="980" w:type="dxa"/>
                                  <w:tcBorders>
                                    <w:top w:val="nil"/>
                                    <w:left w:val="nil"/>
                                    <w:bottom w:val="nil"/>
                                    <w:right w:val="nil"/>
                                  </w:tcBorders>
                                  <w:shd w:val="clear" w:color="auto" w:fill="auto"/>
                                  <w:noWrap/>
                                  <w:vAlign w:val="bottom"/>
                                  <w:hideMark/>
                                </w:tcPr>
                                <w:p w14:paraId="63F01C5C"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0.12***</w:t>
                                  </w:r>
                                </w:p>
                              </w:tc>
                            </w:tr>
                            <w:tr w:rsidR="00DF77C5" w:rsidRPr="00E45F90" w14:paraId="1F65FD48" w14:textId="77777777" w:rsidTr="00E45F90">
                              <w:trPr>
                                <w:trHeight w:val="255"/>
                              </w:trPr>
                              <w:tc>
                                <w:tcPr>
                                  <w:tcW w:w="3440" w:type="dxa"/>
                                  <w:tcBorders>
                                    <w:top w:val="nil"/>
                                    <w:left w:val="nil"/>
                                    <w:bottom w:val="nil"/>
                                    <w:right w:val="nil"/>
                                  </w:tcBorders>
                                  <w:shd w:val="clear" w:color="auto" w:fill="auto"/>
                                  <w:noWrap/>
                                  <w:vAlign w:val="bottom"/>
                                  <w:hideMark/>
                                </w:tcPr>
                                <w:p w14:paraId="0CB9FA61" w14:textId="77777777" w:rsidR="00DF77C5" w:rsidRPr="00E45F90" w:rsidRDefault="00DF77C5" w:rsidP="00E45F90">
                                  <w:pPr>
                                    <w:spacing w:after="0"/>
                                    <w:jc w:val="center"/>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55C718FA"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(0.02)</w:t>
                                  </w:r>
                                </w:p>
                              </w:tc>
                              <w:tc>
                                <w:tcPr>
                                  <w:tcW w:w="980" w:type="dxa"/>
                                  <w:tcBorders>
                                    <w:top w:val="nil"/>
                                    <w:left w:val="nil"/>
                                    <w:bottom w:val="nil"/>
                                    <w:right w:val="nil"/>
                                  </w:tcBorders>
                                  <w:shd w:val="clear" w:color="auto" w:fill="auto"/>
                                  <w:noWrap/>
                                  <w:vAlign w:val="bottom"/>
                                  <w:hideMark/>
                                </w:tcPr>
                                <w:p w14:paraId="5216226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c>
                                <w:tcPr>
                                  <w:tcW w:w="980" w:type="dxa"/>
                                  <w:tcBorders>
                                    <w:top w:val="nil"/>
                                    <w:left w:val="nil"/>
                                    <w:bottom w:val="nil"/>
                                    <w:right w:val="nil"/>
                                  </w:tcBorders>
                                  <w:shd w:val="clear" w:color="auto" w:fill="auto"/>
                                  <w:noWrap/>
                                  <w:vAlign w:val="bottom"/>
                                  <w:hideMark/>
                                </w:tcPr>
                                <w:p w14:paraId="3633E094"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c>
                                <w:tcPr>
                                  <w:tcW w:w="980" w:type="dxa"/>
                                  <w:tcBorders>
                                    <w:top w:val="nil"/>
                                    <w:left w:val="nil"/>
                                    <w:bottom w:val="nil"/>
                                    <w:right w:val="nil"/>
                                  </w:tcBorders>
                                  <w:shd w:val="clear" w:color="auto" w:fill="auto"/>
                                  <w:noWrap/>
                                  <w:vAlign w:val="bottom"/>
                                  <w:hideMark/>
                                </w:tcPr>
                                <w:p w14:paraId="7F3B68F3"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c>
                                <w:tcPr>
                                  <w:tcW w:w="980" w:type="dxa"/>
                                  <w:tcBorders>
                                    <w:top w:val="nil"/>
                                    <w:left w:val="nil"/>
                                    <w:bottom w:val="nil"/>
                                    <w:right w:val="nil"/>
                                  </w:tcBorders>
                                  <w:shd w:val="clear" w:color="auto" w:fill="auto"/>
                                  <w:noWrap/>
                                  <w:vAlign w:val="bottom"/>
                                  <w:hideMark/>
                                </w:tcPr>
                                <w:p w14:paraId="253634A8"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c>
                                <w:tcPr>
                                  <w:tcW w:w="980" w:type="dxa"/>
                                  <w:tcBorders>
                                    <w:top w:val="nil"/>
                                    <w:left w:val="nil"/>
                                    <w:bottom w:val="nil"/>
                                    <w:right w:val="nil"/>
                                  </w:tcBorders>
                                  <w:shd w:val="clear" w:color="auto" w:fill="auto"/>
                                  <w:noWrap/>
                                  <w:vAlign w:val="bottom"/>
                                  <w:hideMark/>
                                </w:tcPr>
                                <w:p w14:paraId="2B8EC69B"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r>
                            <w:tr w:rsidR="00DF77C5" w:rsidRPr="00E45F90" w14:paraId="68A1D576" w14:textId="77777777" w:rsidTr="00E45F90">
                              <w:trPr>
                                <w:trHeight w:val="255"/>
                              </w:trPr>
                              <w:tc>
                                <w:tcPr>
                                  <w:tcW w:w="3440" w:type="dxa"/>
                                  <w:tcBorders>
                                    <w:top w:val="nil"/>
                                    <w:left w:val="nil"/>
                                    <w:bottom w:val="single" w:sz="4" w:space="0" w:color="auto"/>
                                    <w:right w:val="nil"/>
                                  </w:tcBorders>
                                  <w:shd w:val="clear" w:color="auto" w:fill="auto"/>
                                  <w:noWrap/>
                                  <w:vAlign w:val="bottom"/>
                                  <w:hideMark/>
                                </w:tcPr>
                                <w:p w14:paraId="26B265E2" w14:textId="77777777" w:rsidR="00DF77C5" w:rsidRPr="00E45F90" w:rsidRDefault="00DF77C5" w:rsidP="00E45F90">
                                  <w:pPr>
                                    <w:spacing w:after="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single" w:sz="4" w:space="0" w:color="auto"/>
                                    <w:right w:val="nil"/>
                                  </w:tcBorders>
                                  <w:shd w:val="clear" w:color="auto" w:fill="auto"/>
                                  <w:noWrap/>
                                  <w:vAlign w:val="bottom"/>
                                  <w:hideMark/>
                                </w:tcPr>
                                <w:p w14:paraId="24FB67D2"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single" w:sz="4" w:space="0" w:color="auto"/>
                                    <w:right w:val="nil"/>
                                  </w:tcBorders>
                                  <w:shd w:val="clear" w:color="auto" w:fill="auto"/>
                                  <w:noWrap/>
                                  <w:vAlign w:val="bottom"/>
                                  <w:hideMark/>
                                </w:tcPr>
                                <w:p w14:paraId="5BCA9929"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single" w:sz="4" w:space="0" w:color="auto"/>
                                    <w:right w:val="nil"/>
                                  </w:tcBorders>
                                  <w:shd w:val="clear" w:color="auto" w:fill="auto"/>
                                  <w:noWrap/>
                                  <w:vAlign w:val="bottom"/>
                                  <w:hideMark/>
                                </w:tcPr>
                                <w:p w14:paraId="0662AAB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single" w:sz="4" w:space="0" w:color="auto"/>
                                    <w:right w:val="nil"/>
                                  </w:tcBorders>
                                  <w:shd w:val="clear" w:color="auto" w:fill="auto"/>
                                  <w:noWrap/>
                                  <w:vAlign w:val="bottom"/>
                                  <w:hideMark/>
                                </w:tcPr>
                                <w:p w14:paraId="123CDD45"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single" w:sz="4" w:space="0" w:color="auto"/>
                                    <w:right w:val="nil"/>
                                  </w:tcBorders>
                                  <w:shd w:val="clear" w:color="auto" w:fill="auto"/>
                                  <w:noWrap/>
                                  <w:vAlign w:val="bottom"/>
                                  <w:hideMark/>
                                </w:tcPr>
                                <w:p w14:paraId="440153EB"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single" w:sz="4" w:space="0" w:color="auto"/>
                                    <w:right w:val="nil"/>
                                  </w:tcBorders>
                                  <w:shd w:val="clear" w:color="auto" w:fill="auto"/>
                                  <w:noWrap/>
                                  <w:vAlign w:val="bottom"/>
                                  <w:hideMark/>
                                </w:tcPr>
                                <w:p w14:paraId="01FD2C8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r>
                            <w:tr w:rsidR="00DF77C5" w:rsidRPr="00E45F90" w14:paraId="58E6AC4C" w14:textId="77777777" w:rsidTr="00E45F90">
                              <w:trPr>
                                <w:trHeight w:val="255"/>
                              </w:trPr>
                              <w:tc>
                                <w:tcPr>
                                  <w:tcW w:w="3440" w:type="dxa"/>
                                  <w:tcBorders>
                                    <w:top w:val="nil"/>
                                    <w:left w:val="nil"/>
                                    <w:bottom w:val="nil"/>
                                    <w:right w:val="nil"/>
                                  </w:tcBorders>
                                  <w:shd w:val="clear" w:color="auto" w:fill="auto"/>
                                  <w:noWrap/>
                                  <w:vAlign w:val="bottom"/>
                                  <w:hideMark/>
                                </w:tcPr>
                                <w:p w14:paraId="23870655" w14:textId="77777777" w:rsidR="00DF77C5" w:rsidRPr="00E45F90" w:rsidRDefault="00DF77C5" w:rsidP="00E45F90">
                                  <w:pPr>
                                    <w:spacing w:after="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Specification details</w:t>
                                  </w:r>
                                </w:p>
                              </w:tc>
                              <w:tc>
                                <w:tcPr>
                                  <w:tcW w:w="980" w:type="dxa"/>
                                  <w:tcBorders>
                                    <w:top w:val="nil"/>
                                    <w:left w:val="nil"/>
                                    <w:bottom w:val="nil"/>
                                    <w:right w:val="nil"/>
                                  </w:tcBorders>
                                  <w:shd w:val="clear" w:color="auto" w:fill="auto"/>
                                  <w:noWrap/>
                                  <w:vAlign w:val="bottom"/>
                                  <w:hideMark/>
                                </w:tcPr>
                                <w:p w14:paraId="0E0ABC08" w14:textId="77777777" w:rsidR="00DF77C5" w:rsidRPr="00E45F90" w:rsidRDefault="00DF77C5" w:rsidP="00E45F90">
                                  <w:pPr>
                                    <w:spacing w:after="0"/>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4CDC2784"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34E4DE07"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4B267BAC"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1E635A1E"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6484E233"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r>
                            <w:tr w:rsidR="00DF77C5" w:rsidRPr="00E45F90" w14:paraId="20165C81" w14:textId="77777777" w:rsidTr="00E45F90">
                              <w:trPr>
                                <w:trHeight w:val="255"/>
                              </w:trPr>
                              <w:tc>
                                <w:tcPr>
                                  <w:tcW w:w="3440" w:type="dxa"/>
                                  <w:tcBorders>
                                    <w:top w:val="nil"/>
                                    <w:left w:val="nil"/>
                                    <w:bottom w:val="nil"/>
                                    <w:right w:val="nil"/>
                                  </w:tcBorders>
                                  <w:shd w:val="clear" w:color="auto" w:fill="auto"/>
                                  <w:noWrap/>
                                  <w:vAlign w:val="bottom"/>
                                  <w:hideMark/>
                                </w:tcPr>
                                <w:p w14:paraId="246CBD6C"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Year fixed effect</w:t>
                                  </w:r>
                                </w:p>
                              </w:tc>
                              <w:tc>
                                <w:tcPr>
                                  <w:tcW w:w="980" w:type="dxa"/>
                                  <w:tcBorders>
                                    <w:top w:val="nil"/>
                                    <w:left w:val="nil"/>
                                    <w:bottom w:val="nil"/>
                                    <w:right w:val="nil"/>
                                  </w:tcBorders>
                                  <w:shd w:val="clear" w:color="auto" w:fill="auto"/>
                                  <w:noWrap/>
                                  <w:vAlign w:val="bottom"/>
                                  <w:hideMark/>
                                </w:tcPr>
                                <w:p w14:paraId="7AAB9B9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247CFB60"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69C44DB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2AE750E2"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0716C64C"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0FC1FD12"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r>
                            <w:tr w:rsidR="00DF77C5" w:rsidRPr="00E45F90" w14:paraId="0473698E" w14:textId="77777777" w:rsidTr="00E45F90">
                              <w:trPr>
                                <w:trHeight w:val="255"/>
                              </w:trPr>
                              <w:tc>
                                <w:tcPr>
                                  <w:tcW w:w="3440" w:type="dxa"/>
                                  <w:tcBorders>
                                    <w:top w:val="nil"/>
                                    <w:left w:val="nil"/>
                                    <w:bottom w:val="nil"/>
                                    <w:right w:val="nil"/>
                                  </w:tcBorders>
                                  <w:shd w:val="clear" w:color="auto" w:fill="auto"/>
                                  <w:noWrap/>
                                  <w:vAlign w:val="bottom"/>
                                  <w:hideMark/>
                                </w:tcPr>
                                <w:p w14:paraId="14E786D9"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SA4 fixed effect</w:t>
                                  </w:r>
                                </w:p>
                              </w:tc>
                              <w:tc>
                                <w:tcPr>
                                  <w:tcW w:w="980" w:type="dxa"/>
                                  <w:tcBorders>
                                    <w:top w:val="nil"/>
                                    <w:left w:val="nil"/>
                                    <w:bottom w:val="nil"/>
                                    <w:right w:val="nil"/>
                                  </w:tcBorders>
                                  <w:shd w:val="clear" w:color="auto" w:fill="auto"/>
                                  <w:noWrap/>
                                  <w:vAlign w:val="bottom"/>
                                  <w:hideMark/>
                                </w:tcPr>
                                <w:p w14:paraId="112CFF56"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064C4B2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37ECDB62"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14A916D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35DF1B70"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4B2C7AE4"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r>
                            <w:tr w:rsidR="00DF77C5" w:rsidRPr="00E45F90" w14:paraId="5D99C305" w14:textId="77777777" w:rsidTr="00E45F90">
                              <w:trPr>
                                <w:trHeight w:val="255"/>
                              </w:trPr>
                              <w:tc>
                                <w:tcPr>
                                  <w:tcW w:w="3440" w:type="dxa"/>
                                  <w:tcBorders>
                                    <w:top w:val="nil"/>
                                    <w:left w:val="nil"/>
                                    <w:bottom w:val="nil"/>
                                    <w:right w:val="nil"/>
                                  </w:tcBorders>
                                  <w:shd w:val="clear" w:color="auto" w:fill="auto"/>
                                  <w:noWrap/>
                                  <w:vAlign w:val="bottom"/>
                                  <w:hideMark/>
                                </w:tcPr>
                                <w:p w14:paraId="5AA50F34"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Individual fixed effect</w:t>
                                  </w:r>
                                </w:p>
                              </w:tc>
                              <w:tc>
                                <w:tcPr>
                                  <w:tcW w:w="980" w:type="dxa"/>
                                  <w:tcBorders>
                                    <w:top w:val="nil"/>
                                    <w:left w:val="nil"/>
                                    <w:bottom w:val="nil"/>
                                    <w:right w:val="nil"/>
                                  </w:tcBorders>
                                  <w:shd w:val="clear" w:color="auto" w:fill="auto"/>
                                  <w:noWrap/>
                                  <w:vAlign w:val="bottom"/>
                                  <w:hideMark/>
                                </w:tcPr>
                                <w:p w14:paraId="09451496"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3A33780A"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6390DE4A"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47ACA1BC"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44C595D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6B13470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r>
                            <w:tr w:rsidR="00DF77C5" w:rsidRPr="00E45F90" w14:paraId="198A42D6" w14:textId="77777777" w:rsidTr="00E45F90">
                              <w:trPr>
                                <w:trHeight w:val="255"/>
                              </w:trPr>
                              <w:tc>
                                <w:tcPr>
                                  <w:tcW w:w="3440" w:type="dxa"/>
                                  <w:tcBorders>
                                    <w:top w:val="nil"/>
                                    <w:left w:val="nil"/>
                                    <w:bottom w:val="nil"/>
                                    <w:right w:val="nil"/>
                                  </w:tcBorders>
                                  <w:shd w:val="clear" w:color="auto" w:fill="auto"/>
                                  <w:noWrap/>
                                  <w:vAlign w:val="bottom"/>
                                  <w:hideMark/>
                                </w:tcPr>
                                <w:p w14:paraId="6EDB760C"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SA4 trend</w:t>
                                  </w:r>
                                </w:p>
                              </w:tc>
                              <w:tc>
                                <w:tcPr>
                                  <w:tcW w:w="980" w:type="dxa"/>
                                  <w:tcBorders>
                                    <w:top w:val="nil"/>
                                    <w:left w:val="nil"/>
                                    <w:bottom w:val="nil"/>
                                    <w:right w:val="nil"/>
                                  </w:tcBorders>
                                  <w:shd w:val="clear" w:color="auto" w:fill="auto"/>
                                  <w:noWrap/>
                                  <w:vAlign w:val="bottom"/>
                                  <w:hideMark/>
                                </w:tcPr>
                                <w:p w14:paraId="744CA564"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3B71D10F"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186DFD4D"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4E9B2613" w14:textId="77777777" w:rsidR="00DF77C5" w:rsidRPr="00E45F90" w:rsidRDefault="00DF77C5" w:rsidP="00E45F90">
                                  <w:pPr>
                                    <w:spacing w:after="0"/>
                                    <w:jc w:val="center"/>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31107C19"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607592B6"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r>
                            <w:tr w:rsidR="00DF77C5" w:rsidRPr="00E45F90" w14:paraId="6AFCE462" w14:textId="77777777" w:rsidTr="00E45F90">
                              <w:trPr>
                                <w:trHeight w:val="255"/>
                              </w:trPr>
                              <w:tc>
                                <w:tcPr>
                                  <w:tcW w:w="3440" w:type="dxa"/>
                                  <w:tcBorders>
                                    <w:top w:val="nil"/>
                                    <w:left w:val="nil"/>
                                    <w:bottom w:val="nil"/>
                                    <w:right w:val="nil"/>
                                  </w:tcBorders>
                                  <w:shd w:val="clear" w:color="auto" w:fill="auto"/>
                                  <w:noWrap/>
                                  <w:vAlign w:val="bottom"/>
                                  <w:hideMark/>
                                </w:tcPr>
                                <w:p w14:paraId="6832C2BD"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xml:space="preserve">State X Year fixed effect </w:t>
                                  </w:r>
                                </w:p>
                              </w:tc>
                              <w:tc>
                                <w:tcPr>
                                  <w:tcW w:w="980" w:type="dxa"/>
                                  <w:tcBorders>
                                    <w:top w:val="nil"/>
                                    <w:left w:val="nil"/>
                                    <w:bottom w:val="nil"/>
                                    <w:right w:val="nil"/>
                                  </w:tcBorders>
                                  <w:shd w:val="clear" w:color="auto" w:fill="auto"/>
                                  <w:noWrap/>
                                  <w:vAlign w:val="bottom"/>
                                  <w:hideMark/>
                                </w:tcPr>
                                <w:p w14:paraId="7E65B2EF"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1E8E78B5"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5AB97139"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17397DC3"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139A6474"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250C7BFA"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r>
                            <w:tr w:rsidR="00DF77C5" w:rsidRPr="00E45F90" w14:paraId="4C99EDB5" w14:textId="77777777" w:rsidTr="00E45F90">
                              <w:trPr>
                                <w:trHeight w:val="270"/>
                              </w:trPr>
                              <w:tc>
                                <w:tcPr>
                                  <w:tcW w:w="3440" w:type="dxa"/>
                                  <w:tcBorders>
                                    <w:top w:val="nil"/>
                                    <w:left w:val="nil"/>
                                    <w:bottom w:val="double" w:sz="6" w:space="0" w:color="auto"/>
                                    <w:right w:val="nil"/>
                                  </w:tcBorders>
                                  <w:shd w:val="clear" w:color="auto" w:fill="auto"/>
                                  <w:noWrap/>
                                  <w:vAlign w:val="bottom"/>
                                  <w:hideMark/>
                                </w:tcPr>
                                <w:p w14:paraId="02D27725"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SA4 time varying controls</w:t>
                                  </w:r>
                                </w:p>
                              </w:tc>
                              <w:tc>
                                <w:tcPr>
                                  <w:tcW w:w="980" w:type="dxa"/>
                                  <w:tcBorders>
                                    <w:top w:val="nil"/>
                                    <w:left w:val="nil"/>
                                    <w:bottom w:val="double" w:sz="6" w:space="0" w:color="auto"/>
                                    <w:right w:val="nil"/>
                                  </w:tcBorders>
                                  <w:shd w:val="clear" w:color="auto" w:fill="auto"/>
                                  <w:noWrap/>
                                  <w:vAlign w:val="bottom"/>
                                  <w:hideMark/>
                                </w:tcPr>
                                <w:p w14:paraId="5F317D83"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double" w:sz="6" w:space="0" w:color="auto"/>
                                    <w:right w:val="nil"/>
                                  </w:tcBorders>
                                  <w:shd w:val="clear" w:color="auto" w:fill="auto"/>
                                  <w:noWrap/>
                                  <w:vAlign w:val="bottom"/>
                                  <w:hideMark/>
                                </w:tcPr>
                                <w:p w14:paraId="08A8F7D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double" w:sz="6" w:space="0" w:color="auto"/>
                                    <w:right w:val="nil"/>
                                  </w:tcBorders>
                                  <w:shd w:val="clear" w:color="auto" w:fill="auto"/>
                                  <w:noWrap/>
                                  <w:vAlign w:val="bottom"/>
                                  <w:hideMark/>
                                </w:tcPr>
                                <w:p w14:paraId="5538B724"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double" w:sz="6" w:space="0" w:color="auto"/>
                                    <w:right w:val="nil"/>
                                  </w:tcBorders>
                                  <w:shd w:val="clear" w:color="auto" w:fill="auto"/>
                                  <w:noWrap/>
                                  <w:vAlign w:val="bottom"/>
                                  <w:hideMark/>
                                </w:tcPr>
                                <w:p w14:paraId="7BD6B73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double" w:sz="6" w:space="0" w:color="auto"/>
                                    <w:right w:val="nil"/>
                                  </w:tcBorders>
                                  <w:shd w:val="clear" w:color="auto" w:fill="auto"/>
                                  <w:noWrap/>
                                  <w:vAlign w:val="bottom"/>
                                  <w:hideMark/>
                                </w:tcPr>
                                <w:p w14:paraId="773FC2B2"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double" w:sz="6" w:space="0" w:color="auto"/>
                                    <w:right w:val="nil"/>
                                  </w:tcBorders>
                                  <w:shd w:val="clear" w:color="auto" w:fill="auto"/>
                                  <w:noWrap/>
                                  <w:vAlign w:val="bottom"/>
                                  <w:hideMark/>
                                </w:tcPr>
                                <w:p w14:paraId="641D2178"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r>
                          </w:tbl>
                          <w:p w14:paraId="5C415F37" w14:textId="1BC5E400" w:rsidR="00DF77C5" w:rsidRPr="00275A2F" w:rsidRDefault="00DF77C5" w:rsidP="00697AED">
                            <w:pPr>
                              <w:pStyle w:val="ChartorTableNote"/>
                            </w:pPr>
                          </w:p>
                        </w:txbxContent>
                      </wps:txbx>
                      <wps:bodyPr rot="0" spcFirstLastPara="0" vertOverflow="overflow" horzOverflow="overflow" vert="horz" wrap="none" lIns="0" tIns="45720" rIns="0" bIns="45720" numCol="1" spcCol="0" rtlCol="0" fromWordArt="0" anchor="t" anchorCtr="0" forceAA="0" compatLnSpc="1">
                        <a:prstTxWarp prst="textNoShape">
                          <a:avLst/>
                        </a:prstTxWarp>
                        <a:noAutofit/>
                      </wps:bodyPr>
                    </wps:wsp>
                  </a:graphicData>
                </a:graphic>
              </wp:inline>
            </w:drawing>
          </mc:Choice>
          <mc:Fallback>
            <w:pict>
              <v:shape w14:anchorId="7452F206" id="Text Box 9" o:spid="_x0000_s1027" type="#_x0000_t202" style="width:2in;height:327.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" filled="f" stroked="f" strokeweight=".5pt">
                <v:textbox inset="0,,0">
                  <w:txbxContent>
                    <w:tbl>
                      <w:tblPr>
                        <w:tblW w:w="9320" w:type="dxa"/>
                        <w:tblInd w:w="108" w:type="dxa"/>
                        <w:tblLook w:val="04A0" w:firstRow="1" w:lastRow="0" w:firstColumn="1" w:lastColumn="0" w:noHBand="0" w:noVBand="1"/>
                      </w:tblPr>
                      <w:tblGrid>
                        <w:gridCol w:w="3440"/>
                        <w:gridCol w:w="980"/>
                        <w:gridCol w:w="980"/>
                        <w:gridCol w:w="980"/>
                        <w:gridCol w:w="980"/>
                        <w:gridCol w:w="980"/>
                        <w:gridCol w:w="980"/>
                      </w:tblGrid>
                      <w:tr w:rsidR="00DF77C5" w:rsidRPr="00E45F90" w14:paraId="06957212" w14:textId="77777777" w:rsidTr="00E45F90">
                        <w:trPr>
                          <w:trHeight w:val="270"/>
                        </w:trPr>
                        <w:tc>
                          <w:tcPr>
                            <w:tcW w:w="3440" w:type="dxa"/>
                            <w:tcBorders>
                              <w:top w:val="double" w:sz="6" w:space="0" w:color="auto"/>
                              <w:left w:val="nil"/>
                              <w:bottom w:val="nil"/>
                              <w:right w:val="nil"/>
                            </w:tcBorders>
                            <w:shd w:val="clear" w:color="auto" w:fill="auto"/>
                            <w:noWrap/>
                            <w:vAlign w:val="bottom"/>
                            <w:hideMark/>
                          </w:tcPr>
                          <w:p w14:paraId="73536E25" w14:textId="77777777" w:rsidR="00DF77C5" w:rsidRPr="00E45F90" w:rsidRDefault="00DF77C5" w:rsidP="00E45F90">
                            <w:pPr>
                              <w:spacing w:after="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double" w:sz="6" w:space="0" w:color="auto"/>
                              <w:left w:val="nil"/>
                              <w:bottom w:val="nil"/>
                              <w:right w:val="nil"/>
                            </w:tcBorders>
                            <w:shd w:val="clear" w:color="auto" w:fill="auto"/>
                            <w:noWrap/>
                            <w:vAlign w:val="bottom"/>
                            <w:hideMark/>
                          </w:tcPr>
                          <w:p w14:paraId="62B57A39"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(1)</w:t>
                            </w:r>
                          </w:p>
                        </w:tc>
                        <w:tc>
                          <w:tcPr>
                            <w:tcW w:w="980" w:type="dxa"/>
                            <w:tcBorders>
                              <w:top w:val="double" w:sz="6" w:space="0" w:color="auto"/>
                              <w:left w:val="nil"/>
                              <w:bottom w:val="nil"/>
                              <w:right w:val="nil"/>
                            </w:tcBorders>
                            <w:shd w:val="clear" w:color="auto" w:fill="auto"/>
                            <w:noWrap/>
                            <w:vAlign w:val="bottom"/>
                            <w:hideMark/>
                          </w:tcPr>
                          <w:p w14:paraId="671ED56A"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(2)</w:t>
                            </w:r>
                          </w:p>
                        </w:tc>
                        <w:tc>
                          <w:tcPr>
                            <w:tcW w:w="980" w:type="dxa"/>
                            <w:tcBorders>
                              <w:top w:val="double" w:sz="6" w:space="0" w:color="auto"/>
                              <w:left w:val="nil"/>
                              <w:bottom w:val="nil"/>
                              <w:right w:val="nil"/>
                            </w:tcBorders>
                            <w:shd w:val="clear" w:color="auto" w:fill="auto"/>
                            <w:noWrap/>
                            <w:vAlign w:val="bottom"/>
                            <w:hideMark/>
                          </w:tcPr>
                          <w:p w14:paraId="24EE3540"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(3)</w:t>
                            </w:r>
                          </w:p>
                        </w:tc>
                        <w:tc>
                          <w:tcPr>
                            <w:tcW w:w="980" w:type="dxa"/>
                            <w:tcBorders>
                              <w:top w:val="double" w:sz="6" w:space="0" w:color="auto"/>
                              <w:left w:val="nil"/>
                              <w:bottom w:val="nil"/>
                              <w:right w:val="nil"/>
                            </w:tcBorders>
                            <w:shd w:val="clear" w:color="auto" w:fill="auto"/>
                            <w:noWrap/>
                            <w:vAlign w:val="bottom"/>
                            <w:hideMark/>
                          </w:tcPr>
                          <w:p w14:paraId="617DA7B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(4)</w:t>
                            </w:r>
                          </w:p>
                        </w:tc>
                        <w:tc>
                          <w:tcPr>
                            <w:tcW w:w="980" w:type="dxa"/>
                            <w:tcBorders>
                              <w:top w:val="double" w:sz="6" w:space="0" w:color="auto"/>
                              <w:left w:val="nil"/>
                              <w:bottom w:val="nil"/>
                              <w:right w:val="nil"/>
                            </w:tcBorders>
                            <w:shd w:val="clear" w:color="auto" w:fill="auto"/>
                            <w:noWrap/>
                            <w:vAlign w:val="bottom"/>
                            <w:hideMark/>
                          </w:tcPr>
                          <w:p w14:paraId="2C993FE0"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(5)</w:t>
                            </w:r>
                          </w:p>
                        </w:tc>
                        <w:tc>
                          <w:tcPr>
                            <w:tcW w:w="980" w:type="dxa"/>
                            <w:tcBorders>
                              <w:top w:val="double" w:sz="6" w:space="0" w:color="auto"/>
                              <w:left w:val="nil"/>
                              <w:bottom w:val="nil"/>
                              <w:right w:val="nil"/>
                            </w:tcBorders>
                            <w:shd w:val="clear" w:color="auto" w:fill="auto"/>
                            <w:noWrap/>
                            <w:vAlign w:val="bottom"/>
                            <w:hideMark/>
                          </w:tcPr>
                          <w:p w14:paraId="0E344706"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(6)</w:t>
                            </w:r>
                          </w:p>
                        </w:tc>
                      </w:tr>
                      <w:tr w:rsidR="00DF77C5" w:rsidRPr="00E45F90" w14:paraId="7E497FF7" w14:textId="77777777" w:rsidTr="00E45F90">
                        <w:trPr>
                          <w:trHeight w:val="255"/>
                        </w:trPr>
                        <w:tc>
                          <w:tcPr>
                            <w:tcW w:w="3440" w:type="dxa"/>
                            <w:tcBorders>
                              <w:top w:val="single" w:sz="4" w:space="0" w:color="auto"/>
                              <w:left w:val="nil"/>
                              <w:bottom w:val="nil"/>
                              <w:right w:val="nil"/>
                            </w:tcBorders>
                            <w:shd w:val="clear" w:color="auto" w:fill="auto"/>
                            <w:noWrap/>
                            <w:vAlign w:val="bottom"/>
                            <w:hideMark/>
                          </w:tcPr>
                          <w:p w14:paraId="2E45DB8E" w14:textId="77777777" w:rsidR="00DF77C5" w:rsidRPr="00E45F90" w:rsidRDefault="00DF77C5" w:rsidP="00E45F90">
                            <w:pPr>
                              <w:spacing w:after="0"/>
                              <w:rPr>
                                <w:rFonts w:ascii="Arial" w:eastAsia="Times New Roman" w:hAnsi="Arial" w:cs="Arial"/>
                                <w:i/>
                                <w:iCs/>
                                <w:color w:val="000000"/>
                                <w:sz w:val="20"/>
                                <w:szCs w:val="20"/>
                                <w:lang w:eastAsia="en-AU"/>
                              </w:rPr>
                            </w:pPr>
                            <w:r w:rsidRPr="00E45F90">
                              <w:rPr>
                                <w:rFonts w:ascii="Arial" w:eastAsia="Times New Roman" w:hAnsi="Arial" w:cs="Arial"/>
                                <w:i/>
                                <w:iCs/>
                                <w:color w:val="000000"/>
                                <w:sz w:val="20"/>
                                <w:szCs w:val="20"/>
                                <w:lang w:eastAsia="en-AU"/>
                              </w:rPr>
                              <w:t>Panel A:  All wage earners</w:t>
                            </w:r>
                          </w:p>
                        </w:tc>
                        <w:tc>
                          <w:tcPr>
                            <w:tcW w:w="980" w:type="dxa"/>
                            <w:tcBorders>
                              <w:top w:val="single" w:sz="4" w:space="0" w:color="auto"/>
                              <w:left w:val="nil"/>
                              <w:bottom w:val="nil"/>
                              <w:right w:val="nil"/>
                            </w:tcBorders>
                            <w:shd w:val="clear" w:color="auto" w:fill="auto"/>
                            <w:noWrap/>
                            <w:vAlign w:val="bottom"/>
                            <w:hideMark/>
                          </w:tcPr>
                          <w:p w14:paraId="4904A735"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single" w:sz="4" w:space="0" w:color="auto"/>
                              <w:left w:val="nil"/>
                              <w:bottom w:val="nil"/>
                              <w:right w:val="nil"/>
                            </w:tcBorders>
                            <w:shd w:val="clear" w:color="auto" w:fill="auto"/>
                            <w:noWrap/>
                            <w:vAlign w:val="bottom"/>
                            <w:hideMark/>
                          </w:tcPr>
                          <w:p w14:paraId="528F872D"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single" w:sz="4" w:space="0" w:color="auto"/>
                              <w:left w:val="nil"/>
                              <w:bottom w:val="nil"/>
                              <w:right w:val="nil"/>
                            </w:tcBorders>
                            <w:shd w:val="clear" w:color="auto" w:fill="auto"/>
                            <w:noWrap/>
                            <w:vAlign w:val="bottom"/>
                            <w:hideMark/>
                          </w:tcPr>
                          <w:p w14:paraId="6741AAE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single" w:sz="4" w:space="0" w:color="auto"/>
                              <w:left w:val="nil"/>
                              <w:bottom w:val="nil"/>
                              <w:right w:val="nil"/>
                            </w:tcBorders>
                            <w:shd w:val="clear" w:color="auto" w:fill="auto"/>
                            <w:noWrap/>
                            <w:vAlign w:val="bottom"/>
                            <w:hideMark/>
                          </w:tcPr>
                          <w:p w14:paraId="5D464CCA"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single" w:sz="4" w:space="0" w:color="auto"/>
                              <w:left w:val="nil"/>
                              <w:bottom w:val="nil"/>
                              <w:right w:val="nil"/>
                            </w:tcBorders>
                            <w:shd w:val="clear" w:color="auto" w:fill="auto"/>
                            <w:noWrap/>
                            <w:vAlign w:val="bottom"/>
                            <w:hideMark/>
                          </w:tcPr>
                          <w:p w14:paraId="6CFCB84C"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single" w:sz="4" w:space="0" w:color="auto"/>
                              <w:left w:val="nil"/>
                              <w:bottom w:val="nil"/>
                              <w:right w:val="nil"/>
                            </w:tcBorders>
                            <w:shd w:val="clear" w:color="auto" w:fill="auto"/>
                            <w:noWrap/>
                            <w:vAlign w:val="bottom"/>
                            <w:hideMark/>
                          </w:tcPr>
                          <w:p w14:paraId="3637306C"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r>
                      <w:tr w:rsidR="00DF77C5" w:rsidRPr="00E45F90" w14:paraId="748F0714" w14:textId="77777777" w:rsidTr="00E45F90">
                        <w:trPr>
                          <w:trHeight w:val="255"/>
                        </w:trPr>
                        <w:tc>
                          <w:tcPr>
                            <w:tcW w:w="3440" w:type="dxa"/>
                            <w:tcBorders>
                              <w:top w:val="nil"/>
                              <w:left w:val="nil"/>
                              <w:bottom w:val="nil"/>
                              <w:right w:val="nil"/>
                            </w:tcBorders>
                            <w:shd w:val="clear" w:color="auto" w:fill="auto"/>
                            <w:noWrap/>
                            <w:vAlign w:val="bottom"/>
                            <w:hideMark/>
                          </w:tcPr>
                          <w:p w14:paraId="64BF13AD"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EE (job-to-job) rate</w:t>
                            </w:r>
                          </w:p>
                        </w:tc>
                        <w:tc>
                          <w:tcPr>
                            <w:tcW w:w="980" w:type="dxa"/>
                            <w:tcBorders>
                              <w:top w:val="nil"/>
                              <w:left w:val="nil"/>
                              <w:bottom w:val="nil"/>
                              <w:right w:val="nil"/>
                            </w:tcBorders>
                            <w:shd w:val="clear" w:color="auto" w:fill="auto"/>
                            <w:noWrap/>
                            <w:vAlign w:val="bottom"/>
                            <w:hideMark/>
                          </w:tcPr>
                          <w:p w14:paraId="1162B1E3"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0.49***</w:t>
                            </w:r>
                          </w:p>
                        </w:tc>
                        <w:tc>
                          <w:tcPr>
                            <w:tcW w:w="980" w:type="dxa"/>
                            <w:tcBorders>
                              <w:top w:val="nil"/>
                              <w:left w:val="nil"/>
                              <w:bottom w:val="nil"/>
                              <w:right w:val="nil"/>
                            </w:tcBorders>
                            <w:shd w:val="clear" w:color="auto" w:fill="auto"/>
                            <w:noWrap/>
                            <w:vAlign w:val="bottom"/>
                            <w:hideMark/>
                          </w:tcPr>
                          <w:p w14:paraId="124F035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0.41***</w:t>
                            </w:r>
                          </w:p>
                        </w:tc>
                        <w:tc>
                          <w:tcPr>
                            <w:tcW w:w="980" w:type="dxa"/>
                            <w:tcBorders>
                              <w:top w:val="nil"/>
                              <w:left w:val="nil"/>
                              <w:bottom w:val="nil"/>
                              <w:right w:val="nil"/>
                            </w:tcBorders>
                            <w:shd w:val="clear" w:color="auto" w:fill="auto"/>
                            <w:noWrap/>
                            <w:vAlign w:val="bottom"/>
                            <w:hideMark/>
                          </w:tcPr>
                          <w:p w14:paraId="7C4105E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0.34***</w:t>
                            </w:r>
                          </w:p>
                        </w:tc>
                        <w:tc>
                          <w:tcPr>
                            <w:tcW w:w="980" w:type="dxa"/>
                            <w:tcBorders>
                              <w:top w:val="nil"/>
                              <w:left w:val="nil"/>
                              <w:bottom w:val="nil"/>
                              <w:right w:val="nil"/>
                            </w:tcBorders>
                            <w:shd w:val="clear" w:color="auto" w:fill="auto"/>
                            <w:noWrap/>
                            <w:vAlign w:val="bottom"/>
                            <w:hideMark/>
                          </w:tcPr>
                          <w:p w14:paraId="658DAB64"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0.29**</w:t>
                            </w:r>
                          </w:p>
                        </w:tc>
                        <w:tc>
                          <w:tcPr>
                            <w:tcW w:w="980" w:type="dxa"/>
                            <w:tcBorders>
                              <w:top w:val="nil"/>
                              <w:left w:val="nil"/>
                              <w:bottom w:val="nil"/>
                              <w:right w:val="nil"/>
                            </w:tcBorders>
                            <w:shd w:val="clear" w:color="auto" w:fill="auto"/>
                            <w:noWrap/>
                            <w:vAlign w:val="bottom"/>
                            <w:hideMark/>
                          </w:tcPr>
                          <w:p w14:paraId="06F5080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0.34***</w:t>
                            </w:r>
                          </w:p>
                        </w:tc>
                        <w:tc>
                          <w:tcPr>
                            <w:tcW w:w="980" w:type="dxa"/>
                            <w:tcBorders>
                              <w:top w:val="nil"/>
                              <w:left w:val="nil"/>
                              <w:bottom w:val="nil"/>
                              <w:right w:val="nil"/>
                            </w:tcBorders>
                            <w:shd w:val="clear" w:color="auto" w:fill="auto"/>
                            <w:noWrap/>
                            <w:vAlign w:val="bottom"/>
                            <w:hideMark/>
                          </w:tcPr>
                          <w:p w14:paraId="0142A3B5"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0.32***</w:t>
                            </w:r>
                          </w:p>
                        </w:tc>
                      </w:tr>
                      <w:tr w:rsidR="00DF77C5" w:rsidRPr="00E45F90" w14:paraId="2ED5581B" w14:textId="77777777" w:rsidTr="00E45F90">
                        <w:trPr>
                          <w:trHeight w:val="255"/>
                        </w:trPr>
                        <w:tc>
                          <w:tcPr>
                            <w:tcW w:w="3440" w:type="dxa"/>
                            <w:tcBorders>
                              <w:top w:val="nil"/>
                              <w:left w:val="nil"/>
                              <w:bottom w:val="nil"/>
                              <w:right w:val="nil"/>
                            </w:tcBorders>
                            <w:shd w:val="clear" w:color="auto" w:fill="auto"/>
                            <w:noWrap/>
                            <w:vAlign w:val="bottom"/>
                            <w:hideMark/>
                          </w:tcPr>
                          <w:p w14:paraId="2E0F908A" w14:textId="77777777" w:rsidR="00DF77C5" w:rsidRPr="00E45F90" w:rsidRDefault="00DF77C5" w:rsidP="00E45F90">
                            <w:pPr>
                              <w:spacing w:after="0"/>
                              <w:jc w:val="center"/>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2628D055"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(0.05)</w:t>
                            </w:r>
                          </w:p>
                        </w:tc>
                        <w:tc>
                          <w:tcPr>
                            <w:tcW w:w="980" w:type="dxa"/>
                            <w:tcBorders>
                              <w:top w:val="nil"/>
                              <w:left w:val="nil"/>
                              <w:bottom w:val="nil"/>
                              <w:right w:val="nil"/>
                            </w:tcBorders>
                            <w:shd w:val="clear" w:color="auto" w:fill="auto"/>
                            <w:noWrap/>
                            <w:vAlign w:val="bottom"/>
                            <w:hideMark/>
                          </w:tcPr>
                          <w:p w14:paraId="06CD0A53"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(0.07)</w:t>
                            </w:r>
                          </w:p>
                        </w:tc>
                        <w:tc>
                          <w:tcPr>
                            <w:tcW w:w="980" w:type="dxa"/>
                            <w:tcBorders>
                              <w:top w:val="nil"/>
                              <w:left w:val="nil"/>
                              <w:bottom w:val="nil"/>
                              <w:right w:val="nil"/>
                            </w:tcBorders>
                            <w:shd w:val="clear" w:color="auto" w:fill="auto"/>
                            <w:noWrap/>
                            <w:vAlign w:val="bottom"/>
                            <w:hideMark/>
                          </w:tcPr>
                          <w:p w14:paraId="0311C389"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(0.05)</w:t>
                            </w:r>
                          </w:p>
                        </w:tc>
                        <w:tc>
                          <w:tcPr>
                            <w:tcW w:w="980" w:type="dxa"/>
                            <w:tcBorders>
                              <w:top w:val="nil"/>
                              <w:left w:val="nil"/>
                              <w:bottom w:val="nil"/>
                              <w:right w:val="nil"/>
                            </w:tcBorders>
                            <w:shd w:val="clear" w:color="auto" w:fill="auto"/>
                            <w:noWrap/>
                            <w:vAlign w:val="bottom"/>
                            <w:hideMark/>
                          </w:tcPr>
                          <w:p w14:paraId="5B8706C8"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(0.12)</w:t>
                            </w:r>
                          </w:p>
                        </w:tc>
                        <w:tc>
                          <w:tcPr>
                            <w:tcW w:w="980" w:type="dxa"/>
                            <w:tcBorders>
                              <w:top w:val="nil"/>
                              <w:left w:val="nil"/>
                              <w:bottom w:val="nil"/>
                              <w:right w:val="nil"/>
                            </w:tcBorders>
                            <w:shd w:val="clear" w:color="auto" w:fill="auto"/>
                            <w:noWrap/>
                            <w:vAlign w:val="bottom"/>
                            <w:hideMark/>
                          </w:tcPr>
                          <w:p w14:paraId="661C0059"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(0.11)</w:t>
                            </w:r>
                          </w:p>
                        </w:tc>
                        <w:tc>
                          <w:tcPr>
                            <w:tcW w:w="980" w:type="dxa"/>
                            <w:tcBorders>
                              <w:top w:val="nil"/>
                              <w:left w:val="nil"/>
                              <w:bottom w:val="nil"/>
                              <w:right w:val="nil"/>
                            </w:tcBorders>
                            <w:shd w:val="clear" w:color="auto" w:fill="auto"/>
                            <w:noWrap/>
                            <w:vAlign w:val="bottom"/>
                            <w:hideMark/>
                          </w:tcPr>
                          <w:p w14:paraId="5B463112"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(0.12)</w:t>
                            </w:r>
                          </w:p>
                        </w:tc>
                      </w:tr>
                      <w:tr w:rsidR="00DF77C5" w:rsidRPr="00E45F90" w14:paraId="1FCDF004" w14:textId="77777777" w:rsidTr="00E45F90">
                        <w:trPr>
                          <w:trHeight w:val="255"/>
                        </w:trPr>
                        <w:tc>
                          <w:tcPr>
                            <w:tcW w:w="3440" w:type="dxa"/>
                            <w:tcBorders>
                              <w:top w:val="nil"/>
                              <w:left w:val="nil"/>
                              <w:bottom w:val="nil"/>
                              <w:right w:val="nil"/>
                            </w:tcBorders>
                            <w:shd w:val="clear" w:color="auto" w:fill="auto"/>
                            <w:noWrap/>
                            <w:vAlign w:val="bottom"/>
                            <w:hideMark/>
                          </w:tcPr>
                          <w:p w14:paraId="49A1D21C"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UE (unemployment-to-job rate)</w:t>
                            </w:r>
                          </w:p>
                        </w:tc>
                        <w:tc>
                          <w:tcPr>
                            <w:tcW w:w="980" w:type="dxa"/>
                            <w:tcBorders>
                              <w:top w:val="nil"/>
                              <w:left w:val="nil"/>
                              <w:bottom w:val="nil"/>
                              <w:right w:val="nil"/>
                            </w:tcBorders>
                            <w:shd w:val="clear" w:color="auto" w:fill="auto"/>
                            <w:noWrap/>
                            <w:vAlign w:val="bottom"/>
                            <w:hideMark/>
                          </w:tcPr>
                          <w:p w14:paraId="60064EE4"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0.18***</w:t>
                            </w:r>
                          </w:p>
                        </w:tc>
                        <w:tc>
                          <w:tcPr>
                            <w:tcW w:w="980" w:type="dxa"/>
                            <w:tcBorders>
                              <w:top w:val="nil"/>
                              <w:left w:val="nil"/>
                              <w:bottom w:val="nil"/>
                              <w:right w:val="nil"/>
                            </w:tcBorders>
                            <w:shd w:val="clear" w:color="auto" w:fill="auto"/>
                            <w:noWrap/>
                            <w:vAlign w:val="bottom"/>
                            <w:hideMark/>
                          </w:tcPr>
                          <w:p w14:paraId="6D0D6F0C"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0.18***</w:t>
                            </w:r>
                          </w:p>
                        </w:tc>
                        <w:tc>
                          <w:tcPr>
                            <w:tcW w:w="980" w:type="dxa"/>
                            <w:tcBorders>
                              <w:top w:val="nil"/>
                              <w:left w:val="nil"/>
                              <w:bottom w:val="nil"/>
                              <w:right w:val="nil"/>
                            </w:tcBorders>
                            <w:shd w:val="clear" w:color="auto" w:fill="auto"/>
                            <w:noWrap/>
                            <w:vAlign w:val="bottom"/>
                            <w:hideMark/>
                          </w:tcPr>
                          <w:p w14:paraId="376A009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0.12***</w:t>
                            </w:r>
                          </w:p>
                        </w:tc>
                        <w:tc>
                          <w:tcPr>
                            <w:tcW w:w="980" w:type="dxa"/>
                            <w:tcBorders>
                              <w:top w:val="nil"/>
                              <w:left w:val="nil"/>
                              <w:bottom w:val="nil"/>
                              <w:right w:val="nil"/>
                            </w:tcBorders>
                            <w:shd w:val="clear" w:color="auto" w:fill="auto"/>
                            <w:noWrap/>
                            <w:vAlign w:val="bottom"/>
                            <w:hideMark/>
                          </w:tcPr>
                          <w:p w14:paraId="78A67E8B"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0.14***</w:t>
                            </w:r>
                          </w:p>
                        </w:tc>
                        <w:tc>
                          <w:tcPr>
                            <w:tcW w:w="980" w:type="dxa"/>
                            <w:tcBorders>
                              <w:top w:val="nil"/>
                              <w:left w:val="nil"/>
                              <w:bottom w:val="nil"/>
                              <w:right w:val="nil"/>
                            </w:tcBorders>
                            <w:shd w:val="clear" w:color="auto" w:fill="auto"/>
                            <w:noWrap/>
                            <w:vAlign w:val="bottom"/>
                            <w:hideMark/>
                          </w:tcPr>
                          <w:p w14:paraId="26518FD6"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0.12***</w:t>
                            </w:r>
                          </w:p>
                        </w:tc>
                        <w:tc>
                          <w:tcPr>
                            <w:tcW w:w="980" w:type="dxa"/>
                            <w:tcBorders>
                              <w:top w:val="nil"/>
                              <w:left w:val="nil"/>
                              <w:bottom w:val="nil"/>
                              <w:right w:val="nil"/>
                            </w:tcBorders>
                            <w:shd w:val="clear" w:color="auto" w:fill="auto"/>
                            <w:noWrap/>
                            <w:vAlign w:val="bottom"/>
                            <w:hideMark/>
                          </w:tcPr>
                          <w:p w14:paraId="2207C99A"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0.13***</w:t>
                            </w:r>
                          </w:p>
                        </w:tc>
                      </w:tr>
                      <w:tr w:rsidR="00DF77C5" w:rsidRPr="00E45F90" w14:paraId="737EADAE" w14:textId="77777777" w:rsidTr="00E45F90">
                        <w:trPr>
                          <w:trHeight w:val="255"/>
                        </w:trPr>
                        <w:tc>
                          <w:tcPr>
                            <w:tcW w:w="3440" w:type="dxa"/>
                            <w:tcBorders>
                              <w:top w:val="nil"/>
                              <w:left w:val="nil"/>
                              <w:bottom w:val="nil"/>
                              <w:right w:val="nil"/>
                            </w:tcBorders>
                            <w:shd w:val="clear" w:color="auto" w:fill="auto"/>
                            <w:noWrap/>
                            <w:vAlign w:val="bottom"/>
                            <w:hideMark/>
                          </w:tcPr>
                          <w:p w14:paraId="3A7D7F7A" w14:textId="77777777" w:rsidR="00DF77C5" w:rsidRPr="00E45F90" w:rsidRDefault="00DF77C5" w:rsidP="00E45F90">
                            <w:pPr>
                              <w:spacing w:after="0"/>
                              <w:jc w:val="center"/>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7B9043BB"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c>
                          <w:tcPr>
                            <w:tcW w:w="980" w:type="dxa"/>
                            <w:tcBorders>
                              <w:top w:val="nil"/>
                              <w:left w:val="nil"/>
                              <w:bottom w:val="nil"/>
                              <w:right w:val="nil"/>
                            </w:tcBorders>
                            <w:shd w:val="clear" w:color="auto" w:fill="auto"/>
                            <w:noWrap/>
                            <w:vAlign w:val="bottom"/>
                            <w:hideMark/>
                          </w:tcPr>
                          <w:p w14:paraId="68836A05"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(0.04)</w:t>
                            </w:r>
                          </w:p>
                        </w:tc>
                        <w:tc>
                          <w:tcPr>
                            <w:tcW w:w="980" w:type="dxa"/>
                            <w:tcBorders>
                              <w:top w:val="nil"/>
                              <w:left w:val="nil"/>
                              <w:bottom w:val="nil"/>
                              <w:right w:val="nil"/>
                            </w:tcBorders>
                            <w:shd w:val="clear" w:color="auto" w:fill="auto"/>
                            <w:noWrap/>
                            <w:vAlign w:val="bottom"/>
                            <w:hideMark/>
                          </w:tcPr>
                          <w:p w14:paraId="14874338"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c>
                          <w:tcPr>
                            <w:tcW w:w="980" w:type="dxa"/>
                            <w:tcBorders>
                              <w:top w:val="nil"/>
                              <w:left w:val="nil"/>
                              <w:bottom w:val="nil"/>
                              <w:right w:val="nil"/>
                            </w:tcBorders>
                            <w:shd w:val="clear" w:color="auto" w:fill="auto"/>
                            <w:noWrap/>
                            <w:vAlign w:val="bottom"/>
                            <w:hideMark/>
                          </w:tcPr>
                          <w:p w14:paraId="242A896C"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c>
                          <w:tcPr>
                            <w:tcW w:w="980" w:type="dxa"/>
                            <w:tcBorders>
                              <w:top w:val="nil"/>
                              <w:left w:val="nil"/>
                              <w:bottom w:val="nil"/>
                              <w:right w:val="nil"/>
                            </w:tcBorders>
                            <w:shd w:val="clear" w:color="auto" w:fill="auto"/>
                            <w:noWrap/>
                            <w:vAlign w:val="bottom"/>
                            <w:hideMark/>
                          </w:tcPr>
                          <w:p w14:paraId="0EE6B20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c>
                          <w:tcPr>
                            <w:tcW w:w="980" w:type="dxa"/>
                            <w:tcBorders>
                              <w:top w:val="nil"/>
                              <w:left w:val="nil"/>
                              <w:bottom w:val="nil"/>
                              <w:right w:val="nil"/>
                            </w:tcBorders>
                            <w:shd w:val="clear" w:color="auto" w:fill="auto"/>
                            <w:noWrap/>
                            <w:vAlign w:val="bottom"/>
                            <w:hideMark/>
                          </w:tcPr>
                          <w:p w14:paraId="434970F1"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r>
                      <w:tr w:rsidR="00DF77C5" w:rsidRPr="00E45F90" w14:paraId="305751CB" w14:textId="77777777" w:rsidTr="00E45F90">
                        <w:trPr>
                          <w:trHeight w:val="255"/>
                        </w:trPr>
                        <w:tc>
                          <w:tcPr>
                            <w:tcW w:w="3440" w:type="dxa"/>
                            <w:tcBorders>
                              <w:top w:val="nil"/>
                              <w:left w:val="nil"/>
                              <w:bottom w:val="nil"/>
                              <w:right w:val="nil"/>
                            </w:tcBorders>
                            <w:shd w:val="clear" w:color="auto" w:fill="auto"/>
                            <w:noWrap/>
                            <w:vAlign w:val="bottom"/>
                            <w:hideMark/>
                          </w:tcPr>
                          <w:p w14:paraId="5DD9EE23" w14:textId="77777777" w:rsidR="00DF77C5" w:rsidRPr="00E45F90" w:rsidRDefault="00DF77C5" w:rsidP="00E45F90">
                            <w:pPr>
                              <w:spacing w:after="0"/>
                              <w:rPr>
                                <w:rFonts w:ascii="Arial" w:eastAsia="Times New Roman" w:hAnsi="Arial" w:cs="Arial"/>
                                <w:i/>
                                <w:iCs/>
                                <w:color w:val="000000"/>
                                <w:sz w:val="20"/>
                                <w:szCs w:val="20"/>
                                <w:lang w:eastAsia="en-AU"/>
                              </w:rPr>
                            </w:pPr>
                            <w:r w:rsidRPr="00E45F90">
                              <w:rPr>
                                <w:rFonts w:ascii="Arial" w:eastAsia="Times New Roman" w:hAnsi="Arial" w:cs="Arial"/>
                                <w:i/>
                                <w:iCs/>
                                <w:color w:val="000000"/>
                                <w:sz w:val="20"/>
                                <w:szCs w:val="20"/>
                                <w:lang w:eastAsia="en-AU"/>
                              </w:rPr>
                              <w:t>Panel B: Job-switchers</w:t>
                            </w:r>
                          </w:p>
                        </w:tc>
                        <w:tc>
                          <w:tcPr>
                            <w:tcW w:w="980" w:type="dxa"/>
                            <w:tcBorders>
                              <w:top w:val="nil"/>
                              <w:left w:val="nil"/>
                              <w:bottom w:val="nil"/>
                              <w:right w:val="nil"/>
                            </w:tcBorders>
                            <w:shd w:val="clear" w:color="auto" w:fill="auto"/>
                            <w:noWrap/>
                            <w:vAlign w:val="bottom"/>
                            <w:hideMark/>
                          </w:tcPr>
                          <w:p w14:paraId="0C918D5C" w14:textId="77777777" w:rsidR="00DF77C5" w:rsidRPr="00E45F90" w:rsidRDefault="00DF77C5" w:rsidP="00E45F90">
                            <w:pPr>
                              <w:spacing w:after="0"/>
                              <w:rPr>
                                <w:rFonts w:ascii="Arial" w:eastAsia="Times New Roman" w:hAnsi="Arial" w:cs="Arial"/>
                                <w:i/>
                                <w:iCs/>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46E8B154"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67E7B21D"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3EA8F121"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72375CB9"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50ED07F6"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r>
                      <w:tr w:rsidR="00DF77C5" w:rsidRPr="00E45F90" w14:paraId="0C3F896F" w14:textId="77777777" w:rsidTr="00E45F90">
                        <w:trPr>
                          <w:trHeight w:val="255"/>
                        </w:trPr>
                        <w:tc>
                          <w:tcPr>
                            <w:tcW w:w="3440" w:type="dxa"/>
                            <w:tcBorders>
                              <w:top w:val="nil"/>
                              <w:left w:val="nil"/>
                              <w:bottom w:val="nil"/>
                              <w:right w:val="nil"/>
                            </w:tcBorders>
                            <w:shd w:val="clear" w:color="auto" w:fill="auto"/>
                            <w:noWrap/>
                            <w:vAlign w:val="bottom"/>
                            <w:hideMark/>
                          </w:tcPr>
                          <w:p w14:paraId="20E9A207"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EE (job-to-job) rate</w:t>
                            </w:r>
                          </w:p>
                        </w:tc>
                        <w:tc>
                          <w:tcPr>
                            <w:tcW w:w="980" w:type="dxa"/>
                            <w:tcBorders>
                              <w:top w:val="nil"/>
                              <w:left w:val="nil"/>
                              <w:bottom w:val="nil"/>
                              <w:right w:val="nil"/>
                            </w:tcBorders>
                            <w:shd w:val="clear" w:color="auto" w:fill="auto"/>
                            <w:noWrap/>
                            <w:vAlign w:val="bottom"/>
                            <w:hideMark/>
                          </w:tcPr>
                          <w:p w14:paraId="3DF9B2B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c>
                          <w:tcPr>
                            <w:tcW w:w="980" w:type="dxa"/>
                            <w:tcBorders>
                              <w:top w:val="nil"/>
                              <w:left w:val="nil"/>
                              <w:bottom w:val="nil"/>
                              <w:right w:val="nil"/>
                            </w:tcBorders>
                            <w:shd w:val="clear" w:color="auto" w:fill="auto"/>
                            <w:noWrap/>
                            <w:vAlign w:val="bottom"/>
                            <w:hideMark/>
                          </w:tcPr>
                          <w:p w14:paraId="2F4B18D0"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0.32</w:t>
                            </w:r>
                          </w:p>
                        </w:tc>
                        <w:tc>
                          <w:tcPr>
                            <w:tcW w:w="980" w:type="dxa"/>
                            <w:tcBorders>
                              <w:top w:val="nil"/>
                              <w:left w:val="nil"/>
                              <w:bottom w:val="nil"/>
                              <w:right w:val="nil"/>
                            </w:tcBorders>
                            <w:shd w:val="clear" w:color="auto" w:fill="auto"/>
                            <w:noWrap/>
                            <w:vAlign w:val="bottom"/>
                            <w:hideMark/>
                          </w:tcPr>
                          <w:p w14:paraId="6F03ABB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0.23</w:t>
                            </w:r>
                          </w:p>
                        </w:tc>
                        <w:tc>
                          <w:tcPr>
                            <w:tcW w:w="980" w:type="dxa"/>
                            <w:tcBorders>
                              <w:top w:val="nil"/>
                              <w:left w:val="nil"/>
                              <w:bottom w:val="nil"/>
                              <w:right w:val="nil"/>
                            </w:tcBorders>
                            <w:shd w:val="clear" w:color="auto" w:fill="auto"/>
                            <w:noWrap/>
                            <w:vAlign w:val="bottom"/>
                            <w:hideMark/>
                          </w:tcPr>
                          <w:p w14:paraId="7ADF889C"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1.04*</w:t>
                            </w:r>
                          </w:p>
                        </w:tc>
                        <w:tc>
                          <w:tcPr>
                            <w:tcW w:w="980" w:type="dxa"/>
                            <w:tcBorders>
                              <w:top w:val="nil"/>
                              <w:left w:val="nil"/>
                              <w:bottom w:val="nil"/>
                              <w:right w:val="nil"/>
                            </w:tcBorders>
                            <w:shd w:val="clear" w:color="auto" w:fill="auto"/>
                            <w:noWrap/>
                            <w:vAlign w:val="bottom"/>
                            <w:hideMark/>
                          </w:tcPr>
                          <w:p w14:paraId="6C88AFB2"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1.14*</w:t>
                            </w:r>
                          </w:p>
                        </w:tc>
                        <w:tc>
                          <w:tcPr>
                            <w:tcW w:w="980" w:type="dxa"/>
                            <w:tcBorders>
                              <w:top w:val="nil"/>
                              <w:left w:val="nil"/>
                              <w:bottom w:val="nil"/>
                              <w:right w:val="nil"/>
                            </w:tcBorders>
                            <w:shd w:val="clear" w:color="auto" w:fill="auto"/>
                            <w:noWrap/>
                            <w:vAlign w:val="bottom"/>
                            <w:hideMark/>
                          </w:tcPr>
                          <w:p w14:paraId="52C93693"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0.98*</w:t>
                            </w:r>
                          </w:p>
                        </w:tc>
                      </w:tr>
                      <w:tr w:rsidR="00DF77C5" w:rsidRPr="00E45F90" w14:paraId="2DAA3192" w14:textId="77777777" w:rsidTr="00E45F90">
                        <w:trPr>
                          <w:trHeight w:val="255"/>
                        </w:trPr>
                        <w:tc>
                          <w:tcPr>
                            <w:tcW w:w="3440" w:type="dxa"/>
                            <w:tcBorders>
                              <w:top w:val="nil"/>
                              <w:left w:val="nil"/>
                              <w:bottom w:val="nil"/>
                              <w:right w:val="nil"/>
                            </w:tcBorders>
                            <w:shd w:val="clear" w:color="auto" w:fill="auto"/>
                            <w:noWrap/>
                            <w:vAlign w:val="bottom"/>
                            <w:hideMark/>
                          </w:tcPr>
                          <w:p w14:paraId="7C882D9B" w14:textId="77777777" w:rsidR="00DF77C5" w:rsidRPr="00E45F90" w:rsidRDefault="00DF77C5" w:rsidP="00E45F90">
                            <w:pPr>
                              <w:spacing w:after="0"/>
                              <w:jc w:val="center"/>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0F4A7BB0"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(0.15)</w:t>
                            </w:r>
                          </w:p>
                        </w:tc>
                        <w:tc>
                          <w:tcPr>
                            <w:tcW w:w="980" w:type="dxa"/>
                            <w:tcBorders>
                              <w:top w:val="nil"/>
                              <w:left w:val="nil"/>
                              <w:bottom w:val="nil"/>
                              <w:right w:val="nil"/>
                            </w:tcBorders>
                            <w:shd w:val="clear" w:color="auto" w:fill="auto"/>
                            <w:noWrap/>
                            <w:vAlign w:val="bottom"/>
                            <w:hideMark/>
                          </w:tcPr>
                          <w:p w14:paraId="3777C37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(0.33)</w:t>
                            </w:r>
                          </w:p>
                        </w:tc>
                        <w:tc>
                          <w:tcPr>
                            <w:tcW w:w="980" w:type="dxa"/>
                            <w:tcBorders>
                              <w:top w:val="nil"/>
                              <w:left w:val="nil"/>
                              <w:bottom w:val="nil"/>
                              <w:right w:val="nil"/>
                            </w:tcBorders>
                            <w:shd w:val="clear" w:color="auto" w:fill="auto"/>
                            <w:noWrap/>
                            <w:vAlign w:val="bottom"/>
                            <w:hideMark/>
                          </w:tcPr>
                          <w:p w14:paraId="08926C5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(0.34)</w:t>
                            </w:r>
                          </w:p>
                        </w:tc>
                        <w:tc>
                          <w:tcPr>
                            <w:tcW w:w="980" w:type="dxa"/>
                            <w:tcBorders>
                              <w:top w:val="nil"/>
                              <w:left w:val="nil"/>
                              <w:bottom w:val="nil"/>
                              <w:right w:val="nil"/>
                            </w:tcBorders>
                            <w:shd w:val="clear" w:color="auto" w:fill="auto"/>
                            <w:noWrap/>
                            <w:vAlign w:val="bottom"/>
                            <w:hideMark/>
                          </w:tcPr>
                          <w:p w14:paraId="74543E91"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(0.53)</w:t>
                            </w:r>
                          </w:p>
                        </w:tc>
                        <w:tc>
                          <w:tcPr>
                            <w:tcW w:w="980" w:type="dxa"/>
                            <w:tcBorders>
                              <w:top w:val="nil"/>
                              <w:left w:val="nil"/>
                              <w:bottom w:val="nil"/>
                              <w:right w:val="nil"/>
                            </w:tcBorders>
                            <w:shd w:val="clear" w:color="auto" w:fill="auto"/>
                            <w:noWrap/>
                            <w:vAlign w:val="bottom"/>
                            <w:hideMark/>
                          </w:tcPr>
                          <w:p w14:paraId="5EF13A82"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(0.58)</w:t>
                            </w:r>
                          </w:p>
                        </w:tc>
                        <w:tc>
                          <w:tcPr>
                            <w:tcW w:w="980" w:type="dxa"/>
                            <w:tcBorders>
                              <w:top w:val="nil"/>
                              <w:left w:val="nil"/>
                              <w:bottom w:val="nil"/>
                              <w:right w:val="nil"/>
                            </w:tcBorders>
                            <w:shd w:val="clear" w:color="auto" w:fill="auto"/>
                            <w:noWrap/>
                            <w:vAlign w:val="bottom"/>
                            <w:hideMark/>
                          </w:tcPr>
                          <w:p w14:paraId="675E748D"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(0.58)</w:t>
                            </w:r>
                          </w:p>
                        </w:tc>
                      </w:tr>
                      <w:tr w:rsidR="00DF77C5" w:rsidRPr="00E45F90" w14:paraId="6E6F859F" w14:textId="77777777" w:rsidTr="00E45F90">
                        <w:trPr>
                          <w:trHeight w:val="255"/>
                        </w:trPr>
                        <w:tc>
                          <w:tcPr>
                            <w:tcW w:w="3440" w:type="dxa"/>
                            <w:tcBorders>
                              <w:top w:val="nil"/>
                              <w:left w:val="nil"/>
                              <w:bottom w:val="nil"/>
                              <w:right w:val="nil"/>
                            </w:tcBorders>
                            <w:shd w:val="clear" w:color="auto" w:fill="auto"/>
                            <w:noWrap/>
                            <w:vAlign w:val="bottom"/>
                            <w:hideMark/>
                          </w:tcPr>
                          <w:p w14:paraId="753C7A8A"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UE (unemployment-to-job rate)</w:t>
                            </w:r>
                          </w:p>
                        </w:tc>
                        <w:tc>
                          <w:tcPr>
                            <w:tcW w:w="980" w:type="dxa"/>
                            <w:tcBorders>
                              <w:top w:val="nil"/>
                              <w:left w:val="nil"/>
                              <w:bottom w:val="nil"/>
                              <w:right w:val="nil"/>
                            </w:tcBorders>
                            <w:shd w:val="clear" w:color="auto" w:fill="auto"/>
                            <w:noWrap/>
                            <w:vAlign w:val="bottom"/>
                            <w:hideMark/>
                          </w:tcPr>
                          <w:p w14:paraId="2C35EB6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0.41***</w:t>
                            </w:r>
                          </w:p>
                        </w:tc>
                        <w:tc>
                          <w:tcPr>
                            <w:tcW w:w="980" w:type="dxa"/>
                            <w:tcBorders>
                              <w:top w:val="nil"/>
                              <w:left w:val="nil"/>
                              <w:bottom w:val="nil"/>
                              <w:right w:val="nil"/>
                            </w:tcBorders>
                            <w:shd w:val="clear" w:color="auto" w:fill="auto"/>
                            <w:noWrap/>
                            <w:vAlign w:val="bottom"/>
                            <w:hideMark/>
                          </w:tcPr>
                          <w:p w14:paraId="2B95B8F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0.28**</w:t>
                            </w:r>
                          </w:p>
                        </w:tc>
                        <w:tc>
                          <w:tcPr>
                            <w:tcW w:w="980" w:type="dxa"/>
                            <w:tcBorders>
                              <w:top w:val="nil"/>
                              <w:left w:val="nil"/>
                              <w:bottom w:val="nil"/>
                              <w:right w:val="nil"/>
                            </w:tcBorders>
                            <w:shd w:val="clear" w:color="auto" w:fill="auto"/>
                            <w:noWrap/>
                            <w:vAlign w:val="bottom"/>
                            <w:hideMark/>
                          </w:tcPr>
                          <w:p w14:paraId="29E6E6E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0.20</w:t>
                            </w:r>
                          </w:p>
                        </w:tc>
                        <w:tc>
                          <w:tcPr>
                            <w:tcW w:w="980" w:type="dxa"/>
                            <w:tcBorders>
                              <w:top w:val="nil"/>
                              <w:left w:val="nil"/>
                              <w:bottom w:val="nil"/>
                              <w:right w:val="nil"/>
                            </w:tcBorders>
                            <w:shd w:val="clear" w:color="auto" w:fill="auto"/>
                            <w:noWrap/>
                            <w:vAlign w:val="bottom"/>
                            <w:hideMark/>
                          </w:tcPr>
                          <w:p w14:paraId="1A3504B6"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0.16</w:t>
                            </w:r>
                          </w:p>
                        </w:tc>
                        <w:tc>
                          <w:tcPr>
                            <w:tcW w:w="980" w:type="dxa"/>
                            <w:tcBorders>
                              <w:top w:val="nil"/>
                              <w:left w:val="nil"/>
                              <w:bottom w:val="nil"/>
                              <w:right w:val="nil"/>
                            </w:tcBorders>
                            <w:shd w:val="clear" w:color="auto" w:fill="auto"/>
                            <w:noWrap/>
                            <w:vAlign w:val="bottom"/>
                            <w:hideMark/>
                          </w:tcPr>
                          <w:p w14:paraId="7F0276F5"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0.07</w:t>
                            </w:r>
                          </w:p>
                        </w:tc>
                        <w:tc>
                          <w:tcPr>
                            <w:tcW w:w="980" w:type="dxa"/>
                            <w:tcBorders>
                              <w:top w:val="nil"/>
                              <w:left w:val="nil"/>
                              <w:bottom w:val="nil"/>
                              <w:right w:val="nil"/>
                            </w:tcBorders>
                            <w:shd w:val="clear" w:color="auto" w:fill="auto"/>
                            <w:noWrap/>
                            <w:vAlign w:val="bottom"/>
                            <w:hideMark/>
                          </w:tcPr>
                          <w:p w14:paraId="1C9A81BA"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0.16</w:t>
                            </w:r>
                          </w:p>
                        </w:tc>
                      </w:tr>
                      <w:tr w:rsidR="00DF77C5" w:rsidRPr="00E45F90" w14:paraId="2F82620E" w14:textId="77777777" w:rsidTr="00E45F90">
                        <w:trPr>
                          <w:trHeight w:val="255"/>
                        </w:trPr>
                        <w:tc>
                          <w:tcPr>
                            <w:tcW w:w="3440" w:type="dxa"/>
                            <w:tcBorders>
                              <w:top w:val="nil"/>
                              <w:left w:val="nil"/>
                              <w:bottom w:val="nil"/>
                              <w:right w:val="nil"/>
                            </w:tcBorders>
                            <w:shd w:val="clear" w:color="auto" w:fill="auto"/>
                            <w:noWrap/>
                            <w:vAlign w:val="bottom"/>
                            <w:hideMark/>
                          </w:tcPr>
                          <w:p w14:paraId="476628C9" w14:textId="77777777" w:rsidR="00DF77C5" w:rsidRPr="00E45F90" w:rsidRDefault="00DF77C5" w:rsidP="00E45F90">
                            <w:pPr>
                              <w:spacing w:after="0"/>
                              <w:jc w:val="center"/>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353782F5"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(0.08)</w:t>
                            </w:r>
                          </w:p>
                        </w:tc>
                        <w:tc>
                          <w:tcPr>
                            <w:tcW w:w="980" w:type="dxa"/>
                            <w:tcBorders>
                              <w:top w:val="nil"/>
                              <w:left w:val="nil"/>
                              <w:bottom w:val="nil"/>
                              <w:right w:val="nil"/>
                            </w:tcBorders>
                            <w:shd w:val="clear" w:color="auto" w:fill="auto"/>
                            <w:noWrap/>
                            <w:vAlign w:val="bottom"/>
                            <w:hideMark/>
                          </w:tcPr>
                          <w:p w14:paraId="2DA7C5F9"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(0.13)</w:t>
                            </w:r>
                          </w:p>
                        </w:tc>
                        <w:tc>
                          <w:tcPr>
                            <w:tcW w:w="980" w:type="dxa"/>
                            <w:tcBorders>
                              <w:top w:val="nil"/>
                              <w:left w:val="nil"/>
                              <w:bottom w:val="nil"/>
                              <w:right w:val="nil"/>
                            </w:tcBorders>
                            <w:shd w:val="clear" w:color="auto" w:fill="auto"/>
                            <w:noWrap/>
                            <w:vAlign w:val="bottom"/>
                            <w:hideMark/>
                          </w:tcPr>
                          <w:p w14:paraId="1862BA8D"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(0.14)</w:t>
                            </w:r>
                          </w:p>
                        </w:tc>
                        <w:tc>
                          <w:tcPr>
                            <w:tcW w:w="980" w:type="dxa"/>
                            <w:tcBorders>
                              <w:top w:val="nil"/>
                              <w:left w:val="nil"/>
                              <w:bottom w:val="nil"/>
                              <w:right w:val="nil"/>
                            </w:tcBorders>
                            <w:shd w:val="clear" w:color="auto" w:fill="auto"/>
                            <w:noWrap/>
                            <w:vAlign w:val="bottom"/>
                            <w:hideMark/>
                          </w:tcPr>
                          <w:p w14:paraId="1E9B6594"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(0.15)</w:t>
                            </w:r>
                          </w:p>
                        </w:tc>
                        <w:tc>
                          <w:tcPr>
                            <w:tcW w:w="980" w:type="dxa"/>
                            <w:tcBorders>
                              <w:top w:val="nil"/>
                              <w:left w:val="nil"/>
                              <w:bottom w:val="nil"/>
                              <w:right w:val="nil"/>
                            </w:tcBorders>
                            <w:shd w:val="clear" w:color="auto" w:fill="auto"/>
                            <w:noWrap/>
                            <w:vAlign w:val="bottom"/>
                            <w:hideMark/>
                          </w:tcPr>
                          <w:p w14:paraId="4A9494A4"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(0.17)</w:t>
                            </w:r>
                          </w:p>
                        </w:tc>
                        <w:tc>
                          <w:tcPr>
                            <w:tcW w:w="980" w:type="dxa"/>
                            <w:tcBorders>
                              <w:top w:val="nil"/>
                              <w:left w:val="nil"/>
                              <w:bottom w:val="nil"/>
                              <w:right w:val="nil"/>
                            </w:tcBorders>
                            <w:shd w:val="clear" w:color="auto" w:fill="auto"/>
                            <w:noWrap/>
                            <w:vAlign w:val="bottom"/>
                            <w:hideMark/>
                          </w:tcPr>
                          <w:p w14:paraId="4117220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(0.18)</w:t>
                            </w:r>
                          </w:p>
                        </w:tc>
                      </w:tr>
                      <w:tr w:rsidR="00DF77C5" w:rsidRPr="00E45F90" w14:paraId="079F4077" w14:textId="77777777" w:rsidTr="00E45F90">
                        <w:trPr>
                          <w:trHeight w:val="255"/>
                        </w:trPr>
                        <w:tc>
                          <w:tcPr>
                            <w:tcW w:w="3440" w:type="dxa"/>
                            <w:tcBorders>
                              <w:top w:val="nil"/>
                              <w:left w:val="nil"/>
                              <w:bottom w:val="nil"/>
                              <w:right w:val="nil"/>
                            </w:tcBorders>
                            <w:shd w:val="clear" w:color="auto" w:fill="auto"/>
                            <w:noWrap/>
                            <w:vAlign w:val="bottom"/>
                            <w:hideMark/>
                          </w:tcPr>
                          <w:p w14:paraId="37F88D4D" w14:textId="77777777" w:rsidR="00DF77C5" w:rsidRPr="00E45F90" w:rsidRDefault="00DF77C5" w:rsidP="00E45F90">
                            <w:pPr>
                              <w:spacing w:after="0"/>
                              <w:rPr>
                                <w:rFonts w:ascii="Arial" w:eastAsia="Times New Roman" w:hAnsi="Arial" w:cs="Arial"/>
                                <w:i/>
                                <w:iCs/>
                                <w:color w:val="000000"/>
                                <w:sz w:val="20"/>
                                <w:szCs w:val="20"/>
                                <w:lang w:eastAsia="en-AU"/>
                              </w:rPr>
                            </w:pPr>
                            <w:r w:rsidRPr="00E45F90">
                              <w:rPr>
                                <w:rFonts w:ascii="Arial" w:eastAsia="Times New Roman" w:hAnsi="Arial" w:cs="Arial"/>
                                <w:i/>
                                <w:iCs/>
                                <w:color w:val="000000"/>
                                <w:sz w:val="20"/>
                                <w:szCs w:val="20"/>
                                <w:lang w:eastAsia="en-AU"/>
                              </w:rPr>
                              <w:t>Panel C: Job-stayers</w:t>
                            </w:r>
                          </w:p>
                        </w:tc>
                        <w:tc>
                          <w:tcPr>
                            <w:tcW w:w="980" w:type="dxa"/>
                            <w:tcBorders>
                              <w:top w:val="nil"/>
                              <w:left w:val="nil"/>
                              <w:bottom w:val="nil"/>
                              <w:right w:val="nil"/>
                            </w:tcBorders>
                            <w:shd w:val="clear" w:color="auto" w:fill="auto"/>
                            <w:noWrap/>
                            <w:vAlign w:val="bottom"/>
                            <w:hideMark/>
                          </w:tcPr>
                          <w:p w14:paraId="5551911F" w14:textId="77777777" w:rsidR="00DF77C5" w:rsidRPr="00E45F90" w:rsidRDefault="00DF77C5" w:rsidP="00E45F90">
                            <w:pPr>
                              <w:spacing w:after="0"/>
                              <w:rPr>
                                <w:rFonts w:ascii="Arial" w:eastAsia="Times New Roman" w:hAnsi="Arial" w:cs="Arial"/>
                                <w:i/>
                                <w:iCs/>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35393D69"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6FF5B53E"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4036EC08"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1609C6F3"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10221C2A"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r>
                      <w:tr w:rsidR="00DF77C5" w:rsidRPr="00E45F90" w14:paraId="3DCB9608" w14:textId="77777777" w:rsidTr="00E45F90">
                        <w:trPr>
                          <w:trHeight w:val="255"/>
                        </w:trPr>
                        <w:tc>
                          <w:tcPr>
                            <w:tcW w:w="3440" w:type="dxa"/>
                            <w:tcBorders>
                              <w:top w:val="nil"/>
                              <w:left w:val="nil"/>
                              <w:bottom w:val="nil"/>
                              <w:right w:val="nil"/>
                            </w:tcBorders>
                            <w:shd w:val="clear" w:color="auto" w:fill="auto"/>
                            <w:noWrap/>
                            <w:vAlign w:val="bottom"/>
                            <w:hideMark/>
                          </w:tcPr>
                          <w:p w14:paraId="0378DA78"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EE (job-to-job) rate</w:t>
                            </w:r>
                          </w:p>
                        </w:tc>
                        <w:tc>
                          <w:tcPr>
                            <w:tcW w:w="980" w:type="dxa"/>
                            <w:tcBorders>
                              <w:top w:val="nil"/>
                              <w:left w:val="nil"/>
                              <w:bottom w:val="nil"/>
                              <w:right w:val="nil"/>
                            </w:tcBorders>
                            <w:shd w:val="clear" w:color="auto" w:fill="auto"/>
                            <w:noWrap/>
                            <w:vAlign w:val="bottom"/>
                            <w:hideMark/>
                          </w:tcPr>
                          <w:p w14:paraId="4E61DAC6"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0.45***</w:t>
                            </w:r>
                          </w:p>
                        </w:tc>
                        <w:tc>
                          <w:tcPr>
                            <w:tcW w:w="980" w:type="dxa"/>
                            <w:tcBorders>
                              <w:top w:val="nil"/>
                              <w:left w:val="nil"/>
                              <w:bottom w:val="nil"/>
                              <w:right w:val="nil"/>
                            </w:tcBorders>
                            <w:shd w:val="clear" w:color="auto" w:fill="auto"/>
                            <w:noWrap/>
                            <w:vAlign w:val="bottom"/>
                            <w:hideMark/>
                          </w:tcPr>
                          <w:p w14:paraId="1B12CC14"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0.37***</w:t>
                            </w:r>
                          </w:p>
                        </w:tc>
                        <w:tc>
                          <w:tcPr>
                            <w:tcW w:w="980" w:type="dxa"/>
                            <w:tcBorders>
                              <w:top w:val="nil"/>
                              <w:left w:val="nil"/>
                              <w:bottom w:val="nil"/>
                              <w:right w:val="nil"/>
                            </w:tcBorders>
                            <w:shd w:val="clear" w:color="auto" w:fill="auto"/>
                            <w:noWrap/>
                            <w:vAlign w:val="bottom"/>
                            <w:hideMark/>
                          </w:tcPr>
                          <w:p w14:paraId="3B2BCF31"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0.31***</w:t>
                            </w:r>
                          </w:p>
                        </w:tc>
                        <w:tc>
                          <w:tcPr>
                            <w:tcW w:w="980" w:type="dxa"/>
                            <w:tcBorders>
                              <w:top w:val="nil"/>
                              <w:left w:val="nil"/>
                              <w:bottom w:val="nil"/>
                              <w:right w:val="nil"/>
                            </w:tcBorders>
                            <w:shd w:val="clear" w:color="auto" w:fill="auto"/>
                            <w:noWrap/>
                            <w:vAlign w:val="bottom"/>
                            <w:hideMark/>
                          </w:tcPr>
                          <w:p w14:paraId="1AB85FEC"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0.20*</w:t>
                            </w:r>
                          </w:p>
                        </w:tc>
                        <w:tc>
                          <w:tcPr>
                            <w:tcW w:w="980" w:type="dxa"/>
                            <w:tcBorders>
                              <w:top w:val="nil"/>
                              <w:left w:val="nil"/>
                              <w:bottom w:val="nil"/>
                              <w:right w:val="nil"/>
                            </w:tcBorders>
                            <w:shd w:val="clear" w:color="auto" w:fill="auto"/>
                            <w:noWrap/>
                            <w:vAlign w:val="bottom"/>
                            <w:hideMark/>
                          </w:tcPr>
                          <w:p w14:paraId="2E44A166"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0.24***</w:t>
                            </w:r>
                          </w:p>
                        </w:tc>
                        <w:tc>
                          <w:tcPr>
                            <w:tcW w:w="980" w:type="dxa"/>
                            <w:tcBorders>
                              <w:top w:val="nil"/>
                              <w:left w:val="nil"/>
                              <w:bottom w:val="nil"/>
                              <w:right w:val="nil"/>
                            </w:tcBorders>
                            <w:shd w:val="clear" w:color="auto" w:fill="auto"/>
                            <w:noWrap/>
                            <w:vAlign w:val="bottom"/>
                            <w:hideMark/>
                          </w:tcPr>
                          <w:p w14:paraId="19F09688"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0.22**</w:t>
                            </w:r>
                          </w:p>
                        </w:tc>
                      </w:tr>
                      <w:tr w:rsidR="00DF77C5" w:rsidRPr="00E45F90" w14:paraId="7CD08810" w14:textId="77777777" w:rsidTr="00E45F90">
                        <w:trPr>
                          <w:trHeight w:val="255"/>
                        </w:trPr>
                        <w:tc>
                          <w:tcPr>
                            <w:tcW w:w="3440" w:type="dxa"/>
                            <w:tcBorders>
                              <w:top w:val="nil"/>
                              <w:left w:val="nil"/>
                              <w:bottom w:val="nil"/>
                              <w:right w:val="nil"/>
                            </w:tcBorders>
                            <w:shd w:val="clear" w:color="auto" w:fill="auto"/>
                            <w:noWrap/>
                            <w:vAlign w:val="bottom"/>
                            <w:hideMark/>
                          </w:tcPr>
                          <w:p w14:paraId="46477457" w14:textId="77777777" w:rsidR="00DF77C5" w:rsidRPr="00E45F90" w:rsidRDefault="00DF77C5" w:rsidP="00E45F90">
                            <w:pPr>
                              <w:spacing w:after="0"/>
                              <w:jc w:val="center"/>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3E4719BA"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(0.04)</w:t>
                            </w:r>
                          </w:p>
                        </w:tc>
                        <w:tc>
                          <w:tcPr>
                            <w:tcW w:w="980" w:type="dxa"/>
                            <w:tcBorders>
                              <w:top w:val="nil"/>
                              <w:left w:val="nil"/>
                              <w:bottom w:val="nil"/>
                              <w:right w:val="nil"/>
                            </w:tcBorders>
                            <w:shd w:val="clear" w:color="auto" w:fill="auto"/>
                            <w:noWrap/>
                            <w:vAlign w:val="bottom"/>
                            <w:hideMark/>
                          </w:tcPr>
                          <w:p w14:paraId="48B2D288"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(0.06)</w:t>
                            </w:r>
                          </w:p>
                        </w:tc>
                        <w:tc>
                          <w:tcPr>
                            <w:tcW w:w="980" w:type="dxa"/>
                            <w:tcBorders>
                              <w:top w:val="nil"/>
                              <w:left w:val="nil"/>
                              <w:bottom w:val="nil"/>
                              <w:right w:val="nil"/>
                            </w:tcBorders>
                            <w:shd w:val="clear" w:color="auto" w:fill="auto"/>
                            <w:noWrap/>
                            <w:vAlign w:val="bottom"/>
                            <w:hideMark/>
                          </w:tcPr>
                          <w:p w14:paraId="0F437CB5"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(0.04)</w:t>
                            </w:r>
                          </w:p>
                        </w:tc>
                        <w:tc>
                          <w:tcPr>
                            <w:tcW w:w="980" w:type="dxa"/>
                            <w:tcBorders>
                              <w:top w:val="nil"/>
                              <w:left w:val="nil"/>
                              <w:bottom w:val="nil"/>
                              <w:right w:val="nil"/>
                            </w:tcBorders>
                            <w:shd w:val="clear" w:color="auto" w:fill="auto"/>
                            <w:noWrap/>
                            <w:vAlign w:val="bottom"/>
                            <w:hideMark/>
                          </w:tcPr>
                          <w:p w14:paraId="2B13E24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(0.11)</w:t>
                            </w:r>
                          </w:p>
                        </w:tc>
                        <w:tc>
                          <w:tcPr>
                            <w:tcW w:w="980" w:type="dxa"/>
                            <w:tcBorders>
                              <w:top w:val="nil"/>
                              <w:left w:val="nil"/>
                              <w:bottom w:val="nil"/>
                              <w:right w:val="nil"/>
                            </w:tcBorders>
                            <w:shd w:val="clear" w:color="auto" w:fill="auto"/>
                            <w:noWrap/>
                            <w:vAlign w:val="bottom"/>
                            <w:hideMark/>
                          </w:tcPr>
                          <w:p w14:paraId="34DD86C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(0.09)</w:t>
                            </w:r>
                          </w:p>
                        </w:tc>
                        <w:tc>
                          <w:tcPr>
                            <w:tcW w:w="980" w:type="dxa"/>
                            <w:tcBorders>
                              <w:top w:val="nil"/>
                              <w:left w:val="nil"/>
                              <w:bottom w:val="nil"/>
                              <w:right w:val="nil"/>
                            </w:tcBorders>
                            <w:shd w:val="clear" w:color="auto" w:fill="auto"/>
                            <w:noWrap/>
                            <w:vAlign w:val="bottom"/>
                            <w:hideMark/>
                          </w:tcPr>
                          <w:p w14:paraId="318956B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(0.10)</w:t>
                            </w:r>
                          </w:p>
                        </w:tc>
                      </w:tr>
                      <w:tr w:rsidR="00DF77C5" w:rsidRPr="00E45F90" w14:paraId="0D7CEDC3" w14:textId="77777777" w:rsidTr="00E45F90">
                        <w:trPr>
                          <w:trHeight w:val="255"/>
                        </w:trPr>
                        <w:tc>
                          <w:tcPr>
                            <w:tcW w:w="3440" w:type="dxa"/>
                            <w:tcBorders>
                              <w:top w:val="nil"/>
                              <w:left w:val="nil"/>
                              <w:bottom w:val="nil"/>
                              <w:right w:val="nil"/>
                            </w:tcBorders>
                            <w:shd w:val="clear" w:color="auto" w:fill="auto"/>
                            <w:noWrap/>
                            <w:vAlign w:val="bottom"/>
                            <w:hideMark/>
                          </w:tcPr>
                          <w:p w14:paraId="6700C8FE"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UE (unemployment-to-job rate)</w:t>
                            </w:r>
                          </w:p>
                        </w:tc>
                        <w:tc>
                          <w:tcPr>
                            <w:tcW w:w="980" w:type="dxa"/>
                            <w:tcBorders>
                              <w:top w:val="nil"/>
                              <w:left w:val="nil"/>
                              <w:bottom w:val="nil"/>
                              <w:right w:val="nil"/>
                            </w:tcBorders>
                            <w:shd w:val="clear" w:color="auto" w:fill="auto"/>
                            <w:noWrap/>
                            <w:vAlign w:val="bottom"/>
                            <w:hideMark/>
                          </w:tcPr>
                          <w:p w14:paraId="242BA9CB"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0.15***</w:t>
                            </w:r>
                          </w:p>
                        </w:tc>
                        <w:tc>
                          <w:tcPr>
                            <w:tcW w:w="980" w:type="dxa"/>
                            <w:tcBorders>
                              <w:top w:val="nil"/>
                              <w:left w:val="nil"/>
                              <w:bottom w:val="nil"/>
                              <w:right w:val="nil"/>
                            </w:tcBorders>
                            <w:shd w:val="clear" w:color="auto" w:fill="auto"/>
                            <w:noWrap/>
                            <w:vAlign w:val="bottom"/>
                            <w:hideMark/>
                          </w:tcPr>
                          <w:p w14:paraId="3A1D8B5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0.15***</w:t>
                            </w:r>
                          </w:p>
                        </w:tc>
                        <w:tc>
                          <w:tcPr>
                            <w:tcW w:w="980" w:type="dxa"/>
                            <w:tcBorders>
                              <w:top w:val="nil"/>
                              <w:left w:val="nil"/>
                              <w:bottom w:val="nil"/>
                              <w:right w:val="nil"/>
                            </w:tcBorders>
                            <w:shd w:val="clear" w:color="auto" w:fill="auto"/>
                            <w:noWrap/>
                            <w:vAlign w:val="bottom"/>
                            <w:hideMark/>
                          </w:tcPr>
                          <w:p w14:paraId="1A776418"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0.10***</w:t>
                            </w:r>
                          </w:p>
                        </w:tc>
                        <w:tc>
                          <w:tcPr>
                            <w:tcW w:w="980" w:type="dxa"/>
                            <w:tcBorders>
                              <w:top w:val="nil"/>
                              <w:left w:val="nil"/>
                              <w:bottom w:val="nil"/>
                              <w:right w:val="nil"/>
                            </w:tcBorders>
                            <w:shd w:val="clear" w:color="auto" w:fill="auto"/>
                            <w:noWrap/>
                            <w:vAlign w:val="bottom"/>
                            <w:hideMark/>
                          </w:tcPr>
                          <w:p w14:paraId="7147BE3D"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0.12***</w:t>
                            </w:r>
                          </w:p>
                        </w:tc>
                        <w:tc>
                          <w:tcPr>
                            <w:tcW w:w="980" w:type="dxa"/>
                            <w:tcBorders>
                              <w:top w:val="nil"/>
                              <w:left w:val="nil"/>
                              <w:bottom w:val="nil"/>
                              <w:right w:val="nil"/>
                            </w:tcBorders>
                            <w:shd w:val="clear" w:color="auto" w:fill="auto"/>
                            <w:noWrap/>
                            <w:vAlign w:val="bottom"/>
                            <w:hideMark/>
                          </w:tcPr>
                          <w:p w14:paraId="685A1BF9"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0.11***</w:t>
                            </w:r>
                          </w:p>
                        </w:tc>
                        <w:tc>
                          <w:tcPr>
                            <w:tcW w:w="980" w:type="dxa"/>
                            <w:tcBorders>
                              <w:top w:val="nil"/>
                              <w:left w:val="nil"/>
                              <w:bottom w:val="nil"/>
                              <w:right w:val="nil"/>
                            </w:tcBorders>
                            <w:shd w:val="clear" w:color="auto" w:fill="auto"/>
                            <w:noWrap/>
                            <w:vAlign w:val="bottom"/>
                            <w:hideMark/>
                          </w:tcPr>
                          <w:p w14:paraId="63F01C5C"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0.12***</w:t>
                            </w:r>
                          </w:p>
                        </w:tc>
                      </w:tr>
                      <w:tr w:rsidR="00DF77C5" w:rsidRPr="00E45F90" w14:paraId="1F65FD48" w14:textId="77777777" w:rsidTr="00E45F90">
                        <w:trPr>
                          <w:trHeight w:val="255"/>
                        </w:trPr>
                        <w:tc>
                          <w:tcPr>
                            <w:tcW w:w="3440" w:type="dxa"/>
                            <w:tcBorders>
                              <w:top w:val="nil"/>
                              <w:left w:val="nil"/>
                              <w:bottom w:val="nil"/>
                              <w:right w:val="nil"/>
                            </w:tcBorders>
                            <w:shd w:val="clear" w:color="auto" w:fill="auto"/>
                            <w:noWrap/>
                            <w:vAlign w:val="bottom"/>
                            <w:hideMark/>
                          </w:tcPr>
                          <w:p w14:paraId="0CB9FA61" w14:textId="77777777" w:rsidR="00DF77C5" w:rsidRPr="00E45F90" w:rsidRDefault="00DF77C5" w:rsidP="00E45F90">
                            <w:pPr>
                              <w:spacing w:after="0"/>
                              <w:jc w:val="center"/>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55C718FA"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(0.02)</w:t>
                            </w:r>
                          </w:p>
                        </w:tc>
                        <w:tc>
                          <w:tcPr>
                            <w:tcW w:w="980" w:type="dxa"/>
                            <w:tcBorders>
                              <w:top w:val="nil"/>
                              <w:left w:val="nil"/>
                              <w:bottom w:val="nil"/>
                              <w:right w:val="nil"/>
                            </w:tcBorders>
                            <w:shd w:val="clear" w:color="auto" w:fill="auto"/>
                            <w:noWrap/>
                            <w:vAlign w:val="bottom"/>
                            <w:hideMark/>
                          </w:tcPr>
                          <w:p w14:paraId="5216226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c>
                          <w:tcPr>
                            <w:tcW w:w="980" w:type="dxa"/>
                            <w:tcBorders>
                              <w:top w:val="nil"/>
                              <w:left w:val="nil"/>
                              <w:bottom w:val="nil"/>
                              <w:right w:val="nil"/>
                            </w:tcBorders>
                            <w:shd w:val="clear" w:color="auto" w:fill="auto"/>
                            <w:noWrap/>
                            <w:vAlign w:val="bottom"/>
                            <w:hideMark/>
                          </w:tcPr>
                          <w:p w14:paraId="3633E094"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c>
                          <w:tcPr>
                            <w:tcW w:w="980" w:type="dxa"/>
                            <w:tcBorders>
                              <w:top w:val="nil"/>
                              <w:left w:val="nil"/>
                              <w:bottom w:val="nil"/>
                              <w:right w:val="nil"/>
                            </w:tcBorders>
                            <w:shd w:val="clear" w:color="auto" w:fill="auto"/>
                            <w:noWrap/>
                            <w:vAlign w:val="bottom"/>
                            <w:hideMark/>
                          </w:tcPr>
                          <w:p w14:paraId="7F3B68F3"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c>
                          <w:tcPr>
                            <w:tcW w:w="980" w:type="dxa"/>
                            <w:tcBorders>
                              <w:top w:val="nil"/>
                              <w:left w:val="nil"/>
                              <w:bottom w:val="nil"/>
                              <w:right w:val="nil"/>
                            </w:tcBorders>
                            <w:shd w:val="clear" w:color="auto" w:fill="auto"/>
                            <w:noWrap/>
                            <w:vAlign w:val="bottom"/>
                            <w:hideMark/>
                          </w:tcPr>
                          <w:p w14:paraId="253634A8"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c>
                          <w:tcPr>
                            <w:tcW w:w="980" w:type="dxa"/>
                            <w:tcBorders>
                              <w:top w:val="nil"/>
                              <w:left w:val="nil"/>
                              <w:bottom w:val="nil"/>
                              <w:right w:val="nil"/>
                            </w:tcBorders>
                            <w:shd w:val="clear" w:color="auto" w:fill="auto"/>
                            <w:noWrap/>
                            <w:vAlign w:val="bottom"/>
                            <w:hideMark/>
                          </w:tcPr>
                          <w:p w14:paraId="2B8EC69B"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(0.03)</w:t>
                            </w:r>
                          </w:p>
                        </w:tc>
                      </w:tr>
                      <w:tr w:rsidR="00DF77C5" w:rsidRPr="00E45F90" w14:paraId="68A1D576" w14:textId="77777777" w:rsidTr="00E45F90">
                        <w:trPr>
                          <w:trHeight w:val="255"/>
                        </w:trPr>
                        <w:tc>
                          <w:tcPr>
                            <w:tcW w:w="3440" w:type="dxa"/>
                            <w:tcBorders>
                              <w:top w:val="nil"/>
                              <w:left w:val="nil"/>
                              <w:bottom w:val="single" w:sz="4" w:space="0" w:color="auto"/>
                              <w:right w:val="nil"/>
                            </w:tcBorders>
                            <w:shd w:val="clear" w:color="auto" w:fill="auto"/>
                            <w:noWrap/>
                            <w:vAlign w:val="bottom"/>
                            <w:hideMark/>
                          </w:tcPr>
                          <w:p w14:paraId="26B265E2" w14:textId="77777777" w:rsidR="00DF77C5" w:rsidRPr="00E45F90" w:rsidRDefault="00DF77C5" w:rsidP="00E45F90">
                            <w:pPr>
                              <w:spacing w:after="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single" w:sz="4" w:space="0" w:color="auto"/>
                              <w:right w:val="nil"/>
                            </w:tcBorders>
                            <w:shd w:val="clear" w:color="auto" w:fill="auto"/>
                            <w:noWrap/>
                            <w:vAlign w:val="bottom"/>
                            <w:hideMark/>
                          </w:tcPr>
                          <w:p w14:paraId="24FB67D2"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single" w:sz="4" w:space="0" w:color="auto"/>
                              <w:right w:val="nil"/>
                            </w:tcBorders>
                            <w:shd w:val="clear" w:color="auto" w:fill="auto"/>
                            <w:noWrap/>
                            <w:vAlign w:val="bottom"/>
                            <w:hideMark/>
                          </w:tcPr>
                          <w:p w14:paraId="5BCA9929"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single" w:sz="4" w:space="0" w:color="auto"/>
                              <w:right w:val="nil"/>
                            </w:tcBorders>
                            <w:shd w:val="clear" w:color="auto" w:fill="auto"/>
                            <w:noWrap/>
                            <w:vAlign w:val="bottom"/>
                            <w:hideMark/>
                          </w:tcPr>
                          <w:p w14:paraId="0662AAB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single" w:sz="4" w:space="0" w:color="auto"/>
                              <w:right w:val="nil"/>
                            </w:tcBorders>
                            <w:shd w:val="clear" w:color="auto" w:fill="auto"/>
                            <w:noWrap/>
                            <w:vAlign w:val="bottom"/>
                            <w:hideMark/>
                          </w:tcPr>
                          <w:p w14:paraId="123CDD45"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single" w:sz="4" w:space="0" w:color="auto"/>
                              <w:right w:val="nil"/>
                            </w:tcBorders>
                            <w:shd w:val="clear" w:color="auto" w:fill="auto"/>
                            <w:noWrap/>
                            <w:vAlign w:val="bottom"/>
                            <w:hideMark/>
                          </w:tcPr>
                          <w:p w14:paraId="440153EB"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single" w:sz="4" w:space="0" w:color="auto"/>
                              <w:right w:val="nil"/>
                            </w:tcBorders>
                            <w:shd w:val="clear" w:color="auto" w:fill="auto"/>
                            <w:noWrap/>
                            <w:vAlign w:val="bottom"/>
                            <w:hideMark/>
                          </w:tcPr>
                          <w:p w14:paraId="01FD2C8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r>
                      <w:tr w:rsidR="00DF77C5" w:rsidRPr="00E45F90" w14:paraId="58E6AC4C" w14:textId="77777777" w:rsidTr="00E45F90">
                        <w:trPr>
                          <w:trHeight w:val="255"/>
                        </w:trPr>
                        <w:tc>
                          <w:tcPr>
                            <w:tcW w:w="3440" w:type="dxa"/>
                            <w:tcBorders>
                              <w:top w:val="nil"/>
                              <w:left w:val="nil"/>
                              <w:bottom w:val="nil"/>
                              <w:right w:val="nil"/>
                            </w:tcBorders>
                            <w:shd w:val="clear" w:color="auto" w:fill="auto"/>
                            <w:noWrap/>
                            <w:vAlign w:val="bottom"/>
                            <w:hideMark/>
                          </w:tcPr>
                          <w:p w14:paraId="23870655" w14:textId="77777777" w:rsidR="00DF77C5" w:rsidRPr="00E45F90" w:rsidRDefault="00DF77C5" w:rsidP="00E45F90">
                            <w:pPr>
                              <w:spacing w:after="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Specification details</w:t>
                            </w:r>
                          </w:p>
                        </w:tc>
                        <w:tc>
                          <w:tcPr>
                            <w:tcW w:w="980" w:type="dxa"/>
                            <w:tcBorders>
                              <w:top w:val="nil"/>
                              <w:left w:val="nil"/>
                              <w:bottom w:val="nil"/>
                              <w:right w:val="nil"/>
                            </w:tcBorders>
                            <w:shd w:val="clear" w:color="auto" w:fill="auto"/>
                            <w:noWrap/>
                            <w:vAlign w:val="bottom"/>
                            <w:hideMark/>
                          </w:tcPr>
                          <w:p w14:paraId="0E0ABC08" w14:textId="77777777" w:rsidR="00DF77C5" w:rsidRPr="00E45F90" w:rsidRDefault="00DF77C5" w:rsidP="00E45F90">
                            <w:pPr>
                              <w:spacing w:after="0"/>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4CDC2784"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34E4DE07"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4B267BAC"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1E635A1E"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6484E233"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r>
                      <w:tr w:rsidR="00DF77C5" w:rsidRPr="00E45F90" w14:paraId="20165C81" w14:textId="77777777" w:rsidTr="00E45F90">
                        <w:trPr>
                          <w:trHeight w:val="255"/>
                        </w:trPr>
                        <w:tc>
                          <w:tcPr>
                            <w:tcW w:w="3440" w:type="dxa"/>
                            <w:tcBorders>
                              <w:top w:val="nil"/>
                              <w:left w:val="nil"/>
                              <w:bottom w:val="nil"/>
                              <w:right w:val="nil"/>
                            </w:tcBorders>
                            <w:shd w:val="clear" w:color="auto" w:fill="auto"/>
                            <w:noWrap/>
                            <w:vAlign w:val="bottom"/>
                            <w:hideMark/>
                          </w:tcPr>
                          <w:p w14:paraId="246CBD6C"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Year fixed effect</w:t>
                            </w:r>
                          </w:p>
                        </w:tc>
                        <w:tc>
                          <w:tcPr>
                            <w:tcW w:w="980" w:type="dxa"/>
                            <w:tcBorders>
                              <w:top w:val="nil"/>
                              <w:left w:val="nil"/>
                              <w:bottom w:val="nil"/>
                              <w:right w:val="nil"/>
                            </w:tcBorders>
                            <w:shd w:val="clear" w:color="auto" w:fill="auto"/>
                            <w:noWrap/>
                            <w:vAlign w:val="bottom"/>
                            <w:hideMark/>
                          </w:tcPr>
                          <w:p w14:paraId="7AAB9B9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247CFB60"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69C44DB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2AE750E2"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0716C64C"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0FC1FD12"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r>
                      <w:tr w:rsidR="00DF77C5" w:rsidRPr="00E45F90" w14:paraId="0473698E" w14:textId="77777777" w:rsidTr="00E45F90">
                        <w:trPr>
                          <w:trHeight w:val="255"/>
                        </w:trPr>
                        <w:tc>
                          <w:tcPr>
                            <w:tcW w:w="3440" w:type="dxa"/>
                            <w:tcBorders>
                              <w:top w:val="nil"/>
                              <w:left w:val="nil"/>
                              <w:bottom w:val="nil"/>
                              <w:right w:val="nil"/>
                            </w:tcBorders>
                            <w:shd w:val="clear" w:color="auto" w:fill="auto"/>
                            <w:noWrap/>
                            <w:vAlign w:val="bottom"/>
                            <w:hideMark/>
                          </w:tcPr>
                          <w:p w14:paraId="14E786D9"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SA4 fixed effect</w:t>
                            </w:r>
                          </w:p>
                        </w:tc>
                        <w:tc>
                          <w:tcPr>
                            <w:tcW w:w="980" w:type="dxa"/>
                            <w:tcBorders>
                              <w:top w:val="nil"/>
                              <w:left w:val="nil"/>
                              <w:bottom w:val="nil"/>
                              <w:right w:val="nil"/>
                            </w:tcBorders>
                            <w:shd w:val="clear" w:color="auto" w:fill="auto"/>
                            <w:noWrap/>
                            <w:vAlign w:val="bottom"/>
                            <w:hideMark/>
                          </w:tcPr>
                          <w:p w14:paraId="112CFF56"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064C4B2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37ECDB62"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14A916DF"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35DF1B70"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4B2C7AE4"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r>
                      <w:tr w:rsidR="00DF77C5" w:rsidRPr="00E45F90" w14:paraId="5D99C305" w14:textId="77777777" w:rsidTr="00E45F90">
                        <w:trPr>
                          <w:trHeight w:val="255"/>
                        </w:trPr>
                        <w:tc>
                          <w:tcPr>
                            <w:tcW w:w="3440" w:type="dxa"/>
                            <w:tcBorders>
                              <w:top w:val="nil"/>
                              <w:left w:val="nil"/>
                              <w:bottom w:val="nil"/>
                              <w:right w:val="nil"/>
                            </w:tcBorders>
                            <w:shd w:val="clear" w:color="auto" w:fill="auto"/>
                            <w:noWrap/>
                            <w:vAlign w:val="bottom"/>
                            <w:hideMark/>
                          </w:tcPr>
                          <w:p w14:paraId="5AA50F34"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Individual fixed effect</w:t>
                            </w:r>
                          </w:p>
                        </w:tc>
                        <w:tc>
                          <w:tcPr>
                            <w:tcW w:w="980" w:type="dxa"/>
                            <w:tcBorders>
                              <w:top w:val="nil"/>
                              <w:left w:val="nil"/>
                              <w:bottom w:val="nil"/>
                              <w:right w:val="nil"/>
                            </w:tcBorders>
                            <w:shd w:val="clear" w:color="auto" w:fill="auto"/>
                            <w:noWrap/>
                            <w:vAlign w:val="bottom"/>
                            <w:hideMark/>
                          </w:tcPr>
                          <w:p w14:paraId="09451496"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3A33780A"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6390DE4A"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47ACA1BC"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44C595D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6B13470E"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r>
                      <w:tr w:rsidR="00DF77C5" w:rsidRPr="00E45F90" w14:paraId="198A42D6" w14:textId="77777777" w:rsidTr="00E45F90">
                        <w:trPr>
                          <w:trHeight w:val="255"/>
                        </w:trPr>
                        <w:tc>
                          <w:tcPr>
                            <w:tcW w:w="3440" w:type="dxa"/>
                            <w:tcBorders>
                              <w:top w:val="nil"/>
                              <w:left w:val="nil"/>
                              <w:bottom w:val="nil"/>
                              <w:right w:val="nil"/>
                            </w:tcBorders>
                            <w:shd w:val="clear" w:color="auto" w:fill="auto"/>
                            <w:noWrap/>
                            <w:vAlign w:val="bottom"/>
                            <w:hideMark/>
                          </w:tcPr>
                          <w:p w14:paraId="6EDB760C"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SA4 trend</w:t>
                            </w:r>
                          </w:p>
                        </w:tc>
                        <w:tc>
                          <w:tcPr>
                            <w:tcW w:w="980" w:type="dxa"/>
                            <w:tcBorders>
                              <w:top w:val="nil"/>
                              <w:left w:val="nil"/>
                              <w:bottom w:val="nil"/>
                              <w:right w:val="nil"/>
                            </w:tcBorders>
                            <w:shd w:val="clear" w:color="auto" w:fill="auto"/>
                            <w:noWrap/>
                            <w:vAlign w:val="bottom"/>
                            <w:hideMark/>
                          </w:tcPr>
                          <w:p w14:paraId="744CA564"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3B71D10F"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186DFD4D"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4E9B2613" w14:textId="77777777" w:rsidR="00DF77C5" w:rsidRPr="00E45F90" w:rsidRDefault="00DF77C5" w:rsidP="00E45F90">
                            <w:pPr>
                              <w:spacing w:after="0"/>
                              <w:jc w:val="center"/>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31107C19"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607592B6"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r>
                      <w:tr w:rsidR="00DF77C5" w:rsidRPr="00E45F90" w14:paraId="6AFCE462" w14:textId="77777777" w:rsidTr="00E45F90">
                        <w:trPr>
                          <w:trHeight w:val="255"/>
                        </w:trPr>
                        <w:tc>
                          <w:tcPr>
                            <w:tcW w:w="3440" w:type="dxa"/>
                            <w:tcBorders>
                              <w:top w:val="nil"/>
                              <w:left w:val="nil"/>
                              <w:bottom w:val="nil"/>
                              <w:right w:val="nil"/>
                            </w:tcBorders>
                            <w:shd w:val="clear" w:color="auto" w:fill="auto"/>
                            <w:noWrap/>
                            <w:vAlign w:val="bottom"/>
                            <w:hideMark/>
                          </w:tcPr>
                          <w:p w14:paraId="6832C2BD"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xml:space="preserve">State X Year fixed effect </w:t>
                            </w:r>
                          </w:p>
                        </w:tc>
                        <w:tc>
                          <w:tcPr>
                            <w:tcW w:w="980" w:type="dxa"/>
                            <w:tcBorders>
                              <w:top w:val="nil"/>
                              <w:left w:val="nil"/>
                              <w:bottom w:val="nil"/>
                              <w:right w:val="nil"/>
                            </w:tcBorders>
                            <w:shd w:val="clear" w:color="auto" w:fill="auto"/>
                            <w:noWrap/>
                            <w:vAlign w:val="bottom"/>
                            <w:hideMark/>
                          </w:tcPr>
                          <w:p w14:paraId="7E65B2EF"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p>
                        </w:tc>
                        <w:tc>
                          <w:tcPr>
                            <w:tcW w:w="980" w:type="dxa"/>
                            <w:tcBorders>
                              <w:top w:val="nil"/>
                              <w:left w:val="nil"/>
                              <w:bottom w:val="nil"/>
                              <w:right w:val="nil"/>
                            </w:tcBorders>
                            <w:shd w:val="clear" w:color="auto" w:fill="auto"/>
                            <w:noWrap/>
                            <w:vAlign w:val="bottom"/>
                            <w:hideMark/>
                          </w:tcPr>
                          <w:p w14:paraId="1E8E78B5"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5AB97139" w14:textId="77777777" w:rsidR="00DF77C5" w:rsidRPr="00E45F90" w:rsidRDefault="00DF77C5" w:rsidP="00E45F90">
                            <w:pPr>
                              <w:spacing w:after="0"/>
                              <w:jc w:val="center"/>
                              <w:rPr>
                                <w:rFonts w:ascii="Times New Roman" w:eastAsia="Times New Roman" w:hAnsi="Times New Roman" w:cs="Times New Roman"/>
                                <w:color w:val="auto"/>
                                <w:sz w:val="20"/>
                                <w:szCs w:val="20"/>
                                <w:lang w:eastAsia="en-AU"/>
                              </w:rPr>
                            </w:pPr>
                          </w:p>
                        </w:tc>
                        <w:tc>
                          <w:tcPr>
                            <w:tcW w:w="980" w:type="dxa"/>
                            <w:tcBorders>
                              <w:top w:val="nil"/>
                              <w:left w:val="nil"/>
                              <w:bottom w:val="nil"/>
                              <w:right w:val="nil"/>
                            </w:tcBorders>
                            <w:shd w:val="clear" w:color="auto" w:fill="auto"/>
                            <w:noWrap/>
                            <w:vAlign w:val="bottom"/>
                            <w:hideMark/>
                          </w:tcPr>
                          <w:p w14:paraId="17397DC3"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139A6474"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c>
                          <w:tcPr>
                            <w:tcW w:w="980" w:type="dxa"/>
                            <w:tcBorders>
                              <w:top w:val="nil"/>
                              <w:left w:val="nil"/>
                              <w:bottom w:val="nil"/>
                              <w:right w:val="nil"/>
                            </w:tcBorders>
                            <w:shd w:val="clear" w:color="auto" w:fill="auto"/>
                            <w:noWrap/>
                            <w:vAlign w:val="bottom"/>
                            <w:hideMark/>
                          </w:tcPr>
                          <w:p w14:paraId="250C7BFA"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r>
                      <w:tr w:rsidR="00DF77C5" w:rsidRPr="00E45F90" w14:paraId="4C99EDB5" w14:textId="77777777" w:rsidTr="00E45F90">
                        <w:trPr>
                          <w:trHeight w:val="270"/>
                        </w:trPr>
                        <w:tc>
                          <w:tcPr>
                            <w:tcW w:w="3440" w:type="dxa"/>
                            <w:tcBorders>
                              <w:top w:val="nil"/>
                              <w:left w:val="nil"/>
                              <w:bottom w:val="double" w:sz="6" w:space="0" w:color="auto"/>
                              <w:right w:val="nil"/>
                            </w:tcBorders>
                            <w:shd w:val="clear" w:color="auto" w:fill="auto"/>
                            <w:noWrap/>
                            <w:vAlign w:val="bottom"/>
                            <w:hideMark/>
                          </w:tcPr>
                          <w:p w14:paraId="02D27725" w14:textId="77777777" w:rsidR="00DF77C5" w:rsidRPr="00E45F90" w:rsidRDefault="00DF77C5" w:rsidP="00E45F90">
                            <w:pPr>
                              <w:spacing w:after="0"/>
                              <w:ind w:firstLineChars="100" w:firstLine="200"/>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SA4 time varying controls</w:t>
                            </w:r>
                          </w:p>
                        </w:tc>
                        <w:tc>
                          <w:tcPr>
                            <w:tcW w:w="980" w:type="dxa"/>
                            <w:tcBorders>
                              <w:top w:val="nil"/>
                              <w:left w:val="nil"/>
                              <w:bottom w:val="double" w:sz="6" w:space="0" w:color="auto"/>
                              <w:right w:val="nil"/>
                            </w:tcBorders>
                            <w:shd w:val="clear" w:color="auto" w:fill="auto"/>
                            <w:noWrap/>
                            <w:vAlign w:val="bottom"/>
                            <w:hideMark/>
                          </w:tcPr>
                          <w:p w14:paraId="5F317D83"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double" w:sz="6" w:space="0" w:color="auto"/>
                              <w:right w:val="nil"/>
                            </w:tcBorders>
                            <w:shd w:val="clear" w:color="auto" w:fill="auto"/>
                            <w:noWrap/>
                            <w:vAlign w:val="bottom"/>
                            <w:hideMark/>
                          </w:tcPr>
                          <w:p w14:paraId="08A8F7D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double" w:sz="6" w:space="0" w:color="auto"/>
                              <w:right w:val="nil"/>
                            </w:tcBorders>
                            <w:shd w:val="clear" w:color="auto" w:fill="auto"/>
                            <w:noWrap/>
                            <w:vAlign w:val="bottom"/>
                            <w:hideMark/>
                          </w:tcPr>
                          <w:p w14:paraId="5538B724"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double" w:sz="6" w:space="0" w:color="auto"/>
                              <w:right w:val="nil"/>
                            </w:tcBorders>
                            <w:shd w:val="clear" w:color="auto" w:fill="auto"/>
                            <w:noWrap/>
                            <w:vAlign w:val="bottom"/>
                            <w:hideMark/>
                          </w:tcPr>
                          <w:p w14:paraId="7BD6B737"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double" w:sz="6" w:space="0" w:color="auto"/>
                              <w:right w:val="nil"/>
                            </w:tcBorders>
                            <w:shd w:val="clear" w:color="auto" w:fill="auto"/>
                            <w:noWrap/>
                            <w:vAlign w:val="bottom"/>
                            <w:hideMark/>
                          </w:tcPr>
                          <w:p w14:paraId="773FC2B2"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 </w:t>
                            </w:r>
                          </w:p>
                        </w:tc>
                        <w:tc>
                          <w:tcPr>
                            <w:tcW w:w="980" w:type="dxa"/>
                            <w:tcBorders>
                              <w:top w:val="nil"/>
                              <w:left w:val="nil"/>
                              <w:bottom w:val="double" w:sz="6" w:space="0" w:color="auto"/>
                              <w:right w:val="nil"/>
                            </w:tcBorders>
                            <w:shd w:val="clear" w:color="auto" w:fill="auto"/>
                            <w:noWrap/>
                            <w:vAlign w:val="bottom"/>
                            <w:hideMark/>
                          </w:tcPr>
                          <w:p w14:paraId="641D2178" w14:textId="77777777" w:rsidR="00DF77C5" w:rsidRPr="00E45F90" w:rsidRDefault="00DF77C5" w:rsidP="00E45F90">
                            <w:pPr>
                              <w:spacing w:after="0"/>
                              <w:jc w:val="center"/>
                              <w:rPr>
                                <w:rFonts w:ascii="Arial" w:eastAsia="Times New Roman" w:hAnsi="Arial" w:cs="Arial"/>
                                <w:color w:val="000000"/>
                                <w:sz w:val="20"/>
                                <w:szCs w:val="20"/>
                                <w:lang w:eastAsia="en-AU"/>
                              </w:rPr>
                            </w:pPr>
                            <w:r w:rsidRPr="00E45F90">
                              <w:rPr>
                                <w:rFonts w:ascii="Arial" w:eastAsia="Times New Roman" w:hAnsi="Arial" w:cs="Arial"/>
                                <w:color w:val="000000"/>
                                <w:sz w:val="20"/>
                                <w:szCs w:val="20"/>
                                <w:lang w:eastAsia="en-AU"/>
                              </w:rPr>
                              <w:t>X</w:t>
                            </w:r>
                          </w:p>
                        </w:tc>
                      </w:tr>
                    </w:tbl>
                    <w:p w14:paraId="5C415F37" w14:textId="1BC5E400" w:rsidR="00DF77C5" w:rsidRPr="00275A2F" w:rsidRDefault="00DF77C5" w:rsidP="00697AED">
                      <w:pPr>
                        <w:pStyle w:val="ChartorTableNote"/>
                      </w:pPr>
                    </w:p>
                  </w:txbxContent>
                </v:textbox>
                <w10:anchorlock/>
              </v:shape>
            </w:pict>
          </mc:Fallback>
        </mc:AlternateContent>
      </w:r>
      <w:r w:rsidR="009E6FA4" w:rsidRPr="00275A2F">
        <w:t>Note:</w:t>
      </w:r>
      <w:r w:rsidR="009E6FA4">
        <w:t xml:space="preserve"> </w:t>
      </w:r>
      <w:r w:rsidR="009E6FA4" w:rsidRPr="00275A2F">
        <w:t xml:space="preserve">Presents estimates from equation </w:t>
      </w:r>
      <w:r w:rsidR="009E6FA4">
        <w:t>2): namely an ordinary least squares</w:t>
      </w:r>
      <w:r w:rsidR="009E6FA4" w:rsidRPr="00275A2F">
        <w:t xml:space="preserve"> regression of the change in the natural logarithm of individual wages on </w:t>
      </w:r>
      <w:r w:rsidR="009E6FA4">
        <w:t>the job-to-job and unemployment-</w:t>
      </w:r>
      <w:r w:rsidR="009E6FA4" w:rsidRPr="00275A2F">
        <w:t>to</w:t>
      </w:r>
      <w:r w:rsidR="009E6FA4">
        <w:t>-</w:t>
      </w:r>
      <w:r w:rsidR="009E6FA4" w:rsidRPr="00275A2F">
        <w:t>job transition rates and a set of control variables.</w:t>
      </w:r>
      <w:r w:rsidR="009E6FA4">
        <w:t xml:space="preserve"> </w:t>
      </w:r>
      <w:r w:rsidR="009E6FA4" w:rsidRPr="00275A2F">
        <w:t>The control variables are as detailed above, noting that the SA4 time</w:t>
      </w:r>
      <w:r w:rsidR="009E6FA4" w:rsidRPr="00275A2F">
        <w:noBreakHyphen/>
        <w:t>varying controls include the unemployment rate, average number of weeks searching for a job, share of workers in each of 19 one-digit industry classifications based on the Australian Bureau of Statistics Labour Force Survey data (ABS 2018b; ABS 2018c). All specifications control for individual sex and a quadratic in age.</w:t>
      </w:r>
      <w:r w:rsidR="009E6FA4">
        <w:t xml:space="preserve"> </w:t>
      </w:r>
      <w:r w:rsidR="009E6FA4" w:rsidRPr="00275A2F">
        <w:t>Standard errors in parentheses</w:t>
      </w:r>
      <w:r w:rsidR="009E6FA4">
        <w:t>, clustered at SA4 level</w:t>
      </w:r>
      <w:r w:rsidR="009E6FA4" w:rsidRPr="00275A2F">
        <w:t>.</w:t>
      </w:r>
      <w:r w:rsidR="009E6FA4">
        <w:t xml:space="preserve"> </w:t>
      </w:r>
      <w:r w:rsidR="009E6FA4" w:rsidRPr="00275A2F">
        <w:t>Significance levels are indicated as follows: * 10 per cent; ** 5 per cent; *** 1 per cent.</w:t>
      </w:r>
      <w:r w:rsidR="009E6FA4">
        <w:rPr>
          <w:sz w:val="20"/>
        </w:rPr>
        <w:t xml:space="preserve"> </w:t>
      </w:r>
      <w:r w:rsidR="009E6FA4" w:rsidRPr="00275A2F">
        <w:t xml:space="preserve"> </w:t>
      </w:r>
      <w:r w:rsidR="009E6FA4" w:rsidRPr="00275A2F">
        <w:br/>
        <w:t xml:space="preserve">Source: Treasury calculations using </w:t>
      </w:r>
      <w:r w:rsidR="009E6FA4">
        <w:t xml:space="preserve">de-identified </w:t>
      </w:r>
      <w:r w:rsidR="009E6FA4" w:rsidRPr="00275A2F">
        <w:t>Pay-As-You-Go annual payment summaries, 2004-05 to 2015-16, and the Australian Taxation Office Longitudinal Information Files.</w:t>
      </w:r>
    </w:p>
    <w:p w14:paraId="06ABE206" w14:textId="77777777" w:rsidR="009E6FA4" w:rsidRDefault="009E6FA4" w:rsidP="009E6FA4">
      <w:pPr>
        <w:pStyle w:val="SingleParagraph"/>
        <w:rPr>
          <w:lang w:val="en-US" w:eastAsia="en-AU"/>
        </w:rPr>
      </w:pPr>
    </w:p>
    <w:p w14:paraId="4A79F7A0" w14:textId="06F4E333" w:rsidR="00056DB9" w:rsidRDefault="00EA37FD" w:rsidP="00FD6D8B">
      <w:pPr>
        <w:jc w:val="both"/>
        <w:rPr>
          <w:lang w:val="en-US" w:eastAsia="en-AU"/>
        </w:rPr>
      </w:pPr>
      <w:r>
        <w:rPr>
          <w:lang w:val="en-US" w:eastAsia="en-AU"/>
        </w:rPr>
        <w:t>A final exercise that is possible with the individual level data is to</w:t>
      </w:r>
      <w:r w:rsidR="005506ED">
        <w:rPr>
          <w:lang w:val="en-US" w:eastAsia="en-AU"/>
        </w:rPr>
        <w:t xml:space="preserve"> run a quantile regression, examining the effect of higher job switching rates at various points of the wage growth distribution</w:t>
      </w:r>
      <w:r w:rsidR="0073662C">
        <w:rPr>
          <w:lang w:val="en-US" w:eastAsia="en-AU"/>
        </w:rPr>
        <w:t>, after conditioning on the control variables</w:t>
      </w:r>
      <w:r w:rsidR="005506ED">
        <w:rPr>
          <w:lang w:val="en-US" w:eastAsia="en-AU"/>
        </w:rPr>
        <w:t>.</w:t>
      </w:r>
      <w:r w:rsidR="00AC01E1">
        <w:rPr>
          <w:lang w:val="en-US" w:eastAsia="en-AU"/>
        </w:rPr>
        <w:t xml:space="preserve"> </w:t>
      </w:r>
      <w:r w:rsidR="00AC4416">
        <w:rPr>
          <w:lang w:val="en-US" w:eastAsia="en-AU"/>
        </w:rPr>
        <w:t>I focus on job</w:t>
      </w:r>
      <w:r w:rsidR="00AC4416">
        <w:rPr>
          <w:lang w:val="en-US" w:eastAsia="en-AU"/>
        </w:rPr>
        <w:noBreakHyphen/>
        <w:t>stayers and use the simplest specification (in column (1)) for ease of computation.</w:t>
      </w:r>
      <w:r w:rsidR="00AC01E1">
        <w:rPr>
          <w:lang w:val="en-US" w:eastAsia="en-AU"/>
        </w:rPr>
        <w:t xml:space="preserve"> </w:t>
      </w:r>
      <w:r w:rsidR="00AC4416">
        <w:rPr>
          <w:lang w:val="en-US" w:eastAsia="en-AU"/>
        </w:rPr>
        <w:t>The resulting coefficients are in Table 4.</w:t>
      </w:r>
      <w:r w:rsidR="00AC01E1">
        <w:rPr>
          <w:lang w:val="en-US" w:eastAsia="en-AU"/>
        </w:rPr>
        <w:t xml:space="preserve"> </w:t>
      </w:r>
      <w:r w:rsidR="00AC4416">
        <w:rPr>
          <w:lang w:val="en-US" w:eastAsia="en-AU"/>
        </w:rPr>
        <w:t>An association between job switching rates and wages growth is present across the qua</w:t>
      </w:r>
      <w:r w:rsidR="00833303">
        <w:rPr>
          <w:lang w:val="en-US" w:eastAsia="en-AU"/>
        </w:rPr>
        <w:t>ntile</w:t>
      </w:r>
      <w:r w:rsidR="00AC4416">
        <w:rPr>
          <w:lang w:val="en-US" w:eastAsia="en-AU"/>
        </w:rPr>
        <w:t xml:space="preserve">s of the </w:t>
      </w:r>
      <w:r w:rsidR="0073662C">
        <w:rPr>
          <w:lang w:val="en-US" w:eastAsia="en-AU"/>
        </w:rPr>
        <w:t xml:space="preserve">conditional </w:t>
      </w:r>
      <w:r w:rsidR="00AC4416">
        <w:rPr>
          <w:lang w:val="en-US" w:eastAsia="en-AU"/>
        </w:rPr>
        <w:t>distribution of wage growth, but is stronge</w:t>
      </w:r>
      <w:r w:rsidR="00833303">
        <w:rPr>
          <w:lang w:val="en-US" w:eastAsia="en-AU"/>
        </w:rPr>
        <w:t>st in the tails</w:t>
      </w:r>
      <w:r w:rsidR="00223E2E">
        <w:rPr>
          <w:lang w:val="en-US" w:eastAsia="en-AU"/>
        </w:rPr>
        <w:t>.</w:t>
      </w:r>
      <w:r w:rsidR="00AC01E1">
        <w:rPr>
          <w:lang w:val="en-US" w:eastAsia="en-AU"/>
        </w:rPr>
        <w:t xml:space="preserve"> </w:t>
      </w:r>
      <w:r w:rsidR="00662DF6">
        <w:rPr>
          <w:lang w:val="en-US" w:eastAsia="en-AU"/>
        </w:rPr>
        <w:t xml:space="preserve">This suggests more fluid labour markets have less surprisingly large wage falls and more surprisingly large wage rises. </w:t>
      </w:r>
      <w:r w:rsidR="00CC2DA5">
        <w:rPr>
          <w:lang w:val="en-US" w:eastAsia="en-AU"/>
        </w:rPr>
        <w:t xml:space="preserve">Large wage changes in the same job are </w:t>
      </w:r>
      <w:r w:rsidR="00805D28">
        <w:rPr>
          <w:lang w:val="en-US" w:eastAsia="en-AU"/>
        </w:rPr>
        <w:t xml:space="preserve">generally </w:t>
      </w:r>
      <w:r w:rsidR="00CC2DA5">
        <w:rPr>
          <w:lang w:val="en-US" w:eastAsia="en-AU"/>
        </w:rPr>
        <w:t>rare</w:t>
      </w:r>
      <w:r w:rsidR="00223E2E">
        <w:rPr>
          <w:lang w:val="en-US" w:eastAsia="en-AU"/>
        </w:rPr>
        <w:t xml:space="preserve"> (Bishop </w:t>
      </w:r>
      <w:r w:rsidR="00805D28">
        <w:rPr>
          <w:lang w:val="en-US" w:eastAsia="en-AU"/>
        </w:rPr>
        <w:t>and Cassidy 2017</w:t>
      </w:r>
      <w:r w:rsidR="00223E2E">
        <w:rPr>
          <w:lang w:val="en-US" w:eastAsia="en-AU"/>
        </w:rPr>
        <w:t>)</w:t>
      </w:r>
      <w:r w:rsidR="00CC2DA5">
        <w:rPr>
          <w:lang w:val="en-US" w:eastAsia="en-AU"/>
        </w:rPr>
        <w:t>; but</w:t>
      </w:r>
      <w:r w:rsidR="00223E2E">
        <w:rPr>
          <w:lang w:val="en-US" w:eastAsia="en-AU"/>
        </w:rPr>
        <w:t xml:space="preserve"> the measures of wages growth used in this work will also capture</w:t>
      </w:r>
      <w:r w:rsidR="00833303">
        <w:rPr>
          <w:lang w:val="en-US" w:eastAsia="en-AU"/>
        </w:rPr>
        <w:t xml:space="preserve"> role changes (demotions or promotions)</w:t>
      </w:r>
      <w:r w:rsidR="00223E2E">
        <w:rPr>
          <w:lang w:val="en-US" w:eastAsia="en-AU"/>
        </w:rPr>
        <w:t xml:space="preserve"> and </w:t>
      </w:r>
      <w:r w:rsidR="00833303">
        <w:rPr>
          <w:lang w:val="en-US" w:eastAsia="en-AU"/>
        </w:rPr>
        <w:t>changes</w:t>
      </w:r>
      <w:r w:rsidR="00223E2E">
        <w:rPr>
          <w:lang w:val="en-US" w:eastAsia="en-AU"/>
        </w:rPr>
        <w:t xml:space="preserve"> in hours.</w:t>
      </w:r>
      <w:r w:rsidR="00AC01E1">
        <w:rPr>
          <w:lang w:val="en-US" w:eastAsia="en-AU"/>
        </w:rPr>
        <w:t xml:space="preserve"> </w:t>
      </w:r>
      <w:r w:rsidR="008205C2">
        <w:rPr>
          <w:lang w:val="en-US" w:eastAsia="en-AU"/>
        </w:rPr>
        <w:t>These results provide suggestive evidence that these</w:t>
      </w:r>
      <w:r w:rsidR="00223E2E">
        <w:rPr>
          <w:lang w:val="en-US" w:eastAsia="en-AU"/>
        </w:rPr>
        <w:t xml:space="preserve"> are </w:t>
      </w:r>
      <w:r w:rsidR="008205C2">
        <w:rPr>
          <w:lang w:val="en-US" w:eastAsia="en-AU"/>
        </w:rPr>
        <w:t>further</w:t>
      </w:r>
      <w:r w:rsidR="00CC2DA5">
        <w:rPr>
          <w:lang w:val="en-US" w:eastAsia="en-AU"/>
        </w:rPr>
        <w:t xml:space="preserve"> means by which employers respond to competitive pressures in the labour market</w:t>
      </w:r>
      <w:r w:rsidR="008205C2">
        <w:rPr>
          <w:lang w:val="en-US" w:eastAsia="en-AU"/>
        </w:rPr>
        <w:t xml:space="preserve"> as evidenced by job-to-job transitions.</w:t>
      </w:r>
      <w:r w:rsidR="00223E2E">
        <w:rPr>
          <w:rStyle w:val="FootnoteReference"/>
          <w:lang w:val="en-US" w:eastAsia="en-AU"/>
        </w:rPr>
        <w:footnoteReference w:id="17"/>
      </w:r>
      <w:r w:rsidR="00AC01E1">
        <w:rPr>
          <w:lang w:val="en-US" w:eastAsia="en-AU"/>
        </w:rPr>
        <w:t xml:space="preserve"> </w:t>
      </w:r>
    </w:p>
    <w:p w14:paraId="261CF203" w14:textId="77777777" w:rsidR="009E6FA4" w:rsidRDefault="009E6FA4">
      <w:pPr>
        <w:spacing w:after="200" w:line="276" w:lineRule="auto"/>
        <w:rPr>
          <w:lang w:val="en-US" w:eastAsia="en-AU"/>
        </w:rPr>
      </w:pPr>
      <w:r>
        <w:rPr>
          <w:lang w:val="en-US" w:eastAsia="en-AU"/>
        </w:rPr>
        <w:br w:type="page"/>
      </w:r>
    </w:p>
    <w:p w14:paraId="43030409" w14:textId="52E684D4" w:rsidR="009E6FA4" w:rsidRPr="00E91637" w:rsidRDefault="009E6FA4" w:rsidP="00E91637">
      <w:pPr>
        <w:pStyle w:val="FigureHeading"/>
        <w:rPr>
          <w:rStyle w:val="Caption1Char"/>
          <w:rFonts w:eastAsiaTheme="minorHAnsi"/>
        </w:rPr>
      </w:pPr>
      <w:r w:rsidRPr="00E91637">
        <w:rPr>
          <w:rStyle w:val="Caption1Char"/>
          <w:rFonts w:eastAsiaTheme="minorHAnsi"/>
        </w:rPr>
        <w:lastRenderedPageBreak/>
        <w:t>Table 4 – Power of employment transitions in predicting wages growth (individuals)</w:t>
      </w:r>
    </w:p>
    <w:p w14:paraId="0D6CA338" w14:textId="69176238" w:rsidR="009E6FA4" w:rsidRPr="00E91637" w:rsidRDefault="0098510A" w:rsidP="00E91637">
      <w:pPr>
        <w:rPr>
          <w:rFonts w:ascii="Arial" w:eastAsia="Times New Roman" w:hAnsi="Arial" w:cs="Times New Roman"/>
          <w:color w:val="000000"/>
          <w:sz w:val="16"/>
          <w:szCs w:val="20"/>
          <w:lang w:eastAsia="en-AU"/>
        </w:rPr>
      </w:pPr>
      <w:r>
        <w:rPr>
          <w:noProof/>
          <w:lang w:eastAsia="en-AU"/>
        </w:rPr>
        <mc:AlternateContent>
          <mc:Choice Requires="wps">
            <w:drawing>
              <wp:inline distT="0" distB="0" distL="0" distR="0" wp14:anchorId="30A5C7C8" wp14:editId="204163C8">
                <wp:extent cx="6572250" cy="1524000"/>
                <wp:effectExtent l="0" t="0" r="1270" b="0"/>
                <wp:docPr id="10" name="Text Box 10"/>
                <wp:cNvGraphicFramePr/>
                <a:graphic xmlns:a="http://schemas.openxmlformats.org/drawingml/2006/main">
                  <a:graphicData uri="http://schemas.microsoft.com/office/word/2010/wordprocessingShape">
                    <wps:wsp>
                      <wps:cNvSpPr txBox="1"/>
                      <wps:spPr>
                        <a:xfrm>
                          <a:off x="0" y="0"/>
                          <a:ext cx="6572250" cy="1524000"/>
                        </a:xfrm>
                        <a:prstGeom prst="rect">
                          <a:avLst/>
                        </a:prstGeom>
                        <a:noFill/>
                        <a:ln w="6350">
                          <a:noFill/>
                        </a:ln>
                        <a:effectLst/>
                      </wps:spPr>
                      <wps:txbx>
                        <w:txbxContent>
                          <w:tbl>
                            <w:tblPr>
                              <w:tblW w:w="9162" w:type="dxa"/>
                              <w:jc w:val="center"/>
                              <w:tblLook w:val="04A0" w:firstRow="1" w:lastRow="0" w:firstColumn="1" w:lastColumn="0" w:noHBand="0" w:noVBand="1"/>
                            </w:tblPr>
                            <w:tblGrid>
                              <w:gridCol w:w="4062"/>
                              <w:gridCol w:w="1020"/>
                              <w:gridCol w:w="1020"/>
                              <w:gridCol w:w="1020"/>
                              <w:gridCol w:w="1020"/>
                              <w:gridCol w:w="1020"/>
                            </w:tblGrid>
                            <w:tr w:rsidR="00DF77C5" w:rsidRPr="007C33E6" w14:paraId="58904F08" w14:textId="77777777" w:rsidTr="005E255D">
                              <w:trPr>
                                <w:trHeight w:val="315"/>
                                <w:jc w:val="center"/>
                              </w:trPr>
                              <w:tc>
                                <w:tcPr>
                                  <w:tcW w:w="4062" w:type="dxa"/>
                                  <w:tcBorders>
                                    <w:top w:val="double" w:sz="6" w:space="0" w:color="auto"/>
                                    <w:left w:val="nil"/>
                                    <w:bottom w:val="nil"/>
                                    <w:right w:val="nil"/>
                                  </w:tcBorders>
                                  <w:shd w:val="clear" w:color="auto" w:fill="auto"/>
                                  <w:noWrap/>
                                  <w:vAlign w:val="bottom"/>
                                  <w:hideMark/>
                                </w:tcPr>
                                <w:p w14:paraId="4C71A179" w14:textId="77777777" w:rsidR="00DF77C5" w:rsidRPr="007C33E6" w:rsidRDefault="00DF77C5" w:rsidP="007C33E6">
                                  <w:pPr>
                                    <w:spacing w:after="0"/>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c>
                                <w:tcPr>
                                  <w:tcW w:w="1020" w:type="dxa"/>
                                  <w:tcBorders>
                                    <w:top w:val="double" w:sz="6" w:space="0" w:color="auto"/>
                                    <w:left w:val="nil"/>
                                    <w:bottom w:val="single" w:sz="4" w:space="0" w:color="auto"/>
                                    <w:right w:val="nil"/>
                                  </w:tcBorders>
                                  <w:shd w:val="clear" w:color="auto" w:fill="auto"/>
                                  <w:noWrap/>
                                  <w:vAlign w:val="bottom"/>
                                  <w:hideMark/>
                                </w:tcPr>
                                <w:p w14:paraId="3E4C69D0" w14:textId="77777777" w:rsidR="00DF77C5" w:rsidRPr="007C33E6" w:rsidRDefault="00DF77C5" w:rsidP="007C33E6">
                                  <w:pPr>
                                    <w:spacing w:after="0"/>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c>
                                <w:tcPr>
                                  <w:tcW w:w="3060" w:type="dxa"/>
                                  <w:gridSpan w:val="3"/>
                                  <w:tcBorders>
                                    <w:top w:val="double" w:sz="6" w:space="0" w:color="auto"/>
                                    <w:left w:val="nil"/>
                                    <w:bottom w:val="single" w:sz="4" w:space="0" w:color="auto"/>
                                    <w:right w:val="nil"/>
                                  </w:tcBorders>
                                  <w:shd w:val="clear" w:color="auto" w:fill="auto"/>
                                  <w:noWrap/>
                                  <w:vAlign w:val="bottom"/>
                                  <w:hideMark/>
                                </w:tcPr>
                                <w:p w14:paraId="148415A6"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Quantile</w:t>
                                  </w:r>
                                </w:p>
                              </w:tc>
                              <w:tc>
                                <w:tcPr>
                                  <w:tcW w:w="1020" w:type="dxa"/>
                                  <w:tcBorders>
                                    <w:top w:val="double" w:sz="6" w:space="0" w:color="auto"/>
                                    <w:left w:val="nil"/>
                                    <w:bottom w:val="single" w:sz="4" w:space="0" w:color="auto"/>
                                    <w:right w:val="nil"/>
                                  </w:tcBorders>
                                  <w:shd w:val="clear" w:color="auto" w:fill="auto"/>
                                  <w:noWrap/>
                                  <w:vAlign w:val="bottom"/>
                                  <w:hideMark/>
                                </w:tcPr>
                                <w:p w14:paraId="2A3F46EA"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r>
                            <w:tr w:rsidR="00DF77C5" w:rsidRPr="007C33E6" w14:paraId="6DAFD126" w14:textId="77777777" w:rsidTr="005E255D">
                              <w:trPr>
                                <w:trHeight w:val="255"/>
                                <w:jc w:val="center"/>
                              </w:trPr>
                              <w:tc>
                                <w:tcPr>
                                  <w:tcW w:w="4062" w:type="dxa"/>
                                  <w:tcBorders>
                                    <w:top w:val="nil"/>
                                    <w:left w:val="nil"/>
                                    <w:bottom w:val="single" w:sz="4" w:space="0" w:color="auto"/>
                                    <w:right w:val="nil"/>
                                  </w:tcBorders>
                                  <w:shd w:val="clear" w:color="auto" w:fill="auto"/>
                                  <w:noWrap/>
                                  <w:vAlign w:val="bottom"/>
                                  <w:hideMark/>
                                </w:tcPr>
                                <w:p w14:paraId="3334BF72" w14:textId="77777777" w:rsidR="00DF77C5" w:rsidRPr="007C33E6" w:rsidRDefault="00DF77C5" w:rsidP="007C33E6">
                                  <w:pPr>
                                    <w:spacing w:after="0"/>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c>
                                <w:tcPr>
                                  <w:tcW w:w="1020" w:type="dxa"/>
                                  <w:tcBorders>
                                    <w:top w:val="nil"/>
                                    <w:left w:val="nil"/>
                                    <w:bottom w:val="single" w:sz="4" w:space="0" w:color="auto"/>
                                    <w:right w:val="nil"/>
                                  </w:tcBorders>
                                  <w:shd w:val="clear" w:color="auto" w:fill="auto"/>
                                  <w:noWrap/>
                                  <w:vAlign w:val="bottom"/>
                                  <w:hideMark/>
                                </w:tcPr>
                                <w:p w14:paraId="09A15494"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10th</w:t>
                                  </w:r>
                                </w:p>
                              </w:tc>
                              <w:tc>
                                <w:tcPr>
                                  <w:tcW w:w="1020" w:type="dxa"/>
                                  <w:tcBorders>
                                    <w:top w:val="nil"/>
                                    <w:left w:val="nil"/>
                                    <w:bottom w:val="single" w:sz="4" w:space="0" w:color="auto"/>
                                    <w:right w:val="nil"/>
                                  </w:tcBorders>
                                  <w:shd w:val="clear" w:color="auto" w:fill="auto"/>
                                  <w:noWrap/>
                                  <w:vAlign w:val="bottom"/>
                                  <w:hideMark/>
                                </w:tcPr>
                                <w:p w14:paraId="0D367548"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25th</w:t>
                                  </w:r>
                                </w:p>
                              </w:tc>
                              <w:tc>
                                <w:tcPr>
                                  <w:tcW w:w="1020" w:type="dxa"/>
                                  <w:tcBorders>
                                    <w:top w:val="nil"/>
                                    <w:left w:val="nil"/>
                                    <w:bottom w:val="single" w:sz="4" w:space="0" w:color="auto"/>
                                    <w:right w:val="nil"/>
                                  </w:tcBorders>
                                  <w:shd w:val="clear" w:color="auto" w:fill="auto"/>
                                  <w:noWrap/>
                                  <w:vAlign w:val="bottom"/>
                                  <w:hideMark/>
                                </w:tcPr>
                                <w:p w14:paraId="7D3DF184"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50th</w:t>
                                  </w:r>
                                </w:p>
                              </w:tc>
                              <w:tc>
                                <w:tcPr>
                                  <w:tcW w:w="1020" w:type="dxa"/>
                                  <w:tcBorders>
                                    <w:top w:val="nil"/>
                                    <w:left w:val="nil"/>
                                    <w:bottom w:val="single" w:sz="4" w:space="0" w:color="auto"/>
                                    <w:right w:val="nil"/>
                                  </w:tcBorders>
                                  <w:shd w:val="clear" w:color="auto" w:fill="auto"/>
                                  <w:noWrap/>
                                  <w:vAlign w:val="bottom"/>
                                  <w:hideMark/>
                                </w:tcPr>
                                <w:p w14:paraId="4C675528"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75th</w:t>
                                  </w:r>
                                </w:p>
                              </w:tc>
                              <w:tc>
                                <w:tcPr>
                                  <w:tcW w:w="1020" w:type="dxa"/>
                                  <w:tcBorders>
                                    <w:top w:val="nil"/>
                                    <w:left w:val="nil"/>
                                    <w:bottom w:val="single" w:sz="4" w:space="0" w:color="auto"/>
                                    <w:right w:val="nil"/>
                                  </w:tcBorders>
                                  <w:shd w:val="clear" w:color="auto" w:fill="auto"/>
                                  <w:noWrap/>
                                  <w:vAlign w:val="bottom"/>
                                  <w:hideMark/>
                                </w:tcPr>
                                <w:p w14:paraId="333AB147"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90th</w:t>
                                  </w:r>
                                </w:p>
                              </w:tc>
                            </w:tr>
                            <w:tr w:rsidR="00DF77C5" w:rsidRPr="007C33E6" w14:paraId="3A004744" w14:textId="77777777" w:rsidTr="005E255D">
                              <w:trPr>
                                <w:trHeight w:val="255"/>
                                <w:jc w:val="center"/>
                              </w:trPr>
                              <w:tc>
                                <w:tcPr>
                                  <w:tcW w:w="4062" w:type="dxa"/>
                                  <w:tcBorders>
                                    <w:top w:val="nil"/>
                                    <w:left w:val="nil"/>
                                    <w:bottom w:val="single" w:sz="4" w:space="0" w:color="auto"/>
                                    <w:right w:val="nil"/>
                                  </w:tcBorders>
                                  <w:shd w:val="clear" w:color="auto" w:fill="auto"/>
                                  <w:noWrap/>
                                  <w:vAlign w:val="bottom"/>
                                </w:tcPr>
                                <w:p w14:paraId="63636C4B" w14:textId="77777777" w:rsidR="00DF77C5" w:rsidRPr="007C33E6" w:rsidRDefault="00DF77C5" w:rsidP="007C33E6">
                                  <w:pPr>
                                    <w:spacing w:after="0"/>
                                    <w:rPr>
                                      <w:rFonts w:ascii="Arial" w:eastAsia="Times New Roman" w:hAnsi="Arial" w:cs="Arial"/>
                                      <w:color w:val="000000"/>
                                      <w:sz w:val="20"/>
                                      <w:szCs w:val="20"/>
                                      <w:lang w:eastAsia="en-AU"/>
                                    </w:rPr>
                                  </w:pPr>
                                </w:p>
                              </w:tc>
                              <w:tc>
                                <w:tcPr>
                                  <w:tcW w:w="1020" w:type="dxa"/>
                                  <w:tcBorders>
                                    <w:top w:val="nil"/>
                                    <w:left w:val="nil"/>
                                    <w:bottom w:val="single" w:sz="4" w:space="0" w:color="auto"/>
                                    <w:right w:val="nil"/>
                                  </w:tcBorders>
                                  <w:shd w:val="clear" w:color="auto" w:fill="auto"/>
                                  <w:noWrap/>
                                  <w:vAlign w:val="bottom"/>
                                </w:tcPr>
                                <w:p w14:paraId="783E7267" w14:textId="77777777" w:rsidR="00DF77C5" w:rsidRPr="007C33E6" w:rsidRDefault="00DF77C5" w:rsidP="007C33E6">
                                  <w:pPr>
                                    <w:spacing w:after="0"/>
                                    <w:jc w:val="center"/>
                                    <w:rPr>
                                      <w:rFonts w:ascii="Arial" w:eastAsia="Times New Roman" w:hAnsi="Arial" w:cs="Arial"/>
                                      <w:color w:val="000000"/>
                                      <w:sz w:val="20"/>
                                      <w:szCs w:val="20"/>
                                      <w:lang w:eastAsia="en-AU"/>
                                    </w:rPr>
                                  </w:pPr>
                                </w:p>
                              </w:tc>
                              <w:tc>
                                <w:tcPr>
                                  <w:tcW w:w="1020" w:type="dxa"/>
                                  <w:tcBorders>
                                    <w:top w:val="nil"/>
                                    <w:left w:val="nil"/>
                                    <w:bottom w:val="single" w:sz="4" w:space="0" w:color="auto"/>
                                    <w:right w:val="nil"/>
                                  </w:tcBorders>
                                  <w:shd w:val="clear" w:color="auto" w:fill="auto"/>
                                  <w:noWrap/>
                                  <w:vAlign w:val="bottom"/>
                                </w:tcPr>
                                <w:p w14:paraId="0EB7CE9C" w14:textId="77777777" w:rsidR="00DF77C5" w:rsidRPr="007C33E6" w:rsidRDefault="00DF77C5" w:rsidP="007C33E6">
                                  <w:pPr>
                                    <w:spacing w:after="0"/>
                                    <w:jc w:val="center"/>
                                    <w:rPr>
                                      <w:rFonts w:ascii="Arial" w:eastAsia="Times New Roman" w:hAnsi="Arial" w:cs="Arial"/>
                                      <w:color w:val="000000"/>
                                      <w:sz w:val="20"/>
                                      <w:szCs w:val="20"/>
                                      <w:lang w:eastAsia="en-AU"/>
                                    </w:rPr>
                                  </w:pPr>
                                </w:p>
                              </w:tc>
                              <w:tc>
                                <w:tcPr>
                                  <w:tcW w:w="1020" w:type="dxa"/>
                                  <w:tcBorders>
                                    <w:top w:val="nil"/>
                                    <w:left w:val="nil"/>
                                    <w:bottom w:val="single" w:sz="4" w:space="0" w:color="auto"/>
                                    <w:right w:val="nil"/>
                                  </w:tcBorders>
                                  <w:shd w:val="clear" w:color="auto" w:fill="auto"/>
                                  <w:noWrap/>
                                  <w:vAlign w:val="bottom"/>
                                </w:tcPr>
                                <w:p w14:paraId="3C7DED72" w14:textId="77777777" w:rsidR="00DF77C5" w:rsidRPr="007C33E6" w:rsidRDefault="00DF77C5" w:rsidP="007C33E6">
                                  <w:pPr>
                                    <w:spacing w:after="0"/>
                                    <w:jc w:val="center"/>
                                    <w:rPr>
                                      <w:rFonts w:ascii="Arial" w:eastAsia="Times New Roman" w:hAnsi="Arial" w:cs="Arial"/>
                                      <w:color w:val="000000"/>
                                      <w:sz w:val="20"/>
                                      <w:szCs w:val="20"/>
                                      <w:lang w:eastAsia="en-AU"/>
                                    </w:rPr>
                                  </w:pPr>
                                </w:p>
                              </w:tc>
                              <w:tc>
                                <w:tcPr>
                                  <w:tcW w:w="1020" w:type="dxa"/>
                                  <w:tcBorders>
                                    <w:top w:val="nil"/>
                                    <w:left w:val="nil"/>
                                    <w:bottom w:val="single" w:sz="4" w:space="0" w:color="auto"/>
                                    <w:right w:val="nil"/>
                                  </w:tcBorders>
                                  <w:shd w:val="clear" w:color="auto" w:fill="auto"/>
                                  <w:noWrap/>
                                  <w:vAlign w:val="bottom"/>
                                </w:tcPr>
                                <w:p w14:paraId="460AFFC9" w14:textId="77777777" w:rsidR="00DF77C5" w:rsidRPr="007C33E6" w:rsidRDefault="00DF77C5" w:rsidP="007C33E6">
                                  <w:pPr>
                                    <w:spacing w:after="0"/>
                                    <w:jc w:val="center"/>
                                    <w:rPr>
                                      <w:rFonts w:ascii="Arial" w:eastAsia="Times New Roman" w:hAnsi="Arial" w:cs="Arial"/>
                                      <w:color w:val="000000"/>
                                      <w:sz w:val="20"/>
                                      <w:szCs w:val="20"/>
                                      <w:lang w:eastAsia="en-AU"/>
                                    </w:rPr>
                                  </w:pPr>
                                </w:p>
                              </w:tc>
                              <w:tc>
                                <w:tcPr>
                                  <w:tcW w:w="1020" w:type="dxa"/>
                                  <w:tcBorders>
                                    <w:top w:val="nil"/>
                                    <w:left w:val="nil"/>
                                    <w:bottom w:val="single" w:sz="4" w:space="0" w:color="auto"/>
                                    <w:right w:val="nil"/>
                                  </w:tcBorders>
                                  <w:shd w:val="clear" w:color="auto" w:fill="auto"/>
                                  <w:noWrap/>
                                  <w:vAlign w:val="bottom"/>
                                </w:tcPr>
                                <w:p w14:paraId="2F03A5E6" w14:textId="77777777" w:rsidR="00DF77C5" w:rsidRPr="007C33E6" w:rsidRDefault="00DF77C5" w:rsidP="007C33E6">
                                  <w:pPr>
                                    <w:spacing w:after="0"/>
                                    <w:jc w:val="center"/>
                                    <w:rPr>
                                      <w:rFonts w:ascii="Arial" w:eastAsia="Times New Roman" w:hAnsi="Arial" w:cs="Arial"/>
                                      <w:color w:val="000000"/>
                                      <w:sz w:val="20"/>
                                      <w:szCs w:val="20"/>
                                      <w:lang w:eastAsia="en-AU"/>
                                    </w:rPr>
                                  </w:pPr>
                                </w:p>
                              </w:tc>
                            </w:tr>
                            <w:tr w:rsidR="00DF77C5" w:rsidRPr="007C33E6" w14:paraId="26A391BB" w14:textId="77777777" w:rsidTr="005E255D">
                              <w:trPr>
                                <w:trHeight w:val="255"/>
                                <w:jc w:val="center"/>
                              </w:trPr>
                              <w:tc>
                                <w:tcPr>
                                  <w:tcW w:w="4062" w:type="dxa"/>
                                  <w:tcBorders>
                                    <w:top w:val="nil"/>
                                    <w:left w:val="nil"/>
                                    <w:bottom w:val="nil"/>
                                    <w:right w:val="nil"/>
                                  </w:tcBorders>
                                  <w:shd w:val="clear" w:color="auto" w:fill="auto"/>
                                  <w:noWrap/>
                                  <w:vAlign w:val="bottom"/>
                                  <w:hideMark/>
                                </w:tcPr>
                                <w:p w14:paraId="0CF78F47" w14:textId="77777777" w:rsidR="00DF77C5" w:rsidRPr="007C33E6" w:rsidRDefault="00DF77C5" w:rsidP="007C33E6">
                                  <w:pPr>
                                    <w:spacing w:after="0"/>
                                    <w:ind w:firstLineChars="100" w:firstLine="200"/>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EE (job-to-job) rate</w:t>
                                  </w:r>
                                </w:p>
                              </w:tc>
                              <w:tc>
                                <w:tcPr>
                                  <w:tcW w:w="1020" w:type="dxa"/>
                                  <w:tcBorders>
                                    <w:top w:val="nil"/>
                                    <w:left w:val="nil"/>
                                    <w:bottom w:val="nil"/>
                                    <w:right w:val="nil"/>
                                  </w:tcBorders>
                                  <w:shd w:val="clear" w:color="auto" w:fill="auto"/>
                                  <w:noWrap/>
                                  <w:vAlign w:val="bottom"/>
                                  <w:hideMark/>
                                </w:tcPr>
                                <w:p w14:paraId="10403CA3"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0.40***</w:t>
                                  </w:r>
                                </w:p>
                              </w:tc>
                              <w:tc>
                                <w:tcPr>
                                  <w:tcW w:w="1020" w:type="dxa"/>
                                  <w:tcBorders>
                                    <w:top w:val="nil"/>
                                    <w:left w:val="nil"/>
                                    <w:bottom w:val="nil"/>
                                    <w:right w:val="nil"/>
                                  </w:tcBorders>
                                  <w:shd w:val="clear" w:color="auto" w:fill="auto"/>
                                  <w:noWrap/>
                                  <w:vAlign w:val="bottom"/>
                                  <w:hideMark/>
                                </w:tcPr>
                                <w:p w14:paraId="0B62E247"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0.22***</w:t>
                                  </w:r>
                                </w:p>
                              </w:tc>
                              <w:tc>
                                <w:tcPr>
                                  <w:tcW w:w="1020" w:type="dxa"/>
                                  <w:tcBorders>
                                    <w:top w:val="nil"/>
                                    <w:left w:val="nil"/>
                                    <w:bottom w:val="nil"/>
                                    <w:right w:val="nil"/>
                                  </w:tcBorders>
                                  <w:shd w:val="clear" w:color="auto" w:fill="auto"/>
                                  <w:noWrap/>
                                  <w:vAlign w:val="bottom"/>
                                  <w:hideMark/>
                                </w:tcPr>
                                <w:p w14:paraId="6B8F85F2"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0.22***</w:t>
                                  </w:r>
                                </w:p>
                              </w:tc>
                              <w:tc>
                                <w:tcPr>
                                  <w:tcW w:w="1020" w:type="dxa"/>
                                  <w:tcBorders>
                                    <w:top w:val="nil"/>
                                    <w:left w:val="nil"/>
                                    <w:bottom w:val="nil"/>
                                    <w:right w:val="nil"/>
                                  </w:tcBorders>
                                  <w:shd w:val="clear" w:color="auto" w:fill="auto"/>
                                  <w:noWrap/>
                                  <w:vAlign w:val="bottom"/>
                                  <w:hideMark/>
                                </w:tcPr>
                                <w:p w14:paraId="7C12920A"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0.42***</w:t>
                                  </w:r>
                                </w:p>
                              </w:tc>
                              <w:tc>
                                <w:tcPr>
                                  <w:tcW w:w="1020" w:type="dxa"/>
                                  <w:tcBorders>
                                    <w:top w:val="nil"/>
                                    <w:left w:val="nil"/>
                                    <w:bottom w:val="nil"/>
                                    <w:right w:val="nil"/>
                                  </w:tcBorders>
                                  <w:shd w:val="clear" w:color="auto" w:fill="auto"/>
                                  <w:noWrap/>
                                  <w:vAlign w:val="bottom"/>
                                  <w:hideMark/>
                                </w:tcPr>
                                <w:p w14:paraId="6F799705"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0.69***</w:t>
                                  </w:r>
                                </w:p>
                              </w:tc>
                            </w:tr>
                            <w:tr w:rsidR="00DF77C5" w:rsidRPr="007C33E6" w14:paraId="7E711C3D" w14:textId="77777777" w:rsidTr="005E255D">
                              <w:trPr>
                                <w:trHeight w:val="255"/>
                                <w:jc w:val="center"/>
                              </w:trPr>
                              <w:tc>
                                <w:tcPr>
                                  <w:tcW w:w="4062" w:type="dxa"/>
                                  <w:tcBorders>
                                    <w:top w:val="nil"/>
                                    <w:left w:val="nil"/>
                                    <w:bottom w:val="nil"/>
                                    <w:right w:val="nil"/>
                                  </w:tcBorders>
                                  <w:shd w:val="clear" w:color="auto" w:fill="auto"/>
                                  <w:noWrap/>
                                  <w:vAlign w:val="bottom"/>
                                  <w:hideMark/>
                                </w:tcPr>
                                <w:p w14:paraId="6C1A7099" w14:textId="77777777" w:rsidR="00DF77C5" w:rsidRPr="007C33E6" w:rsidRDefault="00DF77C5" w:rsidP="007C33E6">
                                  <w:pPr>
                                    <w:spacing w:after="0"/>
                                    <w:jc w:val="center"/>
                                    <w:rPr>
                                      <w:rFonts w:ascii="Arial" w:eastAsia="Times New Roman" w:hAnsi="Arial" w:cs="Arial"/>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4D5E8A3A"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(0.03)</w:t>
                                  </w:r>
                                </w:p>
                              </w:tc>
                              <w:tc>
                                <w:tcPr>
                                  <w:tcW w:w="1020" w:type="dxa"/>
                                  <w:tcBorders>
                                    <w:top w:val="nil"/>
                                    <w:left w:val="nil"/>
                                    <w:bottom w:val="nil"/>
                                    <w:right w:val="nil"/>
                                  </w:tcBorders>
                                  <w:shd w:val="clear" w:color="auto" w:fill="auto"/>
                                  <w:noWrap/>
                                  <w:vAlign w:val="bottom"/>
                                  <w:hideMark/>
                                </w:tcPr>
                                <w:p w14:paraId="3EE9BB98"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(0.01)</w:t>
                                  </w:r>
                                </w:p>
                              </w:tc>
                              <w:tc>
                                <w:tcPr>
                                  <w:tcW w:w="1020" w:type="dxa"/>
                                  <w:tcBorders>
                                    <w:top w:val="nil"/>
                                    <w:left w:val="nil"/>
                                    <w:bottom w:val="nil"/>
                                    <w:right w:val="nil"/>
                                  </w:tcBorders>
                                  <w:shd w:val="clear" w:color="auto" w:fill="auto"/>
                                  <w:noWrap/>
                                  <w:vAlign w:val="bottom"/>
                                  <w:hideMark/>
                                </w:tcPr>
                                <w:p w14:paraId="27CE9EF8"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(0.01)</w:t>
                                  </w:r>
                                </w:p>
                              </w:tc>
                              <w:tc>
                                <w:tcPr>
                                  <w:tcW w:w="1020" w:type="dxa"/>
                                  <w:tcBorders>
                                    <w:top w:val="nil"/>
                                    <w:left w:val="nil"/>
                                    <w:bottom w:val="nil"/>
                                    <w:right w:val="nil"/>
                                  </w:tcBorders>
                                  <w:shd w:val="clear" w:color="auto" w:fill="auto"/>
                                  <w:noWrap/>
                                  <w:vAlign w:val="bottom"/>
                                  <w:hideMark/>
                                </w:tcPr>
                                <w:p w14:paraId="3CB56763"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(0.02)</w:t>
                                  </w:r>
                                </w:p>
                              </w:tc>
                              <w:tc>
                                <w:tcPr>
                                  <w:tcW w:w="1020" w:type="dxa"/>
                                  <w:tcBorders>
                                    <w:top w:val="nil"/>
                                    <w:left w:val="nil"/>
                                    <w:bottom w:val="nil"/>
                                    <w:right w:val="nil"/>
                                  </w:tcBorders>
                                  <w:shd w:val="clear" w:color="auto" w:fill="auto"/>
                                  <w:noWrap/>
                                  <w:vAlign w:val="bottom"/>
                                  <w:hideMark/>
                                </w:tcPr>
                                <w:p w14:paraId="164C0BE5"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(0.07)</w:t>
                                  </w:r>
                                </w:p>
                              </w:tc>
                            </w:tr>
                            <w:tr w:rsidR="00DF77C5" w:rsidRPr="007C33E6" w14:paraId="0EB95F87" w14:textId="77777777" w:rsidTr="005E255D">
                              <w:trPr>
                                <w:trHeight w:val="255"/>
                                <w:jc w:val="center"/>
                              </w:trPr>
                              <w:tc>
                                <w:tcPr>
                                  <w:tcW w:w="4062" w:type="dxa"/>
                                  <w:tcBorders>
                                    <w:top w:val="nil"/>
                                    <w:left w:val="nil"/>
                                    <w:bottom w:val="nil"/>
                                    <w:right w:val="nil"/>
                                  </w:tcBorders>
                                  <w:shd w:val="clear" w:color="auto" w:fill="auto"/>
                                  <w:noWrap/>
                                  <w:vAlign w:val="bottom"/>
                                  <w:hideMark/>
                                </w:tcPr>
                                <w:p w14:paraId="54555E60" w14:textId="77777777" w:rsidR="00DF77C5" w:rsidRPr="007C33E6" w:rsidRDefault="00DF77C5" w:rsidP="007C33E6">
                                  <w:pPr>
                                    <w:spacing w:after="0"/>
                                    <w:ind w:firstLineChars="100" w:firstLine="200"/>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UE (unemployment-to-job rate)</w:t>
                                  </w:r>
                                </w:p>
                              </w:tc>
                              <w:tc>
                                <w:tcPr>
                                  <w:tcW w:w="1020" w:type="dxa"/>
                                  <w:tcBorders>
                                    <w:top w:val="nil"/>
                                    <w:left w:val="nil"/>
                                    <w:bottom w:val="nil"/>
                                    <w:right w:val="nil"/>
                                  </w:tcBorders>
                                  <w:shd w:val="clear" w:color="auto" w:fill="auto"/>
                                  <w:noWrap/>
                                  <w:vAlign w:val="bottom"/>
                                  <w:hideMark/>
                                </w:tcPr>
                                <w:p w14:paraId="6A12596C"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0.11***</w:t>
                                  </w:r>
                                </w:p>
                              </w:tc>
                              <w:tc>
                                <w:tcPr>
                                  <w:tcW w:w="1020" w:type="dxa"/>
                                  <w:tcBorders>
                                    <w:top w:val="nil"/>
                                    <w:left w:val="nil"/>
                                    <w:bottom w:val="nil"/>
                                    <w:right w:val="nil"/>
                                  </w:tcBorders>
                                  <w:shd w:val="clear" w:color="auto" w:fill="auto"/>
                                  <w:noWrap/>
                                  <w:vAlign w:val="bottom"/>
                                  <w:hideMark/>
                                </w:tcPr>
                                <w:p w14:paraId="5CFD6830"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0.07***</w:t>
                                  </w:r>
                                </w:p>
                              </w:tc>
                              <w:tc>
                                <w:tcPr>
                                  <w:tcW w:w="1020" w:type="dxa"/>
                                  <w:tcBorders>
                                    <w:top w:val="nil"/>
                                    <w:left w:val="nil"/>
                                    <w:bottom w:val="nil"/>
                                    <w:right w:val="nil"/>
                                  </w:tcBorders>
                                  <w:shd w:val="clear" w:color="auto" w:fill="auto"/>
                                  <w:noWrap/>
                                  <w:vAlign w:val="bottom"/>
                                  <w:hideMark/>
                                </w:tcPr>
                                <w:p w14:paraId="0092DF1F"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0.06***</w:t>
                                  </w:r>
                                </w:p>
                              </w:tc>
                              <w:tc>
                                <w:tcPr>
                                  <w:tcW w:w="1020" w:type="dxa"/>
                                  <w:tcBorders>
                                    <w:top w:val="nil"/>
                                    <w:left w:val="nil"/>
                                    <w:bottom w:val="nil"/>
                                    <w:right w:val="nil"/>
                                  </w:tcBorders>
                                  <w:shd w:val="clear" w:color="auto" w:fill="auto"/>
                                  <w:noWrap/>
                                  <w:vAlign w:val="bottom"/>
                                  <w:hideMark/>
                                </w:tcPr>
                                <w:p w14:paraId="1D864809"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0.11***</w:t>
                                  </w:r>
                                </w:p>
                              </w:tc>
                              <w:tc>
                                <w:tcPr>
                                  <w:tcW w:w="1020" w:type="dxa"/>
                                  <w:tcBorders>
                                    <w:top w:val="nil"/>
                                    <w:left w:val="nil"/>
                                    <w:bottom w:val="nil"/>
                                    <w:right w:val="nil"/>
                                  </w:tcBorders>
                                  <w:shd w:val="clear" w:color="auto" w:fill="auto"/>
                                  <w:noWrap/>
                                  <w:vAlign w:val="bottom"/>
                                  <w:hideMark/>
                                </w:tcPr>
                                <w:p w14:paraId="43863559"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0.27***</w:t>
                                  </w:r>
                                </w:p>
                              </w:tc>
                            </w:tr>
                            <w:tr w:rsidR="00DF77C5" w:rsidRPr="007C33E6" w14:paraId="673DEDEA" w14:textId="77777777" w:rsidTr="005E255D">
                              <w:trPr>
                                <w:trHeight w:val="255"/>
                                <w:jc w:val="center"/>
                              </w:trPr>
                              <w:tc>
                                <w:tcPr>
                                  <w:tcW w:w="4062" w:type="dxa"/>
                                  <w:tcBorders>
                                    <w:top w:val="nil"/>
                                    <w:left w:val="nil"/>
                                    <w:bottom w:val="nil"/>
                                    <w:right w:val="nil"/>
                                  </w:tcBorders>
                                  <w:shd w:val="clear" w:color="auto" w:fill="auto"/>
                                  <w:noWrap/>
                                  <w:vAlign w:val="bottom"/>
                                  <w:hideMark/>
                                </w:tcPr>
                                <w:p w14:paraId="78928512" w14:textId="77777777" w:rsidR="00DF77C5" w:rsidRPr="007C33E6" w:rsidRDefault="00DF77C5" w:rsidP="007C33E6">
                                  <w:pPr>
                                    <w:spacing w:after="0"/>
                                    <w:jc w:val="center"/>
                                    <w:rPr>
                                      <w:rFonts w:ascii="Arial" w:eastAsia="Times New Roman" w:hAnsi="Arial" w:cs="Arial"/>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28080B3C"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(0.01)</w:t>
                                  </w:r>
                                </w:p>
                              </w:tc>
                              <w:tc>
                                <w:tcPr>
                                  <w:tcW w:w="1020" w:type="dxa"/>
                                  <w:tcBorders>
                                    <w:top w:val="nil"/>
                                    <w:left w:val="nil"/>
                                    <w:bottom w:val="nil"/>
                                    <w:right w:val="nil"/>
                                  </w:tcBorders>
                                  <w:shd w:val="clear" w:color="auto" w:fill="auto"/>
                                  <w:noWrap/>
                                  <w:vAlign w:val="bottom"/>
                                  <w:hideMark/>
                                </w:tcPr>
                                <w:p w14:paraId="57A3D4D6"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(0.00)</w:t>
                                  </w:r>
                                </w:p>
                              </w:tc>
                              <w:tc>
                                <w:tcPr>
                                  <w:tcW w:w="1020" w:type="dxa"/>
                                  <w:tcBorders>
                                    <w:top w:val="nil"/>
                                    <w:left w:val="nil"/>
                                    <w:bottom w:val="nil"/>
                                    <w:right w:val="nil"/>
                                  </w:tcBorders>
                                  <w:shd w:val="clear" w:color="auto" w:fill="auto"/>
                                  <w:noWrap/>
                                  <w:vAlign w:val="bottom"/>
                                  <w:hideMark/>
                                </w:tcPr>
                                <w:p w14:paraId="4328FFFE"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(0.00)</w:t>
                                  </w:r>
                                </w:p>
                              </w:tc>
                              <w:tc>
                                <w:tcPr>
                                  <w:tcW w:w="1020" w:type="dxa"/>
                                  <w:tcBorders>
                                    <w:top w:val="nil"/>
                                    <w:left w:val="nil"/>
                                    <w:bottom w:val="nil"/>
                                    <w:right w:val="nil"/>
                                  </w:tcBorders>
                                  <w:shd w:val="clear" w:color="auto" w:fill="auto"/>
                                  <w:noWrap/>
                                  <w:vAlign w:val="bottom"/>
                                  <w:hideMark/>
                                </w:tcPr>
                                <w:p w14:paraId="16F17C7B"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(0.01)</w:t>
                                  </w:r>
                                </w:p>
                              </w:tc>
                              <w:tc>
                                <w:tcPr>
                                  <w:tcW w:w="1020" w:type="dxa"/>
                                  <w:tcBorders>
                                    <w:top w:val="nil"/>
                                    <w:left w:val="nil"/>
                                    <w:bottom w:val="nil"/>
                                    <w:right w:val="nil"/>
                                  </w:tcBorders>
                                  <w:shd w:val="clear" w:color="auto" w:fill="auto"/>
                                  <w:noWrap/>
                                  <w:vAlign w:val="bottom"/>
                                  <w:hideMark/>
                                </w:tcPr>
                                <w:p w14:paraId="49413FEB"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(0.03)</w:t>
                                  </w:r>
                                </w:p>
                              </w:tc>
                            </w:tr>
                            <w:tr w:rsidR="00DF77C5" w:rsidRPr="007C33E6" w14:paraId="7E838C2F" w14:textId="77777777" w:rsidTr="005E255D">
                              <w:trPr>
                                <w:trHeight w:val="270"/>
                                <w:jc w:val="center"/>
                              </w:trPr>
                              <w:tc>
                                <w:tcPr>
                                  <w:tcW w:w="4062" w:type="dxa"/>
                                  <w:tcBorders>
                                    <w:top w:val="nil"/>
                                    <w:left w:val="nil"/>
                                    <w:bottom w:val="double" w:sz="6" w:space="0" w:color="auto"/>
                                    <w:right w:val="nil"/>
                                  </w:tcBorders>
                                  <w:shd w:val="clear" w:color="auto" w:fill="auto"/>
                                  <w:noWrap/>
                                  <w:vAlign w:val="bottom"/>
                                  <w:hideMark/>
                                </w:tcPr>
                                <w:p w14:paraId="4DDD1827" w14:textId="77777777" w:rsidR="00DF77C5" w:rsidRPr="007C33E6" w:rsidRDefault="00DF77C5" w:rsidP="007C33E6">
                                  <w:pPr>
                                    <w:spacing w:after="0"/>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c>
                                <w:tcPr>
                                  <w:tcW w:w="1020" w:type="dxa"/>
                                  <w:tcBorders>
                                    <w:top w:val="nil"/>
                                    <w:left w:val="nil"/>
                                    <w:bottom w:val="double" w:sz="6" w:space="0" w:color="auto"/>
                                    <w:right w:val="nil"/>
                                  </w:tcBorders>
                                  <w:shd w:val="clear" w:color="auto" w:fill="auto"/>
                                  <w:noWrap/>
                                  <w:vAlign w:val="bottom"/>
                                  <w:hideMark/>
                                </w:tcPr>
                                <w:p w14:paraId="35F46A75" w14:textId="77777777" w:rsidR="00DF77C5" w:rsidRPr="007C33E6" w:rsidRDefault="00DF77C5" w:rsidP="007C33E6">
                                  <w:pPr>
                                    <w:spacing w:after="0"/>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c>
                                <w:tcPr>
                                  <w:tcW w:w="1020" w:type="dxa"/>
                                  <w:tcBorders>
                                    <w:top w:val="nil"/>
                                    <w:left w:val="nil"/>
                                    <w:bottom w:val="double" w:sz="6" w:space="0" w:color="auto"/>
                                    <w:right w:val="nil"/>
                                  </w:tcBorders>
                                  <w:shd w:val="clear" w:color="auto" w:fill="auto"/>
                                  <w:noWrap/>
                                  <w:vAlign w:val="bottom"/>
                                  <w:hideMark/>
                                </w:tcPr>
                                <w:p w14:paraId="7CA4DF9E"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c>
                                <w:tcPr>
                                  <w:tcW w:w="1020" w:type="dxa"/>
                                  <w:tcBorders>
                                    <w:top w:val="nil"/>
                                    <w:left w:val="nil"/>
                                    <w:bottom w:val="double" w:sz="6" w:space="0" w:color="auto"/>
                                    <w:right w:val="nil"/>
                                  </w:tcBorders>
                                  <w:shd w:val="clear" w:color="auto" w:fill="auto"/>
                                  <w:noWrap/>
                                  <w:vAlign w:val="bottom"/>
                                  <w:hideMark/>
                                </w:tcPr>
                                <w:p w14:paraId="5C23BDC9"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c>
                                <w:tcPr>
                                  <w:tcW w:w="1020" w:type="dxa"/>
                                  <w:tcBorders>
                                    <w:top w:val="nil"/>
                                    <w:left w:val="nil"/>
                                    <w:bottom w:val="double" w:sz="6" w:space="0" w:color="auto"/>
                                    <w:right w:val="nil"/>
                                  </w:tcBorders>
                                  <w:shd w:val="clear" w:color="auto" w:fill="auto"/>
                                  <w:noWrap/>
                                  <w:vAlign w:val="bottom"/>
                                  <w:hideMark/>
                                </w:tcPr>
                                <w:p w14:paraId="6234BEEE"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c>
                                <w:tcPr>
                                  <w:tcW w:w="1020" w:type="dxa"/>
                                  <w:tcBorders>
                                    <w:top w:val="nil"/>
                                    <w:left w:val="nil"/>
                                    <w:bottom w:val="double" w:sz="6" w:space="0" w:color="auto"/>
                                    <w:right w:val="nil"/>
                                  </w:tcBorders>
                                  <w:shd w:val="clear" w:color="auto" w:fill="auto"/>
                                  <w:noWrap/>
                                  <w:vAlign w:val="bottom"/>
                                  <w:hideMark/>
                                </w:tcPr>
                                <w:p w14:paraId="1C8D946B"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r>
                          </w:tbl>
                          <w:p w14:paraId="2DC5C2D9" w14:textId="1BBE5B09" w:rsidR="00DF77C5" w:rsidRPr="005E173D" w:rsidRDefault="00DF77C5" w:rsidP="00697AED">
                            <w:pPr>
                              <w:pStyle w:val="ChartorTableNote"/>
                              <w:rPr>
                                <w:sz w:val="20"/>
                              </w:rPr>
                            </w:pPr>
                          </w:p>
                        </w:txbxContent>
                      </wps:txbx>
                      <wps:bodyPr rot="0" spcFirstLastPara="0" vertOverflow="overflow" horzOverflow="overflow" vert="horz" wrap="none" lIns="0" tIns="45720" rIns="0" bIns="45720" numCol="1" spcCol="0" rtlCol="0" fromWordArt="0" anchor="t" anchorCtr="0" forceAA="0" compatLnSpc="1">
                        <a:prstTxWarp prst="textNoShape">
                          <a:avLst/>
                        </a:prstTxWarp>
                        <a:noAutofit/>
                      </wps:bodyPr>
                    </wps:wsp>
                  </a:graphicData>
                </a:graphic>
              </wp:inline>
            </w:drawing>
          </mc:Choice>
          <mc:Fallback>
            <w:pict>
              <v:shape w14:anchorId="30A5C7C8" id="Text Box 10" o:spid="_x0000_s1028" type="#_x0000_t202" style="width:517.5pt;height:120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" filled="f" stroked="f" strokeweight=".5pt">
                <v:textbox inset="0,,0">
                  <w:txbxContent>
                    <w:tbl>
                      <w:tblPr>
                        <w:tblW w:w="9162" w:type="dxa"/>
                        <w:jc w:val="center"/>
                        <w:tblLook w:val="04A0" w:firstRow="1" w:lastRow="0" w:firstColumn="1" w:lastColumn="0" w:noHBand="0" w:noVBand="1"/>
                      </w:tblPr>
                      <w:tblGrid>
                        <w:gridCol w:w="4062"/>
                        <w:gridCol w:w="1020"/>
                        <w:gridCol w:w="1020"/>
                        <w:gridCol w:w="1020"/>
                        <w:gridCol w:w="1020"/>
                        <w:gridCol w:w="1020"/>
                      </w:tblGrid>
                      <w:tr w:rsidR="00DF77C5" w:rsidRPr="007C33E6" w14:paraId="58904F08" w14:textId="77777777" w:rsidTr="005E255D">
                        <w:trPr>
                          <w:trHeight w:val="315"/>
                          <w:jc w:val="center"/>
                        </w:trPr>
                        <w:tc>
                          <w:tcPr>
                            <w:tcW w:w="4062" w:type="dxa"/>
                            <w:tcBorders>
                              <w:top w:val="double" w:sz="6" w:space="0" w:color="auto"/>
                              <w:left w:val="nil"/>
                              <w:bottom w:val="nil"/>
                              <w:right w:val="nil"/>
                            </w:tcBorders>
                            <w:shd w:val="clear" w:color="auto" w:fill="auto"/>
                            <w:noWrap/>
                            <w:vAlign w:val="bottom"/>
                            <w:hideMark/>
                          </w:tcPr>
                          <w:p w14:paraId="4C71A179" w14:textId="77777777" w:rsidR="00DF77C5" w:rsidRPr="007C33E6" w:rsidRDefault="00DF77C5" w:rsidP="007C33E6">
                            <w:pPr>
                              <w:spacing w:after="0"/>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c>
                          <w:tcPr>
                            <w:tcW w:w="1020" w:type="dxa"/>
                            <w:tcBorders>
                              <w:top w:val="double" w:sz="6" w:space="0" w:color="auto"/>
                              <w:left w:val="nil"/>
                              <w:bottom w:val="single" w:sz="4" w:space="0" w:color="auto"/>
                              <w:right w:val="nil"/>
                            </w:tcBorders>
                            <w:shd w:val="clear" w:color="auto" w:fill="auto"/>
                            <w:noWrap/>
                            <w:vAlign w:val="bottom"/>
                            <w:hideMark/>
                          </w:tcPr>
                          <w:p w14:paraId="3E4C69D0" w14:textId="77777777" w:rsidR="00DF77C5" w:rsidRPr="007C33E6" w:rsidRDefault="00DF77C5" w:rsidP="007C33E6">
                            <w:pPr>
                              <w:spacing w:after="0"/>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c>
                          <w:tcPr>
                            <w:tcW w:w="3060" w:type="dxa"/>
                            <w:gridSpan w:val="3"/>
                            <w:tcBorders>
                              <w:top w:val="double" w:sz="6" w:space="0" w:color="auto"/>
                              <w:left w:val="nil"/>
                              <w:bottom w:val="single" w:sz="4" w:space="0" w:color="auto"/>
                              <w:right w:val="nil"/>
                            </w:tcBorders>
                            <w:shd w:val="clear" w:color="auto" w:fill="auto"/>
                            <w:noWrap/>
                            <w:vAlign w:val="bottom"/>
                            <w:hideMark/>
                          </w:tcPr>
                          <w:p w14:paraId="148415A6"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Quantile</w:t>
                            </w:r>
                          </w:p>
                        </w:tc>
                        <w:tc>
                          <w:tcPr>
                            <w:tcW w:w="1020" w:type="dxa"/>
                            <w:tcBorders>
                              <w:top w:val="double" w:sz="6" w:space="0" w:color="auto"/>
                              <w:left w:val="nil"/>
                              <w:bottom w:val="single" w:sz="4" w:space="0" w:color="auto"/>
                              <w:right w:val="nil"/>
                            </w:tcBorders>
                            <w:shd w:val="clear" w:color="auto" w:fill="auto"/>
                            <w:noWrap/>
                            <w:vAlign w:val="bottom"/>
                            <w:hideMark/>
                          </w:tcPr>
                          <w:p w14:paraId="2A3F46EA"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r>
                      <w:tr w:rsidR="00DF77C5" w:rsidRPr="007C33E6" w14:paraId="6DAFD126" w14:textId="77777777" w:rsidTr="005E255D">
                        <w:trPr>
                          <w:trHeight w:val="255"/>
                          <w:jc w:val="center"/>
                        </w:trPr>
                        <w:tc>
                          <w:tcPr>
                            <w:tcW w:w="4062" w:type="dxa"/>
                            <w:tcBorders>
                              <w:top w:val="nil"/>
                              <w:left w:val="nil"/>
                              <w:bottom w:val="single" w:sz="4" w:space="0" w:color="auto"/>
                              <w:right w:val="nil"/>
                            </w:tcBorders>
                            <w:shd w:val="clear" w:color="auto" w:fill="auto"/>
                            <w:noWrap/>
                            <w:vAlign w:val="bottom"/>
                            <w:hideMark/>
                          </w:tcPr>
                          <w:p w14:paraId="3334BF72" w14:textId="77777777" w:rsidR="00DF77C5" w:rsidRPr="007C33E6" w:rsidRDefault="00DF77C5" w:rsidP="007C33E6">
                            <w:pPr>
                              <w:spacing w:after="0"/>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c>
                          <w:tcPr>
                            <w:tcW w:w="1020" w:type="dxa"/>
                            <w:tcBorders>
                              <w:top w:val="nil"/>
                              <w:left w:val="nil"/>
                              <w:bottom w:val="single" w:sz="4" w:space="0" w:color="auto"/>
                              <w:right w:val="nil"/>
                            </w:tcBorders>
                            <w:shd w:val="clear" w:color="auto" w:fill="auto"/>
                            <w:noWrap/>
                            <w:vAlign w:val="bottom"/>
                            <w:hideMark/>
                          </w:tcPr>
                          <w:p w14:paraId="09A15494"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10th</w:t>
                            </w:r>
                          </w:p>
                        </w:tc>
                        <w:tc>
                          <w:tcPr>
                            <w:tcW w:w="1020" w:type="dxa"/>
                            <w:tcBorders>
                              <w:top w:val="nil"/>
                              <w:left w:val="nil"/>
                              <w:bottom w:val="single" w:sz="4" w:space="0" w:color="auto"/>
                              <w:right w:val="nil"/>
                            </w:tcBorders>
                            <w:shd w:val="clear" w:color="auto" w:fill="auto"/>
                            <w:noWrap/>
                            <w:vAlign w:val="bottom"/>
                            <w:hideMark/>
                          </w:tcPr>
                          <w:p w14:paraId="0D367548"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25th</w:t>
                            </w:r>
                          </w:p>
                        </w:tc>
                        <w:tc>
                          <w:tcPr>
                            <w:tcW w:w="1020" w:type="dxa"/>
                            <w:tcBorders>
                              <w:top w:val="nil"/>
                              <w:left w:val="nil"/>
                              <w:bottom w:val="single" w:sz="4" w:space="0" w:color="auto"/>
                              <w:right w:val="nil"/>
                            </w:tcBorders>
                            <w:shd w:val="clear" w:color="auto" w:fill="auto"/>
                            <w:noWrap/>
                            <w:vAlign w:val="bottom"/>
                            <w:hideMark/>
                          </w:tcPr>
                          <w:p w14:paraId="7D3DF184"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50th</w:t>
                            </w:r>
                          </w:p>
                        </w:tc>
                        <w:tc>
                          <w:tcPr>
                            <w:tcW w:w="1020" w:type="dxa"/>
                            <w:tcBorders>
                              <w:top w:val="nil"/>
                              <w:left w:val="nil"/>
                              <w:bottom w:val="single" w:sz="4" w:space="0" w:color="auto"/>
                              <w:right w:val="nil"/>
                            </w:tcBorders>
                            <w:shd w:val="clear" w:color="auto" w:fill="auto"/>
                            <w:noWrap/>
                            <w:vAlign w:val="bottom"/>
                            <w:hideMark/>
                          </w:tcPr>
                          <w:p w14:paraId="4C675528"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75th</w:t>
                            </w:r>
                          </w:p>
                        </w:tc>
                        <w:tc>
                          <w:tcPr>
                            <w:tcW w:w="1020" w:type="dxa"/>
                            <w:tcBorders>
                              <w:top w:val="nil"/>
                              <w:left w:val="nil"/>
                              <w:bottom w:val="single" w:sz="4" w:space="0" w:color="auto"/>
                              <w:right w:val="nil"/>
                            </w:tcBorders>
                            <w:shd w:val="clear" w:color="auto" w:fill="auto"/>
                            <w:noWrap/>
                            <w:vAlign w:val="bottom"/>
                            <w:hideMark/>
                          </w:tcPr>
                          <w:p w14:paraId="333AB147"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90th</w:t>
                            </w:r>
                          </w:p>
                        </w:tc>
                      </w:tr>
                      <w:tr w:rsidR="00DF77C5" w:rsidRPr="007C33E6" w14:paraId="3A004744" w14:textId="77777777" w:rsidTr="005E255D">
                        <w:trPr>
                          <w:trHeight w:val="255"/>
                          <w:jc w:val="center"/>
                        </w:trPr>
                        <w:tc>
                          <w:tcPr>
                            <w:tcW w:w="4062" w:type="dxa"/>
                            <w:tcBorders>
                              <w:top w:val="nil"/>
                              <w:left w:val="nil"/>
                              <w:bottom w:val="single" w:sz="4" w:space="0" w:color="auto"/>
                              <w:right w:val="nil"/>
                            </w:tcBorders>
                            <w:shd w:val="clear" w:color="auto" w:fill="auto"/>
                            <w:noWrap/>
                            <w:vAlign w:val="bottom"/>
                          </w:tcPr>
                          <w:p w14:paraId="63636C4B" w14:textId="77777777" w:rsidR="00DF77C5" w:rsidRPr="007C33E6" w:rsidRDefault="00DF77C5" w:rsidP="007C33E6">
                            <w:pPr>
                              <w:spacing w:after="0"/>
                              <w:rPr>
                                <w:rFonts w:ascii="Arial" w:eastAsia="Times New Roman" w:hAnsi="Arial" w:cs="Arial"/>
                                <w:color w:val="000000"/>
                                <w:sz w:val="20"/>
                                <w:szCs w:val="20"/>
                                <w:lang w:eastAsia="en-AU"/>
                              </w:rPr>
                            </w:pPr>
                          </w:p>
                        </w:tc>
                        <w:tc>
                          <w:tcPr>
                            <w:tcW w:w="1020" w:type="dxa"/>
                            <w:tcBorders>
                              <w:top w:val="nil"/>
                              <w:left w:val="nil"/>
                              <w:bottom w:val="single" w:sz="4" w:space="0" w:color="auto"/>
                              <w:right w:val="nil"/>
                            </w:tcBorders>
                            <w:shd w:val="clear" w:color="auto" w:fill="auto"/>
                            <w:noWrap/>
                            <w:vAlign w:val="bottom"/>
                          </w:tcPr>
                          <w:p w14:paraId="783E7267" w14:textId="77777777" w:rsidR="00DF77C5" w:rsidRPr="007C33E6" w:rsidRDefault="00DF77C5" w:rsidP="007C33E6">
                            <w:pPr>
                              <w:spacing w:after="0"/>
                              <w:jc w:val="center"/>
                              <w:rPr>
                                <w:rFonts w:ascii="Arial" w:eastAsia="Times New Roman" w:hAnsi="Arial" w:cs="Arial"/>
                                <w:color w:val="000000"/>
                                <w:sz w:val="20"/>
                                <w:szCs w:val="20"/>
                                <w:lang w:eastAsia="en-AU"/>
                              </w:rPr>
                            </w:pPr>
                          </w:p>
                        </w:tc>
                        <w:tc>
                          <w:tcPr>
                            <w:tcW w:w="1020" w:type="dxa"/>
                            <w:tcBorders>
                              <w:top w:val="nil"/>
                              <w:left w:val="nil"/>
                              <w:bottom w:val="single" w:sz="4" w:space="0" w:color="auto"/>
                              <w:right w:val="nil"/>
                            </w:tcBorders>
                            <w:shd w:val="clear" w:color="auto" w:fill="auto"/>
                            <w:noWrap/>
                            <w:vAlign w:val="bottom"/>
                          </w:tcPr>
                          <w:p w14:paraId="0EB7CE9C" w14:textId="77777777" w:rsidR="00DF77C5" w:rsidRPr="007C33E6" w:rsidRDefault="00DF77C5" w:rsidP="007C33E6">
                            <w:pPr>
                              <w:spacing w:after="0"/>
                              <w:jc w:val="center"/>
                              <w:rPr>
                                <w:rFonts w:ascii="Arial" w:eastAsia="Times New Roman" w:hAnsi="Arial" w:cs="Arial"/>
                                <w:color w:val="000000"/>
                                <w:sz w:val="20"/>
                                <w:szCs w:val="20"/>
                                <w:lang w:eastAsia="en-AU"/>
                              </w:rPr>
                            </w:pPr>
                          </w:p>
                        </w:tc>
                        <w:tc>
                          <w:tcPr>
                            <w:tcW w:w="1020" w:type="dxa"/>
                            <w:tcBorders>
                              <w:top w:val="nil"/>
                              <w:left w:val="nil"/>
                              <w:bottom w:val="single" w:sz="4" w:space="0" w:color="auto"/>
                              <w:right w:val="nil"/>
                            </w:tcBorders>
                            <w:shd w:val="clear" w:color="auto" w:fill="auto"/>
                            <w:noWrap/>
                            <w:vAlign w:val="bottom"/>
                          </w:tcPr>
                          <w:p w14:paraId="3C7DED72" w14:textId="77777777" w:rsidR="00DF77C5" w:rsidRPr="007C33E6" w:rsidRDefault="00DF77C5" w:rsidP="007C33E6">
                            <w:pPr>
                              <w:spacing w:after="0"/>
                              <w:jc w:val="center"/>
                              <w:rPr>
                                <w:rFonts w:ascii="Arial" w:eastAsia="Times New Roman" w:hAnsi="Arial" w:cs="Arial"/>
                                <w:color w:val="000000"/>
                                <w:sz w:val="20"/>
                                <w:szCs w:val="20"/>
                                <w:lang w:eastAsia="en-AU"/>
                              </w:rPr>
                            </w:pPr>
                          </w:p>
                        </w:tc>
                        <w:tc>
                          <w:tcPr>
                            <w:tcW w:w="1020" w:type="dxa"/>
                            <w:tcBorders>
                              <w:top w:val="nil"/>
                              <w:left w:val="nil"/>
                              <w:bottom w:val="single" w:sz="4" w:space="0" w:color="auto"/>
                              <w:right w:val="nil"/>
                            </w:tcBorders>
                            <w:shd w:val="clear" w:color="auto" w:fill="auto"/>
                            <w:noWrap/>
                            <w:vAlign w:val="bottom"/>
                          </w:tcPr>
                          <w:p w14:paraId="460AFFC9" w14:textId="77777777" w:rsidR="00DF77C5" w:rsidRPr="007C33E6" w:rsidRDefault="00DF77C5" w:rsidP="007C33E6">
                            <w:pPr>
                              <w:spacing w:after="0"/>
                              <w:jc w:val="center"/>
                              <w:rPr>
                                <w:rFonts w:ascii="Arial" w:eastAsia="Times New Roman" w:hAnsi="Arial" w:cs="Arial"/>
                                <w:color w:val="000000"/>
                                <w:sz w:val="20"/>
                                <w:szCs w:val="20"/>
                                <w:lang w:eastAsia="en-AU"/>
                              </w:rPr>
                            </w:pPr>
                          </w:p>
                        </w:tc>
                        <w:tc>
                          <w:tcPr>
                            <w:tcW w:w="1020" w:type="dxa"/>
                            <w:tcBorders>
                              <w:top w:val="nil"/>
                              <w:left w:val="nil"/>
                              <w:bottom w:val="single" w:sz="4" w:space="0" w:color="auto"/>
                              <w:right w:val="nil"/>
                            </w:tcBorders>
                            <w:shd w:val="clear" w:color="auto" w:fill="auto"/>
                            <w:noWrap/>
                            <w:vAlign w:val="bottom"/>
                          </w:tcPr>
                          <w:p w14:paraId="2F03A5E6" w14:textId="77777777" w:rsidR="00DF77C5" w:rsidRPr="007C33E6" w:rsidRDefault="00DF77C5" w:rsidP="007C33E6">
                            <w:pPr>
                              <w:spacing w:after="0"/>
                              <w:jc w:val="center"/>
                              <w:rPr>
                                <w:rFonts w:ascii="Arial" w:eastAsia="Times New Roman" w:hAnsi="Arial" w:cs="Arial"/>
                                <w:color w:val="000000"/>
                                <w:sz w:val="20"/>
                                <w:szCs w:val="20"/>
                                <w:lang w:eastAsia="en-AU"/>
                              </w:rPr>
                            </w:pPr>
                          </w:p>
                        </w:tc>
                      </w:tr>
                      <w:tr w:rsidR="00DF77C5" w:rsidRPr="007C33E6" w14:paraId="26A391BB" w14:textId="77777777" w:rsidTr="005E255D">
                        <w:trPr>
                          <w:trHeight w:val="255"/>
                          <w:jc w:val="center"/>
                        </w:trPr>
                        <w:tc>
                          <w:tcPr>
                            <w:tcW w:w="4062" w:type="dxa"/>
                            <w:tcBorders>
                              <w:top w:val="nil"/>
                              <w:left w:val="nil"/>
                              <w:bottom w:val="nil"/>
                              <w:right w:val="nil"/>
                            </w:tcBorders>
                            <w:shd w:val="clear" w:color="auto" w:fill="auto"/>
                            <w:noWrap/>
                            <w:vAlign w:val="bottom"/>
                            <w:hideMark/>
                          </w:tcPr>
                          <w:p w14:paraId="0CF78F47" w14:textId="77777777" w:rsidR="00DF77C5" w:rsidRPr="007C33E6" w:rsidRDefault="00DF77C5" w:rsidP="007C33E6">
                            <w:pPr>
                              <w:spacing w:after="0"/>
                              <w:ind w:firstLineChars="100" w:firstLine="200"/>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EE (job-to-job) rate</w:t>
                            </w:r>
                          </w:p>
                        </w:tc>
                        <w:tc>
                          <w:tcPr>
                            <w:tcW w:w="1020" w:type="dxa"/>
                            <w:tcBorders>
                              <w:top w:val="nil"/>
                              <w:left w:val="nil"/>
                              <w:bottom w:val="nil"/>
                              <w:right w:val="nil"/>
                            </w:tcBorders>
                            <w:shd w:val="clear" w:color="auto" w:fill="auto"/>
                            <w:noWrap/>
                            <w:vAlign w:val="bottom"/>
                            <w:hideMark/>
                          </w:tcPr>
                          <w:p w14:paraId="10403CA3"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0.40***</w:t>
                            </w:r>
                          </w:p>
                        </w:tc>
                        <w:tc>
                          <w:tcPr>
                            <w:tcW w:w="1020" w:type="dxa"/>
                            <w:tcBorders>
                              <w:top w:val="nil"/>
                              <w:left w:val="nil"/>
                              <w:bottom w:val="nil"/>
                              <w:right w:val="nil"/>
                            </w:tcBorders>
                            <w:shd w:val="clear" w:color="auto" w:fill="auto"/>
                            <w:noWrap/>
                            <w:vAlign w:val="bottom"/>
                            <w:hideMark/>
                          </w:tcPr>
                          <w:p w14:paraId="0B62E247"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0.22***</w:t>
                            </w:r>
                          </w:p>
                        </w:tc>
                        <w:tc>
                          <w:tcPr>
                            <w:tcW w:w="1020" w:type="dxa"/>
                            <w:tcBorders>
                              <w:top w:val="nil"/>
                              <w:left w:val="nil"/>
                              <w:bottom w:val="nil"/>
                              <w:right w:val="nil"/>
                            </w:tcBorders>
                            <w:shd w:val="clear" w:color="auto" w:fill="auto"/>
                            <w:noWrap/>
                            <w:vAlign w:val="bottom"/>
                            <w:hideMark/>
                          </w:tcPr>
                          <w:p w14:paraId="6B8F85F2"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0.22***</w:t>
                            </w:r>
                          </w:p>
                        </w:tc>
                        <w:tc>
                          <w:tcPr>
                            <w:tcW w:w="1020" w:type="dxa"/>
                            <w:tcBorders>
                              <w:top w:val="nil"/>
                              <w:left w:val="nil"/>
                              <w:bottom w:val="nil"/>
                              <w:right w:val="nil"/>
                            </w:tcBorders>
                            <w:shd w:val="clear" w:color="auto" w:fill="auto"/>
                            <w:noWrap/>
                            <w:vAlign w:val="bottom"/>
                            <w:hideMark/>
                          </w:tcPr>
                          <w:p w14:paraId="7C12920A"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0.42***</w:t>
                            </w:r>
                          </w:p>
                        </w:tc>
                        <w:tc>
                          <w:tcPr>
                            <w:tcW w:w="1020" w:type="dxa"/>
                            <w:tcBorders>
                              <w:top w:val="nil"/>
                              <w:left w:val="nil"/>
                              <w:bottom w:val="nil"/>
                              <w:right w:val="nil"/>
                            </w:tcBorders>
                            <w:shd w:val="clear" w:color="auto" w:fill="auto"/>
                            <w:noWrap/>
                            <w:vAlign w:val="bottom"/>
                            <w:hideMark/>
                          </w:tcPr>
                          <w:p w14:paraId="6F799705"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0.69***</w:t>
                            </w:r>
                          </w:p>
                        </w:tc>
                      </w:tr>
                      <w:tr w:rsidR="00DF77C5" w:rsidRPr="007C33E6" w14:paraId="7E711C3D" w14:textId="77777777" w:rsidTr="005E255D">
                        <w:trPr>
                          <w:trHeight w:val="255"/>
                          <w:jc w:val="center"/>
                        </w:trPr>
                        <w:tc>
                          <w:tcPr>
                            <w:tcW w:w="4062" w:type="dxa"/>
                            <w:tcBorders>
                              <w:top w:val="nil"/>
                              <w:left w:val="nil"/>
                              <w:bottom w:val="nil"/>
                              <w:right w:val="nil"/>
                            </w:tcBorders>
                            <w:shd w:val="clear" w:color="auto" w:fill="auto"/>
                            <w:noWrap/>
                            <w:vAlign w:val="bottom"/>
                            <w:hideMark/>
                          </w:tcPr>
                          <w:p w14:paraId="6C1A7099" w14:textId="77777777" w:rsidR="00DF77C5" w:rsidRPr="007C33E6" w:rsidRDefault="00DF77C5" w:rsidP="007C33E6">
                            <w:pPr>
                              <w:spacing w:after="0"/>
                              <w:jc w:val="center"/>
                              <w:rPr>
                                <w:rFonts w:ascii="Arial" w:eastAsia="Times New Roman" w:hAnsi="Arial" w:cs="Arial"/>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4D5E8A3A"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(0.03)</w:t>
                            </w:r>
                          </w:p>
                        </w:tc>
                        <w:tc>
                          <w:tcPr>
                            <w:tcW w:w="1020" w:type="dxa"/>
                            <w:tcBorders>
                              <w:top w:val="nil"/>
                              <w:left w:val="nil"/>
                              <w:bottom w:val="nil"/>
                              <w:right w:val="nil"/>
                            </w:tcBorders>
                            <w:shd w:val="clear" w:color="auto" w:fill="auto"/>
                            <w:noWrap/>
                            <w:vAlign w:val="bottom"/>
                            <w:hideMark/>
                          </w:tcPr>
                          <w:p w14:paraId="3EE9BB98"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(0.01)</w:t>
                            </w:r>
                          </w:p>
                        </w:tc>
                        <w:tc>
                          <w:tcPr>
                            <w:tcW w:w="1020" w:type="dxa"/>
                            <w:tcBorders>
                              <w:top w:val="nil"/>
                              <w:left w:val="nil"/>
                              <w:bottom w:val="nil"/>
                              <w:right w:val="nil"/>
                            </w:tcBorders>
                            <w:shd w:val="clear" w:color="auto" w:fill="auto"/>
                            <w:noWrap/>
                            <w:vAlign w:val="bottom"/>
                            <w:hideMark/>
                          </w:tcPr>
                          <w:p w14:paraId="27CE9EF8"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(0.01)</w:t>
                            </w:r>
                          </w:p>
                        </w:tc>
                        <w:tc>
                          <w:tcPr>
                            <w:tcW w:w="1020" w:type="dxa"/>
                            <w:tcBorders>
                              <w:top w:val="nil"/>
                              <w:left w:val="nil"/>
                              <w:bottom w:val="nil"/>
                              <w:right w:val="nil"/>
                            </w:tcBorders>
                            <w:shd w:val="clear" w:color="auto" w:fill="auto"/>
                            <w:noWrap/>
                            <w:vAlign w:val="bottom"/>
                            <w:hideMark/>
                          </w:tcPr>
                          <w:p w14:paraId="3CB56763"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(0.02)</w:t>
                            </w:r>
                          </w:p>
                        </w:tc>
                        <w:tc>
                          <w:tcPr>
                            <w:tcW w:w="1020" w:type="dxa"/>
                            <w:tcBorders>
                              <w:top w:val="nil"/>
                              <w:left w:val="nil"/>
                              <w:bottom w:val="nil"/>
                              <w:right w:val="nil"/>
                            </w:tcBorders>
                            <w:shd w:val="clear" w:color="auto" w:fill="auto"/>
                            <w:noWrap/>
                            <w:vAlign w:val="bottom"/>
                            <w:hideMark/>
                          </w:tcPr>
                          <w:p w14:paraId="164C0BE5"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(0.07)</w:t>
                            </w:r>
                          </w:p>
                        </w:tc>
                      </w:tr>
                      <w:tr w:rsidR="00DF77C5" w:rsidRPr="007C33E6" w14:paraId="0EB95F87" w14:textId="77777777" w:rsidTr="005E255D">
                        <w:trPr>
                          <w:trHeight w:val="255"/>
                          <w:jc w:val="center"/>
                        </w:trPr>
                        <w:tc>
                          <w:tcPr>
                            <w:tcW w:w="4062" w:type="dxa"/>
                            <w:tcBorders>
                              <w:top w:val="nil"/>
                              <w:left w:val="nil"/>
                              <w:bottom w:val="nil"/>
                              <w:right w:val="nil"/>
                            </w:tcBorders>
                            <w:shd w:val="clear" w:color="auto" w:fill="auto"/>
                            <w:noWrap/>
                            <w:vAlign w:val="bottom"/>
                            <w:hideMark/>
                          </w:tcPr>
                          <w:p w14:paraId="54555E60" w14:textId="77777777" w:rsidR="00DF77C5" w:rsidRPr="007C33E6" w:rsidRDefault="00DF77C5" w:rsidP="007C33E6">
                            <w:pPr>
                              <w:spacing w:after="0"/>
                              <w:ind w:firstLineChars="100" w:firstLine="200"/>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UE (unemployment-to-job rate)</w:t>
                            </w:r>
                          </w:p>
                        </w:tc>
                        <w:tc>
                          <w:tcPr>
                            <w:tcW w:w="1020" w:type="dxa"/>
                            <w:tcBorders>
                              <w:top w:val="nil"/>
                              <w:left w:val="nil"/>
                              <w:bottom w:val="nil"/>
                              <w:right w:val="nil"/>
                            </w:tcBorders>
                            <w:shd w:val="clear" w:color="auto" w:fill="auto"/>
                            <w:noWrap/>
                            <w:vAlign w:val="bottom"/>
                            <w:hideMark/>
                          </w:tcPr>
                          <w:p w14:paraId="6A12596C"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0.11***</w:t>
                            </w:r>
                          </w:p>
                        </w:tc>
                        <w:tc>
                          <w:tcPr>
                            <w:tcW w:w="1020" w:type="dxa"/>
                            <w:tcBorders>
                              <w:top w:val="nil"/>
                              <w:left w:val="nil"/>
                              <w:bottom w:val="nil"/>
                              <w:right w:val="nil"/>
                            </w:tcBorders>
                            <w:shd w:val="clear" w:color="auto" w:fill="auto"/>
                            <w:noWrap/>
                            <w:vAlign w:val="bottom"/>
                            <w:hideMark/>
                          </w:tcPr>
                          <w:p w14:paraId="5CFD6830"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0.07***</w:t>
                            </w:r>
                          </w:p>
                        </w:tc>
                        <w:tc>
                          <w:tcPr>
                            <w:tcW w:w="1020" w:type="dxa"/>
                            <w:tcBorders>
                              <w:top w:val="nil"/>
                              <w:left w:val="nil"/>
                              <w:bottom w:val="nil"/>
                              <w:right w:val="nil"/>
                            </w:tcBorders>
                            <w:shd w:val="clear" w:color="auto" w:fill="auto"/>
                            <w:noWrap/>
                            <w:vAlign w:val="bottom"/>
                            <w:hideMark/>
                          </w:tcPr>
                          <w:p w14:paraId="0092DF1F"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0.06***</w:t>
                            </w:r>
                          </w:p>
                        </w:tc>
                        <w:tc>
                          <w:tcPr>
                            <w:tcW w:w="1020" w:type="dxa"/>
                            <w:tcBorders>
                              <w:top w:val="nil"/>
                              <w:left w:val="nil"/>
                              <w:bottom w:val="nil"/>
                              <w:right w:val="nil"/>
                            </w:tcBorders>
                            <w:shd w:val="clear" w:color="auto" w:fill="auto"/>
                            <w:noWrap/>
                            <w:vAlign w:val="bottom"/>
                            <w:hideMark/>
                          </w:tcPr>
                          <w:p w14:paraId="1D864809"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0.11***</w:t>
                            </w:r>
                          </w:p>
                        </w:tc>
                        <w:tc>
                          <w:tcPr>
                            <w:tcW w:w="1020" w:type="dxa"/>
                            <w:tcBorders>
                              <w:top w:val="nil"/>
                              <w:left w:val="nil"/>
                              <w:bottom w:val="nil"/>
                              <w:right w:val="nil"/>
                            </w:tcBorders>
                            <w:shd w:val="clear" w:color="auto" w:fill="auto"/>
                            <w:noWrap/>
                            <w:vAlign w:val="bottom"/>
                            <w:hideMark/>
                          </w:tcPr>
                          <w:p w14:paraId="43863559"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0.27***</w:t>
                            </w:r>
                          </w:p>
                        </w:tc>
                      </w:tr>
                      <w:tr w:rsidR="00DF77C5" w:rsidRPr="007C33E6" w14:paraId="673DEDEA" w14:textId="77777777" w:rsidTr="005E255D">
                        <w:trPr>
                          <w:trHeight w:val="255"/>
                          <w:jc w:val="center"/>
                        </w:trPr>
                        <w:tc>
                          <w:tcPr>
                            <w:tcW w:w="4062" w:type="dxa"/>
                            <w:tcBorders>
                              <w:top w:val="nil"/>
                              <w:left w:val="nil"/>
                              <w:bottom w:val="nil"/>
                              <w:right w:val="nil"/>
                            </w:tcBorders>
                            <w:shd w:val="clear" w:color="auto" w:fill="auto"/>
                            <w:noWrap/>
                            <w:vAlign w:val="bottom"/>
                            <w:hideMark/>
                          </w:tcPr>
                          <w:p w14:paraId="78928512" w14:textId="77777777" w:rsidR="00DF77C5" w:rsidRPr="007C33E6" w:rsidRDefault="00DF77C5" w:rsidP="007C33E6">
                            <w:pPr>
                              <w:spacing w:after="0"/>
                              <w:jc w:val="center"/>
                              <w:rPr>
                                <w:rFonts w:ascii="Arial" w:eastAsia="Times New Roman" w:hAnsi="Arial" w:cs="Arial"/>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28080B3C"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(0.01)</w:t>
                            </w:r>
                          </w:p>
                        </w:tc>
                        <w:tc>
                          <w:tcPr>
                            <w:tcW w:w="1020" w:type="dxa"/>
                            <w:tcBorders>
                              <w:top w:val="nil"/>
                              <w:left w:val="nil"/>
                              <w:bottom w:val="nil"/>
                              <w:right w:val="nil"/>
                            </w:tcBorders>
                            <w:shd w:val="clear" w:color="auto" w:fill="auto"/>
                            <w:noWrap/>
                            <w:vAlign w:val="bottom"/>
                            <w:hideMark/>
                          </w:tcPr>
                          <w:p w14:paraId="57A3D4D6"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(0.00)</w:t>
                            </w:r>
                          </w:p>
                        </w:tc>
                        <w:tc>
                          <w:tcPr>
                            <w:tcW w:w="1020" w:type="dxa"/>
                            <w:tcBorders>
                              <w:top w:val="nil"/>
                              <w:left w:val="nil"/>
                              <w:bottom w:val="nil"/>
                              <w:right w:val="nil"/>
                            </w:tcBorders>
                            <w:shd w:val="clear" w:color="auto" w:fill="auto"/>
                            <w:noWrap/>
                            <w:vAlign w:val="bottom"/>
                            <w:hideMark/>
                          </w:tcPr>
                          <w:p w14:paraId="4328FFFE"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(0.00)</w:t>
                            </w:r>
                          </w:p>
                        </w:tc>
                        <w:tc>
                          <w:tcPr>
                            <w:tcW w:w="1020" w:type="dxa"/>
                            <w:tcBorders>
                              <w:top w:val="nil"/>
                              <w:left w:val="nil"/>
                              <w:bottom w:val="nil"/>
                              <w:right w:val="nil"/>
                            </w:tcBorders>
                            <w:shd w:val="clear" w:color="auto" w:fill="auto"/>
                            <w:noWrap/>
                            <w:vAlign w:val="bottom"/>
                            <w:hideMark/>
                          </w:tcPr>
                          <w:p w14:paraId="16F17C7B"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(0.01)</w:t>
                            </w:r>
                          </w:p>
                        </w:tc>
                        <w:tc>
                          <w:tcPr>
                            <w:tcW w:w="1020" w:type="dxa"/>
                            <w:tcBorders>
                              <w:top w:val="nil"/>
                              <w:left w:val="nil"/>
                              <w:bottom w:val="nil"/>
                              <w:right w:val="nil"/>
                            </w:tcBorders>
                            <w:shd w:val="clear" w:color="auto" w:fill="auto"/>
                            <w:noWrap/>
                            <w:vAlign w:val="bottom"/>
                            <w:hideMark/>
                          </w:tcPr>
                          <w:p w14:paraId="49413FEB" w14:textId="77777777" w:rsidR="00DF77C5" w:rsidRPr="007C33E6" w:rsidRDefault="00DF77C5" w:rsidP="007C33E6">
                            <w:pPr>
                              <w:spacing w:after="0"/>
                              <w:jc w:val="center"/>
                              <w:rPr>
                                <w:rFonts w:ascii="Arial" w:eastAsia="Times New Roman" w:hAnsi="Arial" w:cs="Arial"/>
                                <w:color w:val="auto"/>
                                <w:sz w:val="20"/>
                                <w:szCs w:val="20"/>
                                <w:lang w:eastAsia="en-AU"/>
                              </w:rPr>
                            </w:pPr>
                            <w:r w:rsidRPr="007C33E6">
                              <w:rPr>
                                <w:rFonts w:ascii="Arial" w:eastAsia="Times New Roman" w:hAnsi="Arial" w:cs="Arial"/>
                                <w:color w:val="auto"/>
                                <w:sz w:val="20"/>
                                <w:szCs w:val="20"/>
                                <w:lang w:eastAsia="en-AU"/>
                              </w:rPr>
                              <w:t>(0.03)</w:t>
                            </w:r>
                          </w:p>
                        </w:tc>
                      </w:tr>
                      <w:tr w:rsidR="00DF77C5" w:rsidRPr="007C33E6" w14:paraId="7E838C2F" w14:textId="77777777" w:rsidTr="005E255D">
                        <w:trPr>
                          <w:trHeight w:val="270"/>
                          <w:jc w:val="center"/>
                        </w:trPr>
                        <w:tc>
                          <w:tcPr>
                            <w:tcW w:w="4062" w:type="dxa"/>
                            <w:tcBorders>
                              <w:top w:val="nil"/>
                              <w:left w:val="nil"/>
                              <w:bottom w:val="double" w:sz="6" w:space="0" w:color="auto"/>
                              <w:right w:val="nil"/>
                            </w:tcBorders>
                            <w:shd w:val="clear" w:color="auto" w:fill="auto"/>
                            <w:noWrap/>
                            <w:vAlign w:val="bottom"/>
                            <w:hideMark/>
                          </w:tcPr>
                          <w:p w14:paraId="4DDD1827" w14:textId="77777777" w:rsidR="00DF77C5" w:rsidRPr="007C33E6" w:rsidRDefault="00DF77C5" w:rsidP="007C33E6">
                            <w:pPr>
                              <w:spacing w:after="0"/>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c>
                          <w:tcPr>
                            <w:tcW w:w="1020" w:type="dxa"/>
                            <w:tcBorders>
                              <w:top w:val="nil"/>
                              <w:left w:val="nil"/>
                              <w:bottom w:val="double" w:sz="6" w:space="0" w:color="auto"/>
                              <w:right w:val="nil"/>
                            </w:tcBorders>
                            <w:shd w:val="clear" w:color="auto" w:fill="auto"/>
                            <w:noWrap/>
                            <w:vAlign w:val="bottom"/>
                            <w:hideMark/>
                          </w:tcPr>
                          <w:p w14:paraId="35F46A75" w14:textId="77777777" w:rsidR="00DF77C5" w:rsidRPr="007C33E6" w:rsidRDefault="00DF77C5" w:rsidP="007C33E6">
                            <w:pPr>
                              <w:spacing w:after="0"/>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c>
                          <w:tcPr>
                            <w:tcW w:w="1020" w:type="dxa"/>
                            <w:tcBorders>
                              <w:top w:val="nil"/>
                              <w:left w:val="nil"/>
                              <w:bottom w:val="double" w:sz="6" w:space="0" w:color="auto"/>
                              <w:right w:val="nil"/>
                            </w:tcBorders>
                            <w:shd w:val="clear" w:color="auto" w:fill="auto"/>
                            <w:noWrap/>
                            <w:vAlign w:val="bottom"/>
                            <w:hideMark/>
                          </w:tcPr>
                          <w:p w14:paraId="7CA4DF9E"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c>
                          <w:tcPr>
                            <w:tcW w:w="1020" w:type="dxa"/>
                            <w:tcBorders>
                              <w:top w:val="nil"/>
                              <w:left w:val="nil"/>
                              <w:bottom w:val="double" w:sz="6" w:space="0" w:color="auto"/>
                              <w:right w:val="nil"/>
                            </w:tcBorders>
                            <w:shd w:val="clear" w:color="auto" w:fill="auto"/>
                            <w:noWrap/>
                            <w:vAlign w:val="bottom"/>
                            <w:hideMark/>
                          </w:tcPr>
                          <w:p w14:paraId="5C23BDC9"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c>
                          <w:tcPr>
                            <w:tcW w:w="1020" w:type="dxa"/>
                            <w:tcBorders>
                              <w:top w:val="nil"/>
                              <w:left w:val="nil"/>
                              <w:bottom w:val="double" w:sz="6" w:space="0" w:color="auto"/>
                              <w:right w:val="nil"/>
                            </w:tcBorders>
                            <w:shd w:val="clear" w:color="auto" w:fill="auto"/>
                            <w:noWrap/>
                            <w:vAlign w:val="bottom"/>
                            <w:hideMark/>
                          </w:tcPr>
                          <w:p w14:paraId="6234BEEE"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c>
                          <w:tcPr>
                            <w:tcW w:w="1020" w:type="dxa"/>
                            <w:tcBorders>
                              <w:top w:val="nil"/>
                              <w:left w:val="nil"/>
                              <w:bottom w:val="double" w:sz="6" w:space="0" w:color="auto"/>
                              <w:right w:val="nil"/>
                            </w:tcBorders>
                            <w:shd w:val="clear" w:color="auto" w:fill="auto"/>
                            <w:noWrap/>
                            <w:vAlign w:val="bottom"/>
                            <w:hideMark/>
                          </w:tcPr>
                          <w:p w14:paraId="1C8D946B" w14:textId="77777777" w:rsidR="00DF77C5" w:rsidRPr="007C33E6" w:rsidRDefault="00DF77C5" w:rsidP="007C33E6">
                            <w:pPr>
                              <w:spacing w:after="0"/>
                              <w:jc w:val="center"/>
                              <w:rPr>
                                <w:rFonts w:ascii="Arial" w:eastAsia="Times New Roman" w:hAnsi="Arial" w:cs="Arial"/>
                                <w:color w:val="000000"/>
                                <w:sz w:val="20"/>
                                <w:szCs w:val="20"/>
                                <w:lang w:eastAsia="en-AU"/>
                              </w:rPr>
                            </w:pPr>
                            <w:r w:rsidRPr="007C33E6">
                              <w:rPr>
                                <w:rFonts w:ascii="Arial" w:eastAsia="Times New Roman" w:hAnsi="Arial" w:cs="Arial"/>
                                <w:color w:val="000000"/>
                                <w:sz w:val="20"/>
                                <w:szCs w:val="20"/>
                                <w:lang w:eastAsia="en-AU"/>
                              </w:rPr>
                              <w:t> </w:t>
                            </w:r>
                          </w:p>
                        </w:tc>
                      </w:tr>
                    </w:tbl>
                    <w:p w14:paraId="2DC5C2D9" w14:textId="1BBE5B09" w:rsidR="00DF77C5" w:rsidRPr="005E173D" w:rsidRDefault="00DF77C5" w:rsidP="00697AED">
                      <w:pPr>
                        <w:pStyle w:val="ChartorTableNote"/>
                        <w:rPr>
                          <w:sz w:val="20"/>
                        </w:rPr>
                      </w:pPr>
                    </w:p>
                  </w:txbxContent>
                </v:textbox>
                <w10:anchorlock/>
              </v:shape>
            </w:pict>
          </mc:Fallback>
        </mc:AlternateContent>
      </w:r>
      <w:r w:rsidR="009E6FA4" w:rsidRPr="00E91637">
        <w:rPr>
          <w:rFonts w:ascii="Arial" w:eastAsia="Times New Roman" w:hAnsi="Arial" w:cs="Times New Roman"/>
          <w:color w:val="000000"/>
          <w:sz w:val="16"/>
          <w:szCs w:val="20"/>
          <w:lang w:eastAsia="en-AU"/>
        </w:rPr>
        <w:t>Note: Presents estimates from a quantile regression of the change in the natural logarithm of individual wages on the job-to-job and unemployment to job transition rates and a set of control variables. The control variables include year and SA4 fixed effects, and individual sex and a quadratic in age. Standard errors in parentheses. Significance levels are indicated as follows: * 10 per cent; **</w:t>
      </w:r>
      <w:r w:rsidR="005E255D" w:rsidRPr="00E91637">
        <w:rPr>
          <w:rFonts w:ascii="Arial" w:eastAsia="Times New Roman" w:hAnsi="Arial" w:cs="Times New Roman"/>
          <w:color w:val="000000"/>
          <w:sz w:val="16"/>
          <w:szCs w:val="20"/>
          <w:lang w:eastAsia="en-AU"/>
        </w:rPr>
        <w:t> </w:t>
      </w:r>
      <w:r w:rsidR="009E6FA4" w:rsidRPr="00E91637">
        <w:rPr>
          <w:rFonts w:ascii="Arial" w:eastAsia="Times New Roman" w:hAnsi="Arial" w:cs="Times New Roman"/>
          <w:color w:val="000000"/>
          <w:sz w:val="16"/>
          <w:szCs w:val="20"/>
          <w:lang w:eastAsia="en-AU"/>
        </w:rPr>
        <w:t xml:space="preserve">5 per cent; *** 1 per cent. </w:t>
      </w:r>
      <w:r w:rsidR="009E6FA4" w:rsidRPr="00E91637">
        <w:rPr>
          <w:rFonts w:ascii="Arial" w:eastAsia="Times New Roman" w:hAnsi="Arial" w:cs="Times New Roman"/>
          <w:color w:val="000000"/>
          <w:sz w:val="16"/>
          <w:szCs w:val="20"/>
          <w:lang w:eastAsia="en-AU"/>
        </w:rPr>
        <w:br/>
        <w:t>Source: Treasury calculations using de-identified Pay-As-You-Go annual payment summaries, 2004-05 to 2015-16, and the Australian Taxation Office Longitudinal Information Files.</w:t>
      </w:r>
    </w:p>
    <w:p w14:paraId="4F7C452B" w14:textId="77777777" w:rsidR="00F012EA" w:rsidRDefault="00BA1099" w:rsidP="00A57848">
      <w:pPr>
        <w:pStyle w:val="Heading2"/>
      </w:pPr>
      <w:r>
        <w:t>Conclusion</w:t>
      </w:r>
    </w:p>
    <w:p w14:paraId="76550988" w14:textId="009F11E5" w:rsidR="00CD5E9F" w:rsidRDefault="007F307E" w:rsidP="00FD6D8B">
      <w:pPr>
        <w:jc w:val="both"/>
      </w:pPr>
      <w:r>
        <w:t>Competition among firms for employed workers has the potential to exert meaningful pressure on wages – a</w:t>
      </w:r>
      <w:r w:rsidR="00961C2F">
        <w:t xml:space="preserve">n intuitive idea that is </w:t>
      </w:r>
      <w:r>
        <w:t>illustrated in leading models of on-the-job search and increasingly borne out in empirical studies</w:t>
      </w:r>
      <w:r w:rsidR="00961C2F">
        <w:t>. In this paper I find evidence for this in the Australian setting.</w:t>
      </w:r>
      <w:r w:rsidR="00AC01E1">
        <w:t xml:space="preserve"> </w:t>
      </w:r>
      <w:r w:rsidR="00CD5E9F">
        <w:t>I show that higher job-to-job switching rates in Australian local labour markets are associated with higher wages growth.</w:t>
      </w:r>
      <w:r w:rsidR="00AC01E1">
        <w:t xml:space="preserve"> </w:t>
      </w:r>
      <w:r w:rsidR="00A07769">
        <w:t xml:space="preserve">A 1 percentage point increase in the rate at which workers switch jobs is associated with a ½ percentage point increase in growth in average wages. </w:t>
      </w:r>
      <w:r w:rsidR="00E10431">
        <w:t>This association remains under a variety of specifications.</w:t>
      </w:r>
      <w:r w:rsidR="00961C2F">
        <w:t xml:space="preserve"> I</w:t>
      </w:r>
      <w:r w:rsidR="00BB77A1">
        <w:t>t is not just those who switch jobs who benefit f</w:t>
      </w:r>
      <w:r w:rsidR="00A07769">
        <w:t>rom a more fluid labour market, as</w:t>
      </w:r>
      <w:r w:rsidR="00BB77A1">
        <w:t xml:space="preserve"> those who stay in their jobs also experience higher wages growth</w:t>
      </w:r>
      <w:r w:rsidR="00E10431">
        <w:t>.</w:t>
      </w:r>
      <w:r w:rsidR="00AC01E1">
        <w:t xml:space="preserve"> </w:t>
      </w:r>
      <w:r w:rsidR="00BB77A1">
        <w:t xml:space="preserve">This is consistent with the idea that workers with more outside options – other employers who want to hire them – are </w:t>
      </w:r>
      <w:r w:rsidR="00A07769">
        <w:t>better placed to negotiate increases in wages, hours or promotions</w:t>
      </w:r>
      <w:r w:rsidR="00961C2F">
        <w:t>.</w:t>
      </w:r>
    </w:p>
    <w:p w14:paraId="2E1B6475" w14:textId="0E48AD2B" w:rsidR="00E10431" w:rsidRDefault="00961C2F">
      <w:pPr>
        <w:jc w:val="both"/>
        <w:sectPr w:rsidR="00E10431" w:rsidSect="009B0308">
          <w:headerReference w:type="even" r:id="rId45"/>
          <w:headerReference w:type="default" r:id="rId46"/>
          <w:headerReference w:type="first" r:id="rId47"/>
          <w:footerReference w:type="first" r:id="rId48"/>
          <w:type w:val="continuous"/>
          <w:pgSz w:w="11906" w:h="16838" w:code="9"/>
          <w:pgMar w:top="1418" w:right="1304" w:bottom="1418" w:left="1304" w:header="567" w:footer="567" w:gutter="0"/>
          <w:cols w:space="708"/>
          <w:titlePg/>
          <w:docGrid w:linePitch="360"/>
        </w:sectPr>
      </w:pPr>
      <w:r>
        <w:t>This paper does not explore what drives variation in job-switching rate</w:t>
      </w:r>
      <w:r w:rsidR="009327F7">
        <w:t>s</w:t>
      </w:r>
      <w:r>
        <w:t xml:space="preserve"> over time or between regions.  </w:t>
      </w:r>
      <w:r w:rsidR="009327F7">
        <w:t>While th</w:t>
      </w:r>
      <w:r>
        <w:t>e decisions of individual workers may play a role</w:t>
      </w:r>
      <w:r w:rsidR="009327F7">
        <w:t xml:space="preserve">, these switching rates will also reflect a wide range of external factors over which workers have no control. </w:t>
      </w:r>
      <w:r w:rsidR="009B0308">
        <w:t>Workers may switch jobs less often if there are fewer employers</w:t>
      </w:r>
      <w:r w:rsidR="00CE00C4">
        <w:t xml:space="preserve"> (for example, due to rising concentration or declining firm entry)</w:t>
      </w:r>
      <w:r w:rsidR="009B0308">
        <w:t>, if moving or commuting is difficult</w:t>
      </w:r>
      <w:r w:rsidR="00A07769">
        <w:t>,</w:t>
      </w:r>
      <w:r w:rsidR="009B0308">
        <w:t xml:space="preserve"> or if contractual or regulatory barriers get in the way.</w:t>
      </w:r>
      <w:r w:rsidR="00AC01E1">
        <w:t xml:space="preserve"> </w:t>
      </w:r>
      <w:r w:rsidR="009B0308">
        <w:t>Structural changes in the nature of work may make skills less immediately transferrable</w:t>
      </w:r>
      <w:r w:rsidR="00A07769">
        <w:t xml:space="preserve"> between firms or industries</w:t>
      </w:r>
      <w:r w:rsidR="009B0308">
        <w:t xml:space="preserve">, </w:t>
      </w:r>
      <w:r w:rsidR="000E2B34">
        <w:t xml:space="preserve">while the rise of dual income couples and </w:t>
      </w:r>
      <w:r w:rsidR="009B0308">
        <w:t>population ageing may also lead to a less mobile workforce.</w:t>
      </w:r>
      <w:r w:rsidR="00AC01E1">
        <w:t xml:space="preserve"> </w:t>
      </w:r>
      <w:r w:rsidR="009B0308">
        <w:t>This paper suggests such factors could have flow on consequences to wages.</w:t>
      </w:r>
      <w:r w:rsidR="000B7C93">
        <w:t xml:space="preserve"> </w:t>
      </w:r>
      <w:r w:rsidR="009B0308">
        <w:t xml:space="preserve">Further work </w:t>
      </w:r>
      <w:r w:rsidR="00E10431">
        <w:t>on labour market fluidity</w:t>
      </w:r>
      <w:r w:rsidR="009B0308">
        <w:t>, its causes and</w:t>
      </w:r>
      <w:r w:rsidR="00E10431">
        <w:t xml:space="preserve"> consequences</w:t>
      </w:r>
      <w:r w:rsidR="009B0308">
        <w:t>, would be well worthwhile.</w:t>
      </w:r>
      <w:r w:rsidR="00CA003A">
        <w:t xml:space="preserve"> This could include distinguishing between job changes that include changes of location, industry or occupation, and also those that are related to key transitions from study to work or work to retirement. Heterogeneity in the </w:t>
      </w:r>
      <w:r w:rsidR="00C84F54">
        <w:t>associations</w:t>
      </w:r>
      <w:r w:rsidR="00CA003A">
        <w:t xml:space="preserve"> could be explored further</w:t>
      </w:r>
      <w:r w:rsidR="00C84F54">
        <w:t xml:space="preserve"> (in datasets with richer demographic information)</w:t>
      </w:r>
      <w:r w:rsidR="00CA003A">
        <w:t xml:space="preserve">, as could the role of young firms as a potential driver of job switching. </w:t>
      </w:r>
      <w:r w:rsidR="00E10431">
        <w:t xml:space="preserve"> </w:t>
      </w:r>
    </w:p>
    <w:p w14:paraId="55F1A460" w14:textId="7780D6A8" w:rsidR="00F012EA" w:rsidRDefault="00AE3264" w:rsidP="00F012EA">
      <w:pPr>
        <w:pStyle w:val="AppendixHeadingLevel2NotNumbered"/>
      </w:pPr>
      <w:r>
        <w:lastRenderedPageBreak/>
        <w:t>References</w:t>
      </w:r>
    </w:p>
    <w:p w14:paraId="686D85FF" w14:textId="4328ABFE" w:rsidR="00E0271A" w:rsidRPr="00971250" w:rsidRDefault="00E0271A" w:rsidP="008627B1">
      <w:pPr>
        <w:rPr>
          <w:color w:val="auto"/>
        </w:rPr>
      </w:pPr>
      <w:r w:rsidRPr="00971250">
        <w:rPr>
          <w:color w:val="auto"/>
        </w:rPr>
        <w:t>Andrews, D. and Hansell, D.</w:t>
      </w:r>
      <w:r w:rsidR="00000E22" w:rsidRPr="00971250">
        <w:rPr>
          <w:color w:val="auto"/>
        </w:rPr>
        <w:t xml:space="preserve"> 2019.</w:t>
      </w:r>
      <w:r w:rsidRPr="00971250">
        <w:rPr>
          <w:color w:val="auto"/>
        </w:rPr>
        <w:t xml:space="preserve"> </w:t>
      </w:r>
      <w:r w:rsidR="00000E22" w:rsidRPr="00971250">
        <w:rPr>
          <w:i/>
          <w:color w:val="auto"/>
        </w:rPr>
        <w:t>Productivity-enhancing labour reallocation in Australia</w:t>
      </w:r>
      <w:r w:rsidR="00000E22" w:rsidRPr="00971250">
        <w:rPr>
          <w:color w:val="auto"/>
        </w:rPr>
        <w:t>, Treasury Working Paper</w:t>
      </w:r>
      <w:r w:rsidR="00950D6D" w:rsidRPr="00971250">
        <w:rPr>
          <w:color w:val="auto"/>
        </w:rPr>
        <w:t xml:space="preserve"> 2019-06</w:t>
      </w:r>
      <w:r w:rsidR="00000E22" w:rsidRPr="00971250">
        <w:rPr>
          <w:color w:val="auto"/>
        </w:rPr>
        <w:t>.</w:t>
      </w:r>
    </w:p>
    <w:p w14:paraId="4E60926B" w14:textId="5993ECA7" w:rsidR="00000E22" w:rsidRPr="00971250" w:rsidRDefault="00000E22" w:rsidP="008627B1">
      <w:pPr>
        <w:rPr>
          <w:color w:val="auto"/>
        </w:rPr>
      </w:pPr>
      <w:r w:rsidRPr="00971250">
        <w:rPr>
          <w:color w:val="auto"/>
        </w:rPr>
        <w:t>Andrews, D., Deutscher, N., Hambur, J. and Hansell, D.</w:t>
      </w:r>
      <w:r w:rsidR="00D864D7" w:rsidRPr="00971250">
        <w:rPr>
          <w:color w:val="auto"/>
        </w:rPr>
        <w:t xml:space="preserve"> 2019.</w:t>
      </w:r>
      <w:r w:rsidRPr="00971250">
        <w:rPr>
          <w:color w:val="auto"/>
        </w:rPr>
        <w:t xml:space="preserve"> </w:t>
      </w:r>
      <w:r w:rsidRPr="00971250">
        <w:rPr>
          <w:i/>
          <w:color w:val="auto"/>
        </w:rPr>
        <w:t>Wage growth in Australia: lessons from longitudinal microdata</w:t>
      </w:r>
      <w:r w:rsidRPr="00971250">
        <w:rPr>
          <w:color w:val="auto"/>
        </w:rPr>
        <w:t xml:space="preserve">. Treasury Working Paper 2019-04. </w:t>
      </w:r>
    </w:p>
    <w:p w14:paraId="60053CA3" w14:textId="03032D8B" w:rsidR="00153F10" w:rsidRPr="00971250" w:rsidRDefault="00153F10" w:rsidP="008627B1">
      <w:pPr>
        <w:rPr>
          <w:rFonts w:cs="Arial"/>
          <w:color w:val="auto"/>
          <w:shd w:val="clear" w:color="auto" w:fill="FFFFFF"/>
        </w:rPr>
      </w:pPr>
      <w:r w:rsidRPr="00971250">
        <w:rPr>
          <w:color w:val="auto"/>
        </w:rPr>
        <w:t xml:space="preserve">Arsov, I. and Evans, R., 2018. Wage growth in advanced economies. </w:t>
      </w:r>
      <w:r w:rsidRPr="00971250">
        <w:rPr>
          <w:i/>
          <w:iCs/>
          <w:color w:val="auto"/>
        </w:rPr>
        <w:t>Reserve Bank of Australia Bulletin</w:t>
      </w:r>
      <w:r w:rsidRPr="00971250">
        <w:rPr>
          <w:color w:val="auto"/>
        </w:rPr>
        <w:t>, pp.132-52.</w:t>
      </w:r>
    </w:p>
    <w:p w14:paraId="30E22944" w14:textId="77645B08" w:rsidR="00962198" w:rsidRPr="00971250" w:rsidRDefault="00962198" w:rsidP="008627B1">
      <w:pPr>
        <w:rPr>
          <w:rFonts w:cs="Arial"/>
          <w:color w:val="auto"/>
          <w:shd w:val="clear" w:color="auto" w:fill="FFFFFF"/>
        </w:rPr>
      </w:pPr>
      <w:r w:rsidRPr="00971250">
        <w:rPr>
          <w:rFonts w:cs="Arial"/>
          <w:color w:val="auto"/>
          <w:shd w:val="clear" w:color="auto" w:fill="FFFFFF"/>
        </w:rPr>
        <w:t>Australian Bureau of Statistics</w:t>
      </w:r>
      <w:r w:rsidR="00BB77A1" w:rsidRPr="00971250">
        <w:rPr>
          <w:rFonts w:cs="Arial"/>
          <w:color w:val="auto"/>
          <w:shd w:val="clear" w:color="auto" w:fill="FFFFFF"/>
        </w:rPr>
        <w:t xml:space="preserve"> (ABS)</w:t>
      </w:r>
      <w:r w:rsidR="001D3FF2" w:rsidRPr="00971250">
        <w:rPr>
          <w:rFonts w:cs="Arial"/>
          <w:color w:val="auto"/>
          <w:shd w:val="clear" w:color="auto" w:fill="FFFFFF"/>
        </w:rPr>
        <w:t xml:space="preserve"> </w:t>
      </w:r>
      <w:r w:rsidRPr="00971250">
        <w:rPr>
          <w:rFonts w:cs="Arial"/>
          <w:color w:val="auto"/>
          <w:shd w:val="clear" w:color="auto" w:fill="FFFFFF"/>
        </w:rPr>
        <w:t>2018</w:t>
      </w:r>
      <w:r w:rsidR="00077791" w:rsidRPr="00971250">
        <w:rPr>
          <w:rFonts w:cs="Arial"/>
          <w:color w:val="auto"/>
          <w:shd w:val="clear" w:color="auto" w:fill="FFFFFF"/>
        </w:rPr>
        <w:t>a</w:t>
      </w:r>
      <w:r w:rsidRPr="00971250">
        <w:rPr>
          <w:rFonts w:cs="Arial"/>
          <w:color w:val="auto"/>
          <w:shd w:val="clear" w:color="auto" w:fill="FFFFFF"/>
        </w:rPr>
        <w:t xml:space="preserve">. </w:t>
      </w:r>
      <w:r w:rsidR="00B06CA3" w:rsidRPr="00971250">
        <w:rPr>
          <w:rFonts w:cs="Arial"/>
          <w:color w:val="auto"/>
          <w:shd w:val="clear" w:color="auto" w:fill="FFFFFF"/>
        </w:rPr>
        <w:t>Participation, Job Search and Mobility, Australia, February 2018, Cat. No. 6226.0, Australian Bureau of Statistics, Canberra.</w:t>
      </w:r>
    </w:p>
    <w:p w14:paraId="4FC6AED0" w14:textId="19FD0EB0" w:rsidR="00077791" w:rsidRPr="00971250" w:rsidRDefault="00077791" w:rsidP="00077791">
      <w:pPr>
        <w:rPr>
          <w:rFonts w:cs="Arial"/>
          <w:color w:val="auto"/>
          <w:shd w:val="clear" w:color="auto" w:fill="FFFFFF"/>
        </w:rPr>
      </w:pPr>
      <w:r w:rsidRPr="00971250">
        <w:rPr>
          <w:rFonts w:cs="Arial"/>
          <w:color w:val="auto"/>
          <w:shd w:val="clear" w:color="auto" w:fill="FFFFFF"/>
        </w:rPr>
        <w:t xml:space="preserve">Australian Bureau of Statistics </w:t>
      </w:r>
      <w:r w:rsidR="00BB77A1" w:rsidRPr="00971250">
        <w:rPr>
          <w:rFonts w:cs="Arial"/>
          <w:color w:val="auto"/>
          <w:shd w:val="clear" w:color="auto" w:fill="FFFFFF"/>
        </w:rPr>
        <w:t xml:space="preserve">(ABS) </w:t>
      </w:r>
      <w:r w:rsidRPr="00971250">
        <w:rPr>
          <w:rFonts w:cs="Arial"/>
          <w:color w:val="auto"/>
          <w:shd w:val="clear" w:color="auto" w:fill="FFFFFF"/>
        </w:rPr>
        <w:t>2018b. Labour Force, Australia, Detailed –Electronic Delivery, August 2018, Cat. No. 6291.0.55.001, Australian Bureau of Statistics, Canberra.</w:t>
      </w:r>
    </w:p>
    <w:p w14:paraId="5A8DA142" w14:textId="1F3D4595" w:rsidR="00077791" w:rsidRPr="00971250" w:rsidRDefault="00077791" w:rsidP="00077791">
      <w:pPr>
        <w:rPr>
          <w:rFonts w:cs="Arial"/>
          <w:color w:val="auto"/>
          <w:shd w:val="clear" w:color="auto" w:fill="FFFFFF"/>
        </w:rPr>
      </w:pPr>
      <w:r w:rsidRPr="00971250">
        <w:rPr>
          <w:rFonts w:cs="Arial"/>
          <w:color w:val="auto"/>
          <w:shd w:val="clear" w:color="auto" w:fill="FFFFFF"/>
        </w:rPr>
        <w:t xml:space="preserve">Australian Bureau of Statistics </w:t>
      </w:r>
      <w:r w:rsidR="00BB77A1" w:rsidRPr="00971250">
        <w:rPr>
          <w:rFonts w:cs="Arial"/>
          <w:color w:val="auto"/>
          <w:shd w:val="clear" w:color="auto" w:fill="FFFFFF"/>
        </w:rPr>
        <w:t xml:space="preserve">(ABS) </w:t>
      </w:r>
      <w:r w:rsidRPr="00971250">
        <w:rPr>
          <w:rFonts w:cs="Arial"/>
          <w:color w:val="auto"/>
          <w:shd w:val="clear" w:color="auto" w:fill="FFFFFF"/>
        </w:rPr>
        <w:t>2018c. Labour Force, Australia, Detailed, Quarterly, August 2018, Cat. No. 6291.0.55.003, Australian Bureau of Statistics, Canberra.</w:t>
      </w:r>
    </w:p>
    <w:p w14:paraId="6F0F0597" w14:textId="27B87235" w:rsidR="003A0F18" w:rsidRPr="00971250" w:rsidRDefault="003A0F18" w:rsidP="008627B1">
      <w:pPr>
        <w:rPr>
          <w:color w:val="auto"/>
        </w:rPr>
      </w:pPr>
      <w:r w:rsidRPr="00971250">
        <w:rPr>
          <w:color w:val="auto"/>
        </w:rPr>
        <w:t xml:space="preserve">Ball, C., Groshenny, N., Karagedikli, O., Ozbilgin, M., and Robinson, F., 2019, </w:t>
      </w:r>
      <w:r w:rsidRPr="00971250">
        <w:rPr>
          <w:i/>
          <w:color w:val="auto"/>
        </w:rPr>
        <w:t>Low wage growth and job-to-job transitions: Evidence from administrative data in New Zealand</w:t>
      </w:r>
      <w:r w:rsidRPr="00971250">
        <w:rPr>
          <w:color w:val="auto"/>
        </w:rPr>
        <w:t>, University of Adelaide, School of Economics Working Paper, forthcoming.</w:t>
      </w:r>
    </w:p>
    <w:p w14:paraId="0878D29B" w14:textId="2B69D597" w:rsidR="00223E2E" w:rsidRPr="00971250" w:rsidRDefault="00223E2E" w:rsidP="008627B1">
      <w:pPr>
        <w:rPr>
          <w:rFonts w:cs="Arial"/>
          <w:color w:val="auto"/>
          <w:shd w:val="clear" w:color="auto" w:fill="FFFFFF"/>
        </w:rPr>
      </w:pPr>
      <w:r w:rsidRPr="00971250">
        <w:rPr>
          <w:color w:val="auto"/>
        </w:rPr>
        <w:t xml:space="preserve">Bishop, J., Gustafsson, L. and Plumb, M., 2016. Jobs or hours? Cyclical labour market adjustment in Australia. </w:t>
      </w:r>
      <w:r w:rsidRPr="00971250">
        <w:rPr>
          <w:i/>
          <w:iCs/>
          <w:color w:val="auto"/>
        </w:rPr>
        <w:t>Reserve Bank of Australia Research Discussion Paper</w:t>
      </w:r>
      <w:r w:rsidRPr="00971250">
        <w:rPr>
          <w:color w:val="auto"/>
        </w:rPr>
        <w:t>, (2016-06)</w:t>
      </w:r>
      <w:r w:rsidR="00B21AF9" w:rsidRPr="00971250">
        <w:rPr>
          <w:color w:val="auto"/>
        </w:rPr>
        <w:t>, Reserve Bank of Australia</w:t>
      </w:r>
      <w:r w:rsidRPr="00971250">
        <w:rPr>
          <w:color w:val="auto"/>
        </w:rPr>
        <w:t>.</w:t>
      </w:r>
    </w:p>
    <w:p w14:paraId="6CB858A6" w14:textId="3D5288DE" w:rsidR="00805D28" w:rsidRPr="00971250" w:rsidRDefault="00805D28" w:rsidP="008627B1">
      <w:pPr>
        <w:rPr>
          <w:color w:val="auto"/>
        </w:rPr>
      </w:pPr>
      <w:r w:rsidRPr="00971250">
        <w:rPr>
          <w:color w:val="auto"/>
        </w:rPr>
        <w:t xml:space="preserve">Bishop, J. and Cassidy, N., 2017. Insights into low wage growth in Australia. </w:t>
      </w:r>
      <w:r w:rsidRPr="00971250">
        <w:rPr>
          <w:i/>
          <w:iCs/>
          <w:color w:val="auto"/>
        </w:rPr>
        <w:t>RBA Bulletin, March</w:t>
      </w:r>
      <w:r w:rsidRPr="00971250">
        <w:rPr>
          <w:color w:val="auto"/>
        </w:rPr>
        <w:t>, pp.13</w:t>
      </w:r>
      <w:r w:rsidRPr="00971250">
        <w:rPr>
          <w:color w:val="auto"/>
        </w:rPr>
        <w:noBreakHyphen/>
        <w:t>20.</w:t>
      </w:r>
    </w:p>
    <w:p w14:paraId="22598A50" w14:textId="540CAD99" w:rsidR="008B2383" w:rsidRPr="00971250" w:rsidRDefault="008B2383" w:rsidP="008627B1">
      <w:pPr>
        <w:rPr>
          <w:rFonts w:cs="Arial"/>
          <w:color w:val="auto"/>
          <w:shd w:val="clear" w:color="auto" w:fill="FFFFFF"/>
        </w:rPr>
      </w:pPr>
      <w:r w:rsidRPr="00971250">
        <w:rPr>
          <w:rFonts w:cs="Arial"/>
          <w:color w:val="auto"/>
          <w:shd w:val="clear" w:color="auto" w:fill="FFFFFF"/>
        </w:rPr>
        <w:t>Burdett, K. and Mortensen, D.T., 1998. Wage differentials, employer size, and unemployment. </w:t>
      </w:r>
      <w:r w:rsidRPr="00971250">
        <w:rPr>
          <w:rFonts w:cs="Arial"/>
          <w:i/>
          <w:iCs/>
          <w:color w:val="auto"/>
          <w:shd w:val="clear" w:color="auto" w:fill="FFFFFF"/>
        </w:rPr>
        <w:t>International Economic Review</w:t>
      </w:r>
      <w:r w:rsidRPr="00971250">
        <w:rPr>
          <w:rFonts w:cs="Arial"/>
          <w:color w:val="auto"/>
          <w:shd w:val="clear" w:color="auto" w:fill="FFFFFF"/>
        </w:rPr>
        <w:t>, pp.257-73.</w:t>
      </w:r>
    </w:p>
    <w:p w14:paraId="5F8E29A6" w14:textId="26856281" w:rsidR="00751AA3" w:rsidRPr="00971250" w:rsidRDefault="00751AA3" w:rsidP="008627B1">
      <w:pPr>
        <w:rPr>
          <w:rFonts w:cs="Arial"/>
          <w:color w:val="auto"/>
          <w:shd w:val="clear" w:color="auto" w:fill="FFFFFF"/>
        </w:rPr>
      </w:pPr>
      <w:r w:rsidRPr="00971250">
        <w:rPr>
          <w:rFonts w:cs="Arial"/>
          <w:color w:val="auto"/>
          <w:shd w:val="clear" w:color="auto" w:fill="FFFFFF"/>
        </w:rPr>
        <w:t>Cassidy, N. 2019. ‘</w:t>
      </w:r>
      <w:r w:rsidRPr="00971250">
        <w:rPr>
          <w:rFonts w:cs="Arial"/>
          <w:color w:val="auto"/>
        </w:rPr>
        <w:t xml:space="preserve">Low Wages Growth: An Introduction’ in </w:t>
      </w:r>
      <w:r w:rsidRPr="00971250">
        <w:rPr>
          <w:rFonts w:cs="Arial"/>
          <w:i/>
          <w:color w:val="auto"/>
        </w:rPr>
        <w:t>RBA 2019 Annual Conference: Low Wage Growth</w:t>
      </w:r>
      <w:r w:rsidRPr="00971250">
        <w:rPr>
          <w:rFonts w:cs="Arial"/>
          <w:color w:val="auto"/>
        </w:rPr>
        <w:t>, Reserve Bank of Australia, Sydney.</w:t>
      </w:r>
    </w:p>
    <w:p w14:paraId="0732D973" w14:textId="68AE0A04" w:rsidR="00EB421D" w:rsidRPr="00971250" w:rsidRDefault="00EB421D" w:rsidP="008627B1">
      <w:pPr>
        <w:rPr>
          <w:color w:val="auto"/>
          <w:lang w:val="en"/>
        </w:rPr>
      </w:pPr>
      <w:r w:rsidRPr="00971250">
        <w:rPr>
          <w:rFonts w:cs="Arial"/>
          <w:color w:val="auto"/>
          <w:shd w:val="clear" w:color="auto" w:fill="FFFFFF"/>
        </w:rPr>
        <w:t xml:space="preserve">Cooper, J. and Corcoran, J. 2018, Journey to Work in Australia. </w:t>
      </w:r>
      <w:r w:rsidRPr="00971250">
        <w:rPr>
          <w:i/>
          <w:color w:val="auto"/>
          <w:lang w:val="en"/>
        </w:rPr>
        <w:t>Census of Population and Housing: Commuting to Work - More Stories from the Census, 2016</w:t>
      </w:r>
      <w:r w:rsidR="004A0901" w:rsidRPr="00971250">
        <w:rPr>
          <w:color w:val="auto"/>
          <w:lang w:val="en"/>
        </w:rPr>
        <w:t>. Cat. No. 2071.0.55.001, Australian Bureau of Statistics, Canberra.</w:t>
      </w:r>
      <w:r w:rsidR="00AC01E1" w:rsidRPr="00971250">
        <w:rPr>
          <w:color w:val="auto"/>
          <w:lang w:val="en"/>
        </w:rPr>
        <w:t xml:space="preserve"> </w:t>
      </w:r>
    </w:p>
    <w:p w14:paraId="77C332E3" w14:textId="36EE0A9A" w:rsidR="00B21AF9" w:rsidRPr="00971250" w:rsidRDefault="00B21AF9" w:rsidP="008627B1">
      <w:pPr>
        <w:rPr>
          <w:rFonts w:cs="Arial"/>
          <w:color w:val="auto"/>
          <w:shd w:val="clear" w:color="auto" w:fill="FFFFFF"/>
        </w:rPr>
      </w:pPr>
      <w:r w:rsidRPr="00971250">
        <w:rPr>
          <w:color w:val="auto"/>
        </w:rPr>
        <w:t xml:space="preserve">Davis, S. J. and Haltiwanger, J., 2014. </w:t>
      </w:r>
      <w:r w:rsidRPr="00971250">
        <w:rPr>
          <w:iCs/>
          <w:color w:val="auto"/>
        </w:rPr>
        <w:t xml:space="preserve">Labor market fluidity and economic performance. </w:t>
      </w:r>
      <w:r w:rsidRPr="00971250">
        <w:rPr>
          <w:color w:val="auto"/>
        </w:rPr>
        <w:t>NBER Working Paper No. 20479, National Bureau of Economic Research.</w:t>
      </w:r>
    </w:p>
    <w:p w14:paraId="3E1192A2" w14:textId="11FDE06B" w:rsidR="00186E85" w:rsidRPr="00971250" w:rsidRDefault="00186E85" w:rsidP="008627B1">
      <w:pPr>
        <w:rPr>
          <w:rFonts w:cs="Arial"/>
          <w:color w:val="auto"/>
          <w:shd w:val="clear" w:color="auto" w:fill="FFFFFF"/>
        </w:rPr>
      </w:pPr>
      <w:r w:rsidRPr="00971250">
        <w:rPr>
          <w:rFonts w:cs="Arial"/>
          <w:color w:val="auto"/>
          <w:shd w:val="clear" w:color="auto" w:fill="FFFFFF"/>
        </w:rPr>
        <w:t xml:space="preserve">Ellis, Luci 2019. What’s up (and down) with households? </w:t>
      </w:r>
      <w:r w:rsidRPr="00971250">
        <w:rPr>
          <w:rFonts w:cs="Arial"/>
          <w:i/>
          <w:color w:val="auto"/>
          <w:shd w:val="clear" w:color="auto" w:fill="FFFFFF"/>
        </w:rPr>
        <w:t>Address to Housing Industry Association March Industry Outlook Breakfast</w:t>
      </w:r>
      <w:r w:rsidRPr="00971250">
        <w:rPr>
          <w:rFonts w:cs="Arial"/>
          <w:color w:val="auto"/>
          <w:shd w:val="clear" w:color="auto" w:fill="FFFFFF"/>
        </w:rPr>
        <w:t>, Sydney, 26 March 2019.</w:t>
      </w:r>
    </w:p>
    <w:p w14:paraId="4AC747D7" w14:textId="254408C7" w:rsidR="00AE3264" w:rsidRPr="00971250" w:rsidRDefault="00FB393E" w:rsidP="008627B1">
      <w:pPr>
        <w:rPr>
          <w:rFonts w:cs="Arial"/>
          <w:color w:val="auto"/>
          <w:shd w:val="clear" w:color="auto" w:fill="FFFFFF"/>
        </w:rPr>
      </w:pPr>
      <w:r w:rsidRPr="00971250">
        <w:rPr>
          <w:rFonts w:cs="Arial"/>
          <w:color w:val="auto"/>
          <w:shd w:val="clear" w:color="auto" w:fill="FFFFFF"/>
        </w:rPr>
        <w:t>Faberman, R.J. and Justiniano, A., 2015. Job switching and wage growth. </w:t>
      </w:r>
      <w:r w:rsidRPr="00971250">
        <w:rPr>
          <w:rFonts w:cs="Arial"/>
          <w:i/>
          <w:iCs/>
          <w:color w:val="auto"/>
          <w:shd w:val="clear" w:color="auto" w:fill="FFFFFF"/>
        </w:rPr>
        <w:t>Chicago Fed Letter</w:t>
      </w:r>
      <w:r w:rsidRPr="00971250">
        <w:rPr>
          <w:rFonts w:cs="Arial"/>
          <w:color w:val="auto"/>
          <w:shd w:val="clear" w:color="auto" w:fill="FFFFFF"/>
        </w:rPr>
        <w:t>.</w:t>
      </w:r>
    </w:p>
    <w:p w14:paraId="381F05E4" w14:textId="4AD74E50" w:rsidR="007D315F" w:rsidRPr="00971250" w:rsidRDefault="007D315F" w:rsidP="008627B1">
      <w:pPr>
        <w:rPr>
          <w:rFonts w:eastAsia="Times New Roman" w:cs="Times New Roman"/>
          <w:color w:val="auto"/>
          <w:lang w:eastAsia="en-AU"/>
        </w:rPr>
      </w:pPr>
      <w:r w:rsidRPr="00971250">
        <w:rPr>
          <w:color w:val="auto"/>
        </w:rPr>
        <w:t xml:space="preserve">Freestone, O., 2018. The Drivers of Life‐Cycle Wage Inequality in Australia. </w:t>
      </w:r>
      <w:r w:rsidRPr="00971250">
        <w:rPr>
          <w:i/>
          <w:iCs/>
          <w:color w:val="auto"/>
        </w:rPr>
        <w:t>Economic Record</w:t>
      </w:r>
      <w:r w:rsidRPr="00971250">
        <w:rPr>
          <w:color w:val="auto"/>
        </w:rPr>
        <w:t xml:space="preserve">, </w:t>
      </w:r>
      <w:r w:rsidRPr="00971250">
        <w:rPr>
          <w:i/>
          <w:iCs/>
          <w:color w:val="auto"/>
        </w:rPr>
        <w:t>94</w:t>
      </w:r>
      <w:r w:rsidRPr="00971250">
        <w:rPr>
          <w:color w:val="auto"/>
        </w:rPr>
        <w:t>(307), pp.424-44.</w:t>
      </w:r>
    </w:p>
    <w:p w14:paraId="271785AF" w14:textId="40E43D29" w:rsidR="001D333D" w:rsidRPr="00971250" w:rsidRDefault="001D333D" w:rsidP="008627B1">
      <w:pPr>
        <w:rPr>
          <w:rFonts w:eastAsia="Times New Roman" w:cs="Times New Roman"/>
          <w:color w:val="auto"/>
          <w:lang w:eastAsia="en-AU"/>
        </w:rPr>
      </w:pPr>
      <w:r w:rsidRPr="00971250">
        <w:rPr>
          <w:rFonts w:eastAsia="Times New Roman" w:cs="Times New Roman"/>
          <w:color w:val="auto"/>
          <w:lang w:eastAsia="en-AU"/>
        </w:rPr>
        <w:lastRenderedPageBreak/>
        <w:t xml:space="preserve">Gong, X. and Breunig, R., 2014. Channels of labour supply responses of lone parents to changed work incentives. </w:t>
      </w:r>
      <w:r w:rsidRPr="00971250">
        <w:rPr>
          <w:rFonts w:eastAsia="Times New Roman" w:cs="Times New Roman"/>
          <w:i/>
          <w:iCs/>
          <w:color w:val="auto"/>
          <w:lang w:eastAsia="en-AU"/>
        </w:rPr>
        <w:t>Oxford Economic Papers</w:t>
      </w:r>
      <w:r w:rsidRPr="00971250">
        <w:rPr>
          <w:rFonts w:eastAsia="Times New Roman" w:cs="Times New Roman"/>
          <w:color w:val="auto"/>
          <w:lang w:eastAsia="en-AU"/>
        </w:rPr>
        <w:t xml:space="preserve">, </w:t>
      </w:r>
      <w:r w:rsidRPr="00971250">
        <w:rPr>
          <w:rFonts w:eastAsia="Times New Roman" w:cs="Times New Roman"/>
          <w:i/>
          <w:iCs/>
          <w:color w:val="auto"/>
          <w:lang w:eastAsia="en-AU"/>
        </w:rPr>
        <w:t>66</w:t>
      </w:r>
      <w:r w:rsidRPr="00971250">
        <w:rPr>
          <w:rFonts w:eastAsia="Times New Roman" w:cs="Times New Roman"/>
          <w:color w:val="auto"/>
          <w:lang w:eastAsia="en-AU"/>
        </w:rPr>
        <w:t>(4), pp.916-39.</w:t>
      </w:r>
    </w:p>
    <w:p w14:paraId="7EF89065" w14:textId="37249EE9" w:rsidR="00D864D7" w:rsidRPr="00971250" w:rsidRDefault="00D864D7" w:rsidP="008627B1">
      <w:pPr>
        <w:rPr>
          <w:rFonts w:cs="Arial"/>
          <w:color w:val="auto"/>
          <w:shd w:val="clear" w:color="auto" w:fill="FFFFFF"/>
        </w:rPr>
      </w:pPr>
      <w:r w:rsidRPr="00971250">
        <w:rPr>
          <w:rFonts w:cs="Arial"/>
          <w:color w:val="auto"/>
          <w:shd w:val="clear" w:color="auto" w:fill="FFFFFF"/>
        </w:rPr>
        <w:t xml:space="preserve">Haldane, A. 2019. Climbing the jobs ladder. </w:t>
      </w:r>
      <w:r w:rsidRPr="00971250">
        <w:rPr>
          <w:rFonts w:cs="Arial"/>
          <w:i/>
          <w:color w:val="auto"/>
          <w:shd w:val="clear" w:color="auto" w:fill="FFFFFF"/>
        </w:rPr>
        <w:t>Speech at Glanford Park Stadium</w:t>
      </w:r>
      <w:r w:rsidRPr="00971250">
        <w:rPr>
          <w:rFonts w:cs="Arial"/>
          <w:color w:val="auto"/>
          <w:shd w:val="clear" w:color="auto" w:fill="FFFFFF"/>
        </w:rPr>
        <w:t xml:space="preserve">. Scunthorpe, 23 July 2019. </w:t>
      </w:r>
    </w:p>
    <w:p w14:paraId="7476C70E" w14:textId="0D2FC73B" w:rsidR="00796469" w:rsidRPr="00971250" w:rsidRDefault="00796469" w:rsidP="008627B1">
      <w:pPr>
        <w:rPr>
          <w:rFonts w:cs="Arial"/>
          <w:color w:val="auto"/>
          <w:shd w:val="clear" w:color="auto" w:fill="FFFFFF"/>
        </w:rPr>
      </w:pPr>
      <w:r w:rsidRPr="00971250">
        <w:rPr>
          <w:rFonts w:cs="Arial"/>
          <w:color w:val="auto"/>
          <w:shd w:val="clear" w:color="auto" w:fill="FFFFFF"/>
        </w:rPr>
        <w:t xml:space="preserve">Karagedikli, </w:t>
      </w:r>
      <w:r w:rsidR="00F139F7" w:rsidRPr="00971250">
        <w:rPr>
          <w:rFonts w:cs="Arial"/>
          <w:color w:val="auto"/>
          <w:shd w:val="clear" w:color="auto" w:fill="FFFFFF"/>
        </w:rPr>
        <w:t>Ö</w:t>
      </w:r>
      <w:r w:rsidRPr="00971250">
        <w:rPr>
          <w:rFonts w:cs="Arial"/>
          <w:color w:val="auto"/>
          <w:shd w:val="clear" w:color="auto" w:fill="FFFFFF"/>
        </w:rPr>
        <w:t>. 2018. Job-to-job flows and inflation: Evidence from administrative data</w:t>
      </w:r>
      <w:r w:rsidR="00F139F7" w:rsidRPr="00971250">
        <w:rPr>
          <w:rFonts w:cs="Arial"/>
          <w:color w:val="auto"/>
          <w:shd w:val="clear" w:color="auto" w:fill="FFFFFF"/>
        </w:rPr>
        <w:t xml:space="preserve">. </w:t>
      </w:r>
      <w:r w:rsidR="00F139F7" w:rsidRPr="00971250">
        <w:rPr>
          <w:rFonts w:cs="Arial"/>
          <w:i/>
          <w:color w:val="auto"/>
          <w:shd w:val="clear" w:color="auto" w:fill="FFFFFF"/>
        </w:rPr>
        <w:t>Reserve Bank of New Zealand Analytical Note</w:t>
      </w:r>
      <w:r w:rsidR="00F139F7" w:rsidRPr="00971250">
        <w:rPr>
          <w:rFonts w:cs="Arial"/>
          <w:color w:val="auto"/>
          <w:shd w:val="clear" w:color="auto" w:fill="FFFFFF"/>
        </w:rPr>
        <w:t xml:space="preserve"> 2018-09.</w:t>
      </w:r>
      <w:r w:rsidRPr="00971250">
        <w:rPr>
          <w:rFonts w:cs="Arial"/>
          <w:color w:val="auto"/>
          <w:shd w:val="clear" w:color="auto" w:fill="FFFFFF"/>
        </w:rPr>
        <w:t xml:space="preserve"> </w:t>
      </w:r>
    </w:p>
    <w:p w14:paraId="47090DFF" w14:textId="0F0B2F88" w:rsidR="00E20B2F" w:rsidRPr="00971250" w:rsidRDefault="00AE3264" w:rsidP="008627B1">
      <w:pPr>
        <w:rPr>
          <w:rFonts w:cs="Arial"/>
          <w:color w:val="auto"/>
          <w:shd w:val="clear" w:color="auto" w:fill="FFFFFF"/>
        </w:rPr>
      </w:pPr>
      <w:r w:rsidRPr="00971250">
        <w:rPr>
          <w:rFonts w:cs="Arial"/>
          <w:color w:val="auto"/>
          <w:shd w:val="clear" w:color="auto" w:fill="FFFFFF"/>
        </w:rPr>
        <w:t>Karahan, F., Michaels, R., Pugsley, B., Şahin, A. and Schuh, R., 2017. Do Job-to-Job Transitions Drive Wage Fluctuations over the Business Cycle? </w:t>
      </w:r>
      <w:r w:rsidRPr="00971250">
        <w:rPr>
          <w:rFonts w:cs="Arial"/>
          <w:i/>
          <w:iCs/>
          <w:color w:val="auto"/>
          <w:shd w:val="clear" w:color="auto" w:fill="FFFFFF"/>
        </w:rPr>
        <w:t>American Economic Review</w:t>
      </w:r>
      <w:r w:rsidRPr="00971250">
        <w:rPr>
          <w:rFonts w:cs="Arial"/>
          <w:color w:val="auto"/>
          <w:shd w:val="clear" w:color="auto" w:fill="FFFFFF"/>
        </w:rPr>
        <w:t>, </w:t>
      </w:r>
      <w:r w:rsidRPr="00971250">
        <w:rPr>
          <w:rFonts w:cs="Arial"/>
          <w:i/>
          <w:iCs/>
          <w:color w:val="auto"/>
          <w:shd w:val="clear" w:color="auto" w:fill="FFFFFF"/>
        </w:rPr>
        <w:t>107</w:t>
      </w:r>
      <w:r w:rsidRPr="00971250">
        <w:rPr>
          <w:rFonts w:cs="Arial"/>
          <w:color w:val="auto"/>
          <w:shd w:val="clear" w:color="auto" w:fill="FFFFFF"/>
        </w:rPr>
        <w:t>(5), pp.353-57.</w:t>
      </w:r>
    </w:p>
    <w:p w14:paraId="68C2AD08" w14:textId="5292A36E" w:rsidR="001D3FF2" w:rsidRPr="00971250" w:rsidRDefault="001D3FF2" w:rsidP="008627B1">
      <w:pPr>
        <w:rPr>
          <w:rFonts w:cs="Arial"/>
          <w:color w:val="auto"/>
          <w:shd w:val="clear" w:color="auto" w:fill="FFFFFF"/>
        </w:rPr>
      </w:pPr>
      <w:r w:rsidRPr="00971250">
        <w:rPr>
          <w:rFonts w:cs="Arial"/>
          <w:color w:val="auto"/>
          <w:shd w:val="clear" w:color="auto" w:fill="FFFFFF"/>
        </w:rPr>
        <w:t>Lowe, P</w:t>
      </w:r>
      <w:r w:rsidR="007E27E8" w:rsidRPr="00971250">
        <w:rPr>
          <w:rFonts w:cs="Arial"/>
          <w:color w:val="auto"/>
          <w:shd w:val="clear" w:color="auto" w:fill="FFFFFF"/>
        </w:rPr>
        <w:t>.</w:t>
      </w:r>
      <w:r w:rsidRPr="00971250">
        <w:rPr>
          <w:rFonts w:cs="Arial"/>
          <w:color w:val="auto"/>
          <w:shd w:val="clear" w:color="auto" w:fill="FFFFFF"/>
        </w:rPr>
        <w:t xml:space="preserve"> 2017. The labour market and monetary policy. </w:t>
      </w:r>
      <w:r w:rsidRPr="00971250">
        <w:rPr>
          <w:rFonts w:cs="Arial"/>
          <w:i/>
          <w:color w:val="auto"/>
          <w:shd w:val="clear" w:color="auto" w:fill="FFFFFF"/>
        </w:rPr>
        <w:t>Address to the Anika Foundation Luncheon</w:t>
      </w:r>
      <w:r w:rsidRPr="00971250">
        <w:rPr>
          <w:rFonts w:cs="Arial"/>
          <w:color w:val="auto"/>
          <w:shd w:val="clear" w:color="auto" w:fill="FFFFFF"/>
        </w:rPr>
        <w:t>, Sydney, 26 July 2017.</w:t>
      </w:r>
    </w:p>
    <w:p w14:paraId="366F05AB" w14:textId="5E949BB6" w:rsidR="00C24176" w:rsidRPr="00971250" w:rsidRDefault="00C24176" w:rsidP="00C24176">
      <w:pPr>
        <w:rPr>
          <w:rFonts w:cs="Arial"/>
          <w:color w:val="auto"/>
          <w:shd w:val="clear" w:color="auto" w:fill="FFFFFF"/>
        </w:rPr>
      </w:pPr>
      <w:r w:rsidRPr="00971250">
        <w:rPr>
          <w:rFonts w:cs="Arial"/>
          <w:color w:val="auto"/>
          <w:shd w:val="clear" w:color="auto" w:fill="FFFFFF"/>
        </w:rPr>
        <w:t xml:space="preserve">Lowe, </w:t>
      </w:r>
      <w:r w:rsidR="007E27E8" w:rsidRPr="00971250">
        <w:rPr>
          <w:rFonts w:cs="Arial"/>
          <w:color w:val="auto"/>
          <w:shd w:val="clear" w:color="auto" w:fill="FFFFFF"/>
        </w:rPr>
        <w:t xml:space="preserve">P. </w:t>
      </w:r>
      <w:r w:rsidRPr="00971250">
        <w:rPr>
          <w:rFonts w:cs="Arial"/>
          <w:color w:val="auto"/>
          <w:shd w:val="clear" w:color="auto" w:fill="FFFFFF"/>
        </w:rPr>
        <w:t xml:space="preserve">2018. Productivity, wages and prosperity. </w:t>
      </w:r>
      <w:r w:rsidRPr="00971250">
        <w:rPr>
          <w:rFonts w:cs="Arial"/>
          <w:i/>
          <w:color w:val="auto"/>
          <w:shd w:val="clear" w:color="auto" w:fill="FFFFFF"/>
        </w:rPr>
        <w:t>Address to the Australian Industry Group</w:t>
      </w:r>
      <w:r w:rsidRPr="00971250">
        <w:rPr>
          <w:rFonts w:cs="Arial"/>
          <w:color w:val="auto"/>
          <w:shd w:val="clear" w:color="auto" w:fill="FFFFFF"/>
        </w:rPr>
        <w:t>, Melbourne, 13 June 2018.</w:t>
      </w:r>
    </w:p>
    <w:p w14:paraId="57066D72" w14:textId="40D34FB7" w:rsidR="006D59EC" w:rsidRPr="00971250" w:rsidRDefault="006D59EC" w:rsidP="008627B1">
      <w:pPr>
        <w:rPr>
          <w:rFonts w:cs="Arial"/>
          <w:color w:val="auto"/>
          <w:shd w:val="clear" w:color="auto" w:fill="FFFFFF"/>
        </w:rPr>
      </w:pPr>
      <w:r w:rsidRPr="00971250">
        <w:rPr>
          <w:color w:val="auto"/>
        </w:rPr>
        <w:t xml:space="preserve">Mortensen, D. T. and Pissarides, C. A., 1994. Job creation and job destruction in the theory of unemployment. </w:t>
      </w:r>
      <w:r w:rsidRPr="00971250">
        <w:rPr>
          <w:i/>
          <w:iCs/>
          <w:color w:val="auto"/>
        </w:rPr>
        <w:t>The Review of Economic Studies</w:t>
      </w:r>
      <w:r w:rsidRPr="00971250">
        <w:rPr>
          <w:color w:val="auto"/>
        </w:rPr>
        <w:t xml:space="preserve">, </w:t>
      </w:r>
      <w:r w:rsidRPr="00971250">
        <w:rPr>
          <w:i/>
          <w:iCs/>
          <w:color w:val="auto"/>
        </w:rPr>
        <w:t>61</w:t>
      </w:r>
      <w:r w:rsidRPr="00971250">
        <w:rPr>
          <w:color w:val="auto"/>
        </w:rPr>
        <w:t>(3), pp.397-415.</w:t>
      </w:r>
    </w:p>
    <w:p w14:paraId="06D581CF" w14:textId="3B2B1B85" w:rsidR="00FB393E" w:rsidRPr="00971250" w:rsidRDefault="00FB393E" w:rsidP="008627B1">
      <w:pPr>
        <w:rPr>
          <w:rFonts w:cs="Arial"/>
          <w:color w:val="auto"/>
          <w:shd w:val="clear" w:color="auto" w:fill="FFFFFF"/>
        </w:rPr>
      </w:pPr>
      <w:r w:rsidRPr="00971250">
        <w:rPr>
          <w:rFonts w:cs="Arial"/>
          <w:color w:val="auto"/>
          <w:shd w:val="clear" w:color="auto" w:fill="FFFFFF"/>
        </w:rPr>
        <w:t>Moscarini, G. and Postel-Vinay, F., 2016a. Wage posting and business cycles: A quantitative exploration. </w:t>
      </w:r>
      <w:r w:rsidRPr="00971250">
        <w:rPr>
          <w:rFonts w:cs="Arial"/>
          <w:i/>
          <w:iCs/>
          <w:color w:val="auto"/>
          <w:shd w:val="clear" w:color="auto" w:fill="FFFFFF"/>
        </w:rPr>
        <w:t>Review of Economic Dynamics</w:t>
      </w:r>
      <w:r w:rsidRPr="00971250">
        <w:rPr>
          <w:rFonts w:cs="Arial"/>
          <w:color w:val="auto"/>
          <w:shd w:val="clear" w:color="auto" w:fill="FFFFFF"/>
        </w:rPr>
        <w:t>, </w:t>
      </w:r>
      <w:r w:rsidRPr="00971250">
        <w:rPr>
          <w:rFonts w:cs="Arial"/>
          <w:i/>
          <w:iCs/>
          <w:color w:val="auto"/>
          <w:shd w:val="clear" w:color="auto" w:fill="FFFFFF"/>
        </w:rPr>
        <w:t>19</w:t>
      </w:r>
      <w:r w:rsidRPr="00971250">
        <w:rPr>
          <w:rFonts w:cs="Arial"/>
          <w:color w:val="auto"/>
          <w:shd w:val="clear" w:color="auto" w:fill="FFFFFF"/>
        </w:rPr>
        <w:t>, pp.135-60.</w:t>
      </w:r>
    </w:p>
    <w:p w14:paraId="258C4041" w14:textId="0C41F1A3" w:rsidR="00FB393E" w:rsidRPr="00971250" w:rsidRDefault="00FB393E" w:rsidP="008627B1">
      <w:pPr>
        <w:rPr>
          <w:color w:val="auto"/>
        </w:rPr>
      </w:pPr>
      <w:r w:rsidRPr="00971250">
        <w:rPr>
          <w:rFonts w:cs="Arial"/>
          <w:color w:val="auto"/>
          <w:shd w:val="clear" w:color="auto" w:fill="FFFFFF"/>
        </w:rPr>
        <w:t>Moscarini, G. and Postel-Vinay, F., 2016b. Wage posting and business cycles. </w:t>
      </w:r>
      <w:r w:rsidRPr="00971250">
        <w:rPr>
          <w:rFonts w:cs="Arial"/>
          <w:i/>
          <w:iCs/>
          <w:color w:val="auto"/>
          <w:shd w:val="clear" w:color="auto" w:fill="FFFFFF"/>
        </w:rPr>
        <w:t>American Economic Review</w:t>
      </w:r>
      <w:r w:rsidRPr="00971250">
        <w:rPr>
          <w:rFonts w:cs="Arial"/>
          <w:color w:val="auto"/>
          <w:shd w:val="clear" w:color="auto" w:fill="FFFFFF"/>
        </w:rPr>
        <w:t>, </w:t>
      </w:r>
      <w:r w:rsidRPr="00971250">
        <w:rPr>
          <w:rFonts w:cs="Arial"/>
          <w:i/>
          <w:iCs/>
          <w:color w:val="auto"/>
          <w:shd w:val="clear" w:color="auto" w:fill="FFFFFF"/>
        </w:rPr>
        <w:t>106</w:t>
      </w:r>
      <w:r w:rsidRPr="00971250">
        <w:rPr>
          <w:rFonts w:cs="Arial"/>
          <w:color w:val="auto"/>
          <w:shd w:val="clear" w:color="auto" w:fill="FFFFFF"/>
        </w:rPr>
        <w:t>(5), pp.208-13.</w:t>
      </w:r>
    </w:p>
    <w:p w14:paraId="55599285" w14:textId="0EA9E0E2" w:rsidR="00E20B2F" w:rsidRPr="00971250" w:rsidRDefault="00E20B2F" w:rsidP="008627B1">
      <w:pPr>
        <w:rPr>
          <w:rFonts w:cs="Arial"/>
          <w:color w:val="auto"/>
          <w:shd w:val="clear" w:color="auto" w:fill="FFFFFF"/>
        </w:rPr>
      </w:pPr>
      <w:r w:rsidRPr="00971250">
        <w:rPr>
          <w:rFonts w:cs="Arial"/>
          <w:color w:val="auto"/>
          <w:shd w:val="clear" w:color="auto" w:fill="FFFFFF"/>
        </w:rPr>
        <w:t>Moscarini, G. and Postel-Vinay, F., 2017. The Relative Power of Employment-to-Employment Reallocation and Unemployment Exits in Predicting Wage Growth. </w:t>
      </w:r>
      <w:r w:rsidRPr="00971250">
        <w:rPr>
          <w:rFonts w:cs="Arial"/>
          <w:i/>
          <w:iCs/>
          <w:color w:val="auto"/>
          <w:shd w:val="clear" w:color="auto" w:fill="FFFFFF"/>
        </w:rPr>
        <w:t>American Economic Review</w:t>
      </w:r>
      <w:r w:rsidRPr="00971250">
        <w:rPr>
          <w:rFonts w:cs="Arial"/>
          <w:color w:val="auto"/>
          <w:shd w:val="clear" w:color="auto" w:fill="FFFFFF"/>
        </w:rPr>
        <w:t>, </w:t>
      </w:r>
      <w:r w:rsidRPr="00971250">
        <w:rPr>
          <w:rFonts w:cs="Arial"/>
          <w:i/>
          <w:iCs/>
          <w:color w:val="auto"/>
          <w:shd w:val="clear" w:color="auto" w:fill="FFFFFF"/>
        </w:rPr>
        <w:t>107</w:t>
      </w:r>
      <w:r w:rsidRPr="00971250">
        <w:rPr>
          <w:rFonts w:cs="Arial"/>
          <w:color w:val="auto"/>
          <w:shd w:val="clear" w:color="auto" w:fill="FFFFFF"/>
        </w:rPr>
        <w:t>(5), pp.364-68.</w:t>
      </w:r>
    </w:p>
    <w:p w14:paraId="26250A15" w14:textId="7F24FBB4" w:rsidR="005A0634" w:rsidRPr="00971250" w:rsidRDefault="007E27E8" w:rsidP="008627B1">
      <w:pPr>
        <w:rPr>
          <w:color w:val="auto"/>
        </w:rPr>
      </w:pPr>
      <w:r w:rsidRPr="00971250">
        <w:rPr>
          <w:color w:val="auto"/>
        </w:rPr>
        <w:t xml:space="preserve">Quinn, M. 2019. What’s driving low wages growth in Australia? </w:t>
      </w:r>
      <w:r w:rsidRPr="00971250">
        <w:rPr>
          <w:i/>
          <w:color w:val="auto"/>
        </w:rPr>
        <w:t>Speech to the Australian Conference of Economists</w:t>
      </w:r>
      <w:r w:rsidRPr="00971250">
        <w:rPr>
          <w:color w:val="auto"/>
        </w:rPr>
        <w:t>, Melbourne</w:t>
      </w:r>
      <w:r w:rsidR="007C4230" w:rsidRPr="00971250">
        <w:rPr>
          <w:color w:val="auto"/>
        </w:rPr>
        <w:t>,</w:t>
      </w:r>
      <w:r w:rsidRPr="00971250">
        <w:rPr>
          <w:color w:val="auto"/>
        </w:rPr>
        <w:t xml:space="preserve"> 16 July 2019.</w:t>
      </w:r>
    </w:p>
    <w:p w14:paraId="1BC032BF" w14:textId="7FCB901C" w:rsidR="008B2383" w:rsidRPr="00971250" w:rsidRDefault="008B2383" w:rsidP="008627B1">
      <w:pPr>
        <w:rPr>
          <w:color w:val="auto"/>
        </w:rPr>
      </w:pPr>
      <w:r w:rsidRPr="00971250">
        <w:rPr>
          <w:rFonts w:cs="Arial"/>
          <w:color w:val="auto"/>
          <w:shd w:val="clear" w:color="auto" w:fill="FFFFFF"/>
        </w:rPr>
        <w:t>The Treasury, 2017. Analysis of wage growth. Australian Government, Canberra.</w:t>
      </w:r>
    </w:p>
    <w:p w14:paraId="48D92765" w14:textId="7BD7AACB" w:rsidR="00DC01B3" w:rsidRDefault="00DC01B3" w:rsidP="008627B1">
      <w:r w:rsidRPr="00971250">
        <w:rPr>
          <w:color w:val="auto"/>
        </w:rPr>
        <w:t xml:space="preserve">Topel, R.H. and Ward, M.P., 1992. Job mobility and the careers of young men. </w:t>
      </w:r>
      <w:r w:rsidRPr="00971250">
        <w:rPr>
          <w:i/>
          <w:iCs/>
          <w:color w:val="auto"/>
        </w:rPr>
        <w:t>The Quarterly Journal of Economics</w:t>
      </w:r>
      <w:r w:rsidRPr="00971250">
        <w:rPr>
          <w:color w:val="auto"/>
        </w:rPr>
        <w:t xml:space="preserve">, </w:t>
      </w:r>
      <w:r w:rsidRPr="00971250">
        <w:rPr>
          <w:i/>
          <w:iCs/>
          <w:color w:val="auto"/>
        </w:rPr>
        <w:t>107</w:t>
      </w:r>
      <w:r w:rsidRPr="00971250">
        <w:rPr>
          <w:color w:val="auto"/>
        </w:rPr>
        <w:t>(2), pp.439-79.</w:t>
      </w:r>
    </w:p>
    <w:p w14:paraId="6C98855C" w14:textId="77777777" w:rsidR="007E27E8" w:rsidRPr="00B06CA3" w:rsidRDefault="007E27E8" w:rsidP="008627B1">
      <w:pPr>
        <w:sectPr w:rsidR="007E27E8" w:rsidRPr="00B06CA3" w:rsidSect="008C0793">
          <w:pgSz w:w="11906" w:h="16838" w:code="9"/>
          <w:pgMar w:top="1418" w:right="1304" w:bottom="1418" w:left="1304" w:header="567" w:footer="567" w:gutter="0"/>
          <w:cols w:space="708"/>
          <w:titlePg/>
          <w:docGrid w:linePitch="360"/>
        </w:sectPr>
      </w:pPr>
    </w:p>
    <w:p w14:paraId="04A58F5D" w14:textId="4421C98F" w:rsidR="00071410" w:rsidRDefault="00063FA3" w:rsidP="00071410">
      <w:pPr>
        <w:pStyle w:val="AppendixHeadingLevel2NotNumbered"/>
      </w:pPr>
      <w:r>
        <w:lastRenderedPageBreak/>
        <w:t>Appendix A: Additional Tables</w:t>
      </w:r>
    </w:p>
    <w:p w14:paraId="209B7B32" w14:textId="67AFF2EA" w:rsidR="00B0289C" w:rsidRPr="00E91637" w:rsidRDefault="00B0289C" w:rsidP="00E91637">
      <w:pPr>
        <w:pStyle w:val="TableMainHeading"/>
        <w:jc w:val="center"/>
        <w:rPr>
          <w:rStyle w:val="Caption1Char"/>
          <w:rFonts w:eastAsiaTheme="minorHAnsi"/>
        </w:rPr>
      </w:pPr>
      <w:r w:rsidRPr="00E91637">
        <w:rPr>
          <w:rStyle w:val="Caption1Char"/>
          <w:rFonts w:eastAsiaTheme="minorHAnsi"/>
          <w:noProof/>
        </w:rPr>
        <mc:AlternateContent>
          <mc:Choice Requires="wps">
            <w:drawing>
              <wp:anchor distT="0" distB="0" distL="114300" distR="114300" simplePos="0" relativeHeight="251662336" behindDoc="0" locked="0" layoutInCell="1" allowOverlap="1" wp14:anchorId="2BD1394C" wp14:editId="6DD08C38">
                <wp:simplePos x="0" y="0"/>
                <wp:positionH relativeFrom="column">
                  <wp:posOffset>-208915</wp:posOffset>
                </wp:positionH>
                <wp:positionV relativeFrom="paragraph">
                  <wp:posOffset>196215</wp:posOffset>
                </wp:positionV>
                <wp:extent cx="5934075" cy="3905250"/>
                <wp:effectExtent l="0" t="0" r="9525" b="0"/>
                <wp:wrapTopAndBottom/>
                <wp:docPr id="4" name="Text Box 4"/>
                <wp:cNvGraphicFramePr/>
                <a:graphic xmlns:a="http://schemas.openxmlformats.org/drawingml/2006/main">
                  <a:graphicData uri="http://schemas.microsoft.com/office/word/2010/wordprocessingShape">
                    <wps:wsp>
                      <wps:cNvSpPr txBox="1"/>
                      <wps:spPr>
                        <a:xfrm>
                          <a:off x="0" y="0"/>
                          <a:ext cx="5934075" cy="3905250"/>
                        </a:xfrm>
                        <a:prstGeom prst="rect">
                          <a:avLst/>
                        </a:prstGeom>
                        <a:noFill/>
                        <a:ln w="6350">
                          <a:noFill/>
                        </a:ln>
                        <a:effectLst/>
                      </wps:spPr>
                      <wps:txbx>
                        <w:txbxContent>
                          <w:tbl>
                            <w:tblPr>
                              <w:tblW w:w="8540" w:type="dxa"/>
                              <w:jc w:val="center"/>
                              <w:tblLook w:val="04A0" w:firstRow="1" w:lastRow="0" w:firstColumn="1" w:lastColumn="0" w:noHBand="0" w:noVBand="1"/>
                            </w:tblPr>
                            <w:tblGrid>
                              <w:gridCol w:w="3440"/>
                              <w:gridCol w:w="1020"/>
                              <w:gridCol w:w="1020"/>
                              <w:gridCol w:w="1020"/>
                              <w:gridCol w:w="1020"/>
                              <w:gridCol w:w="1020"/>
                            </w:tblGrid>
                            <w:tr w:rsidR="00DF77C5" w:rsidRPr="009F1800" w14:paraId="5B573F1C" w14:textId="77777777" w:rsidTr="009F1800">
                              <w:trPr>
                                <w:trHeight w:val="270"/>
                                <w:jc w:val="center"/>
                              </w:trPr>
                              <w:tc>
                                <w:tcPr>
                                  <w:tcW w:w="3440" w:type="dxa"/>
                                  <w:tcBorders>
                                    <w:top w:val="double" w:sz="6" w:space="0" w:color="auto"/>
                                    <w:left w:val="nil"/>
                                    <w:bottom w:val="nil"/>
                                    <w:right w:val="nil"/>
                                  </w:tcBorders>
                                  <w:shd w:val="clear" w:color="auto" w:fill="auto"/>
                                  <w:noWrap/>
                                  <w:vAlign w:val="bottom"/>
                                  <w:hideMark/>
                                </w:tcPr>
                                <w:p w14:paraId="3600F273" w14:textId="77777777" w:rsidR="00DF77C5" w:rsidRPr="009F1800" w:rsidRDefault="00DF77C5" w:rsidP="009F1800">
                                  <w:pPr>
                                    <w:spacing w:after="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double" w:sz="6" w:space="0" w:color="auto"/>
                                    <w:left w:val="nil"/>
                                    <w:bottom w:val="nil"/>
                                    <w:right w:val="nil"/>
                                  </w:tcBorders>
                                  <w:shd w:val="clear" w:color="auto" w:fill="auto"/>
                                  <w:noWrap/>
                                  <w:vAlign w:val="bottom"/>
                                  <w:hideMark/>
                                </w:tcPr>
                                <w:p w14:paraId="5D6206F5"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(1)</w:t>
                                  </w:r>
                                </w:p>
                              </w:tc>
                              <w:tc>
                                <w:tcPr>
                                  <w:tcW w:w="1020" w:type="dxa"/>
                                  <w:tcBorders>
                                    <w:top w:val="double" w:sz="6" w:space="0" w:color="auto"/>
                                    <w:left w:val="nil"/>
                                    <w:bottom w:val="nil"/>
                                    <w:right w:val="nil"/>
                                  </w:tcBorders>
                                  <w:shd w:val="clear" w:color="auto" w:fill="auto"/>
                                  <w:noWrap/>
                                  <w:vAlign w:val="bottom"/>
                                  <w:hideMark/>
                                </w:tcPr>
                                <w:p w14:paraId="14B1D566"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(2)</w:t>
                                  </w:r>
                                </w:p>
                              </w:tc>
                              <w:tc>
                                <w:tcPr>
                                  <w:tcW w:w="1020" w:type="dxa"/>
                                  <w:tcBorders>
                                    <w:top w:val="double" w:sz="6" w:space="0" w:color="auto"/>
                                    <w:left w:val="nil"/>
                                    <w:bottom w:val="nil"/>
                                    <w:right w:val="nil"/>
                                  </w:tcBorders>
                                  <w:shd w:val="clear" w:color="auto" w:fill="auto"/>
                                  <w:noWrap/>
                                  <w:vAlign w:val="bottom"/>
                                  <w:hideMark/>
                                </w:tcPr>
                                <w:p w14:paraId="05546F3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(3)</w:t>
                                  </w:r>
                                </w:p>
                              </w:tc>
                              <w:tc>
                                <w:tcPr>
                                  <w:tcW w:w="1020" w:type="dxa"/>
                                  <w:tcBorders>
                                    <w:top w:val="double" w:sz="6" w:space="0" w:color="auto"/>
                                    <w:left w:val="nil"/>
                                    <w:bottom w:val="nil"/>
                                    <w:right w:val="nil"/>
                                  </w:tcBorders>
                                  <w:shd w:val="clear" w:color="auto" w:fill="auto"/>
                                  <w:noWrap/>
                                  <w:vAlign w:val="bottom"/>
                                  <w:hideMark/>
                                </w:tcPr>
                                <w:p w14:paraId="133B5D8F"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(4)</w:t>
                                  </w:r>
                                </w:p>
                              </w:tc>
                              <w:tc>
                                <w:tcPr>
                                  <w:tcW w:w="1020" w:type="dxa"/>
                                  <w:tcBorders>
                                    <w:top w:val="double" w:sz="6" w:space="0" w:color="auto"/>
                                    <w:left w:val="nil"/>
                                    <w:bottom w:val="nil"/>
                                    <w:right w:val="nil"/>
                                  </w:tcBorders>
                                  <w:shd w:val="clear" w:color="auto" w:fill="auto"/>
                                  <w:noWrap/>
                                  <w:vAlign w:val="bottom"/>
                                  <w:hideMark/>
                                </w:tcPr>
                                <w:p w14:paraId="678102D9"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(5)</w:t>
                                  </w:r>
                                </w:p>
                              </w:tc>
                            </w:tr>
                            <w:tr w:rsidR="00DF77C5" w:rsidRPr="009F1800" w14:paraId="051BCD12" w14:textId="77777777" w:rsidTr="009F1800">
                              <w:trPr>
                                <w:trHeight w:val="255"/>
                                <w:jc w:val="center"/>
                              </w:trPr>
                              <w:tc>
                                <w:tcPr>
                                  <w:tcW w:w="3440" w:type="dxa"/>
                                  <w:tcBorders>
                                    <w:top w:val="single" w:sz="4" w:space="0" w:color="auto"/>
                                    <w:left w:val="nil"/>
                                    <w:bottom w:val="nil"/>
                                    <w:right w:val="nil"/>
                                  </w:tcBorders>
                                  <w:shd w:val="clear" w:color="auto" w:fill="auto"/>
                                  <w:noWrap/>
                                  <w:vAlign w:val="bottom"/>
                                  <w:hideMark/>
                                </w:tcPr>
                                <w:p w14:paraId="3D1CEDD0" w14:textId="77777777" w:rsidR="00DF77C5" w:rsidRPr="009F1800" w:rsidRDefault="00DF77C5" w:rsidP="009F1800">
                                  <w:pPr>
                                    <w:spacing w:after="0"/>
                                    <w:rPr>
                                      <w:rFonts w:ascii="Arial" w:eastAsia="Times New Roman" w:hAnsi="Arial" w:cs="Arial"/>
                                      <w:i/>
                                      <w:iCs/>
                                      <w:color w:val="000000"/>
                                      <w:sz w:val="20"/>
                                      <w:szCs w:val="20"/>
                                      <w:lang w:eastAsia="en-AU"/>
                                    </w:rPr>
                                  </w:pPr>
                                  <w:r w:rsidRPr="009F1800">
                                    <w:rPr>
                                      <w:rFonts w:ascii="Arial" w:eastAsia="Times New Roman" w:hAnsi="Arial" w:cs="Arial"/>
                                      <w:i/>
                                      <w:iCs/>
                                      <w:color w:val="000000"/>
                                      <w:sz w:val="20"/>
                                      <w:szCs w:val="20"/>
                                      <w:lang w:eastAsia="en-AU"/>
                                    </w:rPr>
                                    <w:t>Panel A:  All wage earners</w:t>
                                  </w:r>
                                </w:p>
                              </w:tc>
                              <w:tc>
                                <w:tcPr>
                                  <w:tcW w:w="1020" w:type="dxa"/>
                                  <w:tcBorders>
                                    <w:top w:val="single" w:sz="4" w:space="0" w:color="auto"/>
                                    <w:left w:val="nil"/>
                                    <w:bottom w:val="nil"/>
                                    <w:right w:val="nil"/>
                                  </w:tcBorders>
                                  <w:shd w:val="clear" w:color="auto" w:fill="auto"/>
                                  <w:noWrap/>
                                  <w:vAlign w:val="bottom"/>
                                  <w:hideMark/>
                                </w:tcPr>
                                <w:p w14:paraId="19DC19D5"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single" w:sz="4" w:space="0" w:color="auto"/>
                                    <w:left w:val="nil"/>
                                    <w:bottom w:val="nil"/>
                                    <w:right w:val="nil"/>
                                  </w:tcBorders>
                                  <w:shd w:val="clear" w:color="auto" w:fill="auto"/>
                                  <w:noWrap/>
                                  <w:vAlign w:val="bottom"/>
                                  <w:hideMark/>
                                </w:tcPr>
                                <w:p w14:paraId="2BD7CEFB"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single" w:sz="4" w:space="0" w:color="auto"/>
                                    <w:left w:val="nil"/>
                                    <w:bottom w:val="nil"/>
                                    <w:right w:val="nil"/>
                                  </w:tcBorders>
                                  <w:shd w:val="clear" w:color="auto" w:fill="auto"/>
                                  <w:noWrap/>
                                  <w:vAlign w:val="bottom"/>
                                  <w:hideMark/>
                                </w:tcPr>
                                <w:p w14:paraId="112C3B6B"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single" w:sz="4" w:space="0" w:color="auto"/>
                                    <w:left w:val="nil"/>
                                    <w:bottom w:val="nil"/>
                                    <w:right w:val="nil"/>
                                  </w:tcBorders>
                                  <w:shd w:val="clear" w:color="auto" w:fill="auto"/>
                                  <w:noWrap/>
                                  <w:vAlign w:val="bottom"/>
                                  <w:hideMark/>
                                </w:tcPr>
                                <w:p w14:paraId="68F02F3E"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single" w:sz="4" w:space="0" w:color="auto"/>
                                    <w:left w:val="nil"/>
                                    <w:bottom w:val="nil"/>
                                    <w:right w:val="nil"/>
                                  </w:tcBorders>
                                  <w:shd w:val="clear" w:color="auto" w:fill="auto"/>
                                  <w:noWrap/>
                                  <w:vAlign w:val="bottom"/>
                                  <w:hideMark/>
                                </w:tcPr>
                                <w:p w14:paraId="61514047"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r>
                            <w:tr w:rsidR="00DF77C5" w:rsidRPr="009F1800" w14:paraId="7E58DFDA"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1696E6E3"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EE (job-to-job) rate</w:t>
                                  </w:r>
                                </w:p>
                              </w:tc>
                              <w:tc>
                                <w:tcPr>
                                  <w:tcW w:w="1020" w:type="dxa"/>
                                  <w:tcBorders>
                                    <w:top w:val="nil"/>
                                    <w:left w:val="nil"/>
                                    <w:bottom w:val="nil"/>
                                    <w:right w:val="nil"/>
                                  </w:tcBorders>
                                  <w:shd w:val="clear" w:color="auto" w:fill="auto"/>
                                  <w:noWrap/>
                                  <w:vAlign w:val="bottom"/>
                                  <w:hideMark/>
                                </w:tcPr>
                                <w:p w14:paraId="3624408C"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-0.06</w:t>
                                  </w:r>
                                </w:p>
                              </w:tc>
                              <w:tc>
                                <w:tcPr>
                                  <w:tcW w:w="1020" w:type="dxa"/>
                                  <w:tcBorders>
                                    <w:top w:val="nil"/>
                                    <w:left w:val="nil"/>
                                    <w:bottom w:val="nil"/>
                                    <w:right w:val="nil"/>
                                  </w:tcBorders>
                                  <w:shd w:val="clear" w:color="auto" w:fill="auto"/>
                                  <w:noWrap/>
                                  <w:vAlign w:val="bottom"/>
                                  <w:hideMark/>
                                </w:tcPr>
                                <w:p w14:paraId="27CD0989"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0.29***</w:t>
                                  </w:r>
                                </w:p>
                              </w:tc>
                              <w:tc>
                                <w:tcPr>
                                  <w:tcW w:w="1020" w:type="dxa"/>
                                  <w:tcBorders>
                                    <w:top w:val="nil"/>
                                    <w:left w:val="nil"/>
                                    <w:bottom w:val="nil"/>
                                    <w:right w:val="nil"/>
                                  </w:tcBorders>
                                  <w:shd w:val="clear" w:color="auto" w:fill="auto"/>
                                  <w:noWrap/>
                                  <w:vAlign w:val="bottom"/>
                                  <w:hideMark/>
                                </w:tcPr>
                                <w:p w14:paraId="7FF39BF7"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1.02***</w:t>
                                  </w:r>
                                </w:p>
                              </w:tc>
                              <w:tc>
                                <w:tcPr>
                                  <w:tcW w:w="1020" w:type="dxa"/>
                                  <w:tcBorders>
                                    <w:top w:val="nil"/>
                                    <w:left w:val="nil"/>
                                    <w:bottom w:val="nil"/>
                                    <w:right w:val="nil"/>
                                  </w:tcBorders>
                                  <w:shd w:val="clear" w:color="auto" w:fill="auto"/>
                                  <w:noWrap/>
                                  <w:vAlign w:val="bottom"/>
                                  <w:hideMark/>
                                </w:tcPr>
                                <w:p w14:paraId="3FB352B5"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0.67***</w:t>
                                  </w:r>
                                </w:p>
                              </w:tc>
                              <w:tc>
                                <w:tcPr>
                                  <w:tcW w:w="1020" w:type="dxa"/>
                                  <w:tcBorders>
                                    <w:top w:val="nil"/>
                                    <w:left w:val="nil"/>
                                    <w:bottom w:val="nil"/>
                                    <w:right w:val="nil"/>
                                  </w:tcBorders>
                                  <w:shd w:val="clear" w:color="auto" w:fill="auto"/>
                                  <w:noWrap/>
                                  <w:vAlign w:val="bottom"/>
                                  <w:hideMark/>
                                </w:tcPr>
                                <w:p w14:paraId="5D78CCE2"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0.54***</w:t>
                                  </w:r>
                                </w:p>
                              </w:tc>
                            </w:tr>
                            <w:tr w:rsidR="00DF77C5" w:rsidRPr="009F1800" w14:paraId="194398DC"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3290A1A9" w14:textId="77777777" w:rsidR="00DF77C5" w:rsidRPr="009F1800" w:rsidRDefault="00DF77C5" w:rsidP="009F1800">
                                  <w:pPr>
                                    <w:spacing w:after="0"/>
                                    <w:jc w:val="center"/>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7196A6C9"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(0.10)</w:t>
                                  </w:r>
                                </w:p>
                              </w:tc>
                              <w:tc>
                                <w:tcPr>
                                  <w:tcW w:w="1020" w:type="dxa"/>
                                  <w:tcBorders>
                                    <w:top w:val="nil"/>
                                    <w:left w:val="nil"/>
                                    <w:bottom w:val="nil"/>
                                    <w:right w:val="nil"/>
                                  </w:tcBorders>
                                  <w:shd w:val="clear" w:color="auto" w:fill="auto"/>
                                  <w:noWrap/>
                                  <w:vAlign w:val="bottom"/>
                                  <w:hideMark/>
                                </w:tcPr>
                                <w:p w14:paraId="3B89576B"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(0.05)</w:t>
                                  </w:r>
                                </w:p>
                              </w:tc>
                              <w:tc>
                                <w:tcPr>
                                  <w:tcW w:w="1020" w:type="dxa"/>
                                  <w:tcBorders>
                                    <w:top w:val="nil"/>
                                    <w:left w:val="nil"/>
                                    <w:bottom w:val="nil"/>
                                    <w:right w:val="nil"/>
                                  </w:tcBorders>
                                  <w:shd w:val="clear" w:color="auto" w:fill="auto"/>
                                  <w:noWrap/>
                                  <w:vAlign w:val="bottom"/>
                                  <w:hideMark/>
                                </w:tcPr>
                                <w:p w14:paraId="1EEB7B04"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(0.10)</w:t>
                                  </w:r>
                                </w:p>
                              </w:tc>
                              <w:tc>
                                <w:tcPr>
                                  <w:tcW w:w="1020" w:type="dxa"/>
                                  <w:tcBorders>
                                    <w:top w:val="nil"/>
                                    <w:left w:val="nil"/>
                                    <w:bottom w:val="nil"/>
                                    <w:right w:val="nil"/>
                                  </w:tcBorders>
                                  <w:shd w:val="clear" w:color="auto" w:fill="auto"/>
                                  <w:noWrap/>
                                  <w:vAlign w:val="bottom"/>
                                  <w:hideMark/>
                                </w:tcPr>
                                <w:p w14:paraId="4ADB0572"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(0.06)</w:t>
                                  </w:r>
                                </w:p>
                              </w:tc>
                              <w:tc>
                                <w:tcPr>
                                  <w:tcW w:w="1020" w:type="dxa"/>
                                  <w:tcBorders>
                                    <w:top w:val="nil"/>
                                    <w:left w:val="nil"/>
                                    <w:bottom w:val="nil"/>
                                    <w:right w:val="nil"/>
                                  </w:tcBorders>
                                  <w:shd w:val="clear" w:color="auto" w:fill="auto"/>
                                  <w:noWrap/>
                                  <w:vAlign w:val="bottom"/>
                                  <w:hideMark/>
                                </w:tcPr>
                                <w:p w14:paraId="4F6CBAB5"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(0.06)</w:t>
                                  </w:r>
                                </w:p>
                              </w:tc>
                            </w:tr>
                            <w:tr w:rsidR="00DF77C5" w:rsidRPr="009F1800" w14:paraId="4E652F44"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514BE100"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UE (unemployment-to-job rate)</w:t>
                                  </w:r>
                                </w:p>
                              </w:tc>
                              <w:tc>
                                <w:tcPr>
                                  <w:tcW w:w="1020" w:type="dxa"/>
                                  <w:tcBorders>
                                    <w:top w:val="nil"/>
                                    <w:left w:val="nil"/>
                                    <w:bottom w:val="nil"/>
                                    <w:right w:val="nil"/>
                                  </w:tcBorders>
                                  <w:shd w:val="clear" w:color="auto" w:fill="auto"/>
                                  <w:noWrap/>
                                  <w:vAlign w:val="bottom"/>
                                  <w:hideMark/>
                                </w:tcPr>
                                <w:p w14:paraId="670395DD"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-0.32***</w:t>
                                  </w:r>
                                </w:p>
                              </w:tc>
                              <w:tc>
                                <w:tcPr>
                                  <w:tcW w:w="1020" w:type="dxa"/>
                                  <w:tcBorders>
                                    <w:top w:val="nil"/>
                                    <w:left w:val="nil"/>
                                    <w:bottom w:val="nil"/>
                                    <w:right w:val="nil"/>
                                  </w:tcBorders>
                                  <w:shd w:val="clear" w:color="auto" w:fill="auto"/>
                                  <w:noWrap/>
                                  <w:vAlign w:val="bottom"/>
                                  <w:hideMark/>
                                </w:tcPr>
                                <w:p w14:paraId="0F992976"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0.06**</w:t>
                                  </w:r>
                                </w:p>
                              </w:tc>
                              <w:tc>
                                <w:tcPr>
                                  <w:tcW w:w="1020" w:type="dxa"/>
                                  <w:tcBorders>
                                    <w:top w:val="nil"/>
                                    <w:left w:val="nil"/>
                                    <w:bottom w:val="nil"/>
                                    <w:right w:val="nil"/>
                                  </w:tcBorders>
                                  <w:shd w:val="clear" w:color="auto" w:fill="auto"/>
                                  <w:noWrap/>
                                  <w:vAlign w:val="bottom"/>
                                  <w:hideMark/>
                                </w:tcPr>
                                <w:p w14:paraId="01D8561C"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-0.13***</w:t>
                                  </w:r>
                                </w:p>
                              </w:tc>
                              <w:tc>
                                <w:tcPr>
                                  <w:tcW w:w="1020" w:type="dxa"/>
                                  <w:tcBorders>
                                    <w:top w:val="nil"/>
                                    <w:left w:val="nil"/>
                                    <w:bottom w:val="nil"/>
                                    <w:right w:val="nil"/>
                                  </w:tcBorders>
                                  <w:shd w:val="clear" w:color="auto" w:fill="auto"/>
                                  <w:noWrap/>
                                  <w:vAlign w:val="bottom"/>
                                  <w:hideMark/>
                                </w:tcPr>
                                <w:p w14:paraId="636C1329"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0.02</w:t>
                                  </w:r>
                                </w:p>
                              </w:tc>
                              <w:tc>
                                <w:tcPr>
                                  <w:tcW w:w="1020" w:type="dxa"/>
                                  <w:tcBorders>
                                    <w:top w:val="nil"/>
                                    <w:left w:val="nil"/>
                                    <w:bottom w:val="nil"/>
                                    <w:right w:val="nil"/>
                                  </w:tcBorders>
                                  <w:shd w:val="clear" w:color="auto" w:fill="auto"/>
                                  <w:noWrap/>
                                  <w:vAlign w:val="bottom"/>
                                  <w:hideMark/>
                                </w:tcPr>
                                <w:p w14:paraId="4428056E"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0.01</w:t>
                                  </w:r>
                                </w:p>
                              </w:tc>
                            </w:tr>
                            <w:tr w:rsidR="00DF77C5" w:rsidRPr="009F1800" w14:paraId="5CA0F388"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1AD32989" w14:textId="77777777" w:rsidR="00DF77C5" w:rsidRPr="009F1800" w:rsidRDefault="00DF77C5" w:rsidP="009F1800">
                                  <w:pPr>
                                    <w:spacing w:after="0"/>
                                    <w:jc w:val="center"/>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31ED1A7A"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(0.04)</w:t>
                                  </w:r>
                                </w:p>
                              </w:tc>
                              <w:tc>
                                <w:tcPr>
                                  <w:tcW w:w="1020" w:type="dxa"/>
                                  <w:tcBorders>
                                    <w:top w:val="nil"/>
                                    <w:left w:val="nil"/>
                                    <w:bottom w:val="nil"/>
                                    <w:right w:val="nil"/>
                                  </w:tcBorders>
                                  <w:shd w:val="clear" w:color="auto" w:fill="auto"/>
                                  <w:noWrap/>
                                  <w:vAlign w:val="bottom"/>
                                  <w:hideMark/>
                                </w:tcPr>
                                <w:p w14:paraId="701D8C84"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(0.02)</w:t>
                                  </w:r>
                                </w:p>
                              </w:tc>
                              <w:tc>
                                <w:tcPr>
                                  <w:tcW w:w="1020" w:type="dxa"/>
                                  <w:tcBorders>
                                    <w:top w:val="nil"/>
                                    <w:left w:val="nil"/>
                                    <w:bottom w:val="nil"/>
                                    <w:right w:val="nil"/>
                                  </w:tcBorders>
                                  <w:shd w:val="clear" w:color="auto" w:fill="auto"/>
                                  <w:noWrap/>
                                  <w:vAlign w:val="bottom"/>
                                  <w:hideMark/>
                                </w:tcPr>
                                <w:p w14:paraId="38A487C2"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(0.03)</w:t>
                                  </w:r>
                                </w:p>
                              </w:tc>
                              <w:tc>
                                <w:tcPr>
                                  <w:tcW w:w="1020" w:type="dxa"/>
                                  <w:tcBorders>
                                    <w:top w:val="nil"/>
                                    <w:left w:val="nil"/>
                                    <w:bottom w:val="nil"/>
                                    <w:right w:val="nil"/>
                                  </w:tcBorders>
                                  <w:shd w:val="clear" w:color="auto" w:fill="auto"/>
                                  <w:noWrap/>
                                  <w:vAlign w:val="bottom"/>
                                  <w:hideMark/>
                                </w:tcPr>
                                <w:p w14:paraId="1AF8F53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(0.02)</w:t>
                                  </w:r>
                                </w:p>
                              </w:tc>
                              <w:tc>
                                <w:tcPr>
                                  <w:tcW w:w="1020" w:type="dxa"/>
                                  <w:tcBorders>
                                    <w:top w:val="nil"/>
                                    <w:left w:val="nil"/>
                                    <w:bottom w:val="nil"/>
                                    <w:right w:val="nil"/>
                                  </w:tcBorders>
                                  <w:shd w:val="clear" w:color="auto" w:fill="auto"/>
                                  <w:noWrap/>
                                  <w:vAlign w:val="bottom"/>
                                  <w:hideMark/>
                                </w:tcPr>
                                <w:p w14:paraId="5BE433B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(0.02)</w:t>
                                  </w:r>
                                </w:p>
                              </w:tc>
                            </w:tr>
                            <w:tr w:rsidR="00DF77C5" w:rsidRPr="009F1800" w14:paraId="66B7D1EA"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25AB9282" w14:textId="77777777" w:rsidR="00DF77C5" w:rsidRPr="009F1800" w:rsidRDefault="00DF77C5" w:rsidP="009F1800">
                                  <w:pPr>
                                    <w:spacing w:after="0"/>
                                    <w:rPr>
                                      <w:rFonts w:ascii="Arial" w:eastAsia="Times New Roman" w:hAnsi="Arial" w:cs="Arial"/>
                                      <w:i/>
                                      <w:iCs/>
                                      <w:color w:val="000000"/>
                                      <w:sz w:val="20"/>
                                      <w:szCs w:val="20"/>
                                      <w:lang w:eastAsia="en-AU"/>
                                    </w:rPr>
                                  </w:pPr>
                                  <w:r w:rsidRPr="009F1800">
                                    <w:rPr>
                                      <w:rFonts w:ascii="Arial" w:eastAsia="Times New Roman" w:hAnsi="Arial" w:cs="Arial"/>
                                      <w:i/>
                                      <w:iCs/>
                                      <w:color w:val="000000"/>
                                      <w:sz w:val="20"/>
                                      <w:szCs w:val="20"/>
                                      <w:lang w:eastAsia="en-AU"/>
                                    </w:rPr>
                                    <w:t>Panel B: Job-switchers</w:t>
                                  </w:r>
                                </w:p>
                              </w:tc>
                              <w:tc>
                                <w:tcPr>
                                  <w:tcW w:w="1020" w:type="dxa"/>
                                  <w:tcBorders>
                                    <w:top w:val="nil"/>
                                    <w:left w:val="nil"/>
                                    <w:bottom w:val="nil"/>
                                    <w:right w:val="nil"/>
                                  </w:tcBorders>
                                  <w:shd w:val="clear" w:color="auto" w:fill="auto"/>
                                  <w:noWrap/>
                                  <w:vAlign w:val="bottom"/>
                                  <w:hideMark/>
                                </w:tcPr>
                                <w:p w14:paraId="4220407F" w14:textId="77777777" w:rsidR="00DF77C5" w:rsidRPr="009F1800" w:rsidRDefault="00DF77C5" w:rsidP="009F1800">
                                  <w:pPr>
                                    <w:spacing w:after="0"/>
                                    <w:rPr>
                                      <w:rFonts w:ascii="Arial" w:eastAsia="Times New Roman" w:hAnsi="Arial" w:cs="Arial"/>
                                      <w:i/>
                                      <w:iCs/>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6A57159C"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29E4FAD5"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50778C34"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154A8408"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r>
                            <w:tr w:rsidR="00DF77C5" w:rsidRPr="009F1800" w14:paraId="447E0122"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34FCE1E3"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EE (job-to-job) rate</w:t>
                                  </w:r>
                                </w:p>
                              </w:tc>
                              <w:tc>
                                <w:tcPr>
                                  <w:tcW w:w="1020" w:type="dxa"/>
                                  <w:tcBorders>
                                    <w:top w:val="nil"/>
                                    <w:left w:val="nil"/>
                                    <w:bottom w:val="nil"/>
                                    <w:right w:val="nil"/>
                                  </w:tcBorders>
                                  <w:shd w:val="clear" w:color="auto" w:fill="auto"/>
                                  <w:noWrap/>
                                  <w:vAlign w:val="bottom"/>
                                  <w:hideMark/>
                                </w:tcPr>
                                <w:p w14:paraId="6472A02C"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1.32***</w:t>
                                  </w:r>
                                </w:p>
                              </w:tc>
                              <w:tc>
                                <w:tcPr>
                                  <w:tcW w:w="1020" w:type="dxa"/>
                                  <w:tcBorders>
                                    <w:top w:val="nil"/>
                                    <w:left w:val="nil"/>
                                    <w:bottom w:val="nil"/>
                                    <w:right w:val="nil"/>
                                  </w:tcBorders>
                                  <w:shd w:val="clear" w:color="auto" w:fill="auto"/>
                                  <w:noWrap/>
                                  <w:vAlign w:val="bottom"/>
                                  <w:hideMark/>
                                </w:tcPr>
                                <w:p w14:paraId="1C77A89B"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1.98***</w:t>
                                  </w:r>
                                </w:p>
                              </w:tc>
                              <w:tc>
                                <w:tcPr>
                                  <w:tcW w:w="1020" w:type="dxa"/>
                                  <w:tcBorders>
                                    <w:top w:val="nil"/>
                                    <w:left w:val="nil"/>
                                    <w:bottom w:val="nil"/>
                                    <w:right w:val="nil"/>
                                  </w:tcBorders>
                                  <w:shd w:val="clear" w:color="auto" w:fill="auto"/>
                                  <w:noWrap/>
                                  <w:vAlign w:val="bottom"/>
                                  <w:hideMark/>
                                </w:tcPr>
                                <w:p w14:paraId="358BF603"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2.34***</w:t>
                                  </w:r>
                                </w:p>
                              </w:tc>
                              <w:tc>
                                <w:tcPr>
                                  <w:tcW w:w="1020" w:type="dxa"/>
                                  <w:tcBorders>
                                    <w:top w:val="nil"/>
                                    <w:left w:val="nil"/>
                                    <w:bottom w:val="nil"/>
                                    <w:right w:val="nil"/>
                                  </w:tcBorders>
                                  <w:shd w:val="clear" w:color="auto" w:fill="auto"/>
                                  <w:noWrap/>
                                  <w:vAlign w:val="bottom"/>
                                  <w:hideMark/>
                                </w:tcPr>
                                <w:p w14:paraId="5569914D"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2.24***</w:t>
                                  </w:r>
                                </w:p>
                              </w:tc>
                              <w:tc>
                                <w:tcPr>
                                  <w:tcW w:w="1020" w:type="dxa"/>
                                  <w:tcBorders>
                                    <w:top w:val="nil"/>
                                    <w:left w:val="nil"/>
                                    <w:bottom w:val="nil"/>
                                    <w:right w:val="nil"/>
                                  </w:tcBorders>
                                  <w:shd w:val="clear" w:color="auto" w:fill="auto"/>
                                  <w:noWrap/>
                                  <w:vAlign w:val="bottom"/>
                                  <w:hideMark/>
                                </w:tcPr>
                                <w:p w14:paraId="4DF82A5D"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1.79***</w:t>
                                  </w:r>
                                </w:p>
                              </w:tc>
                            </w:tr>
                            <w:tr w:rsidR="00DF77C5" w:rsidRPr="009F1800" w14:paraId="2F915A30"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30FE5CE7" w14:textId="77777777" w:rsidR="00DF77C5" w:rsidRPr="009F1800" w:rsidRDefault="00DF77C5" w:rsidP="009F1800">
                                  <w:pPr>
                                    <w:spacing w:after="0"/>
                                    <w:jc w:val="center"/>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293EE4CF"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(0.15)</w:t>
                                  </w:r>
                                </w:p>
                              </w:tc>
                              <w:tc>
                                <w:tcPr>
                                  <w:tcW w:w="1020" w:type="dxa"/>
                                  <w:tcBorders>
                                    <w:top w:val="nil"/>
                                    <w:left w:val="nil"/>
                                    <w:bottom w:val="nil"/>
                                    <w:right w:val="nil"/>
                                  </w:tcBorders>
                                  <w:shd w:val="clear" w:color="auto" w:fill="auto"/>
                                  <w:noWrap/>
                                  <w:vAlign w:val="bottom"/>
                                  <w:hideMark/>
                                </w:tcPr>
                                <w:p w14:paraId="6CDC9956"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(0.10)</w:t>
                                  </w:r>
                                </w:p>
                              </w:tc>
                              <w:tc>
                                <w:tcPr>
                                  <w:tcW w:w="1020" w:type="dxa"/>
                                  <w:tcBorders>
                                    <w:top w:val="nil"/>
                                    <w:left w:val="nil"/>
                                    <w:bottom w:val="nil"/>
                                    <w:right w:val="nil"/>
                                  </w:tcBorders>
                                  <w:shd w:val="clear" w:color="auto" w:fill="auto"/>
                                  <w:noWrap/>
                                  <w:vAlign w:val="bottom"/>
                                  <w:hideMark/>
                                </w:tcPr>
                                <w:p w14:paraId="65F364A9"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(0.16)</w:t>
                                  </w:r>
                                </w:p>
                              </w:tc>
                              <w:tc>
                                <w:tcPr>
                                  <w:tcW w:w="1020" w:type="dxa"/>
                                  <w:tcBorders>
                                    <w:top w:val="nil"/>
                                    <w:left w:val="nil"/>
                                    <w:bottom w:val="nil"/>
                                    <w:right w:val="nil"/>
                                  </w:tcBorders>
                                  <w:shd w:val="clear" w:color="auto" w:fill="auto"/>
                                  <w:noWrap/>
                                  <w:vAlign w:val="bottom"/>
                                  <w:hideMark/>
                                </w:tcPr>
                                <w:p w14:paraId="4569A14E"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(0.14)</w:t>
                                  </w:r>
                                </w:p>
                              </w:tc>
                              <w:tc>
                                <w:tcPr>
                                  <w:tcW w:w="1020" w:type="dxa"/>
                                  <w:tcBorders>
                                    <w:top w:val="nil"/>
                                    <w:left w:val="nil"/>
                                    <w:bottom w:val="nil"/>
                                    <w:right w:val="nil"/>
                                  </w:tcBorders>
                                  <w:shd w:val="clear" w:color="auto" w:fill="auto"/>
                                  <w:noWrap/>
                                  <w:vAlign w:val="bottom"/>
                                  <w:hideMark/>
                                </w:tcPr>
                                <w:p w14:paraId="005DF51F"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(0.14)</w:t>
                                  </w:r>
                                </w:p>
                              </w:tc>
                            </w:tr>
                            <w:tr w:rsidR="00DF77C5" w:rsidRPr="009F1800" w14:paraId="54BEEFDA"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763DB88E"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UE (unemployment-to-job rate)</w:t>
                                  </w:r>
                                </w:p>
                              </w:tc>
                              <w:tc>
                                <w:tcPr>
                                  <w:tcW w:w="1020" w:type="dxa"/>
                                  <w:tcBorders>
                                    <w:top w:val="nil"/>
                                    <w:left w:val="nil"/>
                                    <w:bottom w:val="nil"/>
                                    <w:right w:val="nil"/>
                                  </w:tcBorders>
                                  <w:shd w:val="clear" w:color="auto" w:fill="auto"/>
                                  <w:noWrap/>
                                  <w:vAlign w:val="bottom"/>
                                  <w:hideMark/>
                                </w:tcPr>
                                <w:p w14:paraId="38DE1500"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-0.54***</w:t>
                                  </w:r>
                                </w:p>
                              </w:tc>
                              <w:tc>
                                <w:tcPr>
                                  <w:tcW w:w="1020" w:type="dxa"/>
                                  <w:tcBorders>
                                    <w:top w:val="nil"/>
                                    <w:left w:val="nil"/>
                                    <w:bottom w:val="nil"/>
                                    <w:right w:val="nil"/>
                                  </w:tcBorders>
                                  <w:shd w:val="clear" w:color="auto" w:fill="auto"/>
                                  <w:noWrap/>
                                  <w:vAlign w:val="bottom"/>
                                  <w:hideMark/>
                                </w:tcPr>
                                <w:p w14:paraId="3AD86CC1"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0.01</w:t>
                                  </w:r>
                                </w:p>
                              </w:tc>
                              <w:tc>
                                <w:tcPr>
                                  <w:tcW w:w="1020" w:type="dxa"/>
                                  <w:tcBorders>
                                    <w:top w:val="nil"/>
                                    <w:left w:val="nil"/>
                                    <w:bottom w:val="nil"/>
                                    <w:right w:val="nil"/>
                                  </w:tcBorders>
                                  <w:shd w:val="clear" w:color="auto" w:fill="auto"/>
                                  <w:noWrap/>
                                  <w:vAlign w:val="bottom"/>
                                  <w:hideMark/>
                                </w:tcPr>
                                <w:p w14:paraId="1BD0F41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-0.13**</w:t>
                                  </w:r>
                                </w:p>
                              </w:tc>
                              <w:tc>
                                <w:tcPr>
                                  <w:tcW w:w="1020" w:type="dxa"/>
                                  <w:tcBorders>
                                    <w:top w:val="nil"/>
                                    <w:left w:val="nil"/>
                                    <w:bottom w:val="nil"/>
                                    <w:right w:val="nil"/>
                                  </w:tcBorders>
                                  <w:shd w:val="clear" w:color="auto" w:fill="auto"/>
                                  <w:noWrap/>
                                  <w:vAlign w:val="bottom"/>
                                  <w:hideMark/>
                                </w:tcPr>
                                <w:p w14:paraId="3A30F73D"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-0.10*</w:t>
                                  </w:r>
                                </w:p>
                              </w:tc>
                              <w:tc>
                                <w:tcPr>
                                  <w:tcW w:w="1020" w:type="dxa"/>
                                  <w:tcBorders>
                                    <w:top w:val="nil"/>
                                    <w:left w:val="nil"/>
                                    <w:bottom w:val="nil"/>
                                    <w:right w:val="nil"/>
                                  </w:tcBorders>
                                  <w:shd w:val="clear" w:color="auto" w:fill="auto"/>
                                  <w:noWrap/>
                                  <w:vAlign w:val="bottom"/>
                                  <w:hideMark/>
                                </w:tcPr>
                                <w:p w14:paraId="0389B3AF"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-0.03</w:t>
                                  </w:r>
                                </w:p>
                              </w:tc>
                            </w:tr>
                            <w:tr w:rsidR="00DF77C5" w:rsidRPr="009F1800" w14:paraId="6B022184"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3C046FA3" w14:textId="77777777" w:rsidR="00DF77C5" w:rsidRPr="009F1800" w:rsidRDefault="00DF77C5" w:rsidP="009F1800">
                                  <w:pPr>
                                    <w:spacing w:after="0"/>
                                    <w:jc w:val="center"/>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113B9A35"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(0.07)</w:t>
                                  </w:r>
                                </w:p>
                              </w:tc>
                              <w:tc>
                                <w:tcPr>
                                  <w:tcW w:w="1020" w:type="dxa"/>
                                  <w:tcBorders>
                                    <w:top w:val="nil"/>
                                    <w:left w:val="nil"/>
                                    <w:bottom w:val="nil"/>
                                    <w:right w:val="nil"/>
                                  </w:tcBorders>
                                  <w:shd w:val="clear" w:color="auto" w:fill="auto"/>
                                  <w:noWrap/>
                                  <w:vAlign w:val="bottom"/>
                                  <w:hideMark/>
                                </w:tcPr>
                                <w:p w14:paraId="36979C80"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(0.05)</w:t>
                                  </w:r>
                                </w:p>
                              </w:tc>
                              <w:tc>
                                <w:tcPr>
                                  <w:tcW w:w="1020" w:type="dxa"/>
                                  <w:tcBorders>
                                    <w:top w:val="nil"/>
                                    <w:left w:val="nil"/>
                                    <w:bottom w:val="nil"/>
                                    <w:right w:val="nil"/>
                                  </w:tcBorders>
                                  <w:shd w:val="clear" w:color="auto" w:fill="auto"/>
                                  <w:noWrap/>
                                  <w:vAlign w:val="bottom"/>
                                  <w:hideMark/>
                                </w:tcPr>
                                <w:p w14:paraId="715BABA5"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(0.06)</w:t>
                                  </w:r>
                                </w:p>
                              </w:tc>
                              <w:tc>
                                <w:tcPr>
                                  <w:tcW w:w="1020" w:type="dxa"/>
                                  <w:tcBorders>
                                    <w:top w:val="nil"/>
                                    <w:left w:val="nil"/>
                                    <w:bottom w:val="nil"/>
                                    <w:right w:val="nil"/>
                                  </w:tcBorders>
                                  <w:shd w:val="clear" w:color="auto" w:fill="auto"/>
                                  <w:noWrap/>
                                  <w:vAlign w:val="bottom"/>
                                  <w:hideMark/>
                                </w:tcPr>
                                <w:p w14:paraId="64D4CE47"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(0.05)</w:t>
                                  </w:r>
                                </w:p>
                              </w:tc>
                              <w:tc>
                                <w:tcPr>
                                  <w:tcW w:w="1020" w:type="dxa"/>
                                  <w:tcBorders>
                                    <w:top w:val="nil"/>
                                    <w:left w:val="nil"/>
                                    <w:bottom w:val="nil"/>
                                    <w:right w:val="nil"/>
                                  </w:tcBorders>
                                  <w:shd w:val="clear" w:color="auto" w:fill="auto"/>
                                  <w:noWrap/>
                                  <w:vAlign w:val="bottom"/>
                                  <w:hideMark/>
                                </w:tcPr>
                                <w:p w14:paraId="52FA6504"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(0.05)</w:t>
                                  </w:r>
                                </w:p>
                              </w:tc>
                            </w:tr>
                            <w:tr w:rsidR="00DF77C5" w:rsidRPr="009F1800" w14:paraId="61F2914F"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4BCCC7B4" w14:textId="77777777" w:rsidR="00DF77C5" w:rsidRPr="009F1800" w:rsidRDefault="00DF77C5" w:rsidP="009F1800">
                                  <w:pPr>
                                    <w:spacing w:after="0"/>
                                    <w:rPr>
                                      <w:rFonts w:ascii="Arial" w:eastAsia="Times New Roman" w:hAnsi="Arial" w:cs="Arial"/>
                                      <w:i/>
                                      <w:iCs/>
                                      <w:color w:val="000000"/>
                                      <w:sz w:val="20"/>
                                      <w:szCs w:val="20"/>
                                      <w:lang w:eastAsia="en-AU"/>
                                    </w:rPr>
                                  </w:pPr>
                                  <w:r w:rsidRPr="009F1800">
                                    <w:rPr>
                                      <w:rFonts w:ascii="Arial" w:eastAsia="Times New Roman" w:hAnsi="Arial" w:cs="Arial"/>
                                      <w:i/>
                                      <w:iCs/>
                                      <w:color w:val="000000"/>
                                      <w:sz w:val="20"/>
                                      <w:szCs w:val="20"/>
                                      <w:lang w:eastAsia="en-AU"/>
                                    </w:rPr>
                                    <w:t>Panel C: Job-stayers</w:t>
                                  </w:r>
                                </w:p>
                              </w:tc>
                              <w:tc>
                                <w:tcPr>
                                  <w:tcW w:w="1020" w:type="dxa"/>
                                  <w:tcBorders>
                                    <w:top w:val="nil"/>
                                    <w:left w:val="nil"/>
                                    <w:bottom w:val="nil"/>
                                    <w:right w:val="nil"/>
                                  </w:tcBorders>
                                  <w:shd w:val="clear" w:color="auto" w:fill="auto"/>
                                  <w:noWrap/>
                                  <w:vAlign w:val="bottom"/>
                                  <w:hideMark/>
                                </w:tcPr>
                                <w:p w14:paraId="0A161CE2" w14:textId="77777777" w:rsidR="00DF77C5" w:rsidRPr="009F1800" w:rsidRDefault="00DF77C5" w:rsidP="009F1800">
                                  <w:pPr>
                                    <w:spacing w:after="0"/>
                                    <w:rPr>
                                      <w:rFonts w:ascii="Arial" w:eastAsia="Times New Roman" w:hAnsi="Arial" w:cs="Arial"/>
                                      <w:i/>
                                      <w:iCs/>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0D5ED170"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0995662B"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437D471A"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381D953A"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r>
                            <w:tr w:rsidR="00DF77C5" w:rsidRPr="009F1800" w14:paraId="74A862D1"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31BD693A"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EE (job-to-job) rate</w:t>
                                  </w:r>
                                </w:p>
                              </w:tc>
                              <w:tc>
                                <w:tcPr>
                                  <w:tcW w:w="1020" w:type="dxa"/>
                                  <w:tcBorders>
                                    <w:top w:val="nil"/>
                                    <w:left w:val="nil"/>
                                    <w:bottom w:val="nil"/>
                                    <w:right w:val="nil"/>
                                  </w:tcBorders>
                                  <w:shd w:val="clear" w:color="auto" w:fill="auto"/>
                                  <w:noWrap/>
                                  <w:vAlign w:val="bottom"/>
                                  <w:hideMark/>
                                </w:tcPr>
                                <w:p w14:paraId="4A7AB4A1"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-0.10</w:t>
                                  </w:r>
                                </w:p>
                              </w:tc>
                              <w:tc>
                                <w:tcPr>
                                  <w:tcW w:w="1020" w:type="dxa"/>
                                  <w:tcBorders>
                                    <w:top w:val="nil"/>
                                    <w:left w:val="nil"/>
                                    <w:bottom w:val="nil"/>
                                    <w:right w:val="nil"/>
                                  </w:tcBorders>
                                  <w:shd w:val="clear" w:color="auto" w:fill="auto"/>
                                  <w:noWrap/>
                                  <w:vAlign w:val="bottom"/>
                                  <w:hideMark/>
                                </w:tcPr>
                                <w:p w14:paraId="6070672B"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0.20***</w:t>
                                  </w:r>
                                </w:p>
                              </w:tc>
                              <w:tc>
                                <w:tcPr>
                                  <w:tcW w:w="1020" w:type="dxa"/>
                                  <w:tcBorders>
                                    <w:top w:val="nil"/>
                                    <w:left w:val="nil"/>
                                    <w:bottom w:val="nil"/>
                                    <w:right w:val="nil"/>
                                  </w:tcBorders>
                                  <w:shd w:val="clear" w:color="auto" w:fill="auto"/>
                                  <w:noWrap/>
                                  <w:vAlign w:val="bottom"/>
                                  <w:hideMark/>
                                </w:tcPr>
                                <w:p w14:paraId="5332BEED"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0.98***</w:t>
                                  </w:r>
                                </w:p>
                              </w:tc>
                              <w:tc>
                                <w:tcPr>
                                  <w:tcW w:w="1020" w:type="dxa"/>
                                  <w:tcBorders>
                                    <w:top w:val="nil"/>
                                    <w:left w:val="nil"/>
                                    <w:bottom w:val="nil"/>
                                    <w:right w:val="nil"/>
                                  </w:tcBorders>
                                  <w:shd w:val="clear" w:color="auto" w:fill="auto"/>
                                  <w:noWrap/>
                                  <w:vAlign w:val="bottom"/>
                                  <w:hideMark/>
                                </w:tcPr>
                                <w:p w14:paraId="5CD36FEC"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0.59***</w:t>
                                  </w:r>
                                </w:p>
                              </w:tc>
                              <w:tc>
                                <w:tcPr>
                                  <w:tcW w:w="1020" w:type="dxa"/>
                                  <w:tcBorders>
                                    <w:top w:val="nil"/>
                                    <w:left w:val="nil"/>
                                    <w:bottom w:val="nil"/>
                                    <w:right w:val="nil"/>
                                  </w:tcBorders>
                                  <w:shd w:val="clear" w:color="auto" w:fill="auto"/>
                                  <w:noWrap/>
                                  <w:vAlign w:val="bottom"/>
                                  <w:hideMark/>
                                </w:tcPr>
                                <w:p w14:paraId="3679AB2B"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0.44***</w:t>
                                  </w:r>
                                </w:p>
                              </w:tc>
                            </w:tr>
                            <w:tr w:rsidR="00DF77C5" w:rsidRPr="009F1800" w14:paraId="23FD444D"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7AE3CFBA" w14:textId="77777777" w:rsidR="00DF77C5" w:rsidRPr="009F1800" w:rsidRDefault="00DF77C5" w:rsidP="009F1800">
                                  <w:pPr>
                                    <w:spacing w:after="0"/>
                                    <w:jc w:val="center"/>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10A510AE"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(0.10)</w:t>
                                  </w:r>
                                </w:p>
                              </w:tc>
                              <w:tc>
                                <w:tcPr>
                                  <w:tcW w:w="1020" w:type="dxa"/>
                                  <w:tcBorders>
                                    <w:top w:val="nil"/>
                                    <w:left w:val="nil"/>
                                    <w:bottom w:val="nil"/>
                                    <w:right w:val="nil"/>
                                  </w:tcBorders>
                                  <w:shd w:val="clear" w:color="auto" w:fill="auto"/>
                                  <w:noWrap/>
                                  <w:vAlign w:val="bottom"/>
                                  <w:hideMark/>
                                </w:tcPr>
                                <w:p w14:paraId="277D8B4D"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(0.05)</w:t>
                                  </w:r>
                                </w:p>
                              </w:tc>
                              <w:tc>
                                <w:tcPr>
                                  <w:tcW w:w="1020" w:type="dxa"/>
                                  <w:tcBorders>
                                    <w:top w:val="nil"/>
                                    <w:left w:val="nil"/>
                                    <w:bottom w:val="nil"/>
                                    <w:right w:val="nil"/>
                                  </w:tcBorders>
                                  <w:shd w:val="clear" w:color="auto" w:fill="auto"/>
                                  <w:noWrap/>
                                  <w:vAlign w:val="bottom"/>
                                  <w:hideMark/>
                                </w:tcPr>
                                <w:p w14:paraId="1655C345"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(0.10)</w:t>
                                  </w:r>
                                </w:p>
                              </w:tc>
                              <w:tc>
                                <w:tcPr>
                                  <w:tcW w:w="1020" w:type="dxa"/>
                                  <w:tcBorders>
                                    <w:top w:val="nil"/>
                                    <w:left w:val="nil"/>
                                    <w:bottom w:val="nil"/>
                                    <w:right w:val="nil"/>
                                  </w:tcBorders>
                                  <w:shd w:val="clear" w:color="auto" w:fill="auto"/>
                                  <w:noWrap/>
                                  <w:vAlign w:val="bottom"/>
                                  <w:hideMark/>
                                </w:tcPr>
                                <w:p w14:paraId="7330EDAD"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(0.07)</w:t>
                                  </w:r>
                                </w:p>
                              </w:tc>
                              <w:tc>
                                <w:tcPr>
                                  <w:tcW w:w="1020" w:type="dxa"/>
                                  <w:tcBorders>
                                    <w:top w:val="nil"/>
                                    <w:left w:val="nil"/>
                                    <w:bottom w:val="nil"/>
                                    <w:right w:val="nil"/>
                                  </w:tcBorders>
                                  <w:shd w:val="clear" w:color="auto" w:fill="auto"/>
                                  <w:noWrap/>
                                  <w:vAlign w:val="bottom"/>
                                  <w:hideMark/>
                                </w:tcPr>
                                <w:p w14:paraId="371B0E3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(0.07)</w:t>
                                  </w:r>
                                </w:p>
                              </w:tc>
                            </w:tr>
                            <w:tr w:rsidR="00DF77C5" w:rsidRPr="009F1800" w14:paraId="703D2261"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4631FC2A"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UE (unemployment-to-job rate)</w:t>
                                  </w:r>
                                </w:p>
                              </w:tc>
                              <w:tc>
                                <w:tcPr>
                                  <w:tcW w:w="1020" w:type="dxa"/>
                                  <w:tcBorders>
                                    <w:top w:val="nil"/>
                                    <w:left w:val="nil"/>
                                    <w:bottom w:val="nil"/>
                                    <w:right w:val="nil"/>
                                  </w:tcBorders>
                                  <w:shd w:val="clear" w:color="auto" w:fill="auto"/>
                                  <w:noWrap/>
                                  <w:vAlign w:val="bottom"/>
                                  <w:hideMark/>
                                </w:tcPr>
                                <w:p w14:paraId="06A3A7F6"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-0.29***</w:t>
                                  </w:r>
                                </w:p>
                              </w:tc>
                              <w:tc>
                                <w:tcPr>
                                  <w:tcW w:w="1020" w:type="dxa"/>
                                  <w:tcBorders>
                                    <w:top w:val="nil"/>
                                    <w:left w:val="nil"/>
                                    <w:bottom w:val="nil"/>
                                    <w:right w:val="nil"/>
                                  </w:tcBorders>
                                  <w:shd w:val="clear" w:color="auto" w:fill="auto"/>
                                  <w:noWrap/>
                                  <w:vAlign w:val="bottom"/>
                                  <w:hideMark/>
                                </w:tcPr>
                                <w:p w14:paraId="4F6F2D8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0.06***</w:t>
                                  </w:r>
                                </w:p>
                              </w:tc>
                              <w:tc>
                                <w:tcPr>
                                  <w:tcW w:w="1020" w:type="dxa"/>
                                  <w:tcBorders>
                                    <w:top w:val="nil"/>
                                    <w:left w:val="nil"/>
                                    <w:bottom w:val="nil"/>
                                    <w:right w:val="nil"/>
                                  </w:tcBorders>
                                  <w:shd w:val="clear" w:color="auto" w:fill="auto"/>
                                  <w:noWrap/>
                                  <w:vAlign w:val="bottom"/>
                                  <w:hideMark/>
                                </w:tcPr>
                                <w:p w14:paraId="773297D7"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-0.12***</w:t>
                                  </w:r>
                                </w:p>
                              </w:tc>
                              <w:tc>
                                <w:tcPr>
                                  <w:tcW w:w="1020" w:type="dxa"/>
                                  <w:tcBorders>
                                    <w:top w:val="nil"/>
                                    <w:left w:val="nil"/>
                                    <w:bottom w:val="nil"/>
                                    <w:right w:val="nil"/>
                                  </w:tcBorders>
                                  <w:shd w:val="clear" w:color="auto" w:fill="auto"/>
                                  <w:noWrap/>
                                  <w:vAlign w:val="bottom"/>
                                  <w:hideMark/>
                                </w:tcPr>
                                <w:p w14:paraId="6AF80059"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0.04</w:t>
                                  </w:r>
                                </w:p>
                              </w:tc>
                              <w:tc>
                                <w:tcPr>
                                  <w:tcW w:w="1020" w:type="dxa"/>
                                  <w:tcBorders>
                                    <w:top w:val="nil"/>
                                    <w:left w:val="nil"/>
                                    <w:bottom w:val="nil"/>
                                    <w:right w:val="nil"/>
                                  </w:tcBorders>
                                  <w:shd w:val="clear" w:color="auto" w:fill="auto"/>
                                  <w:noWrap/>
                                  <w:vAlign w:val="bottom"/>
                                  <w:hideMark/>
                                </w:tcPr>
                                <w:p w14:paraId="4732503E"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0.01</w:t>
                                  </w:r>
                                </w:p>
                              </w:tc>
                            </w:tr>
                            <w:tr w:rsidR="00DF77C5" w:rsidRPr="009F1800" w14:paraId="3E5C4B8C"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745CC47E" w14:textId="77777777" w:rsidR="00DF77C5" w:rsidRPr="009F1800" w:rsidRDefault="00DF77C5" w:rsidP="009F1800">
                                  <w:pPr>
                                    <w:spacing w:after="0"/>
                                    <w:jc w:val="center"/>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25EB0D49"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(0.04)</w:t>
                                  </w:r>
                                </w:p>
                              </w:tc>
                              <w:tc>
                                <w:tcPr>
                                  <w:tcW w:w="1020" w:type="dxa"/>
                                  <w:tcBorders>
                                    <w:top w:val="nil"/>
                                    <w:left w:val="nil"/>
                                    <w:bottom w:val="nil"/>
                                    <w:right w:val="nil"/>
                                  </w:tcBorders>
                                  <w:shd w:val="clear" w:color="auto" w:fill="auto"/>
                                  <w:noWrap/>
                                  <w:vAlign w:val="bottom"/>
                                  <w:hideMark/>
                                </w:tcPr>
                                <w:p w14:paraId="45697892"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(0.02)</w:t>
                                  </w:r>
                                </w:p>
                              </w:tc>
                              <w:tc>
                                <w:tcPr>
                                  <w:tcW w:w="1020" w:type="dxa"/>
                                  <w:tcBorders>
                                    <w:top w:val="nil"/>
                                    <w:left w:val="nil"/>
                                    <w:bottom w:val="nil"/>
                                    <w:right w:val="nil"/>
                                  </w:tcBorders>
                                  <w:shd w:val="clear" w:color="auto" w:fill="auto"/>
                                  <w:noWrap/>
                                  <w:vAlign w:val="bottom"/>
                                  <w:hideMark/>
                                </w:tcPr>
                                <w:p w14:paraId="7A4344B7"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(0.04)</w:t>
                                  </w:r>
                                </w:p>
                              </w:tc>
                              <w:tc>
                                <w:tcPr>
                                  <w:tcW w:w="1020" w:type="dxa"/>
                                  <w:tcBorders>
                                    <w:top w:val="nil"/>
                                    <w:left w:val="nil"/>
                                    <w:bottom w:val="nil"/>
                                    <w:right w:val="nil"/>
                                  </w:tcBorders>
                                  <w:shd w:val="clear" w:color="auto" w:fill="auto"/>
                                  <w:noWrap/>
                                  <w:vAlign w:val="bottom"/>
                                  <w:hideMark/>
                                </w:tcPr>
                                <w:p w14:paraId="01B00BDB"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(0.03)</w:t>
                                  </w:r>
                                </w:p>
                              </w:tc>
                              <w:tc>
                                <w:tcPr>
                                  <w:tcW w:w="1020" w:type="dxa"/>
                                  <w:tcBorders>
                                    <w:top w:val="nil"/>
                                    <w:left w:val="nil"/>
                                    <w:bottom w:val="nil"/>
                                    <w:right w:val="nil"/>
                                  </w:tcBorders>
                                  <w:shd w:val="clear" w:color="auto" w:fill="auto"/>
                                  <w:noWrap/>
                                  <w:vAlign w:val="bottom"/>
                                  <w:hideMark/>
                                </w:tcPr>
                                <w:p w14:paraId="59C38F46"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(0.03)</w:t>
                                  </w:r>
                                </w:p>
                              </w:tc>
                            </w:tr>
                            <w:tr w:rsidR="00DF77C5" w:rsidRPr="009F1800" w14:paraId="3E7E326B" w14:textId="77777777" w:rsidTr="009F1800">
                              <w:trPr>
                                <w:trHeight w:val="255"/>
                                <w:jc w:val="center"/>
                              </w:trPr>
                              <w:tc>
                                <w:tcPr>
                                  <w:tcW w:w="3440" w:type="dxa"/>
                                  <w:tcBorders>
                                    <w:top w:val="nil"/>
                                    <w:left w:val="nil"/>
                                    <w:bottom w:val="single" w:sz="4" w:space="0" w:color="auto"/>
                                    <w:right w:val="nil"/>
                                  </w:tcBorders>
                                  <w:shd w:val="clear" w:color="auto" w:fill="auto"/>
                                  <w:noWrap/>
                                  <w:vAlign w:val="bottom"/>
                                  <w:hideMark/>
                                </w:tcPr>
                                <w:p w14:paraId="75CAFF8A" w14:textId="77777777" w:rsidR="00DF77C5" w:rsidRPr="009F1800" w:rsidRDefault="00DF77C5" w:rsidP="009F1800">
                                  <w:pPr>
                                    <w:spacing w:after="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nil"/>
                                    <w:left w:val="nil"/>
                                    <w:bottom w:val="single" w:sz="4" w:space="0" w:color="auto"/>
                                    <w:right w:val="nil"/>
                                  </w:tcBorders>
                                  <w:shd w:val="clear" w:color="auto" w:fill="auto"/>
                                  <w:noWrap/>
                                  <w:vAlign w:val="bottom"/>
                                  <w:hideMark/>
                                </w:tcPr>
                                <w:p w14:paraId="07BA4E7E"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nil"/>
                                    <w:left w:val="nil"/>
                                    <w:bottom w:val="single" w:sz="4" w:space="0" w:color="auto"/>
                                    <w:right w:val="nil"/>
                                  </w:tcBorders>
                                  <w:shd w:val="clear" w:color="auto" w:fill="auto"/>
                                  <w:noWrap/>
                                  <w:vAlign w:val="bottom"/>
                                  <w:hideMark/>
                                </w:tcPr>
                                <w:p w14:paraId="1161E6E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nil"/>
                                    <w:left w:val="nil"/>
                                    <w:bottom w:val="single" w:sz="4" w:space="0" w:color="auto"/>
                                    <w:right w:val="nil"/>
                                  </w:tcBorders>
                                  <w:shd w:val="clear" w:color="auto" w:fill="auto"/>
                                  <w:noWrap/>
                                  <w:vAlign w:val="bottom"/>
                                  <w:hideMark/>
                                </w:tcPr>
                                <w:p w14:paraId="73E40F6B"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nil"/>
                                    <w:left w:val="nil"/>
                                    <w:bottom w:val="single" w:sz="4" w:space="0" w:color="auto"/>
                                    <w:right w:val="nil"/>
                                  </w:tcBorders>
                                  <w:shd w:val="clear" w:color="auto" w:fill="auto"/>
                                  <w:noWrap/>
                                  <w:vAlign w:val="bottom"/>
                                  <w:hideMark/>
                                </w:tcPr>
                                <w:p w14:paraId="0F30847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nil"/>
                                    <w:left w:val="nil"/>
                                    <w:bottom w:val="single" w:sz="4" w:space="0" w:color="auto"/>
                                    <w:right w:val="nil"/>
                                  </w:tcBorders>
                                  <w:shd w:val="clear" w:color="auto" w:fill="auto"/>
                                  <w:noWrap/>
                                  <w:vAlign w:val="bottom"/>
                                  <w:hideMark/>
                                </w:tcPr>
                                <w:p w14:paraId="5356A82A"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r>
                            <w:tr w:rsidR="00DF77C5" w:rsidRPr="009F1800" w14:paraId="490D8CFF"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0A610093" w14:textId="77777777" w:rsidR="00DF77C5" w:rsidRPr="009F1800" w:rsidRDefault="00DF77C5" w:rsidP="009F1800">
                                  <w:pPr>
                                    <w:spacing w:after="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Specification details</w:t>
                                  </w:r>
                                </w:p>
                              </w:tc>
                              <w:tc>
                                <w:tcPr>
                                  <w:tcW w:w="1020" w:type="dxa"/>
                                  <w:tcBorders>
                                    <w:top w:val="nil"/>
                                    <w:left w:val="nil"/>
                                    <w:bottom w:val="nil"/>
                                    <w:right w:val="nil"/>
                                  </w:tcBorders>
                                  <w:shd w:val="clear" w:color="auto" w:fill="auto"/>
                                  <w:noWrap/>
                                  <w:vAlign w:val="bottom"/>
                                  <w:hideMark/>
                                </w:tcPr>
                                <w:p w14:paraId="465FC8BD" w14:textId="77777777" w:rsidR="00DF77C5" w:rsidRPr="009F1800" w:rsidRDefault="00DF77C5" w:rsidP="009F1800">
                                  <w:pPr>
                                    <w:spacing w:after="0"/>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63A4E37C"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47B7EA4E"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75A49F81"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47880AA7"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r>
                            <w:tr w:rsidR="00DF77C5" w:rsidRPr="009F1800" w14:paraId="22E4914E"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27E6F4CB"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Year fixed effect</w:t>
                                  </w:r>
                                </w:p>
                              </w:tc>
                              <w:tc>
                                <w:tcPr>
                                  <w:tcW w:w="1020" w:type="dxa"/>
                                  <w:tcBorders>
                                    <w:top w:val="nil"/>
                                    <w:left w:val="nil"/>
                                    <w:bottom w:val="nil"/>
                                    <w:right w:val="nil"/>
                                  </w:tcBorders>
                                  <w:shd w:val="clear" w:color="auto" w:fill="auto"/>
                                  <w:noWrap/>
                                  <w:vAlign w:val="bottom"/>
                                  <w:hideMark/>
                                </w:tcPr>
                                <w:p w14:paraId="6249E7A3"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48483487"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1513F07E"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38FDD642"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7D117C90"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r>
                            <w:tr w:rsidR="00DF77C5" w:rsidRPr="009F1800" w14:paraId="268530F5"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35A733E1"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SA4 fixed effect</w:t>
                                  </w:r>
                                </w:p>
                              </w:tc>
                              <w:tc>
                                <w:tcPr>
                                  <w:tcW w:w="1020" w:type="dxa"/>
                                  <w:tcBorders>
                                    <w:top w:val="nil"/>
                                    <w:left w:val="nil"/>
                                    <w:bottom w:val="nil"/>
                                    <w:right w:val="nil"/>
                                  </w:tcBorders>
                                  <w:shd w:val="clear" w:color="auto" w:fill="auto"/>
                                  <w:noWrap/>
                                  <w:vAlign w:val="bottom"/>
                                  <w:hideMark/>
                                </w:tcPr>
                                <w:p w14:paraId="6A7E10B5"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0153E505"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0A85AE90"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45867134"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51B1A14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r>
                            <w:tr w:rsidR="00DF77C5" w:rsidRPr="009F1800" w14:paraId="629573F1"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5EB3ECC3"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SA4 trend</w:t>
                                  </w:r>
                                </w:p>
                              </w:tc>
                              <w:tc>
                                <w:tcPr>
                                  <w:tcW w:w="1020" w:type="dxa"/>
                                  <w:tcBorders>
                                    <w:top w:val="nil"/>
                                    <w:left w:val="nil"/>
                                    <w:bottom w:val="nil"/>
                                    <w:right w:val="nil"/>
                                  </w:tcBorders>
                                  <w:shd w:val="clear" w:color="auto" w:fill="auto"/>
                                  <w:noWrap/>
                                  <w:vAlign w:val="bottom"/>
                                  <w:hideMark/>
                                </w:tcPr>
                                <w:p w14:paraId="378ED2CD"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7D39D3C4"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2E7E097B" w14:textId="77777777" w:rsidR="00DF77C5" w:rsidRPr="009F1800" w:rsidRDefault="00DF77C5" w:rsidP="009F1800">
                                  <w:pPr>
                                    <w:spacing w:after="0"/>
                                    <w:jc w:val="center"/>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343E7027"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5A61520C"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r>
                            <w:tr w:rsidR="00DF77C5" w:rsidRPr="009F1800" w14:paraId="7B61E4BE"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1A8DDFBC"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xml:space="preserve">State X Year fixed effect </w:t>
                                  </w:r>
                                </w:p>
                              </w:tc>
                              <w:tc>
                                <w:tcPr>
                                  <w:tcW w:w="1020" w:type="dxa"/>
                                  <w:tcBorders>
                                    <w:top w:val="nil"/>
                                    <w:left w:val="nil"/>
                                    <w:bottom w:val="nil"/>
                                    <w:right w:val="nil"/>
                                  </w:tcBorders>
                                  <w:shd w:val="clear" w:color="auto" w:fill="auto"/>
                                  <w:noWrap/>
                                  <w:vAlign w:val="bottom"/>
                                  <w:hideMark/>
                                </w:tcPr>
                                <w:p w14:paraId="4FCCFA73"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05B0EEBD"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6FC37DC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39BD598B"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3020F4F3"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r>
                            <w:tr w:rsidR="00DF77C5" w:rsidRPr="009F1800" w14:paraId="29DF2E9B" w14:textId="77777777" w:rsidTr="009F1800">
                              <w:trPr>
                                <w:trHeight w:val="270"/>
                                <w:jc w:val="center"/>
                              </w:trPr>
                              <w:tc>
                                <w:tcPr>
                                  <w:tcW w:w="3440" w:type="dxa"/>
                                  <w:tcBorders>
                                    <w:top w:val="nil"/>
                                    <w:left w:val="nil"/>
                                    <w:bottom w:val="double" w:sz="6" w:space="0" w:color="auto"/>
                                    <w:right w:val="nil"/>
                                  </w:tcBorders>
                                  <w:shd w:val="clear" w:color="auto" w:fill="auto"/>
                                  <w:noWrap/>
                                  <w:vAlign w:val="bottom"/>
                                  <w:hideMark/>
                                </w:tcPr>
                                <w:p w14:paraId="75913E63"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SA4 time varying controls</w:t>
                                  </w:r>
                                </w:p>
                              </w:tc>
                              <w:tc>
                                <w:tcPr>
                                  <w:tcW w:w="1020" w:type="dxa"/>
                                  <w:tcBorders>
                                    <w:top w:val="nil"/>
                                    <w:left w:val="nil"/>
                                    <w:bottom w:val="double" w:sz="6" w:space="0" w:color="auto"/>
                                    <w:right w:val="nil"/>
                                  </w:tcBorders>
                                  <w:shd w:val="clear" w:color="auto" w:fill="auto"/>
                                  <w:noWrap/>
                                  <w:vAlign w:val="bottom"/>
                                  <w:hideMark/>
                                </w:tcPr>
                                <w:p w14:paraId="6013556C"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nil"/>
                                    <w:left w:val="nil"/>
                                    <w:bottom w:val="double" w:sz="6" w:space="0" w:color="auto"/>
                                    <w:right w:val="nil"/>
                                  </w:tcBorders>
                                  <w:shd w:val="clear" w:color="auto" w:fill="auto"/>
                                  <w:noWrap/>
                                  <w:vAlign w:val="bottom"/>
                                  <w:hideMark/>
                                </w:tcPr>
                                <w:p w14:paraId="60C0FB01"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nil"/>
                                    <w:left w:val="nil"/>
                                    <w:bottom w:val="double" w:sz="6" w:space="0" w:color="auto"/>
                                    <w:right w:val="nil"/>
                                  </w:tcBorders>
                                  <w:shd w:val="clear" w:color="auto" w:fill="auto"/>
                                  <w:noWrap/>
                                  <w:vAlign w:val="bottom"/>
                                  <w:hideMark/>
                                </w:tcPr>
                                <w:p w14:paraId="666A4F5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nil"/>
                                    <w:left w:val="nil"/>
                                    <w:bottom w:val="double" w:sz="6" w:space="0" w:color="auto"/>
                                    <w:right w:val="nil"/>
                                  </w:tcBorders>
                                  <w:shd w:val="clear" w:color="auto" w:fill="auto"/>
                                  <w:noWrap/>
                                  <w:vAlign w:val="bottom"/>
                                  <w:hideMark/>
                                </w:tcPr>
                                <w:p w14:paraId="1772D816"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nil"/>
                                    <w:left w:val="nil"/>
                                    <w:bottom w:val="double" w:sz="6" w:space="0" w:color="auto"/>
                                    <w:right w:val="nil"/>
                                  </w:tcBorders>
                                  <w:shd w:val="clear" w:color="auto" w:fill="auto"/>
                                  <w:noWrap/>
                                  <w:vAlign w:val="bottom"/>
                                  <w:hideMark/>
                                </w:tcPr>
                                <w:p w14:paraId="2BD873CC"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r>
                          </w:tbl>
                          <w:p w14:paraId="5C8F88C7" w14:textId="7753C127" w:rsidR="00DF77C5" w:rsidRPr="005E173D" w:rsidRDefault="00DF77C5" w:rsidP="00697AED">
                            <w:pPr>
                              <w:pStyle w:val="ChartorTableNote"/>
                              <w:rPr>
                                <w:sz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1394C" id="Text Box 4" o:spid="_x0000_s1029" type="#_x0000_t202" style="position:absolute;left:0;text-align:left;margin-left:-16.45pt;margin-top:15.45pt;width:467.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" filled="f" stroked="f" strokeweight=".5pt">
                <v:textbox inset="0,,0">
                  <w:txbxContent>
                    <w:tbl>
                      <w:tblPr>
                        <w:tblW w:w="8540" w:type="dxa"/>
                        <w:jc w:val="center"/>
                        <w:tblLook w:val="04A0" w:firstRow="1" w:lastRow="0" w:firstColumn="1" w:lastColumn="0" w:noHBand="0" w:noVBand="1"/>
                      </w:tblPr>
                      <w:tblGrid>
                        <w:gridCol w:w="3440"/>
                        <w:gridCol w:w="1020"/>
                        <w:gridCol w:w="1020"/>
                        <w:gridCol w:w="1020"/>
                        <w:gridCol w:w="1020"/>
                        <w:gridCol w:w="1020"/>
                      </w:tblGrid>
                      <w:tr w:rsidR="00DF77C5" w:rsidRPr="009F1800" w14:paraId="5B573F1C" w14:textId="77777777" w:rsidTr="009F1800">
                        <w:trPr>
                          <w:trHeight w:val="270"/>
                          <w:jc w:val="center"/>
                        </w:trPr>
                        <w:tc>
                          <w:tcPr>
                            <w:tcW w:w="3440" w:type="dxa"/>
                            <w:tcBorders>
                              <w:top w:val="double" w:sz="6" w:space="0" w:color="auto"/>
                              <w:left w:val="nil"/>
                              <w:bottom w:val="nil"/>
                              <w:right w:val="nil"/>
                            </w:tcBorders>
                            <w:shd w:val="clear" w:color="auto" w:fill="auto"/>
                            <w:noWrap/>
                            <w:vAlign w:val="bottom"/>
                            <w:hideMark/>
                          </w:tcPr>
                          <w:p w14:paraId="3600F273" w14:textId="77777777" w:rsidR="00DF77C5" w:rsidRPr="009F1800" w:rsidRDefault="00DF77C5" w:rsidP="009F1800">
                            <w:pPr>
                              <w:spacing w:after="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double" w:sz="6" w:space="0" w:color="auto"/>
                              <w:left w:val="nil"/>
                              <w:bottom w:val="nil"/>
                              <w:right w:val="nil"/>
                            </w:tcBorders>
                            <w:shd w:val="clear" w:color="auto" w:fill="auto"/>
                            <w:noWrap/>
                            <w:vAlign w:val="bottom"/>
                            <w:hideMark/>
                          </w:tcPr>
                          <w:p w14:paraId="5D6206F5"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(1)</w:t>
                            </w:r>
                          </w:p>
                        </w:tc>
                        <w:tc>
                          <w:tcPr>
                            <w:tcW w:w="1020" w:type="dxa"/>
                            <w:tcBorders>
                              <w:top w:val="double" w:sz="6" w:space="0" w:color="auto"/>
                              <w:left w:val="nil"/>
                              <w:bottom w:val="nil"/>
                              <w:right w:val="nil"/>
                            </w:tcBorders>
                            <w:shd w:val="clear" w:color="auto" w:fill="auto"/>
                            <w:noWrap/>
                            <w:vAlign w:val="bottom"/>
                            <w:hideMark/>
                          </w:tcPr>
                          <w:p w14:paraId="14B1D566"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(2)</w:t>
                            </w:r>
                          </w:p>
                        </w:tc>
                        <w:tc>
                          <w:tcPr>
                            <w:tcW w:w="1020" w:type="dxa"/>
                            <w:tcBorders>
                              <w:top w:val="double" w:sz="6" w:space="0" w:color="auto"/>
                              <w:left w:val="nil"/>
                              <w:bottom w:val="nil"/>
                              <w:right w:val="nil"/>
                            </w:tcBorders>
                            <w:shd w:val="clear" w:color="auto" w:fill="auto"/>
                            <w:noWrap/>
                            <w:vAlign w:val="bottom"/>
                            <w:hideMark/>
                          </w:tcPr>
                          <w:p w14:paraId="05546F3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(3)</w:t>
                            </w:r>
                          </w:p>
                        </w:tc>
                        <w:tc>
                          <w:tcPr>
                            <w:tcW w:w="1020" w:type="dxa"/>
                            <w:tcBorders>
                              <w:top w:val="double" w:sz="6" w:space="0" w:color="auto"/>
                              <w:left w:val="nil"/>
                              <w:bottom w:val="nil"/>
                              <w:right w:val="nil"/>
                            </w:tcBorders>
                            <w:shd w:val="clear" w:color="auto" w:fill="auto"/>
                            <w:noWrap/>
                            <w:vAlign w:val="bottom"/>
                            <w:hideMark/>
                          </w:tcPr>
                          <w:p w14:paraId="133B5D8F"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(4)</w:t>
                            </w:r>
                          </w:p>
                        </w:tc>
                        <w:tc>
                          <w:tcPr>
                            <w:tcW w:w="1020" w:type="dxa"/>
                            <w:tcBorders>
                              <w:top w:val="double" w:sz="6" w:space="0" w:color="auto"/>
                              <w:left w:val="nil"/>
                              <w:bottom w:val="nil"/>
                              <w:right w:val="nil"/>
                            </w:tcBorders>
                            <w:shd w:val="clear" w:color="auto" w:fill="auto"/>
                            <w:noWrap/>
                            <w:vAlign w:val="bottom"/>
                            <w:hideMark/>
                          </w:tcPr>
                          <w:p w14:paraId="678102D9"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(5)</w:t>
                            </w:r>
                          </w:p>
                        </w:tc>
                      </w:tr>
                      <w:tr w:rsidR="00DF77C5" w:rsidRPr="009F1800" w14:paraId="051BCD12" w14:textId="77777777" w:rsidTr="009F1800">
                        <w:trPr>
                          <w:trHeight w:val="255"/>
                          <w:jc w:val="center"/>
                        </w:trPr>
                        <w:tc>
                          <w:tcPr>
                            <w:tcW w:w="3440" w:type="dxa"/>
                            <w:tcBorders>
                              <w:top w:val="single" w:sz="4" w:space="0" w:color="auto"/>
                              <w:left w:val="nil"/>
                              <w:bottom w:val="nil"/>
                              <w:right w:val="nil"/>
                            </w:tcBorders>
                            <w:shd w:val="clear" w:color="auto" w:fill="auto"/>
                            <w:noWrap/>
                            <w:vAlign w:val="bottom"/>
                            <w:hideMark/>
                          </w:tcPr>
                          <w:p w14:paraId="3D1CEDD0" w14:textId="77777777" w:rsidR="00DF77C5" w:rsidRPr="009F1800" w:rsidRDefault="00DF77C5" w:rsidP="009F1800">
                            <w:pPr>
                              <w:spacing w:after="0"/>
                              <w:rPr>
                                <w:rFonts w:ascii="Arial" w:eastAsia="Times New Roman" w:hAnsi="Arial" w:cs="Arial"/>
                                <w:i/>
                                <w:iCs/>
                                <w:color w:val="000000"/>
                                <w:sz w:val="20"/>
                                <w:szCs w:val="20"/>
                                <w:lang w:eastAsia="en-AU"/>
                              </w:rPr>
                            </w:pPr>
                            <w:r w:rsidRPr="009F1800">
                              <w:rPr>
                                <w:rFonts w:ascii="Arial" w:eastAsia="Times New Roman" w:hAnsi="Arial" w:cs="Arial"/>
                                <w:i/>
                                <w:iCs/>
                                <w:color w:val="000000"/>
                                <w:sz w:val="20"/>
                                <w:szCs w:val="20"/>
                                <w:lang w:eastAsia="en-AU"/>
                              </w:rPr>
                              <w:t>Panel A:  All wage earners</w:t>
                            </w:r>
                          </w:p>
                        </w:tc>
                        <w:tc>
                          <w:tcPr>
                            <w:tcW w:w="1020" w:type="dxa"/>
                            <w:tcBorders>
                              <w:top w:val="single" w:sz="4" w:space="0" w:color="auto"/>
                              <w:left w:val="nil"/>
                              <w:bottom w:val="nil"/>
                              <w:right w:val="nil"/>
                            </w:tcBorders>
                            <w:shd w:val="clear" w:color="auto" w:fill="auto"/>
                            <w:noWrap/>
                            <w:vAlign w:val="bottom"/>
                            <w:hideMark/>
                          </w:tcPr>
                          <w:p w14:paraId="19DC19D5"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single" w:sz="4" w:space="0" w:color="auto"/>
                              <w:left w:val="nil"/>
                              <w:bottom w:val="nil"/>
                              <w:right w:val="nil"/>
                            </w:tcBorders>
                            <w:shd w:val="clear" w:color="auto" w:fill="auto"/>
                            <w:noWrap/>
                            <w:vAlign w:val="bottom"/>
                            <w:hideMark/>
                          </w:tcPr>
                          <w:p w14:paraId="2BD7CEFB"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single" w:sz="4" w:space="0" w:color="auto"/>
                              <w:left w:val="nil"/>
                              <w:bottom w:val="nil"/>
                              <w:right w:val="nil"/>
                            </w:tcBorders>
                            <w:shd w:val="clear" w:color="auto" w:fill="auto"/>
                            <w:noWrap/>
                            <w:vAlign w:val="bottom"/>
                            <w:hideMark/>
                          </w:tcPr>
                          <w:p w14:paraId="112C3B6B"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single" w:sz="4" w:space="0" w:color="auto"/>
                              <w:left w:val="nil"/>
                              <w:bottom w:val="nil"/>
                              <w:right w:val="nil"/>
                            </w:tcBorders>
                            <w:shd w:val="clear" w:color="auto" w:fill="auto"/>
                            <w:noWrap/>
                            <w:vAlign w:val="bottom"/>
                            <w:hideMark/>
                          </w:tcPr>
                          <w:p w14:paraId="68F02F3E"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single" w:sz="4" w:space="0" w:color="auto"/>
                              <w:left w:val="nil"/>
                              <w:bottom w:val="nil"/>
                              <w:right w:val="nil"/>
                            </w:tcBorders>
                            <w:shd w:val="clear" w:color="auto" w:fill="auto"/>
                            <w:noWrap/>
                            <w:vAlign w:val="bottom"/>
                            <w:hideMark/>
                          </w:tcPr>
                          <w:p w14:paraId="61514047"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r>
                      <w:tr w:rsidR="00DF77C5" w:rsidRPr="009F1800" w14:paraId="7E58DFDA"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1696E6E3"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EE (job-to-job) rate</w:t>
                            </w:r>
                          </w:p>
                        </w:tc>
                        <w:tc>
                          <w:tcPr>
                            <w:tcW w:w="1020" w:type="dxa"/>
                            <w:tcBorders>
                              <w:top w:val="nil"/>
                              <w:left w:val="nil"/>
                              <w:bottom w:val="nil"/>
                              <w:right w:val="nil"/>
                            </w:tcBorders>
                            <w:shd w:val="clear" w:color="auto" w:fill="auto"/>
                            <w:noWrap/>
                            <w:vAlign w:val="bottom"/>
                            <w:hideMark/>
                          </w:tcPr>
                          <w:p w14:paraId="3624408C"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-0.06</w:t>
                            </w:r>
                          </w:p>
                        </w:tc>
                        <w:tc>
                          <w:tcPr>
                            <w:tcW w:w="1020" w:type="dxa"/>
                            <w:tcBorders>
                              <w:top w:val="nil"/>
                              <w:left w:val="nil"/>
                              <w:bottom w:val="nil"/>
                              <w:right w:val="nil"/>
                            </w:tcBorders>
                            <w:shd w:val="clear" w:color="auto" w:fill="auto"/>
                            <w:noWrap/>
                            <w:vAlign w:val="bottom"/>
                            <w:hideMark/>
                          </w:tcPr>
                          <w:p w14:paraId="27CD0989"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0.29***</w:t>
                            </w:r>
                          </w:p>
                        </w:tc>
                        <w:tc>
                          <w:tcPr>
                            <w:tcW w:w="1020" w:type="dxa"/>
                            <w:tcBorders>
                              <w:top w:val="nil"/>
                              <w:left w:val="nil"/>
                              <w:bottom w:val="nil"/>
                              <w:right w:val="nil"/>
                            </w:tcBorders>
                            <w:shd w:val="clear" w:color="auto" w:fill="auto"/>
                            <w:noWrap/>
                            <w:vAlign w:val="bottom"/>
                            <w:hideMark/>
                          </w:tcPr>
                          <w:p w14:paraId="7FF39BF7"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1.02***</w:t>
                            </w:r>
                          </w:p>
                        </w:tc>
                        <w:tc>
                          <w:tcPr>
                            <w:tcW w:w="1020" w:type="dxa"/>
                            <w:tcBorders>
                              <w:top w:val="nil"/>
                              <w:left w:val="nil"/>
                              <w:bottom w:val="nil"/>
                              <w:right w:val="nil"/>
                            </w:tcBorders>
                            <w:shd w:val="clear" w:color="auto" w:fill="auto"/>
                            <w:noWrap/>
                            <w:vAlign w:val="bottom"/>
                            <w:hideMark/>
                          </w:tcPr>
                          <w:p w14:paraId="3FB352B5"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0.67***</w:t>
                            </w:r>
                          </w:p>
                        </w:tc>
                        <w:tc>
                          <w:tcPr>
                            <w:tcW w:w="1020" w:type="dxa"/>
                            <w:tcBorders>
                              <w:top w:val="nil"/>
                              <w:left w:val="nil"/>
                              <w:bottom w:val="nil"/>
                              <w:right w:val="nil"/>
                            </w:tcBorders>
                            <w:shd w:val="clear" w:color="auto" w:fill="auto"/>
                            <w:noWrap/>
                            <w:vAlign w:val="bottom"/>
                            <w:hideMark/>
                          </w:tcPr>
                          <w:p w14:paraId="5D78CCE2"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0.54***</w:t>
                            </w:r>
                          </w:p>
                        </w:tc>
                      </w:tr>
                      <w:tr w:rsidR="00DF77C5" w:rsidRPr="009F1800" w14:paraId="194398DC"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3290A1A9" w14:textId="77777777" w:rsidR="00DF77C5" w:rsidRPr="009F1800" w:rsidRDefault="00DF77C5" w:rsidP="009F1800">
                            <w:pPr>
                              <w:spacing w:after="0"/>
                              <w:jc w:val="center"/>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7196A6C9"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(0.10)</w:t>
                            </w:r>
                          </w:p>
                        </w:tc>
                        <w:tc>
                          <w:tcPr>
                            <w:tcW w:w="1020" w:type="dxa"/>
                            <w:tcBorders>
                              <w:top w:val="nil"/>
                              <w:left w:val="nil"/>
                              <w:bottom w:val="nil"/>
                              <w:right w:val="nil"/>
                            </w:tcBorders>
                            <w:shd w:val="clear" w:color="auto" w:fill="auto"/>
                            <w:noWrap/>
                            <w:vAlign w:val="bottom"/>
                            <w:hideMark/>
                          </w:tcPr>
                          <w:p w14:paraId="3B89576B"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(0.05)</w:t>
                            </w:r>
                          </w:p>
                        </w:tc>
                        <w:tc>
                          <w:tcPr>
                            <w:tcW w:w="1020" w:type="dxa"/>
                            <w:tcBorders>
                              <w:top w:val="nil"/>
                              <w:left w:val="nil"/>
                              <w:bottom w:val="nil"/>
                              <w:right w:val="nil"/>
                            </w:tcBorders>
                            <w:shd w:val="clear" w:color="auto" w:fill="auto"/>
                            <w:noWrap/>
                            <w:vAlign w:val="bottom"/>
                            <w:hideMark/>
                          </w:tcPr>
                          <w:p w14:paraId="1EEB7B04"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(0.10)</w:t>
                            </w:r>
                          </w:p>
                        </w:tc>
                        <w:tc>
                          <w:tcPr>
                            <w:tcW w:w="1020" w:type="dxa"/>
                            <w:tcBorders>
                              <w:top w:val="nil"/>
                              <w:left w:val="nil"/>
                              <w:bottom w:val="nil"/>
                              <w:right w:val="nil"/>
                            </w:tcBorders>
                            <w:shd w:val="clear" w:color="auto" w:fill="auto"/>
                            <w:noWrap/>
                            <w:vAlign w:val="bottom"/>
                            <w:hideMark/>
                          </w:tcPr>
                          <w:p w14:paraId="4ADB0572"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(0.06)</w:t>
                            </w:r>
                          </w:p>
                        </w:tc>
                        <w:tc>
                          <w:tcPr>
                            <w:tcW w:w="1020" w:type="dxa"/>
                            <w:tcBorders>
                              <w:top w:val="nil"/>
                              <w:left w:val="nil"/>
                              <w:bottom w:val="nil"/>
                              <w:right w:val="nil"/>
                            </w:tcBorders>
                            <w:shd w:val="clear" w:color="auto" w:fill="auto"/>
                            <w:noWrap/>
                            <w:vAlign w:val="bottom"/>
                            <w:hideMark/>
                          </w:tcPr>
                          <w:p w14:paraId="4F6CBAB5"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(0.06)</w:t>
                            </w:r>
                          </w:p>
                        </w:tc>
                      </w:tr>
                      <w:tr w:rsidR="00DF77C5" w:rsidRPr="009F1800" w14:paraId="4E652F44"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514BE100"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UE (unemployment-to-job rate)</w:t>
                            </w:r>
                          </w:p>
                        </w:tc>
                        <w:tc>
                          <w:tcPr>
                            <w:tcW w:w="1020" w:type="dxa"/>
                            <w:tcBorders>
                              <w:top w:val="nil"/>
                              <w:left w:val="nil"/>
                              <w:bottom w:val="nil"/>
                              <w:right w:val="nil"/>
                            </w:tcBorders>
                            <w:shd w:val="clear" w:color="auto" w:fill="auto"/>
                            <w:noWrap/>
                            <w:vAlign w:val="bottom"/>
                            <w:hideMark/>
                          </w:tcPr>
                          <w:p w14:paraId="670395DD"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-0.32***</w:t>
                            </w:r>
                          </w:p>
                        </w:tc>
                        <w:tc>
                          <w:tcPr>
                            <w:tcW w:w="1020" w:type="dxa"/>
                            <w:tcBorders>
                              <w:top w:val="nil"/>
                              <w:left w:val="nil"/>
                              <w:bottom w:val="nil"/>
                              <w:right w:val="nil"/>
                            </w:tcBorders>
                            <w:shd w:val="clear" w:color="auto" w:fill="auto"/>
                            <w:noWrap/>
                            <w:vAlign w:val="bottom"/>
                            <w:hideMark/>
                          </w:tcPr>
                          <w:p w14:paraId="0F992976"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0.06**</w:t>
                            </w:r>
                          </w:p>
                        </w:tc>
                        <w:tc>
                          <w:tcPr>
                            <w:tcW w:w="1020" w:type="dxa"/>
                            <w:tcBorders>
                              <w:top w:val="nil"/>
                              <w:left w:val="nil"/>
                              <w:bottom w:val="nil"/>
                              <w:right w:val="nil"/>
                            </w:tcBorders>
                            <w:shd w:val="clear" w:color="auto" w:fill="auto"/>
                            <w:noWrap/>
                            <w:vAlign w:val="bottom"/>
                            <w:hideMark/>
                          </w:tcPr>
                          <w:p w14:paraId="01D8561C"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-0.13***</w:t>
                            </w:r>
                          </w:p>
                        </w:tc>
                        <w:tc>
                          <w:tcPr>
                            <w:tcW w:w="1020" w:type="dxa"/>
                            <w:tcBorders>
                              <w:top w:val="nil"/>
                              <w:left w:val="nil"/>
                              <w:bottom w:val="nil"/>
                              <w:right w:val="nil"/>
                            </w:tcBorders>
                            <w:shd w:val="clear" w:color="auto" w:fill="auto"/>
                            <w:noWrap/>
                            <w:vAlign w:val="bottom"/>
                            <w:hideMark/>
                          </w:tcPr>
                          <w:p w14:paraId="636C1329"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0.02</w:t>
                            </w:r>
                          </w:p>
                        </w:tc>
                        <w:tc>
                          <w:tcPr>
                            <w:tcW w:w="1020" w:type="dxa"/>
                            <w:tcBorders>
                              <w:top w:val="nil"/>
                              <w:left w:val="nil"/>
                              <w:bottom w:val="nil"/>
                              <w:right w:val="nil"/>
                            </w:tcBorders>
                            <w:shd w:val="clear" w:color="auto" w:fill="auto"/>
                            <w:noWrap/>
                            <w:vAlign w:val="bottom"/>
                            <w:hideMark/>
                          </w:tcPr>
                          <w:p w14:paraId="4428056E"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0.01</w:t>
                            </w:r>
                          </w:p>
                        </w:tc>
                      </w:tr>
                      <w:tr w:rsidR="00DF77C5" w:rsidRPr="009F1800" w14:paraId="5CA0F388"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1AD32989" w14:textId="77777777" w:rsidR="00DF77C5" w:rsidRPr="009F1800" w:rsidRDefault="00DF77C5" w:rsidP="009F1800">
                            <w:pPr>
                              <w:spacing w:after="0"/>
                              <w:jc w:val="center"/>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31ED1A7A"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(0.04)</w:t>
                            </w:r>
                          </w:p>
                        </w:tc>
                        <w:tc>
                          <w:tcPr>
                            <w:tcW w:w="1020" w:type="dxa"/>
                            <w:tcBorders>
                              <w:top w:val="nil"/>
                              <w:left w:val="nil"/>
                              <w:bottom w:val="nil"/>
                              <w:right w:val="nil"/>
                            </w:tcBorders>
                            <w:shd w:val="clear" w:color="auto" w:fill="auto"/>
                            <w:noWrap/>
                            <w:vAlign w:val="bottom"/>
                            <w:hideMark/>
                          </w:tcPr>
                          <w:p w14:paraId="701D8C84"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(0.02)</w:t>
                            </w:r>
                          </w:p>
                        </w:tc>
                        <w:tc>
                          <w:tcPr>
                            <w:tcW w:w="1020" w:type="dxa"/>
                            <w:tcBorders>
                              <w:top w:val="nil"/>
                              <w:left w:val="nil"/>
                              <w:bottom w:val="nil"/>
                              <w:right w:val="nil"/>
                            </w:tcBorders>
                            <w:shd w:val="clear" w:color="auto" w:fill="auto"/>
                            <w:noWrap/>
                            <w:vAlign w:val="bottom"/>
                            <w:hideMark/>
                          </w:tcPr>
                          <w:p w14:paraId="38A487C2"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(0.03)</w:t>
                            </w:r>
                          </w:p>
                        </w:tc>
                        <w:tc>
                          <w:tcPr>
                            <w:tcW w:w="1020" w:type="dxa"/>
                            <w:tcBorders>
                              <w:top w:val="nil"/>
                              <w:left w:val="nil"/>
                              <w:bottom w:val="nil"/>
                              <w:right w:val="nil"/>
                            </w:tcBorders>
                            <w:shd w:val="clear" w:color="auto" w:fill="auto"/>
                            <w:noWrap/>
                            <w:vAlign w:val="bottom"/>
                            <w:hideMark/>
                          </w:tcPr>
                          <w:p w14:paraId="1AF8F53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(0.02)</w:t>
                            </w:r>
                          </w:p>
                        </w:tc>
                        <w:tc>
                          <w:tcPr>
                            <w:tcW w:w="1020" w:type="dxa"/>
                            <w:tcBorders>
                              <w:top w:val="nil"/>
                              <w:left w:val="nil"/>
                              <w:bottom w:val="nil"/>
                              <w:right w:val="nil"/>
                            </w:tcBorders>
                            <w:shd w:val="clear" w:color="auto" w:fill="auto"/>
                            <w:noWrap/>
                            <w:vAlign w:val="bottom"/>
                            <w:hideMark/>
                          </w:tcPr>
                          <w:p w14:paraId="5BE433B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(0.02)</w:t>
                            </w:r>
                          </w:p>
                        </w:tc>
                      </w:tr>
                      <w:tr w:rsidR="00DF77C5" w:rsidRPr="009F1800" w14:paraId="66B7D1EA"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25AB9282" w14:textId="77777777" w:rsidR="00DF77C5" w:rsidRPr="009F1800" w:rsidRDefault="00DF77C5" w:rsidP="009F1800">
                            <w:pPr>
                              <w:spacing w:after="0"/>
                              <w:rPr>
                                <w:rFonts w:ascii="Arial" w:eastAsia="Times New Roman" w:hAnsi="Arial" w:cs="Arial"/>
                                <w:i/>
                                <w:iCs/>
                                <w:color w:val="000000"/>
                                <w:sz w:val="20"/>
                                <w:szCs w:val="20"/>
                                <w:lang w:eastAsia="en-AU"/>
                              </w:rPr>
                            </w:pPr>
                            <w:r w:rsidRPr="009F1800">
                              <w:rPr>
                                <w:rFonts w:ascii="Arial" w:eastAsia="Times New Roman" w:hAnsi="Arial" w:cs="Arial"/>
                                <w:i/>
                                <w:iCs/>
                                <w:color w:val="000000"/>
                                <w:sz w:val="20"/>
                                <w:szCs w:val="20"/>
                                <w:lang w:eastAsia="en-AU"/>
                              </w:rPr>
                              <w:t>Panel B: Job-switchers</w:t>
                            </w:r>
                          </w:p>
                        </w:tc>
                        <w:tc>
                          <w:tcPr>
                            <w:tcW w:w="1020" w:type="dxa"/>
                            <w:tcBorders>
                              <w:top w:val="nil"/>
                              <w:left w:val="nil"/>
                              <w:bottom w:val="nil"/>
                              <w:right w:val="nil"/>
                            </w:tcBorders>
                            <w:shd w:val="clear" w:color="auto" w:fill="auto"/>
                            <w:noWrap/>
                            <w:vAlign w:val="bottom"/>
                            <w:hideMark/>
                          </w:tcPr>
                          <w:p w14:paraId="4220407F" w14:textId="77777777" w:rsidR="00DF77C5" w:rsidRPr="009F1800" w:rsidRDefault="00DF77C5" w:rsidP="009F1800">
                            <w:pPr>
                              <w:spacing w:after="0"/>
                              <w:rPr>
                                <w:rFonts w:ascii="Arial" w:eastAsia="Times New Roman" w:hAnsi="Arial" w:cs="Arial"/>
                                <w:i/>
                                <w:iCs/>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6A57159C"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29E4FAD5"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50778C34"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154A8408"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r>
                      <w:tr w:rsidR="00DF77C5" w:rsidRPr="009F1800" w14:paraId="447E0122"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34FCE1E3"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EE (job-to-job) rate</w:t>
                            </w:r>
                          </w:p>
                        </w:tc>
                        <w:tc>
                          <w:tcPr>
                            <w:tcW w:w="1020" w:type="dxa"/>
                            <w:tcBorders>
                              <w:top w:val="nil"/>
                              <w:left w:val="nil"/>
                              <w:bottom w:val="nil"/>
                              <w:right w:val="nil"/>
                            </w:tcBorders>
                            <w:shd w:val="clear" w:color="auto" w:fill="auto"/>
                            <w:noWrap/>
                            <w:vAlign w:val="bottom"/>
                            <w:hideMark/>
                          </w:tcPr>
                          <w:p w14:paraId="6472A02C"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1.32***</w:t>
                            </w:r>
                          </w:p>
                        </w:tc>
                        <w:tc>
                          <w:tcPr>
                            <w:tcW w:w="1020" w:type="dxa"/>
                            <w:tcBorders>
                              <w:top w:val="nil"/>
                              <w:left w:val="nil"/>
                              <w:bottom w:val="nil"/>
                              <w:right w:val="nil"/>
                            </w:tcBorders>
                            <w:shd w:val="clear" w:color="auto" w:fill="auto"/>
                            <w:noWrap/>
                            <w:vAlign w:val="bottom"/>
                            <w:hideMark/>
                          </w:tcPr>
                          <w:p w14:paraId="1C77A89B"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1.98***</w:t>
                            </w:r>
                          </w:p>
                        </w:tc>
                        <w:tc>
                          <w:tcPr>
                            <w:tcW w:w="1020" w:type="dxa"/>
                            <w:tcBorders>
                              <w:top w:val="nil"/>
                              <w:left w:val="nil"/>
                              <w:bottom w:val="nil"/>
                              <w:right w:val="nil"/>
                            </w:tcBorders>
                            <w:shd w:val="clear" w:color="auto" w:fill="auto"/>
                            <w:noWrap/>
                            <w:vAlign w:val="bottom"/>
                            <w:hideMark/>
                          </w:tcPr>
                          <w:p w14:paraId="358BF603"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2.34***</w:t>
                            </w:r>
                          </w:p>
                        </w:tc>
                        <w:tc>
                          <w:tcPr>
                            <w:tcW w:w="1020" w:type="dxa"/>
                            <w:tcBorders>
                              <w:top w:val="nil"/>
                              <w:left w:val="nil"/>
                              <w:bottom w:val="nil"/>
                              <w:right w:val="nil"/>
                            </w:tcBorders>
                            <w:shd w:val="clear" w:color="auto" w:fill="auto"/>
                            <w:noWrap/>
                            <w:vAlign w:val="bottom"/>
                            <w:hideMark/>
                          </w:tcPr>
                          <w:p w14:paraId="5569914D"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2.24***</w:t>
                            </w:r>
                          </w:p>
                        </w:tc>
                        <w:tc>
                          <w:tcPr>
                            <w:tcW w:w="1020" w:type="dxa"/>
                            <w:tcBorders>
                              <w:top w:val="nil"/>
                              <w:left w:val="nil"/>
                              <w:bottom w:val="nil"/>
                              <w:right w:val="nil"/>
                            </w:tcBorders>
                            <w:shd w:val="clear" w:color="auto" w:fill="auto"/>
                            <w:noWrap/>
                            <w:vAlign w:val="bottom"/>
                            <w:hideMark/>
                          </w:tcPr>
                          <w:p w14:paraId="4DF82A5D"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1.79***</w:t>
                            </w:r>
                          </w:p>
                        </w:tc>
                      </w:tr>
                      <w:tr w:rsidR="00DF77C5" w:rsidRPr="009F1800" w14:paraId="2F915A30"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30FE5CE7" w14:textId="77777777" w:rsidR="00DF77C5" w:rsidRPr="009F1800" w:rsidRDefault="00DF77C5" w:rsidP="009F1800">
                            <w:pPr>
                              <w:spacing w:after="0"/>
                              <w:jc w:val="center"/>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293EE4CF"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(0.15)</w:t>
                            </w:r>
                          </w:p>
                        </w:tc>
                        <w:tc>
                          <w:tcPr>
                            <w:tcW w:w="1020" w:type="dxa"/>
                            <w:tcBorders>
                              <w:top w:val="nil"/>
                              <w:left w:val="nil"/>
                              <w:bottom w:val="nil"/>
                              <w:right w:val="nil"/>
                            </w:tcBorders>
                            <w:shd w:val="clear" w:color="auto" w:fill="auto"/>
                            <w:noWrap/>
                            <w:vAlign w:val="bottom"/>
                            <w:hideMark/>
                          </w:tcPr>
                          <w:p w14:paraId="6CDC9956"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(0.10)</w:t>
                            </w:r>
                          </w:p>
                        </w:tc>
                        <w:tc>
                          <w:tcPr>
                            <w:tcW w:w="1020" w:type="dxa"/>
                            <w:tcBorders>
                              <w:top w:val="nil"/>
                              <w:left w:val="nil"/>
                              <w:bottom w:val="nil"/>
                              <w:right w:val="nil"/>
                            </w:tcBorders>
                            <w:shd w:val="clear" w:color="auto" w:fill="auto"/>
                            <w:noWrap/>
                            <w:vAlign w:val="bottom"/>
                            <w:hideMark/>
                          </w:tcPr>
                          <w:p w14:paraId="65F364A9"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(0.16)</w:t>
                            </w:r>
                          </w:p>
                        </w:tc>
                        <w:tc>
                          <w:tcPr>
                            <w:tcW w:w="1020" w:type="dxa"/>
                            <w:tcBorders>
                              <w:top w:val="nil"/>
                              <w:left w:val="nil"/>
                              <w:bottom w:val="nil"/>
                              <w:right w:val="nil"/>
                            </w:tcBorders>
                            <w:shd w:val="clear" w:color="auto" w:fill="auto"/>
                            <w:noWrap/>
                            <w:vAlign w:val="bottom"/>
                            <w:hideMark/>
                          </w:tcPr>
                          <w:p w14:paraId="4569A14E"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(0.14)</w:t>
                            </w:r>
                          </w:p>
                        </w:tc>
                        <w:tc>
                          <w:tcPr>
                            <w:tcW w:w="1020" w:type="dxa"/>
                            <w:tcBorders>
                              <w:top w:val="nil"/>
                              <w:left w:val="nil"/>
                              <w:bottom w:val="nil"/>
                              <w:right w:val="nil"/>
                            </w:tcBorders>
                            <w:shd w:val="clear" w:color="auto" w:fill="auto"/>
                            <w:noWrap/>
                            <w:vAlign w:val="bottom"/>
                            <w:hideMark/>
                          </w:tcPr>
                          <w:p w14:paraId="005DF51F"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(0.14)</w:t>
                            </w:r>
                          </w:p>
                        </w:tc>
                      </w:tr>
                      <w:tr w:rsidR="00DF77C5" w:rsidRPr="009F1800" w14:paraId="54BEEFDA"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763DB88E"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UE (unemployment-to-job rate)</w:t>
                            </w:r>
                          </w:p>
                        </w:tc>
                        <w:tc>
                          <w:tcPr>
                            <w:tcW w:w="1020" w:type="dxa"/>
                            <w:tcBorders>
                              <w:top w:val="nil"/>
                              <w:left w:val="nil"/>
                              <w:bottom w:val="nil"/>
                              <w:right w:val="nil"/>
                            </w:tcBorders>
                            <w:shd w:val="clear" w:color="auto" w:fill="auto"/>
                            <w:noWrap/>
                            <w:vAlign w:val="bottom"/>
                            <w:hideMark/>
                          </w:tcPr>
                          <w:p w14:paraId="38DE1500"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-0.54***</w:t>
                            </w:r>
                          </w:p>
                        </w:tc>
                        <w:tc>
                          <w:tcPr>
                            <w:tcW w:w="1020" w:type="dxa"/>
                            <w:tcBorders>
                              <w:top w:val="nil"/>
                              <w:left w:val="nil"/>
                              <w:bottom w:val="nil"/>
                              <w:right w:val="nil"/>
                            </w:tcBorders>
                            <w:shd w:val="clear" w:color="auto" w:fill="auto"/>
                            <w:noWrap/>
                            <w:vAlign w:val="bottom"/>
                            <w:hideMark/>
                          </w:tcPr>
                          <w:p w14:paraId="3AD86CC1"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0.01</w:t>
                            </w:r>
                          </w:p>
                        </w:tc>
                        <w:tc>
                          <w:tcPr>
                            <w:tcW w:w="1020" w:type="dxa"/>
                            <w:tcBorders>
                              <w:top w:val="nil"/>
                              <w:left w:val="nil"/>
                              <w:bottom w:val="nil"/>
                              <w:right w:val="nil"/>
                            </w:tcBorders>
                            <w:shd w:val="clear" w:color="auto" w:fill="auto"/>
                            <w:noWrap/>
                            <w:vAlign w:val="bottom"/>
                            <w:hideMark/>
                          </w:tcPr>
                          <w:p w14:paraId="1BD0F41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-0.13**</w:t>
                            </w:r>
                          </w:p>
                        </w:tc>
                        <w:tc>
                          <w:tcPr>
                            <w:tcW w:w="1020" w:type="dxa"/>
                            <w:tcBorders>
                              <w:top w:val="nil"/>
                              <w:left w:val="nil"/>
                              <w:bottom w:val="nil"/>
                              <w:right w:val="nil"/>
                            </w:tcBorders>
                            <w:shd w:val="clear" w:color="auto" w:fill="auto"/>
                            <w:noWrap/>
                            <w:vAlign w:val="bottom"/>
                            <w:hideMark/>
                          </w:tcPr>
                          <w:p w14:paraId="3A30F73D"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-0.10*</w:t>
                            </w:r>
                          </w:p>
                        </w:tc>
                        <w:tc>
                          <w:tcPr>
                            <w:tcW w:w="1020" w:type="dxa"/>
                            <w:tcBorders>
                              <w:top w:val="nil"/>
                              <w:left w:val="nil"/>
                              <w:bottom w:val="nil"/>
                              <w:right w:val="nil"/>
                            </w:tcBorders>
                            <w:shd w:val="clear" w:color="auto" w:fill="auto"/>
                            <w:noWrap/>
                            <w:vAlign w:val="bottom"/>
                            <w:hideMark/>
                          </w:tcPr>
                          <w:p w14:paraId="0389B3AF"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-0.03</w:t>
                            </w:r>
                          </w:p>
                        </w:tc>
                      </w:tr>
                      <w:tr w:rsidR="00DF77C5" w:rsidRPr="009F1800" w14:paraId="6B022184"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3C046FA3" w14:textId="77777777" w:rsidR="00DF77C5" w:rsidRPr="009F1800" w:rsidRDefault="00DF77C5" w:rsidP="009F1800">
                            <w:pPr>
                              <w:spacing w:after="0"/>
                              <w:jc w:val="center"/>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113B9A35"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(0.07)</w:t>
                            </w:r>
                          </w:p>
                        </w:tc>
                        <w:tc>
                          <w:tcPr>
                            <w:tcW w:w="1020" w:type="dxa"/>
                            <w:tcBorders>
                              <w:top w:val="nil"/>
                              <w:left w:val="nil"/>
                              <w:bottom w:val="nil"/>
                              <w:right w:val="nil"/>
                            </w:tcBorders>
                            <w:shd w:val="clear" w:color="auto" w:fill="auto"/>
                            <w:noWrap/>
                            <w:vAlign w:val="bottom"/>
                            <w:hideMark/>
                          </w:tcPr>
                          <w:p w14:paraId="36979C80"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(0.05)</w:t>
                            </w:r>
                          </w:p>
                        </w:tc>
                        <w:tc>
                          <w:tcPr>
                            <w:tcW w:w="1020" w:type="dxa"/>
                            <w:tcBorders>
                              <w:top w:val="nil"/>
                              <w:left w:val="nil"/>
                              <w:bottom w:val="nil"/>
                              <w:right w:val="nil"/>
                            </w:tcBorders>
                            <w:shd w:val="clear" w:color="auto" w:fill="auto"/>
                            <w:noWrap/>
                            <w:vAlign w:val="bottom"/>
                            <w:hideMark/>
                          </w:tcPr>
                          <w:p w14:paraId="715BABA5"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(0.06)</w:t>
                            </w:r>
                          </w:p>
                        </w:tc>
                        <w:tc>
                          <w:tcPr>
                            <w:tcW w:w="1020" w:type="dxa"/>
                            <w:tcBorders>
                              <w:top w:val="nil"/>
                              <w:left w:val="nil"/>
                              <w:bottom w:val="nil"/>
                              <w:right w:val="nil"/>
                            </w:tcBorders>
                            <w:shd w:val="clear" w:color="auto" w:fill="auto"/>
                            <w:noWrap/>
                            <w:vAlign w:val="bottom"/>
                            <w:hideMark/>
                          </w:tcPr>
                          <w:p w14:paraId="64D4CE47"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(0.05)</w:t>
                            </w:r>
                          </w:p>
                        </w:tc>
                        <w:tc>
                          <w:tcPr>
                            <w:tcW w:w="1020" w:type="dxa"/>
                            <w:tcBorders>
                              <w:top w:val="nil"/>
                              <w:left w:val="nil"/>
                              <w:bottom w:val="nil"/>
                              <w:right w:val="nil"/>
                            </w:tcBorders>
                            <w:shd w:val="clear" w:color="auto" w:fill="auto"/>
                            <w:noWrap/>
                            <w:vAlign w:val="bottom"/>
                            <w:hideMark/>
                          </w:tcPr>
                          <w:p w14:paraId="52FA6504"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(0.05)</w:t>
                            </w:r>
                          </w:p>
                        </w:tc>
                      </w:tr>
                      <w:tr w:rsidR="00DF77C5" w:rsidRPr="009F1800" w14:paraId="61F2914F"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4BCCC7B4" w14:textId="77777777" w:rsidR="00DF77C5" w:rsidRPr="009F1800" w:rsidRDefault="00DF77C5" w:rsidP="009F1800">
                            <w:pPr>
                              <w:spacing w:after="0"/>
                              <w:rPr>
                                <w:rFonts w:ascii="Arial" w:eastAsia="Times New Roman" w:hAnsi="Arial" w:cs="Arial"/>
                                <w:i/>
                                <w:iCs/>
                                <w:color w:val="000000"/>
                                <w:sz w:val="20"/>
                                <w:szCs w:val="20"/>
                                <w:lang w:eastAsia="en-AU"/>
                              </w:rPr>
                            </w:pPr>
                            <w:r w:rsidRPr="009F1800">
                              <w:rPr>
                                <w:rFonts w:ascii="Arial" w:eastAsia="Times New Roman" w:hAnsi="Arial" w:cs="Arial"/>
                                <w:i/>
                                <w:iCs/>
                                <w:color w:val="000000"/>
                                <w:sz w:val="20"/>
                                <w:szCs w:val="20"/>
                                <w:lang w:eastAsia="en-AU"/>
                              </w:rPr>
                              <w:t>Panel C: Job-stayers</w:t>
                            </w:r>
                          </w:p>
                        </w:tc>
                        <w:tc>
                          <w:tcPr>
                            <w:tcW w:w="1020" w:type="dxa"/>
                            <w:tcBorders>
                              <w:top w:val="nil"/>
                              <w:left w:val="nil"/>
                              <w:bottom w:val="nil"/>
                              <w:right w:val="nil"/>
                            </w:tcBorders>
                            <w:shd w:val="clear" w:color="auto" w:fill="auto"/>
                            <w:noWrap/>
                            <w:vAlign w:val="bottom"/>
                            <w:hideMark/>
                          </w:tcPr>
                          <w:p w14:paraId="0A161CE2" w14:textId="77777777" w:rsidR="00DF77C5" w:rsidRPr="009F1800" w:rsidRDefault="00DF77C5" w:rsidP="009F1800">
                            <w:pPr>
                              <w:spacing w:after="0"/>
                              <w:rPr>
                                <w:rFonts w:ascii="Arial" w:eastAsia="Times New Roman" w:hAnsi="Arial" w:cs="Arial"/>
                                <w:i/>
                                <w:iCs/>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0D5ED170"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0995662B"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437D471A"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381D953A"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r>
                      <w:tr w:rsidR="00DF77C5" w:rsidRPr="009F1800" w14:paraId="74A862D1"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31BD693A"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EE (job-to-job) rate</w:t>
                            </w:r>
                          </w:p>
                        </w:tc>
                        <w:tc>
                          <w:tcPr>
                            <w:tcW w:w="1020" w:type="dxa"/>
                            <w:tcBorders>
                              <w:top w:val="nil"/>
                              <w:left w:val="nil"/>
                              <w:bottom w:val="nil"/>
                              <w:right w:val="nil"/>
                            </w:tcBorders>
                            <w:shd w:val="clear" w:color="auto" w:fill="auto"/>
                            <w:noWrap/>
                            <w:vAlign w:val="bottom"/>
                            <w:hideMark/>
                          </w:tcPr>
                          <w:p w14:paraId="4A7AB4A1"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-0.10</w:t>
                            </w:r>
                          </w:p>
                        </w:tc>
                        <w:tc>
                          <w:tcPr>
                            <w:tcW w:w="1020" w:type="dxa"/>
                            <w:tcBorders>
                              <w:top w:val="nil"/>
                              <w:left w:val="nil"/>
                              <w:bottom w:val="nil"/>
                              <w:right w:val="nil"/>
                            </w:tcBorders>
                            <w:shd w:val="clear" w:color="auto" w:fill="auto"/>
                            <w:noWrap/>
                            <w:vAlign w:val="bottom"/>
                            <w:hideMark/>
                          </w:tcPr>
                          <w:p w14:paraId="6070672B"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0.20***</w:t>
                            </w:r>
                          </w:p>
                        </w:tc>
                        <w:tc>
                          <w:tcPr>
                            <w:tcW w:w="1020" w:type="dxa"/>
                            <w:tcBorders>
                              <w:top w:val="nil"/>
                              <w:left w:val="nil"/>
                              <w:bottom w:val="nil"/>
                              <w:right w:val="nil"/>
                            </w:tcBorders>
                            <w:shd w:val="clear" w:color="auto" w:fill="auto"/>
                            <w:noWrap/>
                            <w:vAlign w:val="bottom"/>
                            <w:hideMark/>
                          </w:tcPr>
                          <w:p w14:paraId="5332BEED"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0.98***</w:t>
                            </w:r>
                          </w:p>
                        </w:tc>
                        <w:tc>
                          <w:tcPr>
                            <w:tcW w:w="1020" w:type="dxa"/>
                            <w:tcBorders>
                              <w:top w:val="nil"/>
                              <w:left w:val="nil"/>
                              <w:bottom w:val="nil"/>
                              <w:right w:val="nil"/>
                            </w:tcBorders>
                            <w:shd w:val="clear" w:color="auto" w:fill="auto"/>
                            <w:noWrap/>
                            <w:vAlign w:val="bottom"/>
                            <w:hideMark/>
                          </w:tcPr>
                          <w:p w14:paraId="5CD36FEC"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0.59***</w:t>
                            </w:r>
                          </w:p>
                        </w:tc>
                        <w:tc>
                          <w:tcPr>
                            <w:tcW w:w="1020" w:type="dxa"/>
                            <w:tcBorders>
                              <w:top w:val="nil"/>
                              <w:left w:val="nil"/>
                              <w:bottom w:val="nil"/>
                              <w:right w:val="nil"/>
                            </w:tcBorders>
                            <w:shd w:val="clear" w:color="auto" w:fill="auto"/>
                            <w:noWrap/>
                            <w:vAlign w:val="bottom"/>
                            <w:hideMark/>
                          </w:tcPr>
                          <w:p w14:paraId="3679AB2B"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0.44***</w:t>
                            </w:r>
                          </w:p>
                        </w:tc>
                      </w:tr>
                      <w:tr w:rsidR="00DF77C5" w:rsidRPr="009F1800" w14:paraId="23FD444D"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7AE3CFBA" w14:textId="77777777" w:rsidR="00DF77C5" w:rsidRPr="009F1800" w:rsidRDefault="00DF77C5" w:rsidP="009F1800">
                            <w:pPr>
                              <w:spacing w:after="0"/>
                              <w:jc w:val="center"/>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10A510AE"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(0.10)</w:t>
                            </w:r>
                          </w:p>
                        </w:tc>
                        <w:tc>
                          <w:tcPr>
                            <w:tcW w:w="1020" w:type="dxa"/>
                            <w:tcBorders>
                              <w:top w:val="nil"/>
                              <w:left w:val="nil"/>
                              <w:bottom w:val="nil"/>
                              <w:right w:val="nil"/>
                            </w:tcBorders>
                            <w:shd w:val="clear" w:color="auto" w:fill="auto"/>
                            <w:noWrap/>
                            <w:vAlign w:val="bottom"/>
                            <w:hideMark/>
                          </w:tcPr>
                          <w:p w14:paraId="277D8B4D"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(0.05)</w:t>
                            </w:r>
                          </w:p>
                        </w:tc>
                        <w:tc>
                          <w:tcPr>
                            <w:tcW w:w="1020" w:type="dxa"/>
                            <w:tcBorders>
                              <w:top w:val="nil"/>
                              <w:left w:val="nil"/>
                              <w:bottom w:val="nil"/>
                              <w:right w:val="nil"/>
                            </w:tcBorders>
                            <w:shd w:val="clear" w:color="auto" w:fill="auto"/>
                            <w:noWrap/>
                            <w:vAlign w:val="bottom"/>
                            <w:hideMark/>
                          </w:tcPr>
                          <w:p w14:paraId="1655C345"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(0.10)</w:t>
                            </w:r>
                          </w:p>
                        </w:tc>
                        <w:tc>
                          <w:tcPr>
                            <w:tcW w:w="1020" w:type="dxa"/>
                            <w:tcBorders>
                              <w:top w:val="nil"/>
                              <w:left w:val="nil"/>
                              <w:bottom w:val="nil"/>
                              <w:right w:val="nil"/>
                            </w:tcBorders>
                            <w:shd w:val="clear" w:color="auto" w:fill="auto"/>
                            <w:noWrap/>
                            <w:vAlign w:val="bottom"/>
                            <w:hideMark/>
                          </w:tcPr>
                          <w:p w14:paraId="7330EDAD"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(0.07)</w:t>
                            </w:r>
                          </w:p>
                        </w:tc>
                        <w:tc>
                          <w:tcPr>
                            <w:tcW w:w="1020" w:type="dxa"/>
                            <w:tcBorders>
                              <w:top w:val="nil"/>
                              <w:left w:val="nil"/>
                              <w:bottom w:val="nil"/>
                              <w:right w:val="nil"/>
                            </w:tcBorders>
                            <w:shd w:val="clear" w:color="auto" w:fill="auto"/>
                            <w:noWrap/>
                            <w:vAlign w:val="bottom"/>
                            <w:hideMark/>
                          </w:tcPr>
                          <w:p w14:paraId="371B0E3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(0.07)</w:t>
                            </w:r>
                          </w:p>
                        </w:tc>
                      </w:tr>
                      <w:tr w:rsidR="00DF77C5" w:rsidRPr="009F1800" w14:paraId="703D2261"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4631FC2A"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UE (unemployment-to-job rate)</w:t>
                            </w:r>
                          </w:p>
                        </w:tc>
                        <w:tc>
                          <w:tcPr>
                            <w:tcW w:w="1020" w:type="dxa"/>
                            <w:tcBorders>
                              <w:top w:val="nil"/>
                              <w:left w:val="nil"/>
                              <w:bottom w:val="nil"/>
                              <w:right w:val="nil"/>
                            </w:tcBorders>
                            <w:shd w:val="clear" w:color="auto" w:fill="auto"/>
                            <w:noWrap/>
                            <w:vAlign w:val="bottom"/>
                            <w:hideMark/>
                          </w:tcPr>
                          <w:p w14:paraId="06A3A7F6"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-0.29***</w:t>
                            </w:r>
                          </w:p>
                        </w:tc>
                        <w:tc>
                          <w:tcPr>
                            <w:tcW w:w="1020" w:type="dxa"/>
                            <w:tcBorders>
                              <w:top w:val="nil"/>
                              <w:left w:val="nil"/>
                              <w:bottom w:val="nil"/>
                              <w:right w:val="nil"/>
                            </w:tcBorders>
                            <w:shd w:val="clear" w:color="auto" w:fill="auto"/>
                            <w:noWrap/>
                            <w:vAlign w:val="bottom"/>
                            <w:hideMark/>
                          </w:tcPr>
                          <w:p w14:paraId="4F6F2D8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0.06***</w:t>
                            </w:r>
                          </w:p>
                        </w:tc>
                        <w:tc>
                          <w:tcPr>
                            <w:tcW w:w="1020" w:type="dxa"/>
                            <w:tcBorders>
                              <w:top w:val="nil"/>
                              <w:left w:val="nil"/>
                              <w:bottom w:val="nil"/>
                              <w:right w:val="nil"/>
                            </w:tcBorders>
                            <w:shd w:val="clear" w:color="auto" w:fill="auto"/>
                            <w:noWrap/>
                            <w:vAlign w:val="bottom"/>
                            <w:hideMark/>
                          </w:tcPr>
                          <w:p w14:paraId="773297D7"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-0.12***</w:t>
                            </w:r>
                          </w:p>
                        </w:tc>
                        <w:tc>
                          <w:tcPr>
                            <w:tcW w:w="1020" w:type="dxa"/>
                            <w:tcBorders>
                              <w:top w:val="nil"/>
                              <w:left w:val="nil"/>
                              <w:bottom w:val="nil"/>
                              <w:right w:val="nil"/>
                            </w:tcBorders>
                            <w:shd w:val="clear" w:color="auto" w:fill="auto"/>
                            <w:noWrap/>
                            <w:vAlign w:val="bottom"/>
                            <w:hideMark/>
                          </w:tcPr>
                          <w:p w14:paraId="6AF80059"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0.04</w:t>
                            </w:r>
                          </w:p>
                        </w:tc>
                        <w:tc>
                          <w:tcPr>
                            <w:tcW w:w="1020" w:type="dxa"/>
                            <w:tcBorders>
                              <w:top w:val="nil"/>
                              <w:left w:val="nil"/>
                              <w:bottom w:val="nil"/>
                              <w:right w:val="nil"/>
                            </w:tcBorders>
                            <w:shd w:val="clear" w:color="auto" w:fill="auto"/>
                            <w:noWrap/>
                            <w:vAlign w:val="bottom"/>
                            <w:hideMark/>
                          </w:tcPr>
                          <w:p w14:paraId="4732503E"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0.01</w:t>
                            </w:r>
                          </w:p>
                        </w:tc>
                      </w:tr>
                      <w:tr w:rsidR="00DF77C5" w:rsidRPr="009F1800" w14:paraId="3E5C4B8C"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745CC47E" w14:textId="77777777" w:rsidR="00DF77C5" w:rsidRPr="009F1800" w:rsidRDefault="00DF77C5" w:rsidP="009F1800">
                            <w:pPr>
                              <w:spacing w:after="0"/>
                              <w:jc w:val="center"/>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25EB0D49"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(0.04)</w:t>
                            </w:r>
                          </w:p>
                        </w:tc>
                        <w:tc>
                          <w:tcPr>
                            <w:tcW w:w="1020" w:type="dxa"/>
                            <w:tcBorders>
                              <w:top w:val="nil"/>
                              <w:left w:val="nil"/>
                              <w:bottom w:val="nil"/>
                              <w:right w:val="nil"/>
                            </w:tcBorders>
                            <w:shd w:val="clear" w:color="auto" w:fill="auto"/>
                            <w:noWrap/>
                            <w:vAlign w:val="bottom"/>
                            <w:hideMark/>
                          </w:tcPr>
                          <w:p w14:paraId="45697892"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(0.02)</w:t>
                            </w:r>
                          </w:p>
                        </w:tc>
                        <w:tc>
                          <w:tcPr>
                            <w:tcW w:w="1020" w:type="dxa"/>
                            <w:tcBorders>
                              <w:top w:val="nil"/>
                              <w:left w:val="nil"/>
                              <w:bottom w:val="nil"/>
                              <w:right w:val="nil"/>
                            </w:tcBorders>
                            <w:shd w:val="clear" w:color="auto" w:fill="auto"/>
                            <w:noWrap/>
                            <w:vAlign w:val="bottom"/>
                            <w:hideMark/>
                          </w:tcPr>
                          <w:p w14:paraId="7A4344B7"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(0.04)</w:t>
                            </w:r>
                          </w:p>
                        </w:tc>
                        <w:tc>
                          <w:tcPr>
                            <w:tcW w:w="1020" w:type="dxa"/>
                            <w:tcBorders>
                              <w:top w:val="nil"/>
                              <w:left w:val="nil"/>
                              <w:bottom w:val="nil"/>
                              <w:right w:val="nil"/>
                            </w:tcBorders>
                            <w:shd w:val="clear" w:color="auto" w:fill="auto"/>
                            <w:noWrap/>
                            <w:vAlign w:val="bottom"/>
                            <w:hideMark/>
                          </w:tcPr>
                          <w:p w14:paraId="01B00BDB"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(0.03)</w:t>
                            </w:r>
                          </w:p>
                        </w:tc>
                        <w:tc>
                          <w:tcPr>
                            <w:tcW w:w="1020" w:type="dxa"/>
                            <w:tcBorders>
                              <w:top w:val="nil"/>
                              <w:left w:val="nil"/>
                              <w:bottom w:val="nil"/>
                              <w:right w:val="nil"/>
                            </w:tcBorders>
                            <w:shd w:val="clear" w:color="auto" w:fill="auto"/>
                            <w:noWrap/>
                            <w:vAlign w:val="bottom"/>
                            <w:hideMark/>
                          </w:tcPr>
                          <w:p w14:paraId="59C38F46"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(0.03)</w:t>
                            </w:r>
                          </w:p>
                        </w:tc>
                      </w:tr>
                      <w:tr w:rsidR="00DF77C5" w:rsidRPr="009F1800" w14:paraId="3E7E326B" w14:textId="77777777" w:rsidTr="009F1800">
                        <w:trPr>
                          <w:trHeight w:val="255"/>
                          <w:jc w:val="center"/>
                        </w:trPr>
                        <w:tc>
                          <w:tcPr>
                            <w:tcW w:w="3440" w:type="dxa"/>
                            <w:tcBorders>
                              <w:top w:val="nil"/>
                              <w:left w:val="nil"/>
                              <w:bottom w:val="single" w:sz="4" w:space="0" w:color="auto"/>
                              <w:right w:val="nil"/>
                            </w:tcBorders>
                            <w:shd w:val="clear" w:color="auto" w:fill="auto"/>
                            <w:noWrap/>
                            <w:vAlign w:val="bottom"/>
                            <w:hideMark/>
                          </w:tcPr>
                          <w:p w14:paraId="75CAFF8A" w14:textId="77777777" w:rsidR="00DF77C5" w:rsidRPr="009F1800" w:rsidRDefault="00DF77C5" w:rsidP="009F1800">
                            <w:pPr>
                              <w:spacing w:after="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nil"/>
                              <w:left w:val="nil"/>
                              <w:bottom w:val="single" w:sz="4" w:space="0" w:color="auto"/>
                              <w:right w:val="nil"/>
                            </w:tcBorders>
                            <w:shd w:val="clear" w:color="auto" w:fill="auto"/>
                            <w:noWrap/>
                            <w:vAlign w:val="bottom"/>
                            <w:hideMark/>
                          </w:tcPr>
                          <w:p w14:paraId="07BA4E7E"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nil"/>
                              <w:left w:val="nil"/>
                              <w:bottom w:val="single" w:sz="4" w:space="0" w:color="auto"/>
                              <w:right w:val="nil"/>
                            </w:tcBorders>
                            <w:shd w:val="clear" w:color="auto" w:fill="auto"/>
                            <w:noWrap/>
                            <w:vAlign w:val="bottom"/>
                            <w:hideMark/>
                          </w:tcPr>
                          <w:p w14:paraId="1161E6E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nil"/>
                              <w:left w:val="nil"/>
                              <w:bottom w:val="single" w:sz="4" w:space="0" w:color="auto"/>
                              <w:right w:val="nil"/>
                            </w:tcBorders>
                            <w:shd w:val="clear" w:color="auto" w:fill="auto"/>
                            <w:noWrap/>
                            <w:vAlign w:val="bottom"/>
                            <w:hideMark/>
                          </w:tcPr>
                          <w:p w14:paraId="73E40F6B"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nil"/>
                              <w:left w:val="nil"/>
                              <w:bottom w:val="single" w:sz="4" w:space="0" w:color="auto"/>
                              <w:right w:val="nil"/>
                            </w:tcBorders>
                            <w:shd w:val="clear" w:color="auto" w:fill="auto"/>
                            <w:noWrap/>
                            <w:vAlign w:val="bottom"/>
                            <w:hideMark/>
                          </w:tcPr>
                          <w:p w14:paraId="0F30847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nil"/>
                              <w:left w:val="nil"/>
                              <w:bottom w:val="single" w:sz="4" w:space="0" w:color="auto"/>
                              <w:right w:val="nil"/>
                            </w:tcBorders>
                            <w:shd w:val="clear" w:color="auto" w:fill="auto"/>
                            <w:noWrap/>
                            <w:vAlign w:val="bottom"/>
                            <w:hideMark/>
                          </w:tcPr>
                          <w:p w14:paraId="5356A82A"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r>
                      <w:tr w:rsidR="00DF77C5" w:rsidRPr="009F1800" w14:paraId="490D8CFF"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0A610093" w14:textId="77777777" w:rsidR="00DF77C5" w:rsidRPr="009F1800" w:rsidRDefault="00DF77C5" w:rsidP="009F1800">
                            <w:pPr>
                              <w:spacing w:after="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Specification details</w:t>
                            </w:r>
                          </w:p>
                        </w:tc>
                        <w:tc>
                          <w:tcPr>
                            <w:tcW w:w="1020" w:type="dxa"/>
                            <w:tcBorders>
                              <w:top w:val="nil"/>
                              <w:left w:val="nil"/>
                              <w:bottom w:val="nil"/>
                              <w:right w:val="nil"/>
                            </w:tcBorders>
                            <w:shd w:val="clear" w:color="auto" w:fill="auto"/>
                            <w:noWrap/>
                            <w:vAlign w:val="bottom"/>
                            <w:hideMark/>
                          </w:tcPr>
                          <w:p w14:paraId="465FC8BD" w14:textId="77777777" w:rsidR="00DF77C5" w:rsidRPr="009F1800" w:rsidRDefault="00DF77C5" w:rsidP="009F1800">
                            <w:pPr>
                              <w:spacing w:after="0"/>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63A4E37C"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47B7EA4E"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75A49F81"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47880AA7"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r>
                      <w:tr w:rsidR="00DF77C5" w:rsidRPr="009F1800" w14:paraId="22E4914E"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27E6F4CB"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Year fixed effect</w:t>
                            </w:r>
                          </w:p>
                        </w:tc>
                        <w:tc>
                          <w:tcPr>
                            <w:tcW w:w="1020" w:type="dxa"/>
                            <w:tcBorders>
                              <w:top w:val="nil"/>
                              <w:left w:val="nil"/>
                              <w:bottom w:val="nil"/>
                              <w:right w:val="nil"/>
                            </w:tcBorders>
                            <w:shd w:val="clear" w:color="auto" w:fill="auto"/>
                            <w:noWrap/>
                            <w:vAlign w:val="bottom"/>
                            <w:hideMark/>
                          </w:tcPr>
                          <w:p w14:paraId="6249E7A3"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48483487"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1513F07E"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38FDD642"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7D117C90"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r>
                      <w:tr w:rsidR="00DF77C5" w:rsidRPr="009F1800" w14:paraId="268530F5"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35A733E1"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SA4 fixed effect</w:t>
                            </w:r>
                          </w:p>
                        </w:tc>
                        <w:tc>
                          <w:tcPr>
                            <w:tcW w:w="1020" w:type="dxa"/>
                            <w:tcBorders>
                              <w:top w:val="nil"/>
                              <w:left w:val="nil"/>
                              <w:bottom w:val="nil"/>
                              <w:right w:val="nil"/>
                            </w:tcBorders>
                            <w:shd w:val="clear" w:color="auto" w:fill="auto"/>
                            <w:noWrap/>
                            <w:vAlign w:val="bottom"/>
                            <w:hideMark/>
                          </w:tcPr>
                          <w:p w14:paraId="6A7E10B5"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0153E505"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0A85AE90"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45867134"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51B1A14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r>
                      <w:tr w:rsidR="00DF77C5" w:rsidRPr="009F1800" w14:paraId="629573F1"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5EB3ECC3"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SA4 trend</w:t>
                            </w:r>
                          </w:p>
                        </w:tc>
                        <w:tc>
                          <w:tcPr>
                            <w:tcW w:w="1020" w:type="dxa"/>
                            <w:tcBorders>
                              <w:top w:val="nil"/>
                              <w:left w:val="nil"/>
                              <w:bottom w:val="nil"/>
                              <w:right w:val="nil"/>
                            </w:tcBorders>
                            <w:shd w:val="clear" w:color="auto" w:fill="auto"/>
                            <w:noWrap/>
                            <w:vAlign w:val="bottom"/>
                            <w:hideMark/>
                          </w:tcPr>
                          <w:p w14:paraId="378ED2CD"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7D39D3C4"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2E7E097B" w14:textId="77777777" w:rsidR="00DF77C5" w:rsidRPr="009F1800" w:rsidRDefault="00DF77C5" w:rsidP="009F1800">
                            <w:pPr>
                              <w:spacing w:after="0"/>
                              <w:jc w:val="center"/>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343E7027"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5A61520C"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r>
                      <w:tr w:rsidR="00DF77C5" w:rsidRPr="009F1800" w14:paraId="7B61E4BE" w14:textId="77777777" w:rsidTr="009F1800">
                        <w:trPr>
                          <w:trHeight w:val="255"/>
                          <w:jc w:val="center"/>
                        </w:trPr>
                        <w:tc>
                          <w:tcPr>
                            <w:tcW w:w="3440" w:type="dxa"/>
                            <w:tcBorders>
                              <w:top w:val="nil"/>
                              <w:left w:val="nil"/>
                              <w:bottom w:val="nil"/>
                              <w:right w:val="nil"/>
                            </w:tcBorders>
                            <w:shd w:val="clear" w:color="auto" w:fill="auto"/>
                            <w:noWrap/>
                            <w:vAlign w:val="bottom"/>
                            <w:hideMark/>
                          </w:tcPr>
                          <w:p w14:paraId="1A8DDFBC"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xml:space="preserve">State X Year fixed effect </w:t>
                            </w:r>
                          </w:p>
                        </w:tc>
                        <w:tc>
                          <w:tcPr>
                            <w:tcW w:w="1020" w:type="dxa"/>
                            <w:tcBorders>
                              <w:top w:val="nil"/>
                              <w:left w:val="nil"/>
                              <w:bottom w:val="nil"/>
                              <w:right w:val="nil"/>
                            </w:tcBorders>
                            <w:shd w:val="clear" w:color="auto" w:fill="auto"/>
                            <w:noWrap/>
                            <w:vAlign w:val="bottom"/>
                            <w:hideMark/>
                          </w:tcPr>
                          <w:p w14:paraId="4FCCFA73"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p>
                        </w:tc>
                        <w:tc>
                          <w:tcPr>
                            <w:tcW w:w="1020" w:type="dxa"/>
                            <w:tcBorders>
                              <w:top w:val="nil"/>
                              <w:left w:val="nil"/>
                              <w:bottom w:val="nil"/>
                              <w:right w:val="nil"/>
                            </w:tcBorders>
                            <w:shd w:val="clear" w:color="auto" w:fill="auto"/>
                            <w:noWrap/>
                            <w:vAlign w:val="bottom"/>
                            <w:hideMark/>
                          </w:tcPr>
                          <w:p w14:paraId="05B0EEBD" w14:textId="77777777" w:rsidR="00DF77C5" w:rsidRPr="009F1800" w:rsidRDefault="00DF77C5" w:rsidP="009F1800">
                            <w:pPr>
                              <w:spacing w:after="0"/>
                              <w:jc w:val="center"/>
                              <w:rPr>
                                <w:rFonts w:ascii="Times New Roman" w:eastAsia="Times New Roman" w:hAnsi="Times New Roman" w:cs="Times New Roman"/>
                                <w:color w:val="auto"/>
                                <w:sz w:val="20"/>
                                <w:szCs w:val="20"/>
                                <w:lang w:eastAsia="en-AU"/>
                              </w:rPr>
                            </w:pPr>
                          </w:p>
                        </w:tc>
                        <w:tc>
                          <w:tcPr>
                            <w:tcW w:w="1020" w:type="dxa"/>
                            <w:tcBorders>
                              <w:top w:val="nil"/>
                              <w:left w:val="nil"/>
                              <w:bottom w:val="nil"/>
                              <w:right w:val="nil"/>
                            </w:tcBorders>
                            <w:shd w:val="clear" w:color="auto" w:fill="auto"/>
                            <w:noWrap/>
                            <w:vAlign w:val="bottom"/>
                            <w:hideMark/>
                          </w:tcPr>
                          <w:p w14:paraId="6FC37DC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39BD598B"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c>
                          <w:tcPr>
                            <w:tcW w:w="1020" w:type="dxa"/>
                            <w:tcBorders>
                              <w:top w:val="nil"/>
                              <w:left w:val="nil"/>
                              <w:bottom w:val="nil"/>
                              <w:right w:val="nil"/>
                            </w:tcBorders>
                            <w:shd w:val="clear" w:color="auto" w:fill="auto"/>
                            <w:noWrap/>
                            <w:vAlign w:val="bottom"/>
                            <w:hideMark/>
                          </w:tcPr>
                          <w:p w14:paraId="3020F4F3"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r>
                      <w:tr w:rsidR="00DF77C5" w:rsidRPr="009F1800" w14:paraId="29DF2E9B" w14:textId="77777777" w:rsidTr="009F1800">
                        <w:trPr>
                          <w:trHeight w:val="270"/>
                          <w:jc w:val="center"/>
                        </w:trPr>
                        <w:tc>
                          <w:tcPr>
                            <w:tcW w:w="3440" w:type="dxa"/>
                            <w:tcBorders>
                              <w:top w:val="nil"/>
                              <w:left w:val="nil"/>
                              <w:bottom w:val="double" w:sz="6" w:space="0" w:color="auto"/>
                              <w:right w:val="nil"/>
                            </w:tcBorders>
                            <w:shd w:val="clear" w:color="auto" w:fill="auto"/>
                            <w:noWrap/>
                            <w:vAlign w:val="bottom"/>
                            <w:hideMark/>
                          </w:tcPr>
                          <w:p w14:paraId="75913E63" w14:textId="77777777" w:rsidR="00DF77C5" w:rsidRPr="009F1800" w:rsidRDefault="00DF77C5" w:rsidP="009F1800">
                            <w:pPr>
                              <w:spacing w:after="0"/>
                              <w:ind w:firstLineChars="100" w:firstLine="200"/>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SA4 time varying controls</w:t>
                            </w:r>
                          </w:p>
                        </w:tc>
                        <w:tc>
                          <w:tcPr>
                            <w:tcW w:w="1020" w:type="dxa"/>
                            <w:tcBorders>
                              <w:top w:val="nil"/>
                              <w:left w:val="nil"/>
                              <w:bottom w:val="double" w:sz="6" w:space="0" w:color="auto"/>
                              <w:right w:val="nil"/>
                            </w:tcBorders>
                            <w:shd w:val="clear" w:color="auto" w:fill="auto"/>
                            <w:noWrap/>
                            <w:vAlign w:val="bottom"/>
                            <w:hideMark/>
                          </w:tcPr>
                          <w:p w14:paraId="6013556C"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nil"/>
                              <w:left w:val="nil"/>
                              <w:bottom w:val="double" w:sz="6" w:space="0" w:color="auto"/>
                              <w:right w:val="nil"/>
                            </w:tcBorders>
                            <w:shd w:val="clear" w:color="auto" w:fill="auto"/>
                            <w:noWrap/>
                            <w:vAlign w:val="bottom"/>
                            <w:hideMark/>
                          </w:tcPr>
                          <w:p w14:paraId="60C0FB01"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nil"/>
                              <w:left w:val="nil"/>
                              <w:bottom w:val="double" w:sz="6" w:space="0" w:color="auto"/>
                              <w:right w:val="nil"/>
                            </w:tcBorders>
                            <w:shd w:val="clear" w:color="auto" w:fill="auto"/>
                            <w:noWrap/>
                            <w:vAlign w:val="bottom"/>
                            <w:hideMark/>
                          </w:tcPr>
                          <w:p w14:paraId="666A4F58"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nil"/>
                              <w:left w:val="nil"/>
                              <w:bottom w:val="double" w:sz="6" w:space="0" w:color="auto"/>
                              <w:right w:val="nil"/>
                            </w:tcBorders>
                            <w:shd w:val="clear" w:color="auto" w:fill="auto"/>
                            <w:noWrap/>
                            <w:vAlign w:val="bottom"/>
                            <w:hideMark/>
                          </w:tcPr>
                          <w:p w14:paraId="1772D816"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 </w:t>
                            </w:r>
                          </w:p>
                        </w:tc>
                        <w:tc>
                          <w:tcPr>
                            <w:tcW w:w="1020" w:type="dxa"/>
                            <w:tcBorders>
                              <w:top w:val="nil"/>
                              <w:left w:val="nil"/>
                              <w:bottom w:val="double" w:sz="6" w:space="0" w:color="auto"/>
                              <w:right w:val="nil"/>
                            </w:tcBorders>
                            <w:shd w:val="clear" w:color="auto" w:fill="auto"/>
                            <w:noWrap/>
                            <w:vAlign w:val="bottom"/>
                            <w:hideMark/>
                          </w:tcPr>
                          <w:p w14:paraId="2BD873CC" w14:textId="77777777" w:rsidR="00DF77C5" w:rsidRPr="009F1800" w:rsidRDefault="00DF77C5" w:rsidP="009F1800">
                            <w:pPr>
                              <w:spacing w:after="0"/>
                              <w:jc w:val="center"/>
                              <w:rPr>
                                <w:rFonts w:ascii="Arial" w:eastAsia="Times New Roman" w:hAnsi="Arial" w:cs="Arial"/>
                                <w:color w:val="000000"/>
                                <w:sz w:val="20"/>
                                <w:szCs w:val="20"/>
                                <w:lang w:eastAsia="en-AU"/>
                              </w:rPr>
                            </w:pPr>
                            <w:r w:rsidRPr="009F1800">
                              <w:rPr>
                                <w:rFonts w:ascii="Arial" w:eastAsia="Times New Roman" w:hAnsi="Arial" w:cs="Arial"/>
                                <w:color w:val="000000"/>
                                <w:sz w:val="20"/>
                                <w:szCs w:val="20"/>
                                <w:lang w:eastAsia="en-AU"/>
                              </w:rPr>
                              <w:t>X</w:t>
                            </w:r>
                          </w:p>
                        </w:tc>
                      </w:tr>
                    </w:tbl>
                    <w:p w14:paraId="5C8F88C7" w14:textId="7753C127" w:rsidR="00DF77C5" w:rsidRPr="005E173D" w:rsidRDefault="00DF77C5" w:rsidP="00697AED">
                      <w:pPr>
                        <w:pStyle w:val="ChartorTableNote"/>
                        <w:rPr>
                          <w:sz w:val="20"/>
                        </w:rPr>
                      </w:pPr>
                    </w:p>
                  </w:txbxContent>
                </v:textbox>
                <w10:wrap type="topAndBottom"/>
              </v:shape>
            </w:pict>
          </mc:Fallback>
        </mc:AlternateContent>
      </w:r>
      <w:r w:rsidRPr="00E91637">
        <w:rPr>
          <w:rStyle w:val="Caption1Char"/>
          <w:rFonts w:eastAsiaTheme="minorHAnsi"/>
        </w:rPr>
        <w:t xml:space="preserve">Table A1 – Power of employment transitions in predicting wages </w:t>
      </w:r>
    </w:p>
    <w:p w14:paraId="343AD2D3" w14:textId="35208605" w:rsidR="00B0289C" w:rsidRPr="005E173D" w:rsidRDefault="00B0289C" w:rsidP="00B0289C">
      <w:pPr>
        <w:pStyle w:val="ChartorTableNote"/>
        <w:rPr>
          <w:sz w:val="20"/>
        </w:rPr>
      </w:pPr>
      <w:r w:rsidRPr="00275A2F">
        <w:t>Note:</w:t>
      </w:r>
      <w:r>
        <w:t xml:space="preserve"> </w:t>
      </w:r>
      <w:r w:rsidRPr="00275A2F">
        <w:t>Presents estimat</w:t>
      </w:r>
      <w:r>
        <w:t xml:space="preserve">es from equation (1), but in level terms: namely </w:t>
      </w:r>
      <w:r w:rsidRPr="00275A2F">
        <w:t>a weighted least squares regression of the natural logarithm of average wages in an SA4 in a given year on the job-to-job and unemployment to job transition rates and a set of control variables.</w:t>
      </w:r>
      <w:r>
        <w:t xml:space="preserve"> </w:t>
      </w:r>
      <w:r w:rsidRPr="00275A2F">
        <w:t>The control variables are as detailed above, noting that the SA4 time</w:t>
      </w:r>
      <w:r w:rsidRPr="00275A2F">
        <w:noBreakHyphen/>
        <w:t>varying controls include the unemployment rate, average number of weeks searching for a job, share of workers in each of 19 one-digit industry classifications based on the Australian Bureau of Statistics Labour Force Survey data and the average age and proportion female of the relevant sample (ABS</w:t>
      </w:r>
      <w:r w:rsidR="005E255D">
        <w:t> </w:t>
      </w:r>
      <w:r w:rsidRPr="00275A2F">
        <w:t>2018b; ABS 2018c).</w:t>
      </w:r>
      <w:r>
        <w:t xml:space="preserve"> </w:t>
      </w:r>
      <w:r w:rsidRPr="00275A2F">
        <w:t xml:space="preserve"> Standard errors in parentheses.</w:t>
      </w:r>
      <w:r>
        <w:t xml:space="preserve"> </w:t>
      </w:r>
      <w:r w:rsidRPr="00275A2F">
        <w:t>Significance levels are indicated as follows: * 10 per cent; ** 5 per cent; *** 1 per cent.</w:t>
      </w:r>
      <w:r>
        <w:rPr>
          <w:sz w:val="20"/>
        </w:rPr>
        <w:t xml:space="preserve"> </w:t>
      </w:r>
      <w:r w:rsidRPr="00275A2F">
        <w:br/>
        <w:t xml:space="preserve">Source: Treasury calculations using </w:t>
      </w:r>
      <w:r>
        <w:t xml:space="preserve">de-identified </w:t>
      </w:r>
      <w:r w:rsidRPr="00275A2F">
        <w:t>Pay-As-You-Go annual payment summaries, 2004-05 to 2015-16, and the Australian Taxation Office Longitudinal Information Files.</w:t>
      </w:r>
    </w:p>
    <w:p w14:paraId="6503B6F9" w14:textId="7111577F" w:rsidR="00B0289C" w:rsidRDefault="00B0289C" w:rsidP="00B0289C">
      <w:pPr>
        <w:pStyle w:val="SingleParagraph"/>
      </w:pPr>
    </w:p>
    <w:p w14:paraId="7F94CBFE" w14:textId="1258ECE3" w:rsidR="00F76BAE" w:rsidRDefault="00F76BAE" w:rsidP="00B0289C"/>
    <w:p w14:paraId="44D247B7" w14:textId="77777777" w:rsidR="00B0289C" w:rsidRDefault="00B0289C">
      <w:pPr>
        <w:spacing w:after="200" w:line="276" w:lineRule="auto"/>
      </w:pPr>
      <w:r>
        <w:br w:type="page"/>
      </w:r>
    </w:p>
    <w:p w14:paraId="7884719D" w14:textId="30EB1004" w:rsidR="00B0289C" w:rsidRDefault="00B0289C" w:rsidP="00B0289C"/>
    <w:p w14:paraId="7BDEEBE8" w14:textId="30EE0D4F" w:rsidR="00B0289C" w:rsidRPr="00E91637" w:rsidRDefault="00B0289C" w:rsidP="00E91637">
      <w:pPr>
        <w:pStyle w:val="TableMainHeading"/>
        <w:jc w:val="center"/>
        <w:rPr>
          <w:rStyle w:val="Caption1Char"/>
          <w:rFonts w:eastAsiaTheme="minorHAnsi"/>
        </w:rPr>
      </w:pPr>
      <w:r w:rsidRPr="00E91637">
        <w:rPr>
          <w:rStyle w:val="Caption1Char"/>
          <w:rFonts w:eastAsiaTheme="minorHAnsi"/>
          <w:noProof/>
        </w:rPr>
        <mc:AlternateContent>
          <mc:Choice Requires="wps">
            <w:drawing>
              <wp:anchor distT="0" distB="0" distL="114300" distR="114300" simplePos="0" relativeHeight="251656192" behindDoc="0" locked="0" layoutInCell="1" allowOverlap="1" wp14:anchorId="5B6286A7" wp14:editId="1C1E84A5">
                <wp:simplePos x="0" y="0"/>
                <wp:positionH relativeFrom="column">
                  <wp:posOffset>-75565</wp:posOffset>
                </wp:positionH>
                <wp:positionV relativeFrom="paragraph">
                  <wp:posOffset>227330</wp:posOffset>
                </wp:positionV>
                <wp:extent cx="5867400" cy="4876800"/>
                <wp:effectExtent l="0" t="0" r="0" b="0"/>
                <wp:wrapTopAndBottom/>
                <wp:docPr id="8" name="Text Box 8"/>
                <wp:cNvGraphicFramePr/>
                <a:graphic xmlns:a="http://schemas.openxmlformats.org/drawingml/2006/main">
                  <a:graphicData uri="http://schemas.microsoft.com/office/word/2010/wordprocessingShape">
                    <wps:wsp>
                      <wps:cNvSpPr txBox="1"/>
                      <wps:spPr>
                        <a:xfrm>
                          <a:off x="0" y="0"/>
                          <a:ext cx="5867400" cy="4876800"/>
                        </a:xfrm>
                        <a:prstGeom prst="rect">
                          <a:avLst/>
                        </a:prstGeom>
                        <a:noFill/>
                        <a:ln w="6350">
                          <a:noFill/>
                        </a:ln>
                        <a:effectLst/>
                      </wps:spPr>
                      <wps:txbx>
                        <w:txbxContent>
                          <w:tbl>
                            <w:tblPr>
                              <w:tblW w:w="9040" w:type="dxa"/>
                              <w:tblInd w:w="108" w:type="dxa"/>
                              <w:tblLook w:val="04A0" w:firstRow="1" w:lastRow="0" w:firstColumn="1" w:lastColumn="0" w:noHBand="0" w:noVBand="1"/>
                            </w:tblPr>
                            <w:tblGrid>
                              <w:gridCol w:w="3440"/>
                              <w:gridCol w:w="1120"/>
                              <w:gridCol w:w="1120"/>
                              <w:gridCol w:w="1120"/>
                              <w:gridCol w:w="1120"/>
                              <w:gridCol w:w="1120"/>
                            </w:tblGrid>
                            <w:tr w:rsidR="002C4F5D" w:rsidRPr="002C4F5D" w14:paraId="32AFFBF1" w14:textId="77777777" w:rsidTr="002C4F5D">
                              <w:trPr>
                                <w:trHeight w:val="270"/>
                              </w:trPr>
                              <w:tc>
                                <w:tcPr>
                                  <w:tcW w:w="3440" w:type="dxa"/>
                                  <w:tcBorders>
                                    <w:top w:val="double" w:sz="6" w:space="0" w:color="auto"/>
                                    <w:left w:val="nil"/>
                                    <w:bottom w:val="nil"/>
                                    <w:right w:val="nil"/>
                                  </w:tcBorders>
                                  <w:shd w:val="clear" w:color="auto" w:fill="auto"/>
                                  <w:noWrap/>
                                  <w:vAlign w:val="bottom"/>
                                  <w:hideMark/>
                                </w:tcPr>
                                <w:p w14:paraId="21D2107A" w14:textId="77777777" w:rsidR="002C4F5D" w:rsidRPr="002C4F5D" w:rsidRDefault="002C4F5D" w:rsidP="002C4F5D">
                                  <w:pPr>
                                    <w:spacing w:after="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double" w:sz="6" w:space="0" w:color="auto"/>
                                    <w:left w:val="nil"/>
                                    <w:bottom w:val="nil"/>
                                    <w:right w:val="nil"/>
                                  </w:tcBorders>
                                  <w:shd w:val="clear" w:color="auto" w:fill="auto"/>
                                  <w:noWrap/>
                                  <w:vAlign w:val="bottom"/>
                                  <w:hideMark/>
                                </w:tcPr>
                                <w:p w14:paraId="12CED45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(1)</w:t>
                                  </w:r>
                                </w:p>
                              </w:tc>
                              <w:tc>
                                <w:tcPr>
                                  <w:tcW w:w="1120" w:type="dxa"/>
                                  <w:tcBorders>
                                    <w:top w:val="double" w:sz="6" w:space="0" w:color="auto"/>
                                    <w:left w:val="nil"/>
                                    <w:bottom w:val="nil"/>
                                    <w:right w:val="nil"/>
                                  </w:tcBorders>
                                  <w:shd w:val="clear" w:color="auto" w:fill="auto"/>
                                  <w:noWrap/>
                                  <w:vAlign w:val="bottom"/>
                                  <w:hideMark/>
                                </w:tcPr>
                                <w:p w14:paraId="23B4D40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(2)</w:t>
                                  </w:r>
                                </w:p>
                              </w:tc>
                              <w:tc>
                                <w:tcPr>
                                  <w:tcW w:w="1120" w:type="dxa"/>
                                  <w:tcBorders>
                                    <w:top w:val="double" w:sz="6" w:space="0" w:color="auto"/>
                                    <w:left w:val="nil"/>
                                    <w:bottom w:val="nil"/>
                                    <w:right w:val="nil"/>
                                  </w:tcBorders>
                                  <w:shd w:val="clear" w:color="auto" w:fill="auto"/>
                                  <w:noWrap/>
                                  <w:vAlign w:val="bottom"/>
                                  <w:hideMark/>
                                </w:tcPr>
                                <w:p w14:paraId="6B37539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(3)</w:t>
                                  </w:r>
                                </w:p>
                              </w:tc>
                              <w:tc>
                                <w:tcPr>
                                  <w:tcW w:w="1120" w:type="dxa"/>
                                  <w:tcBorders>
                                    <w:top w:val="double" w:sz="6" w:space="0" w:color="auto"/>
                                    <w:left w:val="nil"/>
                                    <w:bottom w:val="nil"/>
                                    <w:right w:val="nil"/>
                                  </w:tcBorders>
                                  <w:shd w:val="clear" w:color="auto" w:fill="auto"/>
                                  <w:noWrap/>
                                  <w:vAlign w:val="bottom"/>
                                  <w:hideMark/>
                                </w:tcPr>
                                <w:p w14:paraId="448E4DB3"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(4)</w:t>
                                  </w:r>
                                </w:p>
                              </w:tc>
                              <w:tc>
                                <w:tcPr>
                                  <w:tcW w:w="1120" w:type="dxa"/>
                                  <w:tcBorders>
                                    <w:top w:val="double" w:sz="6" w:space="0" w:color="auto"/>
                                    <w:left w:val="nil"/>
                                    <w:bottom w:val="nil"/>
                                    <w:right w:val="nil"/>
                                  </w:tcBorders>
                                  <w:shd w:val="clear" w:color="auto" w:fill="auto"/>
                                  <w:noWrap/>
                                  <w:vAlign w:val="bottom"/>
                                  <w:hideMark/>
                                </w:tcPr>
                                <w:p w14:paraId="2247AC76"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(5)</w:t>
                                  </w:r>
                                </w:p>
                              </w:tc>
                            </w:tr>
                            <w:tr w:rsidR="002C4F5D" w:rsidRPr="002C4F5D" w14:paraId="5D2A6340" w14:textId="77777777" w:rsidTr="002C4F5D">
                              <w:trPr>
                                <w:trHeight w:val="255"/>
                              </w:trPr>
                              <w:tc>
                                <w:tcPr>
                                  <w:tcW w:w="3440" w:type="dxa"/>
                                  <w:tcBorders>
                                    <w:top w:val="single" w:sz="4" w:space="0" w:color="auto"/>
                                    <w:left w:val="nil"/>
                                    <w:bottom w:val="nil"/>
                                    <w:right w:val="nil"/>
                                  </w:tcBorders>
                                  <w:shd w:val="clear" w:color="auto" w:fill="auto"/>
                                  <w:noWrap/>
                                  <w:vAlign w:val="bottom"/>
                                  <w:hideMark/>
                                </w:tcPr>
                                <w:p w14:paraId="2461148F" w14:textId="77777777" w:rsidR="002C4F5D" w:rsidRPr="002C4F5D" w:rsidRDefault="002C4F5D" w:rsidP="002C4F5D">
                                  <w:pPr>
                                    <w:spacing w:after="0"/>
                                    <w:rPr>
                                      <w:rFonts w:ascii="Arial" w:eastAsia="Times New Roman" w:hAnsi="Arial" w:cs="Arial"/>
                                      <w:i/>
                                      <w:iCs/>
                                      <w:color w:val="000000"/>
                                      <w:sz w:val="20"/>
                                      <w:szCs w:val="20"/>
                                      <w:lang w:eastAsia="en-AU"/>
                                    </w:rPr>
                                  </w:pPr>
                                  <w:r w:rsidRPr="002C4F5D">
                                    <w:rPr>
                                      <w:rFonts w:ascii="Arial" w:eastAsia="Times New Roman" w:hAnsi="Arial" w:cs="Arial"/>
                                      <w:i/>
                                      <w:iCs/>
                                      <w:color w:val="000000"/>
                                      <w:sz w:val="20"/>
                                      <w:szCs w:val="20"/>
                                      <w:lang w:eastAsia="en-AU"/>
                                    </w:rPr>
                                    <w:t>Panel A:  Non-capital cities</w:t>
                                  </w:r>
                                </w:p>
                              </w:tc>
                              <w:tc>
                                <w:tcPr>
                                  <w:tcW w:w="1120" w:type="dxa"/>
                                  <w:tcBorders>
                                    <w:top w:val="single" w:sz="4" w:space="0" w:color="auto"/>
                                    <w:left w:val="nil"/>
                                    <w:bottom w:val="nil"/>
                                    <w:right w:val="nil"/>
                                  </w:tcBorders>
                                  <w:shd w:val="clear" w:color="auto" w:fill="auto"/>
                                  <w:noWrap/>
                                  <w:vAlign w:val="bottom"/>
                                  <w:hideMark/>
                                </w:tcPr>
                                <w:p w14:paraId="3B5E7AC8"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single" w:sz="4" w:space="0" w:color="auto"/>
                                    <w:left w:val="nil"/>
                                    <w:bottom w:val="nil"/>
                                    <w:right w:val="nil"/>
                                  </w:tcBorders>
                                  <w:shd w:val="clear" w:color="auto" w:fill="auto"/>
                                  <w:noWrap/>
                                  <w:vAlign w:val="bottom"/>
                                  <w:hideMark/>
                                </w:tcPr>
                                <w:p w14:paraId="3299136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single" w:sz="4" w:space="0" w:color="auto"/>
                                    <w:left w:val="nil"/>
                                    <w:bottom w:val="nil"/>
                                    <w:right w:val="nil"/>
                                  </w:tcBorders>
                                  <w:shd w:val="clear" w:color="auto" w:fill="auto"/>
                                  <w:noWrap/>
                                  <w:vAlign w:val="bottom"/>
                                  <w:hideMark/>
                                </w:tcPr>
                                <w:p w14:paraId="358A8B4C"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single" w:sz="4" w:space="0" w:color="auto"/>
                                    <w:left w:val="nil"/>
                                    <w:bottom w:val="nil"/>
                                    <w:right w:val="nil"/>
                                  </w:tcBorders>
                                  <w:shd w:val="clear" w:color="auto" w:fill="auto"/>
                                  <w:noWrap/>
                                  <w:vAlign w:val="bottom"/>
                                  <w:hideMark/>
                                </w:tcPr>
                                <w:p w14:paraId="1F0EA88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single" w:sz="4" w:space="0" w:color="auto"/>
                                    <w:left w:val="nil"/>
                                    <w:bottom w:val="nil"/>
                                    <w:right w:val="nil"/>
                                  </w:tcBorders>
                                  <w:shd w:val="clear" w:color="auto" w:fill="auto"/>
                                  <w:noWrap/>
                                  <w:vAlign w:val="bottom"/>
                                  <w:hideMark/>
                                </w:tcPr>
                                <w:p w14:paraId="1063BBD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r>
                            <w:tr w:rsidR="002C4F5D" w:rsidRPr="002C4F5D" w14:paraId="4E499442" w14:textId="77777777" w:rsidTr="002C4F5D">
                              <w:trPr>
                                <w:trHeight w:val="255"/>
                              </w:trPr>
                              <w:tc>
                                <w:tcPr>
                                  <w:tcW w:w="3440" w:type="dxa"/>
                                  <w:tcBorders>
                                    <w:top w:val="nil"/>
                                    <w:left w:val="nil"/>
                                    <w:bottom w:val="nil"/>
                                    <w:right w:val="nil"/>
                                  </w:tcBorders>
                                  <w:shd w:val="clear" w:color="auto" w:fill="auto"/>
                                  <w:noWrap/>
                                  <w:vAlign w:val="bottom"/>
                                  <w:hideMark/>
                                </w:tcPr>
                                <w:p w14:paraId="3E2E6BE9"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EE (job-to-job) rate</w:t>
                                  </w:r>
                                </w:p>
                              </w:tc>
                              <w:tc>
                                <w:tcPr>
                                  <w:tcW w:w="1120" w:type="dxa"/>
                                  <w:tcBorders>
                                    <w:top w:val="nil"/>
                                    <w:left w:val="nil"/>
                                    <w:bottom w:val="nil"/>
                                    <w:right w:val="nil"/>
                                  </w:tcBorders>
                                  <w:shd w:val="clear" w:color="auto" w:fill="auto"/>
                                  <w:noWrap/>
                                  <w:vAlign w:val="bottom"/>
                                  <w:hideMark/>
                                </w:tcPr>
                                <w:p w14:paraId="15EEA56F"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0.23***</w:t>
                                  </w:r>
                                </w:p>
                              </w:tc>
                              <w:tc>
                                <w:tcPr>
                                  <w:tcW w:w="1120" w:type="dxa"/>
                                  <w:tcBorders>
                                    <w:top w:val="nil"/>
                                    <w:left w:val="nil"/>
                                    <w:bottom w:val="nil"/>
                                    <w:right w:val="nil"/>
                                  </w:tcBorders>
                                  <w:shd w:val="clear" w:color="auto" w:fill="auto"/>
                                  <w:noWrap/>
                                  <w:vAlign w:val="bottom"/>
                                  <w:hideMark/>
                                </w:tcPr>
                                <w:p w14:paraId="7F4D5A5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0.17***</w:t>
                                  </w:r>
                                </w:p>
                              </w:tc>
                              <w:tc>
                                <w:tcPr>
                                  <w:tcW w:w="1120" w:type="dxa"/>
                                  <w:tcBorders>
                                    <w:top w:val="nil"/>
                                    <w:left w:val="nil"/>
                                    <w:bottom w:val="nil"/>
                                    <w:right w:val="nil"/>
                                  </w:tcBorders>
                                  <w:shd w:val="clear" w:color="auto" w:fill="auto"/>
                                  <w:noWrap/>
                                  <w:vAlign w:val="bottom"/>
                                  <w:hideMark/>
                                </w:tcPr>
                                <w:p w14:paraId="5590366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0.37***</w:t>
                                  </w:r>
                                </w:p>
                              </w:tc>
                              <w:tc>
                                <w:tcPr>
                                  <w:tcW w:w="1120" w:type="dxa"/>
                                  <w:tcBorders>
                                    <w:top w:val="nil"/>
                                    <w:left w:val="nil"/>
                                    <w:bottom w:val="nil"/>
                                    <w:right w:val="nil"/>
                                  </w:tcBorders>
                                  <w:shd w:val="clear" w:color="auto" w:fill="auto"/>
                                  <w:noWrap/>
                                  <w:vAlign w:val="bottom"/>
                                  <w:hideMark/>
                                </w:tcPr>
                                <w:p w14:paraId="1883725F"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0.31***</w:t>
                                  </w:r>
                                </w:p>
                              </w:tc>
                              <w:tc>
                                <w:tcPr>
                                  <w:tcW w:w="1120" w:type="dxa"/>
                                  <w:tcBorders>
                                    <w:top w:val="nil"/>
                                    <w:left w:val="nil"/>
                                    <w:bottom w:val="nil"/>
                                    <w:right w:val="nil"/>
                                  </w:tcBorders>
                                  <w:shd w:val="clear" w:color="auto" w:fill="auto"/>
                                  <w:noWrap/>
                                  <w:vAlign w:val="bottom"/>
                                  <w:hideMark/>
                                </w:tcPr>
                                <w:p w14:paraId="05C76A6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0.16</w:t>
                                  </w:r>
                                </w:p>
                              </w:tc>
                            </w:tr>
                            <w:tr w:rsidR="002C4F5D" w:rsidRPr="002C4F5D" w14:paraId="0E692181" w14:textId="77777777" w:rsidTr="002C4F5D">
                              <w:trPr>
                                <w:trHeight w:val="255"/>
                              </w:trPr>
                              <w:tc>
                                <w:tcPr>
                                  <w:tcW w:w="3440" w:type="dxa"/>
                                  <w:tcBorders>
                                    <w:top w:val="nil"/>
                                    <w:left w:val="nil"/>
                                    <w:bottom w:val="nil"/>
                                    <w:right w:val="nil"/>
                                  </w:tcBorders>
                                  <w:shd w:val="clear" w:color="auto" w:fill="auto"/>
                                  <w:noWrap/>
                                  <w:vAlign w:val="bottom"/>
                                  <w:hideMark/>
                                </w:tcPr>
                                <w:p w14:paraId="77C99392"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0B2F41F3"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c>
                                <w:tcPr>
                                  <w:tcW w:w="1120" w:type="dxa"/>
                                  <w:tcBorders>
                                    <w:top w:val="nil"/>
                                    <w:left w:val="nil"/>
                                    <w:bottom w:val="nil"/>
                                    <w:right w:val="nil"/>
                                  </w:tcBorders>
                                  <w:shd w:val="clear" w:color="auto" w:fill="auto"/>
                                  <w:noWrap/>
                                  <w:vAlign w:val="bottom"/>
                                  <w:hideMark/>
                                </w:tcPr>
                                <w:p w14:paraId="2F01CF23"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c>
                                <w:tcPr>
                                  <w:tcW w:w="1120" w:type="dxa"/>
                                  <w:tcBorders>
                                    <w:top w:val="nil"/>
                                    <w:left w:val="nil"/>
                                    <w:bottom w:val="nil"/>
                                    <w:right w:val="nil"/>
                                  </w:tcBorders>
                                  <w:shd w:val="clear" w:color="auto" w:fill="auto"/>
                                  <w:noWrap/>
                                  <w:vAlign w:val="bottom"/>
                                  <w:hideMark/>
                                </w:tcPr>
                                <w:p w14:paraId="73742C9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(0.11)</w:t>
                                  </w:r>
                                </w:p>
                              </w:tc>
                              <w:tc>
                                <w:tcPr>
                                  <w:tcW w:w="1120" w:type="dxa"/>
                                  <w:tcBorders>
                                    <w:top w:val="nil"/>
                                    <w:left w:val="nil"/>
                                    <w:bottom w:val="nil"/>
                                    <w:right w:val="nil"/>
                                  </w:tcBorders>
                                  <w:shd w:val="clear" w:color="auto" w:fill="auto"/>
                                  <w:noWrap/>
                                  <w:vAlign w:val="bottom"/>
                                  <w:hideMark/>
                                </w:tcPr>
                                <w:p w14:paraId="4AE02DA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(0.12)</w:t>
                                  </w:r>
                                </w:p>
                              </w:tc>
                              <w:tc>
                                <w:tcPr>
                                  <w:tcW w:w="1120" w:type="dxa"/>
                                  <w:tcBorders>
                                    <w:top w:val="nil"/>
                                    <w:left w:val="nil"/>
                                    <w:bottom w:val="nil"/>
                                    <w:right w:val="nil"/>
                                  </w:tcBorders>
                                  <w:shd w:val="clear" w:color="auto" w:fill="auto"/>
                                  <w:noWrap/>
                                  <w:vAlign w:val="bottom"/>
                                  <w:hideMark/>
                                </w:tcPr>
                                <w:p w14:paraId="1544E09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(0.12)</w:t>
                                  </w:r>
                                </w:p>
                              </w:tc>
                            </w:tr>
                            <w:tr w:rsidR="002C4F5D" w:rsidRPr="002C4F5D" w14:paraId="6128EEF2" w14:textId="77777777" w:rsidTr="002C4F5D">
                              <w:trPr>
                                <w:trHeight w:val="255"/>
                              </w:trPr>
                              <w:tc>
                                <w:tcPr>
                                  <w:tcW w:w="3440" w:type="dxa"/>
                                  <w:tcBorders>
                                    <w:top w:val="nil"/>
                                    <w:left w:val="nil"/>
                                    <w:bottom w:val="nil"/>
                                    <w:right w:val="nil"/>
                                  </w:tcBorders>
                                  <w:shd w:val="clear" w:color="auto" w:fill="auto"/>
                                  <w:noWrap/>
                                  <w:vAlign w:val="bottom"/>
                                  <w:hideMark/>
                                </w:tcPr>
                                <w:p w14:paraId="7237161F"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UE (unemployment-to-job rate)</w:t>
                                  </w:r>
                                </w:p>
                              </w:tc>
                              <w:tc>
                                <w:tcPr>
                                  <w:tcW w:w="1120" w:type="dxa"/>
                                  <w:tcBorders>
                                    <w:top w:val="nil"/>
                                    <w:left w:val="nil"/>
                                    <w:bottom w:val="nil"/>
                                    <w:right w:val="nil"/>
                                  </w:tcBorders>
                                  <w:shd w:val="clear" w:color="auto" w:fill="auto"/>
                                  <w:noWrap/>
                                  <w:vAlign w:val="bottom"/>
                                  <w:hideMark/>
                                </w:tcPr>
                                <w:p w14:paraId="46588F4F"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0.14***</w:t>
                                  </w:r>
                                </w:p>
                              </w:tc>
                              <w:tc>
                                <w:tcPr>
                                  <w:tcW w:w="1120" w:type="dxa"/>
                                  <w:tcBorders>
                                    <w:top w:val="nil"/>
                                    <w:left w:val="nil"/>
                                    <w:bottom w:val="nil"/>
                                    <w:right w:val="nil"/>
                                  </w:tcBorders>
                                  <w:shd w:val="clear" w:color="auto" w:fill="auto"/>
                                  <w:noWrap/>
                                  <w:vAlign w:val="bottom"/>
                                  <w:hideMark/>
                                </w:tcPr>
                                <w:p w14:paraId="4E7EA0D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0.12***</w:t>
                                  </w:r>
                                </w:p>
                              </w:tc>
                              <w:tc>
                                <w:tcPr>
                                  <w:tcW w:w="1120" w:type="dxa"/>
                                  <w:tcBorders>
                                    <w:top w:val="nil"/>
                                    <w:left w:val="nil"/>
                                    <w:bottom w:val="nil"/>
                                    <w:right w:val="nil"/>
                                  </w:tcBorders>
                                  <w:shd w:val="clear" w:color="auto" w:fill="auto"/>
                                  <w:noWrap/>
                                  <w:vAlign w:val="bottom"/>
                                  <w:hideMark/>
                                </w:tcPr>
                                <w:p w14:paraId="6AED3B7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0.12***</w:t>
                                  </w:r>
                                </w:p>
                              </w:tc>
                              <w:tc>
                                <w:tcPr>
                                  <w:tcW w:w="1120" w:type="dxa"/>
                                  <w:tcBorders>
                                    <w:top w:val="nil"/>
                                    <w:left w:val="nil"/>
                                    <w:bottom w:val="nil"/>
                                    <w:right w:val="nil"/>
                                  </w:tcBorders>
                                  <w:shd w:val="clear" w:color="auto" w:fill="auto"/>
                                  <w:noWrap/>
                                  <w:vAlign w:val="bottom"/>
                                  <w:hideMark/>
                                </w:tcPr>
                                <w:p w14:paraId="2A0EF22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0.12***</w:t>
                                  </w:r>
                                </w:p>
                              </w:tc>
                              <w:tc>
                                <w:tcPr>
                                  <w:tcW w:w="1120" w:type="dxa"/>
                                  <w:tcBorders>
                                    <w:top w:val="nil"/>
                                    <w:left w:val="nil"/>
                                    <w:bottom w:val="nil"/>
                                    <w:right w:val="nil"/>
                                  </w:tcBorders>
                                  <w:shd w:val="clear" w:color="auto" w:fill="auto"/>
                                  <w:noWrap/>
                                  <w:vAlign w:val="bottom"/>
                                  <w:hideMark/>
                                </w:tcPr>
                                <w:p w14:paraId="1A6CF613"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r>
                            <w:tr w:rsidR="002C4F5D" w:rsidRPr="002C4F5D" w14:paraId="1C1D396A" w14:textId="77777777" w:rsidTr="002C4F5D">
                              <w:trPr>
                                <w:trHeight w:val="255"/>
                              </w:trPr>
                              <w:tc>
                                <w:tcPr>
                                  <w:tcW w:w="3440" w:type="dxa"/>
                                  <w:tcBorders>
                                    <w:top w:val="nil"/>
                                    <w:left w:val="nil"/>
                                    <w:bottom w:val="nil"/>
                                    <w:right w:val="nil"/>
                                  </w:tcBorders>
                                  <w:shd w:val="clear" w:color="auto" w:fill="auto"/>
                                  <w:noWrap/>
                                  <w:vAlign w:val="bottom"/>
                                  <w:hideMark/>
                                </w:tcPr>
                                <w:p w14:paraId="7A63B505"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5E246B5D"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(0.03)</w:t>
                                  </w:r>
                                </w:p>
                              </w:tc>
                              <w:tc>
                                <w:tcPr>
                                  <w:tcW w:w="1120" w:type="dxa"/>
                                  <w:tcBorders>
                                    <w:top w:val="nil"/>
                                    <w:left w:val="nil"/>
                                    <w:bottom w:val="nil"/>
                                    <w:right w:val="nil"/>
                                  </w:tcBorders>
                                  <w:shd w:val="clear" w:color="auto" w:fill="auto"/>
                                  <w:noWrap/>
                                  <w:vAlign w:val="bottom"/>
                                  <w:hideMark/>
                                </w:tcPr>
                                <w:p w14:paraId="3637B40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(0.03)</w:t>
                                  </w:r>
                                </w:p>
                              </w:tc>
                              <w:tc>
                                <w:tcPr>
                                  <w:tcW w:w="1120" w:type="dxa"/>
                                  <w:tcBorders>
                                    <w:top w:val="nil"/>
                                    <w:left w:val="nil"/>
                                    <w:bottom w:val="nil"/>
                                    <w:right w:val="nil"/>
                                  </w:tcBorders>
                                  <w:shd w:val="clear" w:color="auto" w:fill="auto"/>
                                  <w:noWrap/>
                                  <w:vAlign w:val="bottom"/>
                                  <w:hideMark/>
                                </w:tcPr>
                                <w:p w14:paraId="1201C02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(0.04)</w:t>
                                  </w:r>
                                </w:p>
                              </w:tc>
                              <w:tc>
                                <w:tcPr>
                                  <w:tcW w:w="1120" w:type="dxa"/>
                                  <w:tcBorders>
                                    <w:top w:val="nil"/>
                                    <w:left w:val="nil"/>
                                    <w:bottom w:val="nil"/>
                                    <w:right w:val="nil"/>
                                  </w:tcBorders>
                                  <w:shd w:val="clear" w:color="auto" w:fill="auto"/>
                                  <w:noWrap/>
                                  <w:vAlign w:val="bottom"/>
                                  <w:hideMark/>
                                </w:tcPr>
                                <w:p w14:paraId="6834F1E1"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(0.04)</w:t>
                                  </w:r>
                                </w:p>
                              </w:tc>
                              <w:tc>
                                <w:tcPr>
                                  <w:tcW w:w="1120" w:type="dxa"/>
                                  <w:tcBorders>
                                    <w:top w:val="nil"/>
                                    <w:left w:val="nil"/>
                                    <w:bottom w:val="nil"/>
                                    <w:right w:val="nil"/>
                                  </w:tcBorders>
                                  <w:shd w:val="clear" w:color="auto" w:fill="auto"/>
                                  <w:noWrap/>
                                  <w:vAlign w:val="bottom"/>
                                  <w:hideMark/>
                                </w:tcPr>
                                <w:p w14:paraId="5230258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(0.04)</w:t>
                                  </w:r>
                                </w:p>
                              </w:tc>
                            </w:tr>
                            <w:tr w:rsidR="002C4F5D" w:rsidRPr="002C4F5D" w14:paraId="0D97A477" w14:textId="77777777" w:rsidTr="002C4F5D">
                              <w:trPr>
                                <w:trHeight w:val="255"/>
                              </w:trPr>
                              <w:tc>
                                <w:tcPr>
                                  <w:tcW w:w="3440" w:type="dxa"/>
                                  <w:tcBorders>
                                    <w:top w:val="nil"/>
                                    <w:left w:val="nil"/>
                                    <w:bottom w:val="nil"/>
                                    <w:right w:val="nil"/>
                                  </w:tcBorders>
                                  <w:shd w:val="clear" w:color="auto" w:fill="auto"/>
                                  <w:noWrap/>
                                  <w:vAlign w:val="bottom"/>
                                  <w:hideMark/>
                                </w:tcPr>
                                <w:p w14:paraId="28304AE9" w14:textId="77777777" w:rsidR="002C4F5D" w:rsidRPr="002C4F5D" w:rsidRDefault="002C4F5D" w:rsidP="002C4F5D">
                                  <w:pPr>
                                    <w:spacing w:after="0"/>
                                    <w:rPr>
                                      <w:rFonts w:ascii="Arial" w:eastAsia="Times New Roman" w:hAnsi="Arial" w:cs="Arial"/>
                                      <w:i/>
                                      <w:iCs/>
                                      <w:color w:val="000000"/>
                                      <w:sz w:val="20"/>
                                      <w:szCs w:val="20"/>
                                      <w:lang w:eastAsia="en-AU"/>
                                    </w:rPr>
                                  </w:pPr>
                                  <w:r w:rsidRPr="002C4F5D">
                                    <w:rPr>
                                      <w:rFonts w:ascii="Arial" w:eastAsia="Times New Roman" w:hAnsi="Arial" w:cs="Arial"/>
                                      <w:i/>
                                      <w:iCs/>
                                      <w:color w:val="000000"/>
                                      <w:sz w:val="20"/>
                                      <w:szCs w:val="20"/>
                                      <w:lang w:eastAsia="en-AU"/>
                                    </w:rPr>
                                    <w:t>Panel B: Capital cities</w:t>
                                  </w:r>
                                </w:p>
                              </w:tc>
                              <w:tc>
                                <w:tcPr>
                                  <w:tcW w:w="1120" w:type="dxa"/>
                                  <w:tcBorders>
                                    <w:top w:val="nil"/>
                                    <w:left w:val="nil"/>
                                    <w:bottom w:val="nil"/>
                                    <w:right w:val="nil"/>
                                  </w:tcBorders>
                                  <w:shd w:val="clear" w:color="auto" w:fill="auto"/>
                                  <w:noWrap/>
                                  <w:vAlign w:val="bottom"/>
                                  <w:hideMark/>
                                </w:tcPr>
                                <w:p w14:paraId="5FB69759" w14:textId="77777777" w:rsidR="002C4F5D" w:rsidRPr="002C4F5D" w:rsidRDefault="002C4F5D" w:rsidP="002C4F5D">
                                  <w:pPr>
                                    <w:spacing w:after="0"/>
                                    <w:rPr>
                                      <w:rFonts w:ascii="Arial" w:eastAsia="Times New Roman" w:hAnsi="Arial" w:cs="Arial"/>
                                      <w:i/>
                                      <w:iCs/>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7AD90ED7"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741B4251"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54CC1323"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34070D57"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r>
                            <w:tr w:rsidR="002C4F5D" w:rsidRPr="002C4F5D" w14:paraId="1E86877A" w14:textId="77777777" w:rsidTr="002C4F5D">
                              <w:trPr>
                                <w:trHeight w:val="255"/>
                              </w:trPr>
                              <w:tc>
                                <w:tcPr>
                                  <w:tcW w:w="3440" w:type="dxa"/>
                                  <w:tcBorders>
                                    <w:top w:val="nil"/>
                                    <w:left w:val="nil"/>
                                    <w:bottom w:val="nil"/>
                                    <w:right w:val="nil"/>
                                  </w:tcBorders>
                                  <w:shd w:val="clear" w:color="auto" w:fill="auto"/>
                                  <w:noWrap/>
                                  <w:vAlign w:val="bottom"/>
                                  <w:hideMark/>
                                </w:tcPr>
                                <w:p w14:paraId="0D8D2540"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EE (job-to-job) rate</w:t>
                                  </w:r>
                                </w:p>
                              </w:tc>
                              <w:tc>
                                <w:tcPr>
                                  <w:tcW w:w="1120" w:type="dxa"/>
                                  <w:tcBorders>
                                    <w:top w:val="nil"/>
                                    <w:left w:val="nil"/>
                                    <w:bottom w:val="nil"/>
                                    <w:right w:val="nil"/>
                                  </w:tcBorders>
                                  <w:shd w:val="clear" w:color="auto" w:fill="auto"/>
                                  <w:noWrap/>
                                  <w:vAlign w:val="bottom"/>
                                  <w:hideMark/>
                                </w:tcPr>
                                <w:p w14:paraId="7ADACEAE"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0.53***</w:t>
                                  </w:r>
                                </w:p>
                              </w:tc>
                              <w:tc>
                                <w:tcPr>
                                  <w:tcW w:w="1120" w:type="dxa"/>
                                  <w:tcBorders>
                                    <w:top w:val="nil"/>
                                    <w:left w:val="nil"/>
                                    <w:bottom w:val="nil"/>
                                    <w:right w:val="nil"/>
                                  </w:tcBorders>
                                  <w:shd w:val="clear" w:color="auto" w:fill="auto"/>
                                  <w:noWrap/>
                                  <w:vAlign w:val="bottom"/>
                                  <w:hideMark/>
                                </w:tcPr>
                                <w:p w14:paraId="3737DF86"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0.49***</w:t>
                                  </w:r>
                                </w:p>
                              </w:tc>
                              <w:tc>
                                <w:tcPr>
                                  <w:tcW w:w="1120" w:type="dxa"/>
                                  <w:tcBorders>
                                    <w:top w:val="nil"/>
                                    <w:left w:val="nil"/>
                                    <w:bottom w:val="nil"/>
                                    <w:right w:val="nil"/>
                                  </w:tcBorders>
                                  <w:shd w:val="clear" w:color="auto" w:fill="auto"/>
                                  <w:noWrap/>
                                  <w:vAlign w:val="bottom"/>
                                  <w:hideMark/>
                                </w:tcPr>
                                <w:p w14:paraId="7586EA53"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0.31*</w:t>
                                  </w:r>
                                </w:p>
                              </w:tc>
                              <w:tc>
                                <w:tcPr>
                                  <w:tcW w:w="1120" w:type="dxa"/>
                                  <w:tcBorders>
                                    <w:top w:val="nil"/>
                                    <w:left w:val="nil"/>
                                    <w:bottom w:val="nil"/>
                                    <w:right w:val="nil"/>
                                  </w:tcBorders>
                                  <w:shd w:val="clear" w:color="auto" w:fill="auto"/>
                                  <w:noWrap/>
                                  <w:vAlign w:val="bottom"/>
                                  <w:hideMark/>
                                </w:tcPr>
                                <w:p w14:paraId="53D8596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0.52***</w:t>
                                  </w:r>
                                </w:p>
                              </w:tc>
                              <w:tc>
                                <w:tcPr>
                                  <w:tcW w:w="1120" w:type="dxa"/>
                                  <w:tcBorders>
                                    <w:top w:val="nil"/>
                                    <w:left w:val="nil"/>
                                    <w:bottom w:val="nil"/>
                                    <w:right w:val="nil"/>
                                  </w:tcBorders>
                                  <w:shd w:val="clear" w:color="auto" w:fill="auto"/>
                                  <w:noWrap/>
                                  <w:vAlign w:val="bottom"/>
                                  <w:hideMark/>
                                </w:tcPr>
                                <w:p w14:paraId="2DEAA9F2"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0.68***</w:t>
                                  </w:r>
                                </w:p>
                              </w:tc>
                            </w:tr>
                            <w:tr w:rsidR="002C4F5D" w:rsidRPr="002C4F5D" w14:paraId="1FAE0465" w14:textId="77777777" w:rsidTr="002C4F5D">
                              <w:trPr>
                                <w:trHeight w:val="255"/>
                              </w:trPr>
                              <w:tc>
                                <w:tcPr>
                                  <w:tcW w:w="3440" w:type="dxa"/>
                                  <w:tcBorders>
                                    <w:top w:val="nil"/>
                                    <w:left w:val="nil"/>
                                    <w:bottom w:val="nil"/>
                                    <w:right w:val="nil"/>
                                  </w:tcBorders>
                                  <w:shd w:val="clear" w:color="auto" w:fill="auto"/>
                                  <w:noWrap/>
                                  <w:vAlign w:val="bottom"/>
                                  <w:hideMark/>
                                </w:tcPr>
                                <w:p w14:paraId="2A080FA4"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124CC286"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(0.08)</w:t>
                                  </w:r>
                                </w:p>
                              </w:tc>
                              <w:tc>
                                <w:tcPr>
                                  <w:tcW w:w="1120" w:type="dxa"/>
                                  <w:tcBorders>
                                    <w:top w:val="nil"/>
                                    <w:left w:val="nil"/>
                                    <w:bottom w:val="nil"/>
                                    <w:right w:val="nil"/>
                                  </w:tcBorders>
                                  <w:shd w:val="clear" w:color="auto" w:fill="auto"/>
                                  <w:noWrap/>
                                  <w:vAlign w:val="bottom"/>
                                  <w:hideMark/>
                                </w:tcPr>
                                <w:p w14:paraId="25CF4E2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(0.09)</w:t>
                                  </w:r>
                                </w:p>
                              </w:tc>
                              <w:tc>
                                <w:tcPr>
                                  <w:tcW w:w="1120" w:type="dxa"/>
                                  <w:tcBorders>
                                    <w:top w:val="nil"/>
                                    <w:left w:val="nil"/>
                                    <w:bottom w:val="nil"/>
                                    <w:right w:val="nil"/>
                                  </w:tcBorders>
                                  <w:shd w:val="clear" w:color="auto" w:fill="auto"/>
                                  <w:noWrap/>
                                  <w:vAlign w:val="bottom"/>
                                  <w:hideMark/>
                                </w:tcPr>
                                <w:p w14:paraId="1CF5B583"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(0.17)</w:t>
                                  </w:r>
                                </w:p>
                              </w:tc>
                              <w:tc>
                                <w:tcPr>
                                  <w:tcW w:w="1120" w:type="dxa"/>
                                  <w:tcBorders>
                                    <w:top w:val="nil"/>
                                    <w:left w:val="nil"/>
                                    <w:bottom w:val="nil"/>
                                    <w:right w:val="nil"/>
                                  </w:tcBorders>
                                  <w:shd w:val="clear" w:color="auto" w:fill="auto"/>
                                  <w:noWrap/>
                                  <w:vAlign w:val="bottom"/>
                                  <w:hideMark/>
                                </w:tcPr>
                                <w:p w14:paraId="194134C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(0.20)</w:t>
                                  </w:r>
                                </w:p>
                              </w:tc>
                              <w:tc>
                                <w:tcPr>
                                  <w:tcW w:w="1120" w:type="dxa"/>
                                  <w:tcBorders>
                                    <w:top w:val="nil"/>
                                    <w:left w:val="nil"/>
                                    <w:bottom w:val="nil"/>
                                    <w:right w:val="nil"/>
                                  </w:tcBorders>
                                  <w:shd w:val="clear" w:color="auto" w:fill="auto"/>
                                  <w:noWrap/>
                                  <w:vAlign w:val="bottom"/>
                                  <w:hideMark/>
                                </w:tcPr>
                                <w:p w14:paraId="7592E6D2"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(0.21)</w:t>
                                  </w:r>
                                </w:p>
                              </w:tc>
                            </w:tr>
                            <w:tr w:rsidR="002C4F5D" w:rsidRPr="002C4F5D" w14:paraId="6A236CFD" w14:textId="77777777" w:rsidTr="002C4F5D">
                              <w:trPr>
                                <w:trHeight w:val="255"/>
                              </w:trPr>
                              <w:tc>
                                <w:tcPr>
                                  <w:tcW w:w="3440" w:type="dxa"/>
                                  <w:tcBorders>
                                    <w:top w:val="nil"/>
                                    <w:left w:val="nil"/>
                                    <w:bottom w:val="nil"/>
                                    <w:right w:val="nil"/>
                                  </w:tcBorders>
                                  <w:shd w:val="clear" w:color="auto" w:fill="auto"/>
                                  <w:noWrap/>
                                  <w:vAlign w:val="bottom"/>
                                  <w:hideMark/>
                                </w:tcPr>
                                <w:p w14:paraId="71EB6523"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UE (unemployment-to-job rate)</w:t>
                                  </w:r>
                                </w:p>
                              </w:tc>
                              <w:tc>
                                <w:tcPr>
                                  <w:tcW w:w="1120" w:type="dxa"/>
                                  <w:tcBorders>
                                    <w:top w:val="nil"/>
                                    <w:left w:val="nil"/>
                                    <w:bottom w:val="nil"/>
                                    <w:right w:val="nil"/>
                                  </w:tcBorders>
                                  <w:shd w:val="clear" w:color="auto" w:fill="auto"/>
                                  <w:noWrap/>
                                  <w:vAlign w:val="bottom"/>
                                  <w:hideMark/>
                                </w:tcPr>
                                <w:p w14:paraId="6E93F6BC"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0.18***</w:t>
                                  </w:r>
                                </w:p>
                              </w:tc>
                              <w:tc>
                                <w:tcPr>
                                  <w:tcW w:w="1120" w:type="dxa"/>
                                  <w:tcBorders>
                                    <w:top w:val="nil"/>
                                    <w:left w:val="nil"/>
                                    <w:bottom w:val="nil"/>
                                    <w:right w:val="nil"/>
                                  </w:tcBorders>
                                  <w:shd w:val="clear" w:color="auto" w:fill="auto"/>
                                  <w:noWrap/>
                                  <w:vAlign w:val="bottom"/>
                                  <w:hideMark/>
                                </w:tcPr>
                                <w:p w14:paraId="3D6D706D"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0.16***</w:t>
                                  </w:r>
                                </w:p>
                              </w:tc>
                              <w:tc>
                                <w:tcPr>
                                  <w:tcW w:w="1120" w:type="dxa"/>
                                  <w:tcBorders>
                                    <w:top w:val="nil"/>
                                    <w:left w:val="nil"/>
                                    <w:bottom w:val="nil"/>
                                    <w:right w:val="nil"/>
                                  </w:tcBorders>
                                  <w:shd w:val="clear" w:color="auto" w:fill="auto"/>
                                  <w:noWrap/>
                                  <w:vAlign w:val="bottom"/>
                                  <w:hideMark/>
                                </w:tcPr>
                                <w:p w14:paraId="2A7ECF41"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0.01</w:t>
                                  </w:r>
                                </w:p>
                              </w:tc>
                              <w:tc>
                                <w:tcPr>
                                  <w:tcW w:w="1120" w:type="dxa"/>
                                  <w:tcBorders>
                                    <w:top w:val="nil"/>
                                    <w:left w:val="nil"/>
                                    <w:bottom w:val="nil"/>
                                    <w:right w:val="nil"/>
                                  </w:tcBorders>
                                  <w:shd w:val="clear" w:color="auto" w:fill="auto"/>
                                  <w:noWrap/>
                                  <w:vAlign w:val="bottom"/>
                                  <w:hideMark/>
                                </w:tcPr>
                                <w:p w14:paraId="5DE1B94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c>
                                <w:tcPr>
                                  <w:tcW w:w="1120" w:type="dxa"/>
                                  <w:tcBorders>
                                    <w:top w:val="nil"/>
                                    <w:left w:val="nil"/>
                                    <w:bottom w:val="nil"/>
                                    <w:right w:val="nil"/>
                                  </w:tcBorders>
                                  <w:shd w:val="clear" w:color="auto" w:fill="auto"/>
                                  <w:noWrap/>
                                  <w:vAlign w:val="bottom"/>
                                  <w:hideMark/>
                                </w:tcPr>
                                <w:p w14:paraId="378E536E"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0.07</w:t>
                                  </w:r>
                                </w:p>
                              </w:tc>
                            </w:tr>
                            <w:tr w:rsidR="002C4F5D" w:rsidRPr="002C4F5D" w14:paraId="6D32D52F" w14:textId="77777777" w:rsidTr="002C4F5D">
                              <w:trPr>
                                <w:trHeight w:val="255"/>
                              </w:trPr>
                              <w:tc>
                                <w:tcPr>
                                  <w:tcW w:w="3440" w:type="dxa"/>
                                  <w:tcBorders>
                                    <w:top w:val="nil"/>
                                    <w:left w:val="nil"/>
                                    <w:bottom w:val="nil"/>
                                    <w:right w:val="nil"/>
                                  </w:tcBorders>
                                  <w:shd w:val="clear" w:color="auto" w:fill="auto"/>
                                  <w:noWrap/>
                                  <w:vAlign w:val="bottom"/>
                                  <w:hideMark/>
                                </w:tcPr>
                                <w:p w14:paraId="6C19116E"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18BE9BE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(0.04)</w:t>
                                  </w:r>
                                </w:p>
                              </w:tc>
                              <w:tc>
                                <w:tcPr>
                                  <w:tcW w:w="1120" w:type="dxa"/>
                                  <w:tcBorders>
                                    <w:top w:val="nil"/>
                                    <w:left w:val="nil"/>
                                    <w:bottom w:val="nil"/>
                                    <w:right w:val="nil"/>
                                  </w:tcBorders>
                                  <w:shd w:val="clear" w:color="auto" w:fill="auto"/>
                                  <w:noWrap/>
                                  <w:vAlign w:val="bottom"/>
                                  <w:hideMark/>
                                </w:tcPr>
                                <w:p w14:paraId="636FB8F8"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(0.04)</w:t>
                                  </w:r>
                                </w:p>
                              </w:tc>
                              <w:tc>
                                <w:tcPr>
                                  <w:tcW w:w="1120" w:type="dxa"/>
                                  <w:tcBorders>
                                    <w:top w:val="nil"/>
                                    <w:left w:val="nil"/>
                                    <w:bottom w:val="nil"/>
                                    <w:right w:val="nil"/>
                                  </w:tcBorders>
                                  <w:shd w:val="clear" w:color="auto" w:fill="auto"/>
                                  <w:noWrap/>
                                  <w:vAlign w:val="bottom"/>
                                  <w:hideMark/>
                                </w:tcPr>
                                <w:p w14:paraId="5017E9F2"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(0.05)</w:t>
                                  </w:r>
                                </w:p>
                              </w:tc>
                              <w:tc>
                                <w:tcPr>
                                  <w:tcW w:w="1120" w:type="dxa"/>
                                  <w:tcBorders>
                                    <w:top w:val="nil"/>
                                    <w:left w:val="nil"/>
                                    <w:bottom w:val="nil"/>
                                    <w:right w:val="nil"/>
                                  </w:tcBorders>
                                  <w:shd w:val="clear" w:color="auto" w:fill="auto"/>
                                  <w:noWrap/>
                                  <w:vAlign w:val="bottom"/>
                                  <w:hideMark/>
                                </w:tcPr>
                                <w:p w14:paraId="4076B950"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c>
                                <w:tcPr>
                                  <w:tcW w:w="1120" w:type="dxa"/>
                                  <w:tcBorders>
                                    <w:top w:val="nil"/>
                                    <w:left w:val="nil"/>
                                    <w:bottom w:val="nil"/>
                                    <w:right w:val="nil"/>
                                  </w:tcBorders>
                                  <w:shd w:val="clear" w:color="auto" w:fill="auto"/>
                                  <w:noWrap/>
                                  <w:vAlign w:val="bottom"/>
                                  <w:hideMark/>
                                </w:tcPr>
                                <w:p w14:paraId="25B0081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r>
                            <w:tr w:rsidR="002C4F5D" w:rsidRPr="002C4F5D" w14:paraId="008ECE00" w14:textId="77777777" w:rsidTr="002C4F5D">
                              <w:trPr>
                                <w:trHeight w:val="255"/>
                              </w:trPr>
                              <w:tc>
                                <w:tcPr>
                                  <w:tcW w:w="3440" w:type="dxa"/>
                                  <w:tcBorders>
                                    <w:top w:val="nil"/>
                                    <w:left w:val="nil"/>
                                    <w:bottom w:val="nil"/>
                                    <w:right w:val="nil"/>
                                  </w:tcBorders>
                                  <w:shd w:val="clear" w:color="auto" w:fill="auto"/>
                                  <w:noWrap/>
                                  <w:vAlign w:val="bottom"/>
                                  <w:hideMark/>
                                </w:tcPr>
                                <w:p w14:paraId="522957D2"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171AF4EC" w14:textId="77777777" w:rsidR="002C4F5D" w:rsidRPr="002C4F5D" w:rsidRDefault="002C4F5D" w:rsidP="002C4F5D">
                                  <w:pPr>
                                    <w:spacing w:after="0"/>
                                    <w:ind w:firstLineChars="100" w:firstLine="200"/>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0032CF37"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38441D6A"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28293A56"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50AFBA66"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r>
                            <w:tr w:rsidR="002C4F5D" w:rsidRPr="002C4F5D" w14:paraId="7D547F50" w14:textId="77777777" w:rsidTr="002C4F5D">
                              <w:trPr>
                                <w:trHeight w:val="255"/>
                              </w:trPr>
                              <w:tc>
                                <w:tcPr>
                                  <w:tcW w:w="3440" w:type="dxa"/>
                                  <w:tcBorders>
                                    <w:top w:val="nil"/>
                                    <w:left w:val="nil"/>
                                    <w:bottom w:val="nil"/>
                                    <w:right w:val="nil"/>
                                  </w:tcBorders>
                                  <w:shd w:val="clear" w:color="auto" w:fill="auto"/>
                                  <w:noWrap/>
                                  <w:vAlign w:val="bottom"/>
                                  <w:hideMark/>
                                </w:tcPr>
                                <w:p w14:paraId="01817B8B" w14:textId="77777777" w:rsidR="002C4F5D" w:rsidRPr="002C4F5D" w:rsidRDefault="002C4F5D" w:rsidP="002C4F5D">
                                  <w:pPr>
                                    <w:spacing w:after="0"/>
                                    <w:rPr>
                                      <w:rFonts w:ascii="Arial" w:eastAsia="Times New Roman" w:hAnsi="Arial" w:cs="Arial"/>
                                      <w:i/>
                                      <w:iCs/>
                                      <w:color w:val="000000"/>
                                      <w:sz w:val="20"/>
                                      <w:szCs w:val="20"/>
                                      <w:lang w:eastAsia="en-AU"/>
                                    </w:rPr>
                                  </w:pPr>
                                  <w:r w:rsidRPr="002C4F5D">
                                    <w:rPr>
                                      <w:rFonts w:ascii="Arial" w:eastAsia="Times New Roman" w:hAnsi="Arial" w:cs="Arial"/>
                                      <w:i/>
                                      <w:iCs/>
                                      <w:color w:val="000000"/>
                                      <w:sz w:val="20"/>
                                      <w:szCs w:val="20"/>
                                      <w:lang w:eastAsia="en-AU"/>
                                    </w:rPr>
                                    <w:t>Panel C: Post 2010-11 (inclusive)</w:t>
                                  </w:r>
                                </w:p>
                              </w:tc>
                              <w:tc>
                                <w:tcPr>
                                  <w:tcW w:w="1120" w:type="dxa"/>
                                  <w:tcBorders>
                                    <w:top w:val="nil"/>
                                    <w:left w:val="nil"/>
                                    <w:bottom w:val="nil"/>
                                    <w:right w:val="nil"/>
                                  </w:tcBorders>
                                  <w:shd w:val="clear" w:color="auto" w:fill="auto"/>
                                  <w:noWrap/>
                                  <w:vAlign w:val="bottom"/>
                                  <w:hideMark/>
                                </w:tcPr>
                                <w:p w14:paraId="5F6D370C" w14:textId="77777777" w:rsidR="002C4F5D" w:rsidRPr="002C4F5D" w:rsidRDefault="002C4F5D" w:rsidP="002C4F5D">
                                  <w:pPr>
                                    <w:spacing w:after="0"/>
                                    <w:rPr>
                                      <w:rFonts w:ascii="Arial" w:eastAsia="Times New Roman" w:hAnsi="Arial" w:cs="Arial"/>
                                      <w:i/>
                                      <w:iCs/>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7BE5AB7F"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34F11A74"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20909C99"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66D465DB"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r>
                            <w:tr w:rsidR="002C4F5D" w:rsidRPr="002C4F5D" w14:paraId="55E801F0" w14:textId="77777777" w:rsidTr="002C4F5D">
                              <w:trPr>
                                <w:trHeight w:val="255"/>
                              </w:trPr>
                              <w:tc>
                                <w:tcPr>
                                  <w:tcW w:w="3440" w:type="dxa"/>
                                  <w:tcBorders>
                                    <w:top w:val="nil"/>
                                    <w:left w:val="nil"/>
                                    <w:bottom w:val="nil"/>
                                    <w:right w:val="nil"/>
                                  </w:tcBorders>
                                  <w:shd w:val="clear" w:color="auto" w:fill="auto"/>
                                  <w:noWrap/>
                                  <w:vAlign w:val="bottom"/>
                                  <w:hideMark/>
                                </w:tcPr>
                                <w:p w14:paraId="2DA50A76"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EE (job-to-job) rate</w:t>
                                  </w:r>
                                </w:p>
                              </w:tc>
                              <w:tc>
                                <w:tcPr>
                                  <w:tcW w:w="1120" w:type="dxa"/>
                                  <w:tcBorders>
                                    <w:top w:val="nil"/>
                                    <w:left w:val="nil"/>
                                    <w:bottom w:val="nil"/>
                                    <w:right w:val="nil"/>
                                  </w:tcBorders>
                                  <w:shd w:val="clear" w:color="auto" w:fill="auto"/>
                                  <w:noWrap/>
                                  <w:vAlign w:val="bottom"/>
                                  <w:hideMark/>
                                </w:tcPr>
                                <w:p w14:paraId="2F8F2803"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0.31***</w:t>
                                  </w:r>
                                </w:p>
                              </w:tc>
                              <w:tc>
                                <w:tcPr>
                                  <w:tcW w:w="1120" w:type="dxa"/>
                                  <w:tcBorders>
                                    <w:top w:val="nil"/>
                                    <w:left w:val="nil"/>
                                    <w:bottom w:val="nil"/>
                                    <w:right w:val="nil"/>
                                  </w:tcBorders>
                                  <w:shd w:val="clear" w:color="auto" w:fill="auto"/>
                                  <w:noWrap/>
                                  <w:vAlign w:val="bottom"/>
                                  <w:hideMark/>
                                </w:tcPr>
                                <w:p w14:paraId="21FEB81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0.42***</w:t>
                                  </w:r>
                                </w:p>
                              </w:tc>
                              <w:tc>
                                <w:tcPr>
                                  <w:tcW w:w="1120" w:type="dxa"/>
                                  <w:tcBorders>
                                    <w:top w:val="nil"/>
                                    <w:left w:val="nil"/>
                                    <w:bottom w:val="nil"/>
                                    <w:right w:val="nil"/>
                                  </w:tcBorders>
                                  <w:shd w:val="clear" w:color="auto" w:fill="auto"/>
                                  <w:noWrap/>
                                  <w:vAlign w:val="bottom"/>
                                  <w:hideMark/>
                                </w:tcPr>
                                <w:p w14:paraId="43E8D1EC"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0.29***</w:t>
                                  </w:r>
                                </w:p>
                              </w:tc>
                              <w:tc>
                                <w:tcPr>
                                  <w:tcW w:w="1120" w:type="dxa"/>
                                  <w:tcBorders>
                                    <w:top w:val="nil"/>
                                    <w:left w:val="nil"/>
                                    <w:bottom w:val="nil"/>
                                    <w:right w:val="nil"/>
                                  </w:tcBorders>
                                  <w:shd w:val="clear" w:color="auto" w:fill="auto"/>
                                  <w:noWrap/>
                                  <w:vAlign w:val="bottom"/>
                                  <w:hideMark/>
                                </w:tcPr>
                                <w:p w14:paraId="55CA31D6"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0.20</w:t>
                                  </w:r>
                                </w:p>
                              </w:tc>
                              <w:tc>
                                <w:tcPr>
                                  <w:tcW w:w="1120" w:type="dxa"/>
                                  <w:tcBorders>
                                    <w:top w:val="nil"/>
                                    <w:left w:val="nil"/>
                                    <w:bottom w:val="nil"/>
                                    <w:right w:val="nil"/>
                                  </w:tcBorders>
                                  <w:shd w:val="clear" w:color="auto" w:fill="auto"/>
                                  <w:noWrap/>
                                  <w:vAlign w:val="bottom"/>
                                  <w:hideMark/>
                                </w:tcPr>
                                <w:p w14:paraId="48E6B62F"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0.22</w:t>
                                  </w:r>
                                </w:p>
                              </w:tc>
                            </w:tr>
                            <w:tr w:rsidR="002C4F5D" w:rsidRPr="002C4F5D" w14:paraId="7A9FAC87" w14:textId="77777777" w:rsidTr="002C4F5D">
                              <w:trPr>
                                <w:trHeight w:val="255"/>
                              </w:trPr>
                              <w:tc>
                                <w:tcPr>
                                  <w:tcW w:w="3440" w:type="dxa"/>
                                  <w:tcBorders>
                                    <w:top w:val="nil"/>
                                    <w:left w:val="nil"/>
                                    <w:bottom w:val="nil"/>
                                    <w:right w:val="nil"/>
                                  </w:tcBorders>
                                  <w:shd w:val="clear" w:color="auto" w:fill="auto"/>
                                  <w:noWrap/>
                                  <w:vAlign w:val="bottom"/>
                                  <w:hideMark/>
                                </w:tcPr>
                                <w:p w14:paraId="409F3E5C"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38283806"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c>
                                <w:tcPr>
                                  <w:tcW w:w="1120" w:type="dxa"/>
                                  <w:tcBorders>
                                    <w:top w:val="nil"/>
                                    <w:left w:val="nil"/>
                                    <w:bottom w:val="nil"/>
                                    <w:right w:val="nil"/>
                                  </w:tcBorders>
                                  <w:shd w:val="clear" w:color="auto" w:fill="auto"/>
                                  <w:noWrap/>
                                  <w:vAlign w:val="bottom"/>
                                  <w:hideMark/>
                                </w:tcPr>
                                <w:p w14:paraId="79FA0788"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(0.08)</w:t>
                                  </w:r>
                                </w:p>
                              </w:tc>
                              <w:tc>
                                <w:tcPr>
                                  <w:tcW w:w="1120" w:type="dxa"/>
                                  <w:tcBorders>
                                    <w:top w:val="nil"/>
                                    <w:left w:val="nil"/>
                                    <w:bottom w:val="nil"/>
                                    <w:right w:val="nil"/>
                                  </w:tcBorders>
                                  <w:shd w:val="clear" w:color="auto" w:fill="auto"/>
                                  <w:noWrap/>
                                  <w:vAlign w:val="bottom"/>
                                  <w:hideMark/>
                                </w:tcPr>
                                <w:p w14:paraId="07FFE5F2"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(0.10)</w:t>
                                  </w:r>
                                </w:p>
                              </w:tc>
                              <w:tc>
                                <w:tcPr>
                                  <w:tcW w:w="1120" w:type="dxa"/>
                                  <w:tcBorders>
                                    <w:top w:val="nil"/>
                                    <w:left w:val="nil"/>
                                    <w:bottom w:val="nil"/>
                                    <w:right w:val="nil"/>
                                  </w:tcBorders>
                                  <w:shd w:val="clear" w:color="auto" w:fill="auto"/>
                                  <w:noWrap/>
                                  <w:vAlign w:val="bottom"/>
                                  <w:hideMark/>
                                </w:tcPr>
                                <w:p w14:paraId="7F251A00"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(0.16)</w:t>
                                  </w:r>
                                </w:p>
                              </w:tc>
                              <w:tc>
                                <w:tcPr>
                                  <w:tcW w:w="1120" w:type="dxa"/>
                                  <w:tcBorders>
                                    <w:top w:val="nil"/>
                                    <w:left w:val="nil"/>
                                    <w:bottom w:val="nil"/>
                                    <w:right w:val="nil"/>
                                  </w:tcBorders>
                                  <w:shd w:val="clear" w:color="auto" w:fill="auto"/>
                                  <w:noWrap/>
                                  <w:vAlign w:val="bottom"/>
                                  <w:hideMark/>
                                </w:tcPr>
                                <w:p w14:paraId="4D636ED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(0.18)</w:t>
                                  </w:r>
                                </w:p>
                              </w:tc>
                            </w:tr>
                            <w:tr w:rsidR="002C4F5D" w:rsidRPr="002C4F5D" w14:paraId="4EE35BC6" w14:textId="77777777" w:rsidTr="002C4F5D">
                              <w:trPr>
                                <w:trHeight w:val="255"/>
                              </w:trPr>
                              <w:tc>
                                <w:tcPr>
                                  <w:tcW w:w="3440" w:type="dxa"/>
                                  <w:tcBorders>
                                    <w:top w:val="nil"/>
                                    <w:left w:val="nil"/>
                                    <w:bottom w:val="nil"/>
                                    <w:right w:val="nil"/>
                                  </w:tcBorders>
                                  <w:shd w:val="clear" w:color="auto" w:fill="auto"/>
                                  <w:noWrap/>
                                  <w:vAlign w:val="bottom"/>
                                  <w:hideMark/>
                                </w:tcPr>
                                <w:p w14:paraId="5AAABE5D"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UE (unemployment-to-job rate)</w:t>
                                  </w:r>
                                </w:p>
                              </w:tc>
                              <w:tc>
                                <w:tcPr>
                                  <w:tcW w:w="1120" w:type="dxa"/>
                                  <w:tcBorders>
                                    <w:top w:val="nil"/>
                                    <w:left w:val="nil"/>
                                    <w:bottom w:val="nil"/>
                                    <w:right w:val="nil"/>
                                  </w:tcBorders>
                                  <w:shd w:val="clear" w:color="auto" w:fill="auto"/>
                                  <w:noWrap/>
                                  <w:vAlign w:val="bottom"/>
                                  <w:hideMark/>
                                </w:tcPr>
                                <w:p w14:paraId="6355D16C"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0.23***</w:t>
                                  </w:r>
                                </w:p>
                              </w:tc>
                              <w:tc>
                                <w:tcPr>
                                  <w:tcW w:w="1120" w:type="dxa"/>
                                  <w:tcBorders>
                                    <w:top w:val="nil"/>
                                    <w:left w:val="nil"/>
                                    <w:bottom w:val="nil"/>
                                    <w:right w:val="nil"/>
                                  </w:tcBorders>
                                  <w:shd w:val="clear" w:color="auto" w:fill="auto"/>
                                  <w:noWrap/>
                                  <w:vAlign w:val="bottom"/>
                                  <w:hideMark/>
                                </w:tcPr>
                                <w:p w14:paraId="6E4FFBB1"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0.17***</w:t>
                                  </w:r>
                                </w:p>
                              </w:tc>
                              <w:tc>
                                <w:tcPr>
                                  <w:tcW w:w="1120" w:type="dxa"/>
                                  <w:tcBorders>
                                    <w:top w:val="nil"/>
                                    <w:left w:val="nil"/>
                                    <w:bottom w:val="nil"/>
                                    <w:right w:val="nil"/>
                                  </w:tcBorders>
                                  <w:shd w:val="clear" w:color="auto" w:fill="auto"/>
                                  <w:noWrap/>
                                  <w:vAlign w:val="bottom"/>
                                  <w:hideMark/>
                                </w:tcPr>
                                <w:p w14:paraId="0D779EE1"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0.22***</w:t>
                                  </w:r>
                                </w:p>
                              </w:tc>
                              <w:tc>
                                <w:tcPr>
                                  <w:tcW w:w="1120" w:type="dxa"/>
                                  <w:tcBorders>
                                    <w:top w:val="nil"/>
                                    <w:left w:val="nil"/>
                                    <w:bottom w:val="nil"/>
                                    <w:right w:val="nil"/>
                                  </w:tcBorders>
                                  <w:shd w:val="clear" w:color="auto" w:fill="auto"/>
                                  <w:noWrap/>
                                  <w:vAlign w:val="bottom"/>
                                  <w:hideMark/>
                                </w:tcPr>
                                <w:p w14:paraId="4116CEA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0.24***</w:t>
                                  </w:r>
                                </w:p>
                              </w:tc>
                              <w:tc>
                                <w:tcPr>
                                  <w:tcW w:w="1120" w:type="dxa"/>
                                  <w:tcBorders>
                                    <w:top w:val="nil"/>
                                    <w:left w:val="nil"/>
                                    <w:bottom w:val="nil"/>
                                    <w:right w:val="nil"/>
                                  </w:tcBorders>
                                  <w:shd w:val="clear" w:color="auto" w:fill="auto"/>
                                  <w:noWrap/>
                                  <w:vAlign w:val="bottom"/>
                                  <w:hideMark/>
                                </w:tcPr>
                                <w:p w14:paraId="2303410D"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0.19***</w:t>
                                  </w:r>
                                </w:p>
                              </w:tc>
                            </w:tr>
                            <w:tr w:rsidR="002C4F5D" w:rsidRPr="002C4F5D" w14:paraId="4AFDE4B6" w14:textId="77777777" w:rsidTr="002C4F5D">
                              <w:trPr>
                                <w:trHeight w:val="255"/>
                              </w:trPr>
                              <w:tc>
                                <w:tcPr>
                                  <w:tcW w:w="3440" w:type="dxa"/>
                                  <w:tcBorders>
                                    <w:top w:val="nil"/>
                                    <w:left w:val="nil"/>
                                    <w:bottom w:val="nil"/>
                                    <w:right w:val="nil"/>
                                  </w:tcBorders>
                                  <w:shd w:val="clear" w:color="auto" w:fill="auto"/>
                                  <w:noWrap/>
                                  <w:vAlign w:val="bottom"/>
                                  <w:hideMark/>
                                </w:tcPr>
                                <w:p w14:paraId="0344A2C9"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7B25A30D"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(0.03)</w:t>
                                  </w:r>
                                </w:p>
                              </w:tc>
                              <w:tc>
                                <w:tcPr>
                                  <w:tcW w:w="1120" w:type="dxa"/>
                                  <w:tcBorders>
                                    <w:top w:val="nil"/>
                                    <w:left w:val="nil"/>
                                    <w:bottom w:val="nil"/>
                                    <w:right w:val="nil"/>
                                  </w:tcBorders>
                                  <w:shd w:val="clear" w:color="auto" w:fill="auto"/>
                                  <w:noWrap/>
                                  <w:vAlign w:val="bottom"/>
                                  <w:hideMark/>
                                </w:tcPr>
                                <w:p w14:paraId="6DED261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(0.04)</w:t>
                                  </w:r>
                                </w:p>
                              </w:tc>
                              <w:tc>
                                <w:tcPr>
                                  <w:tcW w:w="1120" w:type="dxa"/>
                                  <w:tcBorders>
                                    <w:top w:val="nil"/>
                                    <w:left w:val="nil"/>
                                    <w:bottom w:val="nil"/>
                                    <w:right w:val="nil"/>
                                  </w:tcBorders>
                                  <w:shd w:val="clear" w:color="auto" w:fill="auto"/>
                                  <w:noWrap/>
                                  <w:vAlign w:val="bottom"/>
                                  <w:hideMark/>
                                </w:tcPr>
                                <w:p w14:paraId="3DDBB872"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(0.04)</w:t>
                                  </w:r>
                                </w:p>
                              </w:tc>
                              <w:tc>
                                <w:tcPr>
                                  <w:tcW w:w="1120" w:type="dxa"/>
                                  <w:tcBorders>
                                    <w:top w:val="nil"/>
                                    <w:left w:val="nil"/>
                                    <w:bottom w:val="nil"/>
                                    <w:right w:val="nil"/>
                                  </w:tcBorders>
                                  <w:shd w:val="clear" w:color="auto" w:fill="auto"/>
                                  <w:noWrap/>
                                  <w:vAlign w:val="bottom"/>
                                  <w:hideMark/>
                                </w:tcPr>
                                <w:p w14:paraId="313FB0C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(0.05)</w:t>
                                  </w:r>
                                </w:p>
                              </w:tc>
                              <w:tc>
                                <w:tcPr>
                                  <w:tcW w:w="1120" w:type="dxa"/>
                                  <w:tcBorders>
                                    <w:top w:val="nil"/>
                                    <w:left w:val="nil"/>
                                    <w:bottom w:val="nil"/>
                                    <w:right w:val="nil"/>
                                  </w:tcBorders>
                                  <w:shd w:val="clear" w:color="auto" w:fill="auto"/>
                                  <w:noWrap/>
                                  <w:vAlign w:val="bottom"/>
                                  <w:hideMark/>
                                </w:tcPr>
                                <w:p w14:paraId="736D811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r>
                            <w:tr w:rsidR="002C4F5D" w:rsidRPr="002C4F5D" w14:paraId="079D58F3" w14:textId="77777777" w:rsidTr="002C4F5D">
                              <w:trPr>
                                <w:trHeight w:val="255"/>
                              </w:trPr>
                              <w:tc>
                                <w:tcPr>
                                  <w:tcW w:w="3440" w:type="dxa"/>
                                  <w:tcBorders>
                                    <w:top w:val="nil"/>
                                    <w:left w:val="nil"/>
                                    <w:bottom w:val="nil"/>
                                    <w:right w:val="nil"/>
                                  </w:tcBorders>
                                  <w:shd w:val="clear" w:color="auto" w:fill="auto"/>
                                  <w:noWrap/>
                                  <w:vAlign w:val="bottom"/>
                                  <w:hideMark/>
                                </w:tcPr>
                                <w:p w14:paraId="093BEB1E" w14:textId="77777777" w:rsidR="002C4F5D" w:rsidRPr="002C4F5D" w:rsidRDefault="002C4F5D" w:rsidP="002C4F5D">
                                  <w:pPr>
                                    <w:spacing w:after="0"/>
                                    <w:rPr>
                                      <w:rFonts w:ascii="Arial" w:eastAsia="Times New Roman" w:hAnsi="Arial" w:cs="Arial"/>
                                      <w:i/>
                                      <w:iCs/>
                                      <w:color w:val="000000"/>
                                      <w:sz w:val="20"/>
                                      <w:szCs w:val="20"/>
                                      <w:lang w:eastAsia="en-AU"/>
                                    </w:rPr>
                                  </w:pPr>
                                  <w:r w:rsidRPr="002C4F5D">
                                    <w:rPr>
                                      <w:rFonts w:ascii="Arial" w:eastAsia="Times New Roman" w:hAnsi="Arial" w:cs="Arial"/>
                                      <w:i/>
                                      <w:iCs/>
                                      <w:color w:val="000000"/>
                                      <w:sz w:val="20"/>
                                      <w:szCs w:val="20"/>
                                      <w:lang w:eastAsia="en-AU"/>
                                    </w:rPr>
                                    <w:t>Panel D: Pre 2010-11</w:t>
                                  </w:r>
                                </w:p>
                              </w:tc>
                              <w:tc>
                                <w:tcPr>
                                  <w:tcW w:w="1120" w:type="dxa"/>
                                  <w:tcBorders>
                                    <w:top w:val="nil"/>
                                    <w:left w:val="nil"/>
                                    <w:bottom w:val="nil"/>
                                    <w:right w:val="nil"/>
                                  </w:tcBorders>
                                  <w:shd w:val="clear" w:color="auto" w:fill="auto"/>
                                  <w:noWrap/>
                                  <w:vAlign w:val="bottom"/>
                                  <w:hideMark/>
                                </w:tcPr>
                                <w:p w14:paraId="5AB79EEF" w14:textId="77777777" w:rsidR="002C4F5D" w:rsidRPr="002C4F5D" w:rsidRDefault="002C4F5D" w:rsidP="002C4F5D">
                                  <w:pPr>
                                    <w:spacing w:after="0"/>
                                    <w:rPr>
                                      <w:rFonts w:ascii="Arial" w:eastAsia="Times New Roman" w:hAnsi="Arial" w:cs="Arial"/>
                                      <w:i/>
                                      <w:iCs/>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51592A23"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64B26F75"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2C6AC72D"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1767E3DD"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r>
                            <w:tr w:rsidR="002C4F5D" w:rsidRPr="002C4F5D" w14:paraId="750AF99B" w14:textId="77777777" w:rsidTr="002C4F5D">
                              <w:trPr>
                                <w:trHeight w:val="255"/>
                              </w:trPr>
                              <w:tc>
                                <w:tcPr>
                                  <w:tcW w:w="3440" w:type="dxa"/>
                                  <w:tcBorders>
                                    <w:top w:val="nil"/>
                                    <w:left w:val="nil"/>
                                    <w:bottom w:val="nil"/>
                                    <w:right w:val="nil"/>
                                  </w:tcBorders>
                                  <w:shd w:val="clear" w:color="auto" w:fill="auto"/>
                                  <w:noWrap/>
                                  <w:vAlign w:val="bottom"/>
                                  <w:hideMark/>
                                </w:tcPr>
                                <w:p w14:paraId="3A6A1694"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EE (job-to-job) rate</w:t>
                                  </w:r>
                                </w:p>
                              </w:tc>
                              <w:tc>
                                <w:tcPr>
                                  <w:tcW w:w="1120" w:type="dxa"/>
                                  <w:tcBorders>
                                    <w:top w:val="nil"/>
                                    <w:left w:val="nil"/>
                                    <w:bottom w:val="nil"/>
                                    <w:right w:val="nil"/>
                                  </w:tcBorders>
                                  <w:shd w:val="clear" w:color="auto" w:fill="auto"/>
                                  <w:noWrap/>
                                  <w:vAlign w:val="bottom"/>
                                  <w:hideMark/>
                                </w:tcPr>
                                <w:p w14:paraId="12F0FD5E"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0.63***</w:t>
                                  </w:r>
                                </w:p>
                              </w:tc>
                              <w:tc>
                                <w:tcPr>
                                  <w:tcW w:w="1120" w:type="dxa"/>
                                  <w:tcBorders>
                                    <w:top w:val="nil"/>
                                    <w:left w:val="nil"/>
                                    <w:bottom w:val="nil"/>
                                    <w:right w:val="nil"/>
                                  </w:tcBorders>
                                  <w:shd w:val="clear" w:color="auto" w:fill="auto"/>
                                  <w:noWrap/>
                                  <w:vAlign w:val="bottom"/>
                                  <w:hideMark/>
                                </w:tcPr>
                                <w:p w14:paraId="4234AB3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0.47**</w:t>
                                  </w:r>
                                </w:p>
                              </w:tc>
                              <w:tc>
                                <w:tcPr>
                                  <w:tcW w:w="1120" w:type="dxa"/>
                                  <w:tcBorders>
                                    <w:top w:val="nil"/>
                                    <w:left w:val="nil"/>
                                    <w:bottom w:val="nil"/>
                                    <w:right w:val="nil"/>
                                  </w:tcBorders>
                                  <w:shd w:val="clear" w:color="auto" w:fill="auto"/>
                                  <w:noWrap/>
                                  <w:vAlign w:val="bottom"/>
                                  <w:hideMark/>
                                </w:tcPr>
                                <w:p w14:paraId="7998E299"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0.99***</w:t>
                                  </w:r>
                                </w:p>
                              </w:tc>
                              <w:tc>
                                <w:tcPr>
                                  <w:tcW w:w="1120" w:type="dxa"/>
                                  <w:tcBorders>
                                    <w:top w:val="nil"/>
                                    <w:left w:val="nil"/>
                                    <w:bottom w:val="nil"/>
                                    <w:right w:val="nil"/>
                                  </w:tcBorders>
                                  <w:shd w:val="clear" w:color="auto" w:fill="auto"/>
                                  <w:noWrap/>
                                  <w:vAlign w:val="bottom"/>
                                  <w:hideMark/>
                                </w:tcPr>
                                <w:p w14:paraId="7939F952"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0.80***</w:t>
                                  </w:r>
                                </w:p>
                              </w:tc>
                              <w:tc>
                                <w:tcPr>
                                  <w:tcW w:w="1120" w:type="dxa"/>
                                  <w:tcBorders>
                                    <w:top w:val="nil"/>
                                    <w:left w:val="nil"/>
                                    <w:bottom w:val="nil"/>
                                    <w:right w:val="nil"/>
                                  </w:tcBorders>
                                  <w:shd w:val="clear" w:color="auto" w:fill="auto"/>
                                  <w:noWrap/>
                                  <w:vAlign w:val="bottom"/>
                                  <w:hideMark/>
                                </w:tcPr>
                                <w:p w14:paraId="401EB4CD"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0.29</w:t>
                                  </w:r>
                                </w:p>
                              </w:tc>
                            </w:tr>
                            <w:tr w:rsidR="002C4F5D" w:rsidRPr="002C4F5D" w14:paraId="45575079" w14:textId="77777777" w:rsidTr="002C4F5D">
                              <w:trPr>
                                <w:trHeight w:val="255"/>
                              </w:trPr>
                              <w:tc>
                                <w:tcPr>
                                  <w:tcW w:w="3440" w:type="dxa"/>
                                  <w:tcBorders>
                                    <w:top w:val="nil"/>
                                    <w:left w:val="nil"/>
                                    <w:bottom w:val="nil"/>
                                    <w:right w:val="nil"/>
                                  </w:tcBorders>
                                  <w:shd w:val="clear" w:color="auto" w:fill="auto"/>
                                  <w:noWrap/>
                                  <w:vAlign w:val="bottom"/>
                                  <w:hideMark/>
                                </w:tcPr>
                                <w:p w14:paraId="4116A70B"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1D13350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(0.14)</w:t>
                                  </w:r>
                                </w:p>
                              </w:tc>
                              <w:tc>
                                <w:tcPr>
                                  <w:tcW w:w="1120" w:type="dxa"/>
                                  <w:tcBorders>
                                    <w:top w:val="nil"/>
                                    <w:left w:val="nil"/>
                                    <w:bottom w:val="nil"/>
                                    <w:right w:val="nil"/>
                                  </w:tcBorders>
                                  <w:shd w:val="clear" w:color="auto" w:fill="auto"/>
                                  <w:noWrap/>
                                  <w:vAlign w:val="bottom"/>
                                  <w:hideMark/>
                                </w:tcPr>
                                <w:p w14:paraId="04E613D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(0.23)</w:t>
                                  </w:r>
                                </w:p>
                              </w:tc>
                              <w:tc>
                                <w:tcPr>
                                  <w:tcW w:w="1120" w:type="dxa"/>
                                  <w:tcBorders>
                                    <w:top w:val="nil"/>
                                    <w:left w:val="nil"/>
                                    <w:bottom w:val="nil"/>
                                    <w:right w:val="nil"/>
                                  </w:tcBorders>
                                  <w:shd w:val="clear" w:color="auto" w:fill="auto"/>
                                  <w:noWrap/>
                                  <w:vAlign w:val="bottom"/>
                                  <w:hideMark/>
                                </w:tcPr>
                                <w:p w14:paraId="09936E08"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(0.18)</w:t>
                                  </w:r>
                                </w:p>
                              </w:tc>
                              <w:tc>
                                <w:tcPr>
                                  <w:tcW w:w="1120" w:type="dxa"/>
                                  <w:tcBorders>
                                    <w:top w:val="nil"/>
                                    <w:left w:val="nil"/>
                                    <w:bottom w:val="nil"/>
                                    <w:right w:val="nil"/>
                                  </w:tcBorders>
                                  <w:shd w:val="clear" w:color="auto" w:fill="auto"/>
                                  <w:noWrap/>
                                  <w:vAlign w:val="bottom"/>
                                  <w:hideMark/>
                                </w:tcPr>
                                <w:p w14:paraId="77F0DD5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(0.29)</w:t>
                                  </w:r>
                                </w:p>
                              </w:tc>
                              <w:tc>
                                <w:tcPr>
                                  <w:tcW w:w="1120" w:type="dxa"/>
                                  <w:tcBorders>
                                    <w:top w:val="nil"/>
                                    <w:left w:val="nil"/>
                                    <w:bottom w:val="nil"/>
                                    <w:right w:val="nil"/>
                                  </w:tcBorders>
                                  <w:shd w:val="clear" w:color="auto" w:fill="auto"/>
                                  <w:noWrap/>
                                  <w:vAlign w:val="bottom"/>
                                  <w:hideMark/>
                                </w:tcPr>
                                <w:p w14:paraId="6E68CB9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(0.29)</w:t>
                                  </w:r>
                                </w:p>
                              </w:tc>
                            </w:tr>
                            <w:tr w:rsidR="002C4F5D" w:rsidRPr="002C4F5D" w14:paraId="6D9ACFA7" w14:textId="77777777" w:rsidTr="002C4F5D">
                              <w:trPr>
                                <w:trHeight w:val="255"/>
                              </w:trPr>
                              <w:tc>
                                <w:tcPr>
                                  <w:tcW w:w="3440" w:type="dxa"/>
                                  <w:tcBorders>
                                    <w:top w:val="nil"/>
                                    <w:left w:val="nil"/>
                                    <w:bottom w:val="nil"/>
                                    <w:right w:val="nil"/>
                                  </w:tcBorders>
                                  <w:shd w:val="clear" w:color="auto" w:fill="auto"/>
                                  <w:noWrap/>
                                  <w:vAlign w:val="bottom"/>
                                  <w:hideMark/>
                                </w:tcPr>
                                <w:p w14:paraId="41B70C19"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UE (unemployment-to-job rate)</w:t>
                                  </w:r>
                                </w:p>
                              </w:tc>
                              <w:tc>
                                <w:tcPr>
                                  <w:tcW w:w="1120" w:type="dxa"/>
                                  <w:tcBorders>
                                    <w:top w:val="nil"/>
                                    <w:left w:val="nil"/>
                                    <w:bottom w:val="nil"/>
                                    <w:right w:val="nil"/>
                                  </w:tcBorders>
                                  <w:shd w:val="clear" w:color="auto" w:fill="auto"/>
                                  <w:noWrap/>
                                  <w:vAlign w:val="bottom"/>
                                  <w:hideMark/>
                                </w:tcPr>
                                <w:p w14:paraId="2657E24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0.04</w:t>
                                  </w:r>
                                </w:p>
                              </w:tc>
                              <w:tc>
                                <w:tcPr>
                                  <w:tcW w:w="1120" w:type="dxa"/>
                                  <w:tcBorders>
                                    <w:top w:val="nil"/>
                                    <w:left w:val="nil"/>
                                    <w:bottom w:val="nil"/>
                                    <w:right w:val="nil"/>
                                  </w:tcBorders>
                                  <w:shd w:val="clear" w:color="auto" w:fill="auto"/>
                                  <w:noWrap/>
                                  <w:vAlign w:val="bottom"/>
                                  <w:hideMark/>
                                </w:tcPr>
                                <w:p w14:paraId="1490139D"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0.10</w:t>
                                  </w:r>
                                </w:p>
                              </w:tc>
                              <w:tc>
                                <w:tcPr>
                                  <w:tcW w:w="1120" w:type="dxa"/>
                                  <w:tcBorders>
                                    <w:top w:val="nil"/>
                                    <w:left w:val="nil"/>
                                    <w:bottom w:val="nil"/>
                                    <w:right w:val="nil"/>
                                  </w:tcBorders>
                                  <w:shd w:val="clear" w:color="auto" w:fill="auto"/>
                                  <w:noWrap/>
                                  <w:vAlign w:val="bottom"/>
                                  <w:hideMark/>
                                </w:tcPr>
                                <w:p w14:paraId="764D176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c>
                                <w:tcPr>
                                  <w:tcW w:w="1120" w:type="dxa"/>
                                  <w:tcBorders>
                                    <w:top w:val="nil"/>
                                    <w:left w:val="nil"/>
                                    <w:bottom w:val="nil"/>
                                    <w:right w:val="nil"/>
                                  </w:tcBorders>
                                  <w:shd w:val="clear" w:color="auto" w:fill="auto"/>
                                  <w:noWrap/>
                                  <w:vAlign w:val="bottom"/>
                                  <w:hideMark/>
                                </w:tcPr>
                                <w:p w14:paraId="068761B9"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-0.03</w:t>
                                  </w:r>
                                </w:p>
                              </w:tc>
                              <w:tc>
                                <w:tcPr>
                                  <w:tcW w:w="1120" w:type="dxa"/>
                                  <w:tcBorders>
                                    <w:top w:val="nil"/>
                                    <w:left w:val="nil"/>
                                    <w:bottom w:val="nil"/>
                                    <w:right w:val="nil"/>
                                  </w:tcBorders>
                                  <w:shd w:val="clear" w:color="auto" w:fill="auto"/>
                                  <w:noWrap/>
                                  <w:vAlign w:val="bottom"/>
                                  <w:hideMark/>
                                </w:tcPr>
                                <w:p w14:paraId="12BCBC91"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0.03</w:t>
                                  </w:r>
                                </w:p>
                              </w:tc>
                            </w:tr>
                            <w:tr w:rsidR="002C4F5D" w:rsidRPr="002C4F5D" w14:paraId="588C9B71" w14:textId="77777777" w:rsidTr="002C4F5D">
                              <w:trPr>
                                <w:trHeight w:val="255"/>
                              </w:trPr>
                              <w:tc>
                                <w:tcPr>
                                  <w:tcW w:w="3440" w:type="dxa"/>
                                  <w:tcBorders>
                                    <w:top w:val="nil"/>
                                    <w:left w:val="nil"/>
                                    <w:bottom w:val="nil"/>
                                    <w:right w:val="nil"/>
                                  </w:tcBorders>
                                  <w:shd w:val="clear" w:color="auto" w:fill="auto"/>
                                  <w:noWrap/>
                                  <w:vAlign w:val="bottom"/>
                                  <w:hideMark/>
                                </w:tcPr>
                                <w:p w14:paraId="671D36B9"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66C93730"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(0.05)</w:t>
                                  </w:r>
                                </w:p>
                              </w:tc>
                              <w:tc>
                                <w:tcPr>
                                  <w:tcW w:w="1120" w:type="dxa"/>
                                  <w:tcBorders>
                                    <w:top w:val="nil"/>
                                    <w:left w:val="nil"/>
                                    <w:bottom w:val="nil"/>
                                    <w:right w:val="nil"/>
                                  </w:tcBorders>
                                  <w:shd w:val="clear" w:color="auto" w:fill="auto"/>
                                  <w:noWrap/>
                                  <w:vAlign w:val="bottom"/>
                                  <w:hideMark/>
                                </w:tcPr>
                                <w:p w14:paraId="5057206D"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c>
                                <w:tcPr>
                                  <w:tcW w:w="1120" w:type="dxa"/>
                                  <w:tcBorders>
                                    <w:top w:val="nil"/>
                                    <w:left w:val="nil"/>
                                    <w:bottom w:val="nil"/>
                                    <w:right w:val="nil"/>
                                  </w:tcBorders>
                                  <w:shd w:val="clear" w:color="auto" w:fill="auto"/>
                                  <w:noWrap/>
                                  <w:vAlign w:val="bottom"/>
                                  <w:hideMark/>
                                </w:tcPr>
                                <w:p w14:paraId="3983D65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c>
                                <w:tcPr>
                                  <w:tcW w:w="1120" w:type="dxa"/>
                                  <w:tcBorders>
                                    <w:top w:val="nil"/>
                                    <w:left w:val="nil"/>
                                    <w:bottom w:val="nil"/>
                                    <w:right w:val="nil"/>
                                  </w:tcBorders>
                                  <w:shd w:val="clear" w:color="auto" w:fill="auto"/>
                                  <w:noWrap/>
                                  <w:vAlign w:val="bottom"/>
                                  <w:hideMark/>
                                </w:tcPr>
                                <w:p w14:paraId="11C2417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(0.08)</w:t>
                                  </w:r>
                                </w:p>
                              </w:tc>
                              <w:tc>
                                <w:tcPr>
                                  <w:tcW w:w="1120" w:type="dxa"/>
                                  <w:tcBorders>
                                    <w:top w:val="nil"/>
                                    <w:left w:val="nil"/>
                                    <w:bottom w:val="nil"/>
                                    <w:right w:val="nil"/>
                                  </w:tcBorders>
                                  <w:shd w:val="clear" w:color="auto" w:fill="auto"/>
                                  <w:noWrap/>
                                  <w:vAlign w:val="bottom"/>
                                  <w:hideMark/>
                                </w:tcPr>
                                <w:p w14:paraId="645629C0"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(0.07)</w:t>
                                  </w:r>
                                </w:p>
                              </w:tc>
                            </w:tr>
                            <w:tr w:rsidR="002C4F5D" w:rsidRPr="002C4F5D" w14:paraId="628EAC56" w14:textId="77777777" w:rsidTr="002C4F5D">
                              <w:trPr>
                                <w:trHeight w:val="255"/>
                              </w:trPr>
                              <w:tc>
                                <w:tcPr>
                                  <w:tcW w:w="3440" w:type="dxa"/>
                                  <w:tcBorders>
                                    <w:top w:val="nil"/>
                                    <w:left w:val="nil"/>
                                    <w:bottom w:val="single" w:sz="4" w:space="0" w:color="auto"/>
                                    <w:right w:val="nil"/>
                                  </w:tcBorders>
                                  <w:shd w:val="clear" w:color="auto" w:fill="auto"/>
                                  <w:noWrap/>
                                  <w:vAlign w:val="bottom"/>
                                  <w:hideMark/>
                                </w:tcPr>
                                <w:p w14:paraId="25341F16" w14:textId="77777777" w:rsidR="002C4F5D" w:rsidRPr="002C4F5D" w:rsidRDefault="002C4F5D" w:rsidP="002C4F5D">
                                  <w:pPr>
                                    <w:spacing w:after="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nil"/>
                                    <w:left w:val="nil"/>
                                    <w:bottom w:val="single" w:sz="4" w:space="0" w:color="auto"/>
                                    <w:right w:val="nil"/>
                                  </w:tcBorders>
                                  <w:shd w:val="clear" w:color="auto" w:fill="auto"/>
                                  <w:noWrap/>
                                  <w:vAlign w:val="bottom"/>
                                  <w:hideMark/>
                                </w:tcPr>
                                <w:p w14:paraId="5B994B1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nil"/>
                                    <w:left w:val="nil"/>
                                    <w:bottom w:val="single" w:sz="4" w:space="0" w:color="auto"/>
                                    <w:right w:val="nil"/>
                                  </w:tcBorders>
                                  <w:shd w:val="clear" w:color="auto" w:fill="auto"/>
                                  <w:noWrap/>
                                  <w:vAlign w:val="bottom"/>
                                  <w:hideMark/>
                                </w:tcPr>
                                <w:p w14:paraId="22E2586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nil"/>
                                    <w:left w:val="nil"/>
                                    <w:bottom w:val="single" w:sz="4" w:space="0" w:color="auto"/>
                                    <w:right w:val="nil"/>
                                  </w:tcBorders>
                                  <w:shd w:val="clear" w:color="auto" w:fill="auto"/>
                                  <w:noWrap/>
                                  <w:vAlign w:val="bottom"/>
                                  <w:hideMark/>
                                </w:tcPr>
                                <w:p w14:paraId="6065E68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nil"/>
                                    <w:left w:val="nil"/>
                                    <w:bottom w:val="single" w:sz="4" w:space="0" w:color="auto"/>
                                    <w:right w:val="nil"/>
                                  </w:tcBorders>
                                  <w:shd w:val="clear" w:color="auto" w:fill="auto"/>
                                  <w:noWrap/>
                                  <w:vAlign w:val="bottom"/>
                                  <w:hideMark/>
                                </w:tcPr>
                                <w:p w14:paraId="40494F43"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nil"/>
                                    <w:left w:val="nil"/>
                                    <w:bottom w:val="single" w:sz="4" w:space="0" w:color="auto"/>
                                    <w:right w:val="nil"/>
                                  </w:tcBorders>
                                  <w:shd w:val="clear" w:color="auto" w:fill="auto"/>
                                  <w:noWrap/>
                                  <w:vAlign w:val="bottom"/>
                                  <w:hideMark/>
                                </w:tcPr>
                                <w:p w14:paraId="57729A1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r>
                            <w:tr w:rsidR="002C4F5D" w:rsidRPr="002C4F5D" w14:paraId="6218F43B" w14:textId="77777777" w:rsidTr="002C4F5D">
                              <w:trPr>
                                <w:trHeight w:val="255"/>
                              </w:trPr>
                              <w:tc>
                                <w:tcPr>
                                  <w:tcW w:w="3440" w:type="dxa"/>
                                  <w:tcBorders>
                                    <w:top w:val="nil"/>
                                    <w:left w:val="nil"/>
                                    <w:bottom w:val="nil"/>
                                    <w:right w:val="nil"/>
                                  </w:tcBorders>
                                  <w:shd w:val="clear" w:color="auto" w:fill="auto"/>
                                  <w:noWrap/>
                                  <w:vAlign w:val="bottom"/>
                                  <w:hideMark/>
                                </w:tcPr>
                                <w:p w14:paraId="167657BB" w14:textId="77777777" w:rsidR="002C4F5D" w:rsidRPr="002C4F5D" w:rsidRDefault="002C4F5D" w:rsidP="002C4F5D">
                                  <w:pPr>
                                    <w:spacing w:after="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Specification details</w:t>
                                  </w:r>
                                </w:p>
                              </w:tc>
                              <w:tc>
                                <w:tcPr>
                                  <w:tcW w:w="1120" w:type="dxa"/>
                                  <w:tcBorders>
                                    <w:top w:val="nil"/>
                                    <w:left w:val="nil"/>
                                    <w:bottom w:val="nil"/>
                                    <w:right w:val="nil"/>
                                  </w:tcBorders>
                                  <w:shd w:val="clear" w:color="auto" w:fill="auto"/>
                                  <w:noWrap/>
                                  <w:vAlign w:val="bottom"/>
                                  <w:hideMark/>
                                </w:tcPr>
                                <w:p w14:paraId="55105768" w14:textId="77777777" w:rsidR="002C4F5D" w:rsidRPr="002C4F5D" w:rsidRDefault="002C4F5D" w:rsidP="002C4F5D">
                                  <w:pPr>
                                    <w:spacing w:after="0"/>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6EF60CA4"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704FE3F0"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43E871D6"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4763FE20"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r>
                            <w:tr w:rsidR="002C4F5D" w:rsidRPr="002C4F5D" w14:paraId="3C90EDE9" w14:textId="77777777" w:rsidTr="002C4F5D">
                              <w:trPr>
                                <w:trHeight w:val="255"/>
                              </w:trPr>
                              <w:tc>
                                <w:tcPr>
                                  <w:tcW w:w="3440" w:type="dxa"/>
                                  <w:tcBorders>
                                    <w:top w:val="nil"/>
                                    <w:left w:val="nil"/>
                                    <w:bottom w:val="nil"/>
                                    <w:right w:val="nil"/>
                                  </w:tcBorders>
                                  <w:shd w:val="clear" w:color="auto" w:fill="auto"/>
                                  <w:noWrap/>
                                  <w:vAlign w:val="bottom"/>
                                  <w:hideMark/>
                                </w:tcPr>
                                <w:p w14:paraId="725E56C5"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Year fixed effect</w:t>
                                  </w:r>
                                </w:p>
                              </w:tc>
                              <w:tc>
                                <w:tcPr>
                                  <w:tcW w:w="1120" w:type="dxa"/>
                                  <w:tcBorders>
                                    <w:top w:val="nil"/>
                                    <w:left w:val="nil"/>
                                    <w:bottom w:val="nil"/>
                                    <w:right w:val="nil"/>
                                  </w:tcBorders>
                                  <w:shd w:val="clear" w:color="auto" w:fill="auto"/>
                                  <w:noWrap/>
                                  <w:vAlign w:val="bottom"/>
                                  <w:hideMark/>
                                </w:tcPr>
                                <w:p w14:paraId="2833AD8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619474CC"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175199C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3084BE02"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6F7A295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r>
                            <w:tr w:rsidR="002C4F5D" w:rsidRPr="002C4F5D" w14:paraId="13AA9AAB" w14:textId="77777777" w:rsidTr="002C4F5D">
                              <w:trPr>
                                <w:trHeight w:val="255"/>
                              </w:trPr>
                              <w:tc>
                                <w:tcPr>
                                  <w:tcW w:w="3440" w:type="dxa"/>
                                  <w:tcBorders>
                                    <w:top w:val="nil"/>
                                    <w:left w:val="nil"/>
                                    <w:bottom w:val="nil"/>
                                    <w:right w:val="nil"/>
                                  </w:tcBorders>
                                  <w:shd w:val="clear" w:color="auto" w:fill="auto"/>
                                  <w:noWrap/>
                                  <w:vAlign w:val="bottom"/>
                                  <w:hideMark/>
                                </w:tcPr>
                                <w:p w14:paraId="1F03CE80"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SA4 fixed effect</w:t>
                                  </w:r>
                                </w:p>
                              </w:tc>
                              <w:tc>
                                <w:tcPr>
                                  <w:tcW w:w="1120" w:type="dxa"/>
                                  <w:tcBorders>
                                    <w:top w:val="nil"/>
                                    <w:left w:val="nil"/>
                                    <w:bottom w:val="nil"/>
                                    <w:right w:val="nil"/>
                                  </w:tcBorders>
                                  <w:shd w:val="clear" w:color="auto" w:fill="auto"/>
                                  <w:noWrap/>
                                  <w:vAlign w:val="bottom"/>
                                  <w:hideMark/>
                                </w:tcPr>
                                <w:p w14:paraId="7015C99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0EE3451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3FDEC68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6073A301"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4F41356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r>
                            <w:tr w:rsidR="002C4F5D" w:rsidRPr="002C4F5D" w14:paraId="044D2143" w14:textId="77777777" w:rsidTr="002C4F5D">
                              <w:trPr>
                                <w:trHeight w:val="255"/>
                              </w:trPr>
                              <w:tc>
                                <w:tcPr>
                                  <w:tcW w:w="3440" w:type="dxa"/>
                                  <w:tcBorders>
                                    <w:top w:val="nil"/>
                                    <w:left w:val="nil"/>
                                    <w:bottom w:val="nil"/>
                                    <w:right w:val="nil"/>
                                  </w:tcBorders>
                                  <w:shd w:val="clear" w:color="auto" w:fill="auto"/>
                                  <w:noWrap/>
                                  <w:vAlign w:val="bottom"/>
                                  <w:hideMark/>
                                </w:tcPr>
                                <w:p w14:paraId="12FC5B54"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SA4 trend</w:t>
                                  </w:r>
                                </w:p>
                              </w:tc>
                              <w:tc>
                                <w:tcPr>
                                  <w:tcW w:w="1120" w:type="dxa"/>
                                  <w:tcBorders>
                                    <w:top w:val="nil"/>
                                    <w:left w:val="nil"/>
                                    <w:bottom w:val="nil"/>
                                    <w:right w:val="nil"/>
                                  </w:tcBorders>
                                  <w:shd w:val="clear" w:color="auto" w:fill="auto"/>
                                  <w:noWrap/>
                                  <w:vAlign w:val="bottom"/>
                                  <w:hideMark/>
                                </w:tcPr>
                                <w:p w14:paraId="76486ABF"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53341B4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1107FA78"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7A20887C"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4D20F468"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r>
                            <w:tr w:rsidR="002C4F5D" w:rsidRPr="002C4F5D" w14:paraId="20F5CA75" w14:textId="77777777" w:rsidTr="002C4F5D">
                              <w:trPr>
                                <w:trHeight w:val="255"/>
                              </w:trPr>
                              <w:tc>
                                <w:tcPr>
                                  <w:tcW w:w="3440" w:type="dxa"/>
                                  <w:tcBorders>
                                    <w:top w:val="nil"/>
                                    <w:left w:val="nil"/>
                                    <w:bottom w:val="nil"/>
                                    <w:right w:val="nil"/>
                                  </w:tcBorders>
                                  <w:shd w:val="clear" w:color="auto" w:fill="auto"/>
                                  <w:noWrap/>
                                  <w:vAlign w:val="bottom"/>
                                  <w:hideMark/>
                                </w:tcPr>
                                <w:p w14:paraId="1E01B4E6"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xml:space="preserve">State X Year fixed effect </w:t>
                                  </w:r>
                                </w:p>
                              </w:tc>
                              <w:tc>
                                <w:tcPr>
                                  <w:tcW w:w="1120" w:type="dxa"/>
                                  <w:tcBorders>
                                    <w:top w:val="nil"/>
                                    <w:left w:val="nil"/>
                                    <w:bottom w:val="nil"/>
                                    <w:right w:val="nil"/>
                                  </w:tcBorders>
                                  <w:shd w:val="clear" w:color="auto" w:fill="auto"/>
                                  <w:noWrap/>
                                  <w:vAlign w:val="bottom"/>
                                  <w:hideMark/>
                                </w:tcPr>
                                <w:p w14:paraId="42859FD1"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1B50DA9D"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07DF69A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20E5742E"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1DA6BEE3"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r>
                            <w:tr w:rsidR="002C4F5D" w:rsidRPr="002C4F5D" w14:paraId="5E02A96D" w14:textId="77777777" w:rsidTr="002C4F5D">
                              <w:trPr>
                                <w:trHeight w:val="270"/>
                              </w:trPr>
                              <w:tc>
                                <w:tcPr>
                                  <w:tcW w:w="3440" w:type="dxa"/>
                                  <w:tcBorders>
                                    <w:top w:val="nil"/>
                                    <w:left w:val="nil"/>
                                    <w:bottom w:val="double" w:sz="6" w:space="0" w:color="auto"/>
                                    <w:right w:val="nil"/>
                                  </w:tcBorders>
                                  <w:shd w:val="clear" w:color="auto" w:fill="auto"/>
                                  <w:noWrap/>
                                  <w:vAlign w:val="bottom"/>
                                  <w:hideMark/>
                                </w:tcPr>
                                <w:p w14:paraId="1064A2A1"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SA4 time varying controls</w:t>
                                  </w:r>
                                </w:p>
                              </w:tc>
                              <w:tc>
                                <w:tcPr>
                                  <w:tcW w:w="1120" w:type="dxa"/>
                                  <w:tcBorders>
                                    <w:top w:val="nil"/>
                                    <w:left w:val="nil"/>
                                    <w:bottom w:val="double" w:sz="6" w:space="0" w:color="auto"/>
                                    <w:right w:val="nil"/>
                                  </w:tcBorders>
                                  <w:shd w:val="clear" w:color="auto" w:fill="auto"/>
                                  <w:noWrap/>
                                  <w:vAlign w:val="bottom"/>
                                  <w:hideMark/>
                                </w:tcPr>
                                <w:p w14:paraId="7FBFAFD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nil"/>
                                    <w:left w:val="nil"/>
                                    <w:bottom w:val="double" w:sz="6" w:space="0" w:color="auto"/>
                                    <w:right w:val="nil"/>
                                  </w:tcBorders>
                                  <w:shd w:val="clear" w:color="auto" w:fill="auto"/>
                                  <w:noWrap/>
                                  <w:vAlign w:val="bottom"/>
                                  <w:hideMark/>
                                </w:tcPr>
                                <w:p w14:paraId="77C98B2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nil"/>
                                    <w:left w:val="nil"/>
                                    <w:bottom w:val="double" w:sz="6" w:space="0" w:color="auto"/>
                                    <w:right w:val="nil"/>
                                  </w:tcBorders>
                                  <w:shd w:val="clear" w:color="auto" w:fill="auto"/>
                                  <w:noWrap/>
                                  <w:vAlign w:val="bottom"/>
                                  <w:hideMark/>
                                </w:tcPr>
                                <w:p w14:paraId="09ECD62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nil"/>
                                    <w:left w:val="nil"/>
                                    <w:bottom w:val="double" w:sz="6" w:space="0" w:color="auto"/>
                                    <w:right w:val="nil"/>
                                  </w:tcBorders>
                                  <w:shd w:val="clear" w:color="auto" w:fill="auto"/>
                                  <w:noWrap/>
                                  <w:vAlign w:val="bottom"/>
                                  <w:hideMark/>
                                </w:tcPr>
                                <w:p w14:paraId="5DE04E70"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nil"/>
                                    <w:left w:val="nil"/>
                                    <w:bottom w:val="double" w:sz="6" w:space="0" w:color="auto"/>
                                    <w:right w:val="nil"/>
                                  </w:tcBorders>
                                  <w:shd w:val="clear" w:color="auto" w:fill="auto"/>
                                  <w:noWrap/>
                                  <w:vAlign w:val="bottom"/>
                                  <w:hideMark/>
                                </w:tcPr>
                                <w:p w14:paraId="012E085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r>
                          </w:tbl>
                          <w:p w14:paraId="393E052F" w14:textId="5B63E409" w:rsidR="00DF77C5" w:rsidRPr="00275A2F" w:rsidRDefault="00DF77C5" w:rsidP="00697AED">
                            <w:pPr>
                              <w:pStyle w:val="ChartorTableNote"/>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286A7" id="Text Box 8" o:spid="_x0000_s1030" type="#_x0000_t202" style="position:absolute;left:0;text-align:left;margin-left:-5.95pt;margin-top:17.9pt;width:462pt;height:3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" filled="f" stroked="f" strokeweight=".5pt">
                <v:textbox inset="0,,0">
                  <w:txbxContent>
                    <w:tbl>
                      <w:tblPr>
                        <w:tblW w:w="9040" w:type="dxa"/>
                        <w:tblInd w:w="108" w:type="dxa"/>
                        <w:tblLook w:val="04A0" w:firstRow="1" w:lastRow="0" w:firstColumn="1" w:lastColumn="0" w:noHBand="0" w:noVBand="1"/>
                      </w:tblPr>
                      <w:tblGrid>
                        <w:gridCol w:w="3440"/>
                        <w:gridCol w:w="1120"/>
                        <w:gridCol w:w="1120"/>
                        <w:gridCol w:w="1120"/>
                        <w:gridCol w:w="1120"/>
                        <w:gridCol w:w="1120"/>
                      </w:tblGrid>
                      <w:tr w:rsidR="002C4F5D" w:rsidRPr="002C4F5D" w14:paraId="32AFFBF1" w14:textId="77777777" w:rsidTr="002C4F5D">
                        <w:trPr>
                          <w:trHeight w:val="270"/>
                        </w:trPr>
                        <w:tc>
                          <w:tcPr>
                            <w:tcW w:w="3440" w:type="dxa"/>
                            <w:tcBorders>
                              <w:top w:val="double" w:sz="6" w:space="0" w:color="auto"/>
                              <w:left w:val="nil"/>
                              <w:bottom w:val="nil"/>
                              <w:right w:val="nil"/>
                            </w:tcBorders>
                            <w:shd w:val="clear" w:color="auto" w:fill="auto"/>
                            <w:noWrap/>
                            <w:vAlign w:val="bottom"/>
                            <w:hideMark/>
                          </w:tcPr>
                          <w:p w14:paraId="21D2107A" w14:textId="77777777" w:rsidR="002C4F5D" w:rsidRPr="002C4F5D" w:rsidRDefault="002C4F5D" w:rsidP="002C4F5D">
                            <w:pPr>
                              <w:spacing w:after="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double" w:sz="6" w:space="0" w:color="auto"/>
                              <w:left w:val="nil"/>
                              <w:bottom w:val="nil"/>
                              <w:right w:val="nil"/>
                            </w:tcBorders>
                            <w:shd w:val="clear" w:color="auto" w:fill="auto"/>
                            <w:noWrap/>
                            <w:vAlign w:val="bottom"/>
                            <w:hideMark/>
                          </w:tcPr>
                          <w:p w14:paraId="12CED45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(1)</w:t>
                            </w:r>
                          </w:p>
                        </w:tc>
                        <w:tc>
                          <w:tcPr>
                            <w:tcW w:w="1120" w:type="dxa"/>
                            <w:tcBorders>
                              <w:top w:val="double" w:sz="6" w:space="0" w:color="auto"/>
                              <w:left w:val="nil"/>
                              <w:bottom w:val="nil"/>
                              <w:right w:val="nil"/>
                            </w:tcBorders>
                            <w:shd w:val="clear" w:color="auto" w:fill="auto"/>
                            <w:noWrap/>
                            <w:vAlign w:val="bottom"/>
                            <w:hideMark/>
                          </w:tcPr>
                          <w:p w14:paraId="23B4D40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(2)</w:t>
                            </w:r>
                          </w:p>
                        </w:tc>
                        <w:tc>
                          <w:tcPr>
                            <w:tcW w:w="1120" w:type="dxa"/>
                            <w:tcBorders>
                              <w:top w:val="double" w:sz="6" w:space="0" w:color="auto"/>
                              <w:left w:val="nil"/>
                              <w:bottom w:val="nil"/>
                              <w:right w:val="nil"/>
                            </w:tcBorders>
                            <w:shd w:val="clear" w:color="auto" w:fill="auto"/>
                            <w:noWrap/>
                            <w:vAlign w:val="bottom"/>
                            <w:hideMark/>
                          </w:tcPr>
                          <w:p w14:paraId="6B37539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(3)</w:t>
                            </w:r>
                          </w:p>
                        </w:tc>
                        <w:tc>
                          <w:tcPr>
                            <w:tcW w:w="1120" w:type="dxa"/>
                            <w:tcBorders>
                              <w:top w:val="double" w:sz="6" w:space="0" w:color="auto"/>
                              <w:left w:val="nil"/>
                              <w:bottom w:val="nil"/>
                              <w:right w:val="nil"/>
                            </w:tcBorders>
                            <w:shd w:val="clear" w:color="auto" w:fill="auto"/>
                            <w:noWrap/>
                            <w:vAlign w:val="bottom"/>
                            <w:hideMark/>
                          </w:tcPr>
                          <w:p w14:paraId="448E4DB3"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(4)</w:t>
                            </w:r>
                          </w:p>
                        </w:tc>
                        <w:tc>
                          <w:tcPr>
                            <w:tcW w:w="1120" w:type="dxa"/>
                            <w:tcBorders>
                              <w:top w:val="double" w:sz="6" w:space="0" w:color="auto"/>
                              <w:left w:val="nil"/>
                              <w:bottom w:val="nil"/>
                              <w:right w:val="nil"/>
                            </w:tcBorders>
                            <w:shd w:val="clear" w:color="auto" w:fill="auto"/>
                            <w:noWrap/>
                            <w:vAlign w:val="bottom"/>
                            <w:hideMark/>
                          </w:tcPr>
                          <w:p w14:paraId="2247AC76"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(5)</w:t>
                            </w:r>
                          </w:p>
                        </w:tc>
                      </w:tr>
                      <w:tr w:rsidR="002C4F5D" w:rsidRPr="002C4F5D" w14:paraId="5D2A6340" w14:textId="77777777" w:rsidTr="002C4F5D">
                        <w:trPr>
                          <w:trHeight w:val="255"/>
                        </w:trPr>
                        <w:tc>
                          <w:tcPr>
                            <w:tcW w:w="3440" w:type="dxa"/>
                            <w:tcBorders>
                              <w:top w:val="single" w:sz="4" w:space="0" w:color="auto"/>
                              <w:left w:val="nil"/>
                              <w:bottom w:val="nil"/>
                              <w:right w:val="nil"/>
                            </w:tcBorders>
                            <w:shd w:val="clear" w:color="auto" w:fill="auto"/>
                            <w:noWrap/>
                            <w:vAlign w:val="bottom"/>
                            <w:hideMark/>
                          </w:tcPr>
                          <w:p w14:paraId="2461148F" w14:textId="77777777" w:rsidR="002C4F5D" w:rsidRPr="002C4F5D" w:rsidRDefault="002C4F5D" w:rsidP="002C4F5D">
                            <w:pPr>
                              <w:spacing w:after="0"/>
                              <w:rPr>
                                <w:rFonts w:ascii="Arial" w:eastAsia="Times New Roman" w:hAnsi="Arial" w:cs="Arial"/>
                                <w:i/>
                                <w:iCs/>
                                <w:color w:val="000000"/>
                                <w:sz w:val="20"/>
                                <w:szCs w:val="20"/>
                                <w:lang w:eastAsia="en-AU"/>
                              </w:rPr>
                            </w:pPr>
                            <w:r w:rsidRPr="002C4F5D">
                              <w:rPr>
                                <w:rFonts w:ascii="Arial" w:eastAsia="Times New Roman" w:hAnsi="Arial" w:cs="Arial"/>
                                <w:i/>
                                <w:iCs/>
                                <w:color w:val="000000"/>
                                <w:sz w:val="20"/>
                                <w:szCs w:val="20"/>
                                <w:lang w:eastAsia="en-AU"/>
                              </w:rPr>
                              <w:t>Panel A:  Non-capital cities</w:t>
                            </w:r>
                          </w:p>
                        </w:tc>
                        <w:tc>
                          <w:tcPr>
                            <w:tcW w:w="1120" w:type="dxa"/>
                            <w:tcBorders>
                              <w:top w:val="single" w:sz="4" w:space="0" w:color="auto"/>
                              <w:left w:val="nil"/>
                              <w:bottom w:val="nil"/>
                              <w:right w:val="nil"/>
                            </w:tcBorders>
                            <w:shd w:val="clear" w:color="auto" w:fill="auto"/>
                            <w:noWrap/>
                            <w:vAlign w:val="bottom"/>
                            <w:hideMark/>
                          </w:tcPr>
                          <w:p w14:paraId="3B5E7AC8"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single" w:sz="4" w:space="0" w:color="auto"/>
                              <w:left w:val="nil"/>
                              <w:bottom w:val="nil"/>
                              <w:right w:val="nil"/>
                            </w:tcBorders>
                            <w:shd w:val="clear" w:color="auto" w:fill="auto"/>
                            <w:noWrap/>
                            <w:vAlign w:val="bottom"/>
                            <w:hideMark/>
                          </w:tcPr>
                          <w:p w14:paraId="3299136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single" w:sz="4" w:space="0" w:color="auto"/>
                              <w:left w:val="nil"/>
                              <w:bottom w:val="nil"/>
                              <w:right w:val="nil"/>
                            </w:tcBorders>
                            <w:shd w:val="clear" w:color="auto" w:fill="auto"/>
                            <w:noWrap/>
                            <w:vAlign w:val="bottom"/>
                            <w:hideMark/>
                          </w:tcPr>
                          <w:p w14:paraId="358A8B4C"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single" w:sz="4" w:space="0" w:color="auto"/>
                              <w:left w:val="nil"/>
                              <w:bottom w:val="nil"/>
                              <w:right w:val="nil"/>
                            </w:tcBorders>
                            <w:shd w:val="clear" w:color="auto" w:fill="auto"/>
                            <w:noWrap/>
                            <w:vAlign w:val="bottom"/>
                            <w:hideMark/>
                          </w:tcPr>
                          <w:p w14:paraId="1F0EA88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single" w:sz="4" w:space="0" w:color="auto"/>
                              <w:left w:val="nil"/>
                              <w:bottom w:val="nil"/>
                              <w:right w:val="nil"/>
                            </w:tcBorders>
                            <w:shd w:val="clear" w:color="auto" w:fill="auto"/>
                            <w:noWrap/>
                            <w:vAlign w:val="bottom"/>
                            <w:hideMark/>
                          </w:tcPr>
                          <w:p w14:paraId="1063BBD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r>
                      <w:tr w:rsidR="002C4F5D" w:rsidRPr="002C4F5D" w14:paraId="4E499442" w14:textId="77777777" w:rsidTr="002C4F5D">
                        <w:trPr>
                          <w:trHeight w:val="255"/>
                        </w:trPr>
                        <w:tc>
                          <w:tcPr>
                            <w:tcW w:w="3440" w:type="dxa"/>
                            <w:tcBorders>
                              <w:top w:val="nil"/>
                              <w:left w:val="nil"/>
                              <w:bottom w:val="nil"/>
                              <w:right w:val="nil"/>
                            </w:tcBorders>
                            <w:shd w:val="clear" w:color="auto" w:fill="auto"/>
                            <w:noWrap/>
                            <w:vAlign w:val="bottom"/>
                            <w:hideMark/>
                          </w:tcPr>
                          <w:p w14:paraId="3E2E6BE9"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EE (job-to-job) rate</w:t>
                            </w:r>
                          </w:p>
                        </w:tc>
                        <w:tc>
                          <w:tcPr>
                            <w:tcW w:w="1120" w:type="dxa"/>
                            <w:tcBorders>
                              <w:top w:val="nil"/>
                              <w:left w:val="nil"/>
                              <w:bottom w:val="nil"/>
                              <w:right w:val="nil"/>
                            </w:tcBorders>
                            <w:shd w:val="clear" w:color="auto" w:fill="auto"/>
                            <w:noWrap/>
                            <w:vAlign w:val="bottom"/>
                            <w:hideMark/>
                          </w:tcPr>
                          <w:p w14:paraId="15EEA56F"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0.23***</w:t>
                            </w:r>
                          </w:p>
                        </w:tc>
                        <w:tc>
                          <w:tcPr>
                            <w:tcW w:w="1120" w:type="dxa"/>
                            <w:tcBorders>
                              <w:top w:val="nil"/>
                              <w:left w:val="nil"/>
                              <w:bottom w:val="nil"/>
                              <w:right w:val="nil"/>
                            </w:tcBorders>
                            <w:shd w:val="clear" w:color="auto" w:fill="auto"/>
                            <w:noWrap/>
                            <w:vAlign w:val="bottom"/>
                            <w:hideMark/>
                          </w:tcPr>
                          <w:p w14:paraId="7F4D5A5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0.17***</w:t>
                            </w:r>
                          </w:p>
                        </w:tc>
                        <w:tc>
                          <w:tcPr>
                            <w:tcW w:w="1120" w:type="dxa"/>
                            <w:tcBorders>
                              <w:top w:val="nil"/>
                              <w:left w:val="nil"/>
                              <w:bottom w:val="nil"/>
                              <w:right w:val="nil"/>
                            </w:tcBorders>
                            <w:shd w:val="clear" w:color="auto" w:fill="auto"/>
                            <w:noWrap/>
                            <w:vAlign w:val="bottom"/>
                            <w:hideMark/>
                          </w:tcPr>
                          <w:p w14:paraId="5590366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0.37***</w:t>
                            </w:r>
                          </w:p>
                        </w:tc>
                        <w:tc>
                          <w:tcPr>
                            <w:tcW w:w="1120" w:type="dxa"/>
                            <w:tcBorders>
                              <w:top w:val="nil"/>
                              <w:left w:val="nil"/>
                              <w:bottom w:val="nil"/>
                              <w:right w:val="nil"/>
                            </w:tcBorders>
                            <w:shd w:val="clear" w:color="auto" w:fill="auto"/>
                            <w:noWrap/>
                            <w:vAlign w:val="bottom"/>
                            <w:hideMark/>
                          </w:tcPr>
                          <w:p w14:paraId="1883725F"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0.31***</w:t>
                            </w:r>
                          </w:p>
                        </w:tc>
                        <w:tc>
                          <w:tcPr>
                            <w:tcW w:w="1120" w:type="dxa"/>
                            <w:tcBorders>
                              <w:top w:val="nil"/>
                              <w:left w:val="nil"/>
                              <w:bottom w:val="nil"/>
                              <w:right w:val="nil"/>
                            </w:tcBorders>
                            <w:shd w:val="clear" w:color="auto" w:fill="auto"/>
                            <w:noWrap/>
                            <w:vAlign w:val="bottom"/>
                            <w:hideMark/>
                          </w:tcPr>
                          <w:p w14:paraId="05C76A6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0.16</w:t>
                            </w:r>
                          </w:p>
                        </w:tc>
                      </w:tr>
                      <w:tr w:rsidR="002C4F5D" w:rsidRPr="002C4F5D" w14:paraId="0E692181" w14:textId="77777777" w:rsidTr="002C4F5D">
                        <w:trPr>
                          <w:trHeight w:val="255"/>
                        </w:trPr>
                        <w:tc>
                          <w:tcPr>
                            <w:tcW w:w="3440" w:type="dxa"/>
                            <w:tcBorders>
                              <w:top w:val="nil"/>
                              <w:left w:val="nil"/>
                              <w:bottom w:val="nil"/>
                              <w:right w:val="nil"/>
                            </w:tcBorders>
                            <w:shd w:val="clear" w:color="auto" w:fill="auto"/>
                            <w:noWrap/>
                            <w:vAlign w:val="bottom"/>
                            <w:hideMark/>
                          </w:tcPr>
                          <w:p w14:paraId="77C99392"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0B2F41F3"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c>
                          <w:tcPr>
                            <w:tcW w:w="1120" w:type="dxa"/>
                            <w:tcBorders>
                              <w:top w:val="nil"/>
                              <w:left w:val="nil"/>
                              <w:bottom w:val="nil"/>
                              <w:right w:val="nil"/>
                            </w:tcBorders>
                            <w:shd w:val="clear" w:color="auto" w:fill="auto"/>
                            <w:noWrap/>
                            <w:vAlign w:val="bottom"/>
                            <w:hideMark/>
                          </w:tcPr>
                          <w:p w14:paraId="2F01CF23"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c>
                          <w:tcPr>
                            <w:tcW w:w="1120" w:type="dxa"/>
                            <w:tcBorders>
                              <w:top w:val="nil"/>
                              <w:left w:val="nil"/>
                              <w:bottom w:val="nil"/>
                              <w:right w:val="nil"/>
                            </w:tcBorders>
                            <w:shd w:val="clear" w:color="auto" w:fill="auto"/>
                            <w:noWrap/>
                            <w:vAlign w:val="bottom"/>
                            <w:hideMark/>
                          </w:tcPr>
                          <w:p w14:paraId="73742C9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(0.11)</w:t>
                            </w:r>
                          </w:p>
                        </w:tc>
                        <w:tc>
                          <w:tcPr>
                            <w:tcW w:w="1120" w:type="dxa"/>
                            <w:tcBorders>
                              <w:top w:val="nil"/>
                              <w:left w:val="nil"/>
                              <w:bottom w:val="nil"/>
                              <w:right w:val="nil"/>
                            </w:tcBorders>
                            <w:shd w:val="clear" w:color="auto" w:fill="auto"/>
                            <w:noWrap/>
                            <w:vAlign w:val="bottom"/>
                            <w:hideMark/>
                          </w:tcPr>
                          <w:p w14:paraId="4AE02DA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(0.12)</w:t>
                            </w:r>
                          </w:p>
                        </w:tc>
                        <w:tc>
                          <w:tcPr>
                            <w:tcW w:w="1120" w:type="dxa"/>
                            <w:tcBorders>
                              <w:top w:val="nil"/>
                              <w:left w:val="nil"/>
                              <w:bottom w:val="nil"/>
                              <w:right w:val="nil"/>
                            </w:tcBorders>
                            <w:shd w:val="clear" w:color="auto" w:fill="auto"/>
                            <w:noWrap/>
                            <w:vAlign w:val="bottom"/>
                            <w:hideMark/>
                          </w:tcPr>
                          <w:p w14:paraId="1544E09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(0.12)</w:t>
                            </w:r>
                          </w:p>
                        </w:tc>
                      </w:tr>
                      <w:tr w:rsidR="002C4F5D" w:rsidRPr="002C4F5D" w14:paraId="6128EEF2" w14:textId="77777777" w:rsidTr="002C4F5D">
                        <w:trPr>
                          <w:trHeight w:val="255"/>
                        </w:trPr>
                        <w:tc>
                          <w:tcPr>
                            <w:tcW w:w="3440" w:type="dxa"/>
                            <w:tcBorders>
                              <w:top w:val="nil"/>
                              <w:left w:val="nil"/>
                              <w:bottom w:val="nil"/>
                              <w:right w:val="nil"/>
                            </w:tcBorders>
                            <w:shd w:val="clear" w:color="auto" w:fill="auto"/>
                            <w:noWrap/>
                            <w:vAlign w:val="bottom"/>
                            <w:hideMark/>
                          </w:tcPr>
                          <w:p w14:paraId="7237161F"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UE (unemployment-to-job rate)</w:t>
                            </w:r>
                          </w:p>
                        </w:tc>
                        <w:tc>
                          <w:tcPr>
                            <w:tcW w:w="1120" w:type="dxa"/>
                            <w:tcBorders>
                              <w:top w:val="nil"/>
                              <w:left w:val="nil"/>
                              <w:bottom w:val="nil"/>
                              <w:right w:val="nil"/>
                            </w:tcBorders>
                            <w:shd w:val="clear" w:color="auto" w:fill="auto"/>
                            <w:noWrap/>
                            <w:vAlign w:val="bottom"/>
                            <w:hideMark/>
                          </w:tcPr>
                          <w:p w14:paraId="46588F4F"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0.14***</w:t>
                            </w:r>
                          </w:p>
                        </w:tc>
                        <w:tc>
                          <w:tcPr>
                            <w:tcW w:w="1120" w:type="dxa"/>
                            <w:tcBorders>
                              <w:top w:val="nil"/>
                              <w:left w:val="nil"/>
                              <w:bottom w:val="nil"/>
                              <w:right w:val="nil"/>
                            </w:tcBorders>
                            <w:shd w:val="clear" w:color="auto" w:fill="auto"/>
                            <w:noWrap/>
                            <w:vAlign w:val="bottom"/>
                            <w:hideMark/>
                          </w:tcPr>
                          <w:p w14:paraId="4E7EA0D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0.12***</w:t>
                            </w:r>
                          </w:p>
                        </w:tc>
                        <w:tc>
                          <w:tcPr>
                            <w:tcW w:w="1120" w:type="dxa"/>
                            <w:tcBorders>
                              <w:top w:val="nil"/>
                              <w:left w:val="nil"/>
                              <w:bottom w:val="nil"/>
                              <w:right w:val="nil"/>
                            </w:tcBorders>
                            <w:shd w:val="clear" w:color="auto" w:fill="auto"/>
                            <w:noWrap/>
                            <w:vAlign w:val="bottom"/>
                            <w:hideMark/>
                          </w:tcPr>
                          <w:p w14:paraId="6AED3B7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0.12***</w:t>
                            </w:r>
                          </w:p>
                        </w:tc>
                        <w:tc>
                          <w:tcPr>
                            <w:tcW w:w="1120" w:type="dxa"/>
                            <w:tcBorders>
                              <w:top w:val="nil"/>
                              <w:left w:val="nil"/>
                              <w:bottom w:val="nil"/>
                              <w:right w:val="nil"/>
                            </w:tcBorders>
                            <w:shd w:val="clear" w:color="auto" w:fill="auto"/>
                            <w:noWrap/>
                            <w:vAlign w:val="bottom"/>
                            <w:hideMark/>
                          </w:tcPr>
                          <w:p w14:paraId="2A0EF22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0.12***</w:t>
                            </w:r>
                          </w:p>
                        </w:tc>
                        <w:tc>
                          <w:tcPr>
                            <w:tcW w:w="1120" w:type="dxa"/>
                            <w:tcBorders>
                              <w:top w:val="nil"/>
                              <w:left w:val="nil"/>
                              <w:bottom w:val="nil"/>
                              <w:right w:val="nil"/>
                            </w:tcBorders>
                            <w:shd w:val="clear" w:color="auto" w:fill="auto"/>
                            <w:noWrap/>
                            <w:vAlign w:val="bottom"/>
                            <w:hideMark/>
                          </w:tcPr>
                          <w:p w14:paraId="1A6CF613"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r>
                      <w:tr w:rsidR="002C4F5D" w:rsidRPr="002C4F5D" w14:paraId="1C1D396A" w14:textId="77777777" w:rsidTr="002C4F5D">
                        <w:trPr>
                          <w:trHeight w:val="255"/>
                        </w:trPr>
                        <w:tc>
                          <w:tcPr>
                            <w:tcW w:w="3440" w:type="dxa"/>
                            <w:tcBorders>
                              <w:top w:val="nil"/>
                              <w:left w:val="nil"/>
                              <w:bottom w:val="nil"/>
                              <w:right w:val="nil"/>
                            </w:tcBorders>
                            <w:shd w:val="clear" w:color="auto" w:fill="auto"/>
                            <w:noWrap/>
                            <w:vAlign w:val="bottom"/>
                            <w:hideMark/>
                          </w:tcPr>
                          <w:p w14:paraId="7A63B505"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5E246B5D"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(0.03)</w:t>
                            </w:r>
                          </w:p>
                        </w:tc>
                        <w:tc>
                          <w:tcPr>
                            <w:tcW w:w="1120" w:type="dxa"/>
                            <w:tcBorders>
                              <w:top w:val="nil"/>
                              <w:left w:val="nil"/>
                              <w:bottom w:val="nil"/>
                              <w:right w:val="nil"/>
                            </w:tcBorders>
                            <w:shd w:val="clear" w:color="auto" w:fill="auto"/>
                            <w:noWrap/>
                            <w:vAlign w:val="bottom"/>
                            <w:hideMark/>
                          </w:tcPr>
                          <w:p w14:paraId="3637B40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(0.03)</w:t>
                            </w:r>
                          </w:p>
                        </w:tc>
                        <w:tc>
                          <w:tcPr>
                            <w:tcW w:w="1120" w:type="dxa"/>
                            <w:tcBorders>
                              <w:top w:val="nil"/>
                              <w:left w:val="nil"/>
                              <w:bottom w:val="nil"/>
                              <w:right w:val="nil"/>
                            </w:tcBorders>
                            <w:shd w:val="clear" w:color="auto" w:fill="auto"/>
                            <w:noWrap/>
                            <w:vAlign w:val="bottom"/>
                            <w:hideMark/>
                          </w:tcPr>
                          <w:p w14:paraId="1201C02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(0.04)</w:t>
                            </w:r>
                          </w:p>
                        </w:tc>
                        <w:tc>
                          <w:tcPr>
                            <w:tcW w:w="1120" w:type="dxa"/>
                            <w:tcBorders>
                              <w:top w:val="nil"/>
                              <w:left w:val="nil"/>
                              <w:bottom w:val="nil"/>
                              <w:right w:val="nil"/>
                            </w:tcBorders>
                            <w:shd w:val="clear" w:color="auto" w:fill="auto"/>
                            <w:noWrap/>
                            <w:vAlign w:val="bottom"/>
                            <w:hideMark/>
                          </w:tcPr>
                          <w:p w14:paraId="6834F1E1"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(0.04)</w:t>
                            </w:r>
                          </w:p>
                        </w:tc>
                        <w:tc>
                          <w:tcPr>
                            <w:tcW w:w="1120" w:type="dxa"/>
                            <w:tcBorders>
                              <w:top w:val="nil"/>
                              <w:left w:val="nil"/>
                              <w:bottom w:val="nil"/>
                              <w:right w:val="nil"/>
                            </w:tcBorders>
                            <w:shd w:val="clear" w:color="auto" w:fill="auto"/>
                            <w:noWrap/>
                            <w:vAlign w:val="bottom"/>
                            <w:hideMark/>
                          </w:tcPr>
                          <w:p w14:paraId="5230258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(0.04)</w:t>
                            </w:r>
                          </w:p>
                        </w:tc>
                      </w:tr>
                      <w:tr w:rsidR="002C4F5D" w:rsidRPr="002C4F5D" w14:paraId="0D97A477" w14:textId="77777777" w:rsidTr="002C4F5D">
                        <w:trPr>
                          <w:trHeight w:val="255"/>
                        </w:trPr>
                        <w:tc>
                          <w:tcPr>
                            <w:tcW w:w="3440" w:type="dxa"/>
                            <w:tcBorders>
                              <w:top w:val="nil"/>
                              <w:left w:val="nil"/>
                              <w:bottom w:val="nil"/>
                              <w:right w:val="nil"/>
                            </w:tcBorders>
                            <w:shd w:val="clear" w:color="auto" w:fill="auto"/>
                            <w:noWrap/>
                            <w:vAlign w:val="bottom"/>
                            <w:hideMark/>
                          </w:tcPr>
                          <w:p w14:paraId="28304AE9" w14:textId="77777777" w:rsidR="002C4F5D" w:rsidRPr="002C4F5D" w:rsidRDefault="002C4F5D" w:rsidP="002C4F5D">
                            <w:pPr>
                              <w:spacing w:after="0"/>
                              <w:rPr>
                                <w:rFonts w:ascii="Arial" w:eastAsia="Times New Roman" w:hAnsi="Arial" w:cs="Arial"/>
                                <w:i/>
                                <w:iCs/>
                                <w:color w:val="000000"/>
                                <w:sz w:val="20"/>
                                <w:szCs w:val="20"/>
                                <w:lang w:eastAsia="en-AU"/>
                              </w:rPr>
                            </w:pPr>
                            <w:r w:rsidRPr="002C4F5D">
                              <w:rPr>
                                <w:rFonts w:ascii="Arial" w:eastAsia="Times New Roman" w:hAnsi="Arial" w:cs="Arial"/>
                                <w:i/>
                                <w:iCs/>
                                <w:color w:val="000000"/>
                                <w:sz w:val="20"/>
                                <w:szCs w:val="20"/>
                                <w:lang w:eastAsia="en-AU"/>
                              </w:rPr>
                              <w:t>Panel B: Capital cities</w:t>
                            </w:r>
                          </w:p>
                        </w:tc>
                        <w:tc>
                          <w:tcPr>
                            <w:tcW w:w="1120" w:type="dxa"/>
                            <w:tcBorders>
                              <w:top w:val="nil"/>
                              <w:left w:val="nil"/>
                              <w:bottom w:val="nil"/>
                              <w:right w:val="nil"/>
                            </w:tcBorders>
                            <w:shd w:val="clear" w:color="auto" w:fill="auto"/>
                            <w:noWrap/>
                            <w:vAlign w:val="bottom"/>
                            <w:hideMark/>
                          </w:tcPr>
                          <w:p w14:paraId="5FB69759" w14:textId="77777777" w:rsidR="002C4F5D" w:rsidRPr="002C4F5D" w:rsidRDefault="002C4F5D" w:rsidP="002C4F5D">
                            <w:pPr>
                              <w:spacing w:after="0"/>
                              <w:rPr>
                                <w:rFonts w:ascii="Arial" w:eastAsia="Times New Roman" w:hAnsi="Arial" w:cs="Arial"/>
                                <w:i/>
                                <w:iCs/>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7AD90ED7"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741B4251"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54CC1323"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34070D57"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r>
                      <w:tr w:rsidR="002C4F5D" w:rsidRPr="002C4F5D" w14:paraId="1E86877A" w14:textId="77777777" w:rsidTr="002C4F5D">
                        <w:trPr>
                          <w:trHeight w:val="255"/>
                        </w:trPr>
                        <w:tc>
                          <w:tcPr>
                            <w:tcW w:w="3440" w:type="dxa"/>
                            <w:tcBorders>
                              <w:top w:val="nil"/>
                              <w:left w:val="nil"/>
                              <w:bottom w:val="nil"/>
                              <w:right w:val="nil"/>
                            </w:tcBorders>
                            <w:shd w:val="clear" w:color="auto" w:fill="auto"/>
                            <w:noWrap/>
                            <w:vAlign w:val="bottom"/>
                            <w:hideMark/>
                          </w:tcPr>
                          <w:p w14:paraId="0D8D2540"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EE (job-to-job) rate</w:t>
                            </w:r>
                          </w:p>
                        </w:tc>
                        <w:tc>
                          <w:tcPr>
                            <w:tcW w:w="1120" w:type="dxa"/>
                            <w:tcBorders>
                              <w:top w:val="nil"/>
                              <w:left w:val="nil"/>
                              <w:bottom w:val="nil"/>
                              <w:right w:val="nil"/>
                            </w:tcBorders>
                            <w:shd w:val="clear" w:color="auto" w:fill="auto"/>
                            <w:noWrap/>
                            <w:vAlign w:val="bottom"/>
                            <w:hideMark/>
                          </w:tcPr>
                          <w:p w14:paraId="7ADACEAE"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0.53***</w:t>
                            </w:r>
                          </w:p>
                        </w:tc>
                        <w:tc>
                          <w:tcPr>
                            <w:tcW w:w="1120" w:type="dxa"/>
                            <w:tcBorders>
                              <w:top w:val="nil"/>
                              <w:left w:val="nil"/>
                              <w:bottom w:val="nil"/>
                              <w:right w:val="nil"/>
                            </w:tcBorders>
                            <w:shd w:val="clear" w:color="auto" w:fill="auto"/>
                            <w:noWrap/>
                            <w:vAlign w:val="bottom"/>
                            <w:hideMark/>
                          </w:tcPr>
                          <w:p w14:paraId="3737DF86"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0.49***</w:t>
                            </w:r>
                          </w:p>
                        </w:tc>
                        <w:tc>
                          <w:tcPr>
                            <w:tcW w:w="1120" w:type="dxa"/>
                            <w:tcBorders>
                              <w:top w:val="nil"/>
                              <w:left w:val="nil"/>
                              <w:bottom w:val="nil"/>
                              <w:right w:val="nil"/>
                            </w:tcBorders>
                            <w:shd w:val="clear" w:color="auto" w:fill="auto"/>
                            <w:noWrap/>
                            <w:vAlign w:val="bottom"/>
                            <w:hideMark/>
                          </w:tcPr>
                          <w:p w14:paraId="7586EA53"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0.31*</w:t>
                            </w:r>
                          </w:p>
                        </w:tc>
                        <w:tc>
                          <w:tcPr>
                            <w:tcW w:w="1120" w:type="dxa"/>
                            <w:tcBorders>
                              <w:top w:val="nil"/>
                              <w:left w:val="nil"/>
                              <w:bottom w:val="nil"/>
                              <w:right w:val="nil"/>
                            </w:tcBorders>
                            <w:shd w:val="clear" w:color="auto" w:fill="auto"/>
                            <w:noWrap/>
                            <w:vAlign w:val="bottom"/>
                            <w:hideMark/>
                          </w:tcPr>
                          <w:p w14:paraId="53D8596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0.52***</w:t>
                            </w:r>
                          </w:p>
                        </w:tc>
                        <w:tc>
                          <w:tcPr>
                            <w:tcW w:w="1120" w:type="dxa"/>
                            <w:tcBorders>
                              <w:top w:val="nil"/>
                              <w:left w:val="nil"/>
                              <w:bottom w:val="nil"/>
                              <w:right w:val="nil"/>
                            </w:tcBorders>
                            <w:shd w:val="clear" w:color="auto" w:fill="auto"/>
                            <w:noWrap/>
                            <w:vAlign w:val="bottom"/>
                            <w:hideMark/>
                          </w:tcPr>
                          <w:p w14:paraId="2DEAA9F2"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0.68***</w:t>
                            </w:r>
                          </w:p>
                        </w:tc>
                      </w:tr>
                      <w:tr w:rsidR="002C4F5D" w:rsidRPr="002C4F5D" w14:paraId="1FAE0465" w14:textId="77777777" w:rsidTr="002C4F5D">
                        <w:trPr>
                          <w:trHeight w:val="255"/>
                        </w:trPr>
                        <w:tc>
                          <w:tcPr>
                            <w:tcW w:w="3440" w:type="dxa"/>
                            <w:tcBorders>
                              <w:top w:val="nil"/>
                              <w:left w:val="nil"/>
                              <w:bottom w:val="nil"/>
                              <w:right w:val="nil"/>
                            </w:tcBorders>
                            <w:shd w:val="clear" w:color="auto" w:fill="auto"/>
                            <w:noWrap/>
                            <w:vAlign w:val="bottom"/>
                            <w:hideMark/>
                          </w:tcPr>
                          <w:p w14:paraId="2A080FA4"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124CC286"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(0.08)</w:t>
                            </w:r>
                          </w:p>
                        </w:tc>
                        <w:tc>
                          <w:tcPr>
                            <w:tcW w:w="1120" w:type="dxa"/>
                            <w:tcBorders>
                              <w:top w:val="nil"/>
                              <w:left w:val="nil"/>
                              <w:bottom w:val="nil"/>
                              <w:right w:val="nil"/>
                            </w:tcBorders>
                            <w:shd w:val="clear" w:color="auto" w:fill="auto"/>
                            <w:noWrap/>
                            <w:vAlign w:val="bottom"/>
                            <w:hideMark/>
                          </w:tcPr>
                          <w:p w14:paraId="25CF4E2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(0.09)</w:t>
                            </w:r>
                          </w:p>
                        </w:tc>
                        <w:tc>
                          <w:tcPr>
                            <w:tcW w:w="1120" w:type="dxa"/>
                            <w:tcBorders>
                              <w:top w:val="nil"/>
                              <w:left w:val="nil"/>
                              <w:bottom w:val="nil"/>
                              <w:right w:val="nil"/>
                            </w:tcBorders>
                            <w:shd w:val="clear" w:color="auto" w:fill="auto"/>
                            <w:noWrap/>
                            <w:vAlign w:val="bottom"/>
                            <w:hideMark/>
                          </w:tcPr>
                          <w:p w14:paraId="1CF5B583"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(0.17)</w:t>
                            </w:r>
                          </w:p>
                        </w:tc>
                        <w:tc>
                          <w:tcPr>
                            <w:tcW w:w="1120" w:type="dxa"/>
                            <w:tcBorders>
                              <w:top w:val="nil"/>
                              <w:left w:val="nil"/>
                              <w:bottom w:val="nil"/>
                              <w:right w:val="nil"/>
                            </w:tcBorders>
                            <w:shd w:val="clear" w:color="auto" w:fill="auto"/>
                            <w:noWrap/>
                            <w:vAlign w:val="bottom"/>
                            <w:hideMark/>
                          </w:tcPr>
                          <w:p w14:paraId="194134C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(0.20)</w:t>
                            </w:r>
                          </w:p>
                        </w:tc>
                        <w:tc>
                          <w:tcPr>
                            <w:tcW w:w="1120" w:type="dxa"/>
                            <w:tcBorders>
                              <w:top w:val="nil"/>
                              <w:left w:val="nil"/>
                              <w:bottom w:val="nil"/>
                              <w:right w:val="nil"/>
                            </w:tcBorders>
                            <w:shd w:val="clear" w:color="auto" w:fill="auto"/>
                            <w:noWrap/>
                            <w:vAlign w:val="bottom"/>
                            <w:hideMark/>
                          </w:tcPr>
                          <w:p w14:paraId="7592E6D2"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(0.21)</w:t>
                            </w:r>
                          </w:p>
                        </w:tc>
                      </w:tr>
                      <w:tr w:rsidR="002C4F5D" w:rsidRPr="002C4F5D" w14:paraId="6A236CFD" w14:textId="77777777" w:rsidTr="002C4F5D">
                        <w:trPr>
                          <w:trHeight w:val="255"/>
                        </w:trPr>
                        <w:tc>
                          <w:tcPr>
                            <w:tcW w:w="3440" w:type="dxa"/>
                            <w:tcBorders>
                              <w:top w:val="nil"/>
                              <w:left w:val="nil"/>
                              <w:bottom w:val="nil"/>
                              <w:right w:val="nil"/>
                            </w:tcBorders>
                            <w:shd w:val="clear" w:color="auto" w:fill="auto"/>
                            <w:noWrap/>
                            <w:vAlign w:val="bottom"/>
                            <w:hideMark/>
                          </w:tcPr>
                          <w:p w14:paraId="71EB6523"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UE (unemployment-to-job rate)</w:t>
                            </w:r>
                          </w:p>
                        </w:tc>
                        <w:tc>
                          <w:tcPr>
                            <w:tcW w:w="1120" w:type="dxa"/>
                            <w:tcBorders>
                              <w:top w:val="nil"/>
                              <w:left w:val="nil"/>
                              <w:bottom w:val="nil"/>
                              <w:right w:val="nil"/>
                            </w:tcBorders>
                            <w:shd w:val="clear" w:color="auto" w:fill="auto"/>
                            <w:noWrap/>
                            <w:vAlign w:val="bottom"/>
                            <w:hideMark/>
                          </w:tcPr>
                          <w:p w14:paraId="6E93F6BC"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0.18***</w:t>
                            </w:r>
                          </w:p>
                        </w:tc>
                        <w:tc>
                          <w:tcPr>
                            <w:tcW w:w="1120" w:type="dxa"/>
                            <w:tcBorders>
                              <w:top w:val="nil"/>
                              <w:left w:val="nil"/>
                              <w:bottom w:val="nil"/>
                              <w:right w:val="nil"/>
                            </w:tcBorders>
                            <w:shd w:val="clear" w:color="auto" w:fill="auto"/>
                            <w:noWrap/>
                            <w:vAlign w:val="bottom"/>
                            <w:hideMark/>
                          </w:tcPr>
                          <w:p w14:paraId="3D6D706D"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0.16***</w:t>
                            </w:r>
                          </w:p>
                        </w:tc>
                        <w:tc>
                          <w:tcPr>
                            <w:tcW w:w="1120" w:type="dxa"/>
                            <w:tcBorders>
                              <w:top w:val="nil"/>
                              <w:left w:val="nil"/>
                              <w:bottom w:val="nil"/>
                              <w:right w:val="nil"/>
                            </w:tcBorders>
                            <w:shd w:val="clear" w:color="auto" w:fill="auto"/>
                            <w:noWrap/>
                            <w:vAlign w:val="bottom"/>
                            <w:hideMark/>
                          </w:tcPr>
                          <w:p w14:paraId="2A7ECF41"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0.01</w:t>
                            </w:r>
                          </w:p>
                        </w:tc>
                        <w:tc>
                          <w:tcPr>
                            <w:tcW w:w="1120" w:type="dxa"/>
                            <w:tcBorders>
                              <w:top w:val="nil"/>
                              <w:left w:val="nil"/>
                              <w:bottom w:val="nil"/>
                              <w:right w:val="nil"/>
                            </w:tcBorders>
                            <w:shd w:val="clear" w:color="auto" w:fill="auto"/>
                            <w:noWrap/>
                            <w:vAlign w:val="bottom"/>
                            <w:hideMark/>
                          </w:tcPr>
                          <w:p w14:paraId="5DE1B94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c>
                          <w:tcPr>
                            <w:tcW w:w="1120" w:type="dxa"/>
                            <w:tcBorders>
                              <w:top w:val="nil"/>
                              <w:left w:val="nil"/>
                              <w:bottom w:val="nil"/>
                              <w:right w:val="nil"/>
                            </w:tcBorders>
                            <w:shd w:val="clear" w:color="auto" w:fill="auto"/>
                            <w:noWrap/>
                            <w:vAlign w:val="bottom"/>
                            <w:hideMark/>
                          </w:tcPr>
                          <w:p w14:paraId="378E536E"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0.07</w:t>
                            </w:r>
                          </w:p>
                        </w:tc>
                      </w:tr>
                      <w:tr w:rsidR="002C4F5D" w:rsidRPr="002C4F5D" w14:paraId="6D32D52F" w14:textId="77777777" w:rsidTr="002C4F5D">
                        <w:trPr>
                          <w:trHeight w:val="255"/>
                        </w:trPr>
                        <w:tc>
                          <w:tcPr>
                            <w:tcW w:w="3440" w:type="dxa"/>
                            <w:tcBorders>
                              <w:top w:val="nil"/>
                              <w:left w:val="nil"/>
                              <w:bottom w:val="nil"/>
                              <w:right w:val="nil"/>
                            </w:tcBorders>
                            <w:shd w:val="clear" w:color="auto" w:fill="auto"/>
                            <w:noWrap/>
                            <w:vAlign w:val="bottom"/>
                            <w:hideMark/>
                          </w:tcPr>
                          <w:p w14:paraId="6C19116E"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18BE9BE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(0.04)</w:t>
                            </w:r>
                          </w:p>
                        </w:tc>
                        <w:tc>
                          <w:tcPr>
                            <w:tcW w:w="1120" w:type="dxa"/>
                            <w:tcBorders>
                              <w:top w:val="nil"/>
                              <w:left w:val="nil"/>
                              <w:bottom w:val="nil"/>
                              <w:right w:val="nil"/>
                            </w:tcBorders>
                            <w:shd w:val="clear" w:color="auto" w:fill="auto"/>
                            <w:noWrap/>
                            <w:vAlign w:val="bottom"/>
                            <w:hideMark/>
                          </w:tcPr>
                          <w:p w14:paraId="636FB8F8"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(0.04)</w:t>
                            </w:r>
                          </w:p>
                        </w:tc>
                        <w:tc>
                          <w:tcPr>
                            <w:tcW w:w="1120" w:type="dxa"/>
                            <w:tcBorders>
                              <w:top w:val="nil"/>
                              <w:left w:val="nil"/>
                              <w:bottom w:val="nil"/>
                              <w:right w:val="nil"/>
                            </w:tcBorders>
                            <w:shd w:val="clear" w:color="auto" w:fill="auto"/>
                            <w:noWrap/>
                            <w:vAlign w:val="bottom"/>
                            <w:hideMark/>
                          </w:tcPr>
                          <w:p w14:paraId="5017E9F2"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(0.05)</w:t>
                            </w:r>
                          </w:p>
                        </w:tc>
                        <w:tc>
                          <w:tcPr>
                            <w:tcW w:w="1120" w:type="dxa"/>
                            <w:tcBorders>
                              <w:top w:val="nil"/>
                              <w:left w:val="nil"/>
                              <w:bottom w:val="nil"/>
                              <w:right w:val="nil"/>
                            </w:tcBorders>
                            <w:shd w:val="clear" w:color="auto" w:fill="auto"/>
                            <w:noWrap/>
                            <w:vAlign w:val="bottom"/>
                            <w:hideMark/>
                          </w:tcPr>
                          <w:p w14:paraId="4076B950"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c>
                          <w:tcPr>
                            <w:tcW w:w="1120" w:type="dxa"/>
                            <w:tcBorders>
                              <w:top w:val="nil"/>
                              <w:left w:val="nil"/>
                              <w:bottom w:val="nil"/>
                              <w:right w:val="nil"/>
                            </w:tcBorders>
                            <w:shd w:val="clear" w:color="auto" w:fill="auto"/>
                            <w:noWrap/>
                            <w:vAlign w:val="bottom"/>
                            <w:hideMark/>
                          </w:tcPr>
                          <w:p w14:paraId="25B0081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r>
                      <w:tr w:rsidR="002C4F5D" w:rsidRPr="002C4F5D" w14:paraId="008ECE00" w14:textId="77777777" w:rsidTr="002C4F5D">
                        <w:trPr>
                          <w:trHeight w:val="255"/>
                        </w:trPr>
                        <w:tc>
                          <w:tcPr>
                            <w:tcW w:w="3440" w:type="dxa"/>
                            <w:tcBorders>
                              <w:top w:val="nil"/>
                              <w:left w:val="nil"/>
                              <w:bottom w:val="nil"/>
                              <w:right w:val="nil"/>
                            </w:tcBorders>
                            <w:shd w:val="clear" w:color="auto" w:fill="auto"/>
                            <w:noWrap/>
                            <w:vAlign w:val="bottom"/>
                            <w:hideMark/>
                          </w:tcPr>
                          <w:p w14:paraId="522957D2"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171AF4EC" w14:textId="77777777" w:rsidR="002C4F5D" w:rsidRPr="002C4F5D" w:rsidRDefault="002C4F5D" w:rsidP="002C4F5D">
                            <w:pPr>
                              <w:spacing w:after="0"/>
                              <w:ind w:firstLineChars="100" w:firstLine="200"/>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0032CF37"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38441D6A"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28293A56"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50AFBA66"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r>
                      <w:tr w:rsidR="002C4F5D" w:rsidRPr="002C4F5D" w14:paraId="7D547F50" w14:textId="77777777" w:rsidTr="002C4F5D">
                        <w:trPr>
                          <w:trHeight w:val="255"/>
                        </w:trPr>
                        <w:tc>
                          <w:tcPr>
                            <w:tcW w:w="3440" w:type="dxa"/>
                            <w:tcBorders>
                              <w:top w:val="nil"/>
                              <w:left w:val="nil"/>
                              <w:bottom w:val="nil"/>
                              <w:right w:val="nil"/>
                            </w:tcBorders>
                            <w:shd w:val="clear" w:color="auto" w:fill="auto"/>
                            <w:noWrap/>
                            <w:vAlign w:val="bottom"/>
                            <w:hideMark/>
                          </w:tcPr>
                          <w:p w14:paraId="01817B8B" w14:textId="77777777" w:rsidR="002C4F5D" w:rsidRPr="002C4F5D" w:rsidRDefault="002C4F5D" w:rsidP="002C4F5D">
                            <w:pPr>
                              <w:spacing w:after="0"/>
                              <w:rPr>
                                <w:rFonts w:ascii="Arial" w:eastAsia="Times New Roman" w:hAnsi="Arial" w:cs="Arial"/>
                                <w:i/>
                                <w:iCs/>
                                <w:color w:val="000000"/>
                                <w:sz w:val="20"/>
                                <w:szCs w:val="20"/>
                                <w:lang w:eastAsia="en-AU"/>
                              </w:rPr>
                            </w:pPr>
                            <w:r w:rsidRPr="002C4F5D">
                              <w:rPr>
                                <w:rFonts w:ascii="Arial" w:eastAsia="Times New Roman" w:hAnsi="Arial" w:cs="Arial"/>
                                <w:i/>
                                <w:iCs/>
                                <w:color w:val="000000"/>
                                <w:sz w:val="20"/>
                                <w:szCs w:val="20"/>
                                <w:lang w:eastAsia="en-AU"/>
                              </w:rPr>
                              <w:t>Panel C: Post 2010-11 (inclusive)</w:t>
                            </w:r>
                          </w:p>
                        </w:tc>
                        <w:tc>
                          <w:tcPr>
                            <w:tcW w:w="1120" w:type="dxa"/>
                            <w:tcBorders>
                              <w:top w:val="nil"/>
                              <w:left w:val="nil"/>
                              <w:bottom w:val="nil"/>
                              <w:right w:val="nil"/>
                            </w:tcBorders>
                            <w:shd w:val="clear" w:color="auto" w:fill="auto"/>
                            <w:noWrap/>
                            <w:vAlign w:val="bottom"/>
                            <w:hideMark/>
                          </w:tcPr>
                          <w:p w14:paraId="5F6D370C" w14:textId="77777777" w:rsidR="002C4F5D" w:rsidRPr="002C4F5D" w:rsidRDefault="002C4F5D" w:rsidP="002C4F5D">
                            <w:pPr>
                              <w:spacing w:after="0"/>
                              <w:rPr>
                                <w:rFonts w:ascii="Arial" w:eastAsia="Times New Roman" w:hAnsi="Arial" w:cs="Arial"/>
                                <w:i/>
                                <w:iCs/>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7BE5AB7F"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34F11A74"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20909C99"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66D465DB"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r>
                      <w:tr w:rsidR="002C4F5D" w:rsidRPr="002C4F5D" w14:paraId="55E801F0" w14:textId="77777777" w:rsidTr="002C4F5D">
                        <w:trPr>
                          <w:trHeight w:val="255"/>
                        </w:trPr>
                        <w:tc>
                          <w:tcPr>
                            <w:tcW w:w="3440" w:type="dxa"/>
                            <w:tcBorders>
                              <w:top w:val="nil"/>
                              <w:left w:val="nil"/>
                              <w:bottom w:val="nil"/>
                              <w:right w:val="nil"/>
                            </w:tcBorders>
                            <w:shd w:val="clear" w:color="auto" w:fill="auto"/>
                            <w:noWrap/>
                            <w:vAlign w:val="bottom"/>
                            <w:hideMark/>
                          </w:tcPr>
                          <w:p w14:paraId="2DA50A76"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EE (job-to-job) rate</w:t>
                            </w:r>
                          </w:p>
                        </w:tc>
                        <w:tc>
                          <w:tcPr>
                            <w:tcW w:w="1120" w:type="dxa"/>
                            <w:tcBorders>
                              <w:top w:val="nil"/>
                              <w:left w:val="nil"/>
                              <w:bottom w:val="nil"/>
                              <w:right w:val="nil"/>
                            </w:tcBorders>
                            <w:shd w:val="clear" w:color="auto" w:fill="auto"/>
                            <w:noWrap/>
                            <w:vAlign w:val="bottom"/>
                            <w:hideMark/>
                          </w:tcPr>
                          <w:p w14:paraId="2F8F2803"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0.31***</w:t>
                            </w:r>
                          </w:p>
                        </w:tc>
                        <w:tc>
                          <w:tcPr>
                            <w:tcW w:w="1120" w:type="dxa"/>
                            <w:tcBorders>
                              <w:top w:val="nil"/>
                              <w:left w:val="nil"/>
                              <w:bottom w:val="nil"/>
                              <w:right w:val="nil"/>
                            </w:tcBorders>
                            <w:shd w:val="clear" w:color="auto" w:fill="auto"/>
                            <w:noWrap/>
                            <w:vAlign w:val="bottom"/>
                            <w:hideMark/>
                          </w:tcPr>
                          <w:p w14:paraId="21FEB81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0.42***</w:t>
                            </w:r>
                          </w:p>
                        </w:tc>
                        <w:tc>
                          <w:tcPr>
                            <w:tcW w:w="1120" w:type="dxa"/>
                            <w:tcBorders>
                              <w:top w:val="nil"/>
                              <w:left w:val="nil"/>
                              <w:bottom w:val="nil"/>
                              <w:right w:val="nil"/>
                            </w:tcBorders>
                            <w:shd w:val="clear" w:color="auto" w:fill="auto"/>
                            <w:noWrap/>
                            <w:vAlign w:val="bottom"/>
                            <w:hideMark/>
                          </w:tcPr>
                          <w:p w14:paraId="43E8D1EC"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0.29***</w:t>
                            </w:r>
                          </w:p>
                        </w:tc>
                        <w:tc>
                          <w:tcPr>
                            <w:tcW w:w="1120" w:type="dxa"/>
                            <w:tcBorders>
                              <w:top w:val="nil"/>
                              <w:left w:val="nil"/>
                              <w:bottom w:val="nil"/>
                              <w:right w:val="nil"/>
                            </w:tcBorders>
                            <w:shd w:val="clear" w:color="auto" w:fill="auto"/>
                            <w:noWrap/>
                            <w:vAlign w:val="bottom"/>
                            <w:hideMark/>
                          </w:tcPr>
                          <w:p w14:paraId="55CA31D6"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0.20</w:t>
                            </w:r>
                          </w:p>
                        </w:tc>
                        <w:tc>
                          <w:tcPr>
                            <w:tcW w:w="1120" w:type="dxa"/>
                            <w:tcBorders>
                              <w:top w:val="nil"/>
                              <w:left w:val="nil"/>
                              <w:bottom w:val="nil"/>
                              <w:right w:val="nil"/>
                            </w:tcBorders>
                            <w:shd w:val="clear" w:color="auto" w:fill="auto"/>
                            <w:noWrap/>
                            <w:vAlign w:val="bottom"/>
                            <w:hideMark/>
                          </w:tcPr>
                          <w:p w14:paraId="48E6B62F"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0.22</w:t>
                            </w:r>
                          </w:p>
                        </w:tc>
                      </w:tr>
                      <w:tr w:rsidR="002C4F5D" w:rsidRPr="002C4F5D" w14:paraId="7A9FAC87" w14:textId="77777777" w:rsidTr="002C4F5D">
                        <w:trPr>
                          <w:trHeight w:val="255"/>
                        </w:trPr>
                        <w:tc>
                          <w:tcPr>
                            <w:tcW w:w="3440" w:type="dxa"/>
                            <w:tcBorders>
                              <w:top w:val="nil"/>
                              <w:left w:val="nil"/>
                              <w:bottom w:val="nil"/>
                              <w:right w:val="nil"/>
                            </w:tcBorders>
                            <w:shd w:val="clear" w:color="auto" w:fill="auto"/>
                            <w:noWrap/>
                            <w:vAlign w:val="bottom"/>
                            <w:hideMark/>
                          </w:tcPr>
                          <w:p w14:paraId="409F3E5C"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38283806"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c>
                          <w:tcPr>
                            <w:tcW w:w="1120" w:type="dxa"/>
                            <w:tcBorders>
                              <w:top w:val="nil"/>
                              <w:left w:val="nil"/>
                              <w:bottom w:val="nil"/>
                              <w:right w:val="nil"/>
                            </w:tcBorders>
                            <w:shd w:val="clear" w:color="auto" w:fill="auto"/>
                            <w:noWrap/>
                            <w:vAlign w:val="bottom"/>
                            <w:hideMark/>
                          </w:tcPr>
                          <w:p w14:paraId="79FA0788"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(0.08)</w:t>
                            </w:r>
                          </w:p>
                        </w:tc>
                        <w:tc>
                          <w:tcPr>
                            <w:tcW w:w="1120" w:type="dxa"/>
                            <w:tcBorders>
                              <w:top w:val="nil"/>
                              <w:left w:val="nil"/>
                              <w:bottom w:val="nil"/>
                              <w:right w:val="nil"/>
                            </w:tcBorders>
                            <w:shd w:val="clear" w:color="auto" w:fill="auto"/>
                            <w:noWrap/>
                            <w:vAlign w:val="bottom"/>
                            <w:hideMark/>
                          </w:tcPr>
                          <w:p w14:paraId="07FFE5F2"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(0.10)</w:t>
                            </w:r>
                          </w:p>
                        </w:tc>
                        <w:tc>
                          <w:tcPr>
                            <w:tcW w:w="1120" w:type="dxa"/>
                            <w:tcBorders>
                              <w:top w:val="nil"/>
                              <w:left w:val="nil"/>
                              <w:bottom w:val="nil"/>
                              <w:right w:val="nil"/>
                            </w:tcBorders>
                            <w:shd w:val="clear" w:color="auto" w:fill="auto"/>
                            <w:noWrap/>
                            <w:vAlign w:val="bottom"/>
                            <w:hideMark/>
                          </w:tcPr>
                          <w:p w14:paraId="7F251A00"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(0.16)</w:t>
                            </w:r>
                          </w:p>
                        </w:tc>
                        <w:tc>
                          <w:tcPr>
                            <w:tcW w:w="1120" w:type="dxa"/>
                            <w:tcBorders>
                              <w:top w:val="nil"/>
                              <w:left w:val="nil"/>
                              <w:bottom w:val="nil"/>
                              <w:right w:val="nil"/>
                            </w:tcBorders>
                            <w:shd w:val="clear" w:color="auto" w:fill="auto"/>
                            <w:noWrap/>
                            <w:vAlign w:val="bottom"/>
                            <w:hideMark/>
                          </w:tcPr>
                          <w:p w14:paraId="4D636ED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(0.18)</w:t>
                            </w:r>
                          </w:p>
                        </w:tc>
                      </w:tr>
                      <w:tr w:rsidR="002C4F5D" w:rsidRPr="002C4F5D" w14:paraId="4EE35BC6" w14:textId="77777777" w:rsidTr="002C4F5D">
                        <w:trPr>
                          <w:trHeight w:val="255"/>
                        </w:trPr>
                        <w:tc>
                          <w:tcPr>
                            <w:tcW w:w="3440" w:type="dxa"/>
                            <w:tcBorders>
                              <w:top w:val="nil"/>
                              <w:left w:val="nil"/>
                              <w:bottom w:val="nil"/>
                              <w:right w:val="nil"/>
                            </w:tcBorders>
                            <w:shd w:val="clear" w:color="auto" w:fill="auto"/>
                            <w:noWrap/>
                            <w:vAlign w:val="bottom"/>
                            <w:hideMark/>
                          </w:tcPr>
                          <w:p w14:paraId="5AAABE5D"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UE (unemployment-to-job rate)</w:t>
                            </w:r>
                          </w:p>
                        </w:tc>
                        <w:tc>
                          <w:tcPr>
                            <w:tcW w:w="1120" w:type="dxa"/>
                            <w:tcBorders>
                              <w:top w:val="nil"/>
                              <w:left w:val="nil"/>
                              <w:bottom w:val="nil"/>
                              <w:right w:val="nil"/>
                            </w:tcBorders>
                            <w:shd w:val="clear" w:color="auto" w:fill="auto"/>
                            <w:noWrap/>
                            <w:vAlign w:val="bottom"/>
                            <w:hideMark/>
                          </w:tcPr>
                          <w:p w14:paraId="6355D16C"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0.23***</w:t>
                            </w:r>
                          </w:p>
                        </w:tc>
                        <w:tc>
                          <w:tcPr>
                            <w:tcW w:w="1120" w:type="dxa"/>
                            <w:tcBorders>
                              <w:top w:val="nil"/>
                              <w:left w:val="nil"/>
                              <w:bottom w:val="nil"/>
                              <w:right w:val="nil"/>
                            </w:tcBorders>
                            <w:shd w:val="clear" w:color="auto" w:fill="auto"/>
                            <w:noWrap/>
                            <w:vAlign w:val="bottom"/>
                            <w:hideMark/>
                          </w:tcPr>
                          <w:p w14:paraId="6E4FFBB1"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0.17***</w:t>
                            </w:r>
                          </w:p>
                        </w:tc>
                        <w:tc>
                          <w:tcPr>
                            <w:tcW w:w="1120" w:type="dxa"/>
                            <w:tcBorders>
                              <w:top w:val="nil"/>
                              <w:left w:val="nil"/>
                              <w:bottom w:val="nil"/>
                              <w:right w:val="nil"/>
                            </w:tcBorders>
                            <w:shd w:val="clear" w:color="auto" w:fill="auto"/>
                            <w:noWrap/>
                            <w:vAlign w:val="bottom"/>
                            <w:hideMark/>
                          </w:tcPr>
                          <w:p w14:paraId="0D779EE1"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0.22***</w:t>
                            </w:r>
                          </w:p>
                        </w:tc>
                        <w:tc>
                          <w:tcPr>
                            <w:tcW w:w="1120" w:type="dxa"/>
                            <w:tcBorders>
                              <w:top w:val="nil"/>
                              <w:left w:val="nil"/>
                              <w:bottom w:val="nil"/>
                              <w:right w:val="nil"/>
                            </w:tcBorders>
                            <w:shd w:val="clear" w:color="auto" w:fill="auto"/>
                            <w:noWrap/>
                            <w:vAlign w:val="bottom"/>
                            <w:hideMark/>
                          </w:tcPr>
                          <w:p w14:paraId="4116CEA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0.24***</w:t>
                            </w:r>
                          </w:p>
                        </w:tc>
                        <w:tc>
                          <w:tcPr>
                            <w:tcW w:w="1120" w:type="dxa"/>
                            <w:tcBorders>
                              <w:top w:val="nil"/>
                              <w:left w:val="nil"/>
                              <w:bottom w:val="nil"/>
                              <w:right w:val="nil"/>
                            </w:tcBorders>
                            <w:shd w:val="clear" w:color="auto" w:fill="auto"/>
                            <w:noWrap/>
                            <w:vAlign w:val="bottom"/>
                            <w:hideMark/>
                          </w:tcPr>
                          <w:p w14:paraId="2303410D"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0.19***</w:t>
                            </w:r>
                          </w:p>
                        </w:tc>
                      </w:tr>
                      <w:tr w:rsidR="002C4F5D" w:rsidRPr="002C4F5D" w14:paraId="4AFDE4B6" w14:textId="77777777" w:rsidTr="002C4F5D">
                        <w:trPr>
                          <w:trHeight w:val="255"/>
                        </w:trPr>
                        <w:tc>
                          <w:tcPr>
                            <w:tcW w:w="3440" w:type="dxa"/>
                            <w:tcBorders>
                              <w:top w:val="nil"/>
                              <w:left w:val="nil"/>
                              <w:bottom w:val="nil"/>
                              <w:right w:val="nil"/>
                            </w:tcBorders>
                            <w:shd w:val="clear" w:color="auto" w:fill="auto"/>
                            <w:noWrap/>
                            <w:vAlign w:val="bottom"/>
                            <w:hideMark/>
                          </w:tcPr>
                          <w:p w14:paraId="0344A2C9"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7B25A30D"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(0.03)</w:t>
                            </w:r>
                          </w:p>
                        </w:tc>
                        <w:tc>
                          <w:tcPr>
                            <w:tcW w:w="1120" w:type="dxa"/>
                            <w:tcBorders>
                              <w:top w:val="nil"/>
                              <w:left w:val="nil"/>
                              <w:bottom w:val="nil"/>
                              <w:right w:val="nil"/>
                            </w:tcBorders>
                            <w:shd w:val="clear" w:color="auto" w:fill="auto"/>
                            <w:noWrap/>
                            <w:vAlign w:val="bottom"/>
                            <w:hideMark/>
                          </w:tcPr>
                          <w:p w14:paraId="6DED261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(0.04)</w:t>
                            </w:r>
                          </w:p>
                        </w:tc>
                        <w:tc>
                          <w:tcPr>
                            <w:tcW w:w="1120" w:type="dxa"/>
                            <w:tcBorders>
                              <w:top w:val="nil"/>
                              <w:left w:val="nil"/>
                              <w:bottom w:val="nil"/>
                              <w:right w:val="nil"/>
                            </w:tcBorders>
                            <w:shd w:val="clear" w:color="auto" w:fill="auto"/>
                            <w:noWrap/>
                            <w:vAlign w:val="bottom"/>
                            <w:hideMark/>
                          </w:tcPr>
                          <w:p w14:paraId="3DDBB872"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(0.04)</w:t>
                            </w:r>
                          </w:p>
                        </w:tc>
                        <w:tc>
                          <w:tcPr>
                            <w:tcW w:w="1120" w:type="dxa"/>
                            <w:tcBorders>
                              <w:top w:val="nil"/>
                              <w:left w:val="nil"/>
                              <w:bottom w:val="nil"/>
                              <w:right w:val="nil"/>
                            </w:tcBorders>
                            <w:shd w:val="clear" w:color="auto" w:fill="auto"/>
                            <w:noWrap/>
                            <w:vAlign w:val="bottom"/>
                            <w:hideMark/>
                          </w:tcPr>
                          <w:p w14:paraId="313FB0C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(0.05)</w:t>
                            </w:r>
                          </w:p>
                        </w:tc>
                        <w:tc>
                          <w:tcPr>
                            <w:tcW w:w="1120" w:type="dxa"/>
                            <w:tcBorders>
                              <w:top w:val="nil"/>
                              <w:left w:val="nil"/>
                              <w:bottom w:val="nil"/>
                              <w:right w:val="nil"/>
                            </w:tcBorders>
                            <w:shd w:val="clear" w:color="auto" w:fill="auto"/>
                            <w:noWrap/>
                            <w:vAlign w:val="bottom"/>
                            <w:hideMark/>
                          </w:tcPr>
                          <w:p w14:paraId="736D811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r>
                      <w:tr w:rsidR="002C4F5D" w:rsidRPr="002C4F5D" w14:paraId="079D58F3" w14:textId="77777777" w:rsidTr="002C4F5D">
                        <w:trPr>
                          <w:trHeight w:val="255"/>
                        </w:trPr>
                        <w:tc>
                          <w:tcPr>
                            <w:tcW w:w="3440" w:type="dxa"/>
                            <w:tcBorders>
                              <w:top w:val="nil"/>
                              <w:left w:val="nil"/>
                              <w:bottom w:val="nil"/>
                              <w:right w:val="nil"/>
                            </w:tcBorders>
                            <w:shd w:val="clear" w:color="auto" w:fill="auto"/>
                            <w:noWrap/>
                            <w:vAlign w:val="bottom"/>
                            <w:hideMark/>
                          </w:tcPr>
                          <w:p w14:paraId="093BEB1E" w14:textId="77777777" w:rsidR="002C4F5D" w:rsidRPr="002C4F5D" w:rsidRDefault="002C4F5D" w:rsidP="002C4F5D">
                            <w:pPr>
                              <w:spacing w:after="0"/>
                              <w:rPr>
                                <w:rFonts w:ascii="Arial" w:eastAsia="Times New Roman" w:hAnsi="Arial" w:cs="Arial"/>
                                <w:i/>
                                <w:iCs/>
                                <w:color w:val="000000"/>
                                <w:sz w:val="20"/>
                                <w:szCs w:val="20"/>
                                <w:lang w:eastAsia="en-AU"/>
                              </w:rPr>
                            </w:pPr>
                            <w:r w:rsidRPr="002C4F5D">
                              <w:rPr>
                                <w:rFonts w:ascii="Arial" w:eastAsia="Times New Roman" w:hAnsi="Arial" w:cs="Arial"/>
                                <w:i/>
                                <w:iCs/>
                                <w:color w:val="000000"/>
                                <w:sz w:val="20"/>
                                <w:szCs w:val="20"/>
                                <w:lang w:eastAsia="en-AU"/>
                              </w:rPr>
                              <w:t>Panel D: Pre 2010-11</w:t>
                            </w:r>
                          </w:p>
                        </w:tc>
                        <w:tc>
                          <w:tcPr>
                            <w:tcW w:w="1120" w:type="dxa"/>
                            <w:tcBorders>
                              <w:top w:val="nil"/>
                              <w:left w:val="nil"/>
                              <w:bottom w:val="nil"/>
                              <w:right w:val="nil"/>
                            </w:tcBorders>
                            <w:shd w:val="clear" w:color="auto" w:fill="auto"/>
                            <w:noWrap/>
                            <w:vAlign w:val="bottom"/>
                            <w:hideMark/>
                          </w:tcPr>
                          <w:p w14:paraId="5AB79EEF" w14:textId="77777777" w:rsidR="002C4F5D" w:rsidRPr="002C4F5D" w:rsidRDefault="002C4F5D" w:rsidP="002C4F5D">
                            <w:pPr>
                              <w:spacing w:after="0"/>
                              <w:rPr>
                                <w:rFonts w:ascii="Arial" w:eastAsia="Times New Roman" w:hAnsi="Arial" w:cs="Arial"/>
                                <w:i/>
                                <w:iCs/>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51592A23"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64B26F75"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2C6AC72D"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1767E3DD"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r>
                      <w:tr w:rsidR="002C4F5D" w:rsidRPr="002C4F5D" w14:paraId="750AF99B" w14:textId="77777777" w:rsidTr="002C4F5D">
                        <w:trPr>
                          <w:trHeight w:val="255"/>
                        </w:trPr>
                        <w:tc>
                          <w:tcPr>
                            <w:tcW w:w="3440" w:type="dxa"/>
                            <w:tcBorders>
                              <w:top w:val="nil"/>
                              <w:left w:val="nil"/>
                              <w:bottom w:val="nil"/>
                              <w:right w:val="nil"/>
                            </w:tcBorders>
                            <w:shd w:val="clear" w:color="auto" w:fill="auto"/>
                            <w:noWrap/>
                            <w:vAlign w:val="bottom"/>
                            <w:hideMark/>
                          </w:tcPr>
                          <w:p w14:paraId="3A6A1694"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EE (job-to-job) rate</w:t>
                            </w:r>
                          </w:p>
                        </w:tc>
                        <w:tc>
                          <w:tcPr>
                            <w:tcW w:w="1120" w:type="dxa"/>
                            <w:tcBorders>
                              <w:top w:val="nil"/>
                              <w:left w:val="nil"/>
                              <w:bottom w:val="nil"/>
                              <w:right w:val="nil"/>
                            </w:tcBorders>
                            <w:shd w:val="clear" w:color="auto" w:fill="auto"/>
                            <w:noWrap/>
                            <w:vAlign w:val="bottom"/>
                            <w:hideMark/>
                          </w:tcPr>
                          <w:p w14:paraId="12F0FD5E"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0.63***</w:t>
                            </w:r>
                          </w:p>
                        </w:tc>
                        <w:tc>
                          <w:tcPr>
                            <w:tcW w:w="1120" w:type="dxa"/>
                            <w:tcBorders>
                              <w:top w:val="nil"/>
                              <w:left w:val="nil"/>
                              <w:bottom w:val="nil"/>
                              <w:right w:val="nil"/>
                            </w:tcBorders>
                            <w:shd w:val="clear" w:color="auto" w:fill="auto"/>
                            <w:noWrap/>
                            <w:vAlign w:val="bottom"/>
                            <w:hideMark/>
                          </w:tcPr>
                          <w:p w14:paraId="4234AB3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0.47**</w:t>
                            </w:r>
                          </w:p>
                        </w:tc>
                        <w:tc>
                          <w:tcPr>
                            <w:tcW w:w="1120" w:type="dxa"/>
                            <w:tcBorders>
                              <w:top w:val="nil"/>
                              <w:left w:val="nil"/>
                              <w:bottom w:val="nil"/>
                              <w:right w:val="nil"/>
                            </w:tcBorders>
                            <w:shd w:val="clear" w:color="auto" w:fill="auto"/>
                            <w:noWrap/>
                            <w:vAlign w:val="bottom"/>
                            <w:hideMark/>
                          </w:tcPr>
                          <w:p w14:paraId="7998E299"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0.99***</w:t>
                            </w:r>
                          </w:p>
                        </w:tc>
                        <w:tc>
                          <w:tcPr>
                            <w:tcW w:w="1120" w:type="dxa"/>
                            <w:tcBorders>
                              <w:top w:val="nil"/>
                              <w:left w:val="nil"/>
                              <w:bottom w:val="nil"/>
                              <w:right w:val="nil"/>
                            </w:tcBorders>
                            <w:shd w:val="clear" w:color="auto" w:fill="auto"/>
                            <w:noWrap/>
                            <w:vAlign w:val="bottom"/>
                            <w:hideMark/>
                          </w:tcPr>
                          <w:p w14:paraId="7939F952"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0.80***</w:t>
                            </w:r>
                          </w:p>
                        </w:tc>
                        <w:tc>
                          <w:tcPr>
                            <w:tcW w:w="1120" w:type="dxa"/>
                            <w:tcBorders>
                              <w:top w:val="nil"/>
                              <w:left w:val="nil"/>
                              <w:bottom w:val="nil"/>
                              <w:right w:val="nil"/>
                            </w:tcBorders>
                            <w:shd w:val="clear" w:color="auto" w:fill="auto"/>
                            <w:noWrap/>
                            <w:vAlign w:val="bottom"/>
                            <w:hideMark/>
                          </w:tcPr>
                          <w:p w14:paraId="401EB4CD"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0.29</w:t>
                            </w:r>
                          </w:p>
                        </w:tc>
                      </w:tr>
                      <w:tr w:rsidR="002C4F5D" w:rsidRPr="002C4F5D" w14:paraId="45575079" w14:textId="77777777" w:rsidTr="002C4F5D">
                        <w:trPr>
                          <w:trHeight w:val="255"/>
                        </w:trPr>
                        <w:tc>
                          <w:tcPr>
                            <w:tcW w:w="3440" w:type="dxa"/>
                            <w:tcBorders>
                              <w:top w:val="nil"/>
                              <w:left w:val="nil"/>
                              <w:bottom w:val="nil"/>
                              <w:right w:val="nil"/>
                            </w:tcBorders>
                            <w:shd w:val="clear" w:color="auto" w:fill="auto"/>
                            <w:noWrap/>
                            <w:vAlign w:val="bottom"/>
                            <w:hideMark/>
                          </w:tcPr>
                          <w:p w14:paraId="4116A70B"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1D13350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(0.14)</w:t>
                            </w:r>
                          </w:p>
                        </w:tc>
                        <w:tc>
                          <w:tcPr>
                            <w:tcW w:w="1120" w:type="dxa"/>
                            <w:tcBorders>
                              <w:top w:val="nil"/>
                              <w:left w:val="nil"/>
                              <w:bottom w:val="nil"/>
                              <w:right w:val="nil"/>
                            </w:tcBorders>
                            <w:shd w:val="clear" w:color="auto" w:fill="auto"/>
                            <w:noWrap/>
                            <w:vAlign w:val="bottom"/>
                            <w:hideMark/>
                          </w:tcPr>
                          <w:p w14:paraId="04E613D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(0.23)</w:t>
                            </w:r>
                          </w:p>
                        </w:tc>
                        <w:tc>
                          <w:tcPr>
                            <w:tcW w:w="1120" w:type="dxa"/>
                            <w:tcBorders>
                              <w:top w:val="nil"/>
                              <w:left w:val="nil"/>
                              <w:bottom w:val="nil"/>
                              <w:right w:val="nil"/>
                            </w:tcBorders>
                            <w:shd w:val="clear" w:color="auto" w:fill="auto"/>
                            <w:noWrap/>
                            <w:vAlign w:val="bottom"/>
                            <w:hideMark/>
                          </w:tcPr>
                          <w:p w14:paraId="09936E08"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(0.18)</w:t>
                            </w:r>
                          </w:p>
                        </w:tc>
                        <w:tc>
                          <w:tcPr>
                            <w:tcW w:w="1120" w:type="dxa"/>
                            <w:tcBorders>
                              <w:top w:val="nil"/>
                              <w:left w:val="nil"/>
                              <w:bottom w:val="nil"/>
                              <w:right w:val="nil"/>
                            </w:tcBorders>
                            <w:shd w:val="clear" w:color="auto" w:fill="auto"/>
                            <w:noWrap/>
                            <w:vAlign w:val="bottom"/>
                            <w:hideMark/>
                          </w:tcPr>
                          <w:p w14:paraId="77F0DD5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(0.29)</w:t>
                            </w:r>
                          </w:p>
                        </w:tc>
                        <w:tc>
                          <w:tcPr>
                            <w:tcW w:w="1120" w:type="dxa"/>
                            <w:tcBorders>
                              <w:top w:val="nil"/>
                              <w:left w:val="nil"/>
                              <w:bottom w:val="nil"/>
                              <w:right w:val="nil"/>
                            </w:tcBorders>
                            <w:shd w:val="clear" w:color="auto" w:fill="auto"/>
                            <w:noWrap/>
                            <w:vAlign w:val="bottom"/>
                            <w:hideMark/>
                          </w:tcPr>
                          <w:p w14:paraId="6E68CB9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(0.29)</w:t>
                            </w:r>
                          </w:p>
                        </w:tc>
                      </w:tr>
                      <w:tr w:rsidR="002C4F5D" w:rsidRPr="002C4F5D" w14:paraId="6D9ACFA7" w14:textId="77777777" w:rsidTr="002C4F5D">
                        <w:trPr>
                          <w:trHeight w:val="255"/>
                        </w:trPr>
                        <w:tc>
                          <w:tcPr>
                            <w:tcW w:w="3440" w:type="dxa"/>
                            <w:tcBorders>
                              <w:top w:val="nil"/>
                              <w:left w:val="nil"/>
                              <w:bottom w:val="nil"/>
                              <w:right w:val="nil"/>
                            </w:tcBorders>
                            <w:shd w:val="clear" w:color="auto" w:fill="auto"/>
                            <w:noWrap/>
                            <w:vAlign w:val="bottom"/>
                            <w:hideMark/>
                          </w:tcPr>
                          <w:p w14:paraId="41B70C19"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UE (unemployment-to-job rate)</w:t>
                            </w:r>
                          </w:p>
                        </w:tc>
                        <w:tc>
                          <w:tcPr>
                            <w:tcW w:w="1120" w:type="dxa"/>
                            <w:tcBorders>
                              <w:top w:val="nil"/>
                              <w:left w:val="nil"/>
                              <w:bottom w:val="nil"/>
                              <w:right w:val="nil"/>
                            </w:tcBorders>
                            <w:shd w:val="clear" w:color="auto" w:fill="auto"/>
                            <w:noWrap/>
                            <w:vAlign w:val="bottom"/>
                            <w:hideMark/>
                          </w:tcPr>
                          <w:p w14:paraId="2657E24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0.04</w:t>
                            </w:r>
                          </w:p>
                        </w:tc>
                        <w:tc>
                          <w:tcPr>
                            <w:tcW w:w="1120" w:type="dxa"/>
                            <w:tcBorders>
                              <w:top w:val="nil"/>
                              <w:left w:val="nil"/>
                              <w:bottom w:val="nil"/>
                              <w:right w:val="nil"/>
                            </w:tcBorders>
                            <w:shd w:val="clear" w:color="auto" w:fill="auto"/>
                            <w:noWrap/>
                            <w:vAlign w:val="bottom"/>
                            <w:hideMark/>
                          </w:tcPr>
                          <w:p w14:paraId="1490139D"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0.10</w:t>
                            </w:r>
                          </w:p>
                        </w:tc>
                        <w:tc>
                          <w:tcPr>
                            <w:tcW w:w="1120" w:type="dxa"/>
                            <w:tcBorders>
                              <w:top w:val="nil"/>
                              <w:left w:val="nil"/>
                              <w:bottom w:val="nil"/>
                              <w:right w:val="nil"/>
                            </w:tcBorders>
                            <w:shd w:val="clear" w:color="auto" w:fill="auto"/>
                            <w:noWrap/>
                            <w:vAlign w:val="bottom"/>
                            <w:hideMark/>
                          </w:tcPr>
                          <w:p w14:paraId="764D176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c>
                          <w:tcPr>
                            <w:tcW w:w="1120" w:type="dxa"/>
                            <w:tcBorders>
                              <w:top w:val="nil"/>
                              <w:left w:val="nil"/>
                              <w:bottom w:val="nil"/>
                              <w:right w:val="nil"/>
                            </w:tcBorders>
                            <w:shd w:val="clear" w:color="auto" w:fill="auto"/>
                            <w:noWrap/>
                            <w:vAlign w:val="bottom"/>
                            <w:hideMark/>
                          </w:tcPr>
                          <w:p w14:paraId="068761B9"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-0.03</w:t>
                            </w:r>
                          </w:p>
                        </w:tc>
                        <w:tc>
                          <w:tcPr>
                            <w:tcW w:w="1120" w:type="dxa"/>
                            <w:tcBorders>
                              <w:top w:val="nil"/>
                              <w:left w:val="nil"/>
                              <w:bottom w:val="nil"/>
                              <w:right w:val="nil"/>
                            </w:tcBorders>
                            <w:shd w:val="clear" w:color="auto" w:fill="auto"/>
                            <w:noWrap/>
                            <w:vAlign w:val="bottom"/>
                            <w:hideMark/>
                          </w:tcPr>
                          <w:p w14:paraId="12BCBC91"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0.03</w:t>
                            </w:r>
                          </w:p>
                        </w:tc>
                      </w:tr>
                      <w:tr w:rsidR="002C4F5D" w:rsidRPr="002C4F5D" w14:paraId="588C9B71" w14:textId="77777777" w:rsidTr="002C4F5D">
                        <w:trPr>
                          <w:trHeight w:val="255"/>
                        </w:trPr>
                        <w:tc>
                          <w:tcPr>
                            <w:tcW w:w="3440" w:type="dxa"/>
                            <w:tcBorders>
                              <w:top w:val="nil"/>
                              <w:left w:val="nil"/>
                              <w:bottom w:val="nil"/>
                              <w:right w:val="nil"/>
                            </w:tcBorders>
                            <w:shd w:val="clear" w:color="auto" w:fill="auto"/>
                            <w:noWrap/>
                            <w:vAlign w:val="bottom"/>
                            <w:hideMark/>
                          </w:tcPr>
                          <w:p w14:paraId="671D36B9"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66C93730"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(0.05)</w:t>
                            </w:r>
                          </w:p>
                        </w:tc>
                        <w:tc>
                          <w:tcPr>
                            <w:tcW w:w="1120" w:type="dxa"/>
                            <w:tcBorders>
                              <w:top w:val="nil"/>
                              <w:left w:val="nil"/>
                              <w:bottom w:val="nil"/>
                              <w:right w:val="nil"/>
                            </w:tcBorders>
                            <w:shd w:val="clear" w:color="auto" w:fill="auto"/>
                            <w:noWrap/>
                            <w:vAlign w:val="bottom"/>
                            <w:hideMark/>
                          </w:tcPr>
                          <w:p w14:paraId="5057206D"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c>
                          <w:tcPr>
                            <w:tcW w:w="1120" w:type="dxa"/>
                            <w:tcBorders>
                              <w:top w:val="nil"/>
                              <w:left w:val="nil"/>
                              <w:bottom w:val="nil"/>
                              <w:right w:val="nil"/>
                            </w:tcBorders>
                            <w:shd w:val="clear" w:color="auto" w:fill="auto"/>
                            <w:noWrap/>
                            <w:vAlign w:val="bottom"/>
                            <w:hideMark/>
                          </w:tcPr>
                          <w:p w14:paraId="3983D65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(0.06)</w:t>
                            </w:r>
                          </w:p>
                        </w:tc>
                        <w:tc>
                          <w:tcPr>
                            <w:tcW w:w="1120" w:type="dxa"/>
                            <w:tcBorders>
                              <w:top w:val="nil"/>
                              <w:left w:val="nil"/>
                              <w:bottom w:val="nil"/>
                              <w:right w:val="nil"/>
                            </w:tcBorders>
                            <w:shd w:val="clear" w:color="auto" w:fill="auto"/>
                            <w:noWrap/>
                            <w:vAlign w:val="bottom"/>
                            <w:hideMark/>
                          </w:tcPr>
                          <w:p w14:paraId="11C2417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(0.08)</w:t>
                            </w:r>
                          </w:p>
                        </w:tc>
                        <w:tc>
                          <w:tcPr>
                            <w:tcW w:w="1120" w:type="dxa"/>
                            <w:tcBorders>
                              <w:top w:val="nil"/>
                              <w:left w:val="nil"/>
                              <w:bottom w:val="nil"/>
                              <w:right w:val="nil"/>
                            </w:tcBorders>
                            <w:shd w:val="clear" w:color="auto" w:fill="auto"/>
                            <w:noWrap/>
                            <w:vAlign w:val="bottom"/>
                            <w:hideMark/>
                          </w:tcPr>
                          <w:p w14:paraId="645629C0"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(0.07)</w:t>
                            </w:r>
                          </w:p>
                        </w:tc>
                      </w:tr>
                      <w:tr w:rsidR="002C4F5D" w:rsidRPr="002C4F5D" w14:paraId="628EAC56" w14:textId="77777777" w:rsidTr="002C4F5D">
                        <w:trPr>
                          <w:trHeight w:val="255"/>
                        </w:trPr>
                        <w:tc>
                          <w:tcPr>
                            <w:tcW w:w="3440" w:type="dxa"/>
                            <w:tcBorders>
                              <w:top w:val="nil"/>
                              <w:left w:val="nil"/>
                              <w:bottom w:val="single" w:sz="4" w:space="0" w:color="auto"/>
                              <w:right w:val="nil"/>
                            </w:tcBorders>
                            <w:shd w:val="clear" w:color="auto" w:fill="auto"/>
                            <w:noWrap/>
                            <w:vAlign w:val="bottom"/>
                            <w:hideMark/>
                          </w:tcPr>
                          <w:p w14:paraId="25341F16" w14:textId="77777777" w:rsidR="002C4F5D" w:rsidRPr="002C4F5D" w:rsidRDefault="002C4F5D" w:rsidP="002C4F5D">
                            <w:pPr>
                              <w:spacing w:after="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nil"/>
                              <w:left w:val="nil"/>
                              <w:bottom w:val="single" w:sz="4" w:space="0" w:color="auto"/>
                              <w:right w:val="nil"/>
                            </w:tcBorders>
                            <w:shd w:val="clear" w:color="auto" w:fill="auto"/>
                            <w:noWrap/>
                            <w:vAlign w:val="bottom"/>
                            <w:hideMark/>
                          </w:tcPr>
                          <w:p w14:paraId="5B994B1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nil"/>
                              <w:left w:val="nil"/>
                              <w:bottom w:val="single" w:sz="4" w:space="0" w:color="auto"/>
                              <w:right w:val="nil"/>
                            </w:tcBorders>
                            <w:shd w:val="clear" w:color="auto" w:fill="auto"/>
                            <w:noWrap/>
                            <w:vAlign w:val="bottom"/>
                            <w:hideMark/>
                          </w:tcPr>
                          <w:p w14:paraId="22E2586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nil"/>
                              <w:left w:val="nil"/>
                              <w:bottom w:val="single" w:sz="4" w:space="0" w:color="auto"/>
                              <w:right w:val="nil"/>
                            </w:tcBorders>
                            <w:shd w:val="clear" w:color="auto" w:fill="auto"/>
                            <w:noWrap/>
                            <w:vAlign w:val="bottom"/>
                            <w:hideMark/>
                          </w:tcPr>
                          <w:p w14:paraId="6065E68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nil"/>
                              <w:left w:val="nil"/>
                              <w:bottom w:val="single" w:sz="4" w:space="0" w:color="auto"/>
                              <w:right w:val="nil"/>
                            </w:tcBorders>
                            <w:shd w:val="clear" w:color="auto" w:fill="auto"/>
                            <w:noWrap/>
                            <w:vAlign w:val="bottom"/>
                            <w:hideMark/>
                          </w:tcPr>
                          <w:p w14:paraId="40494F43"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nil"/>
                              <w:left w:val="nil"/>
                              <w:bottom w:val="single" w:sz="4" w:space="0" w:color="auto"/>
                              <w:right w:val="nil"/>
                            </w:tcBorders>
                            <w:shd w:val="clear" w:color="auto" w:fill="auto"/>
                            <w:noWrap/>
                            <w:vAlign w:val="bottom"/>
                            <w:hideMark/>
                          </w:tcPr>
                          <w:p w14:paraId="57729A1A"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r>
                      <w:tr w:rsidR="002C4F5D" w:rsidRPr="002C4F5D" w14:paraId="6218F43B" w14:textId="77777777" w:rsidTr="002C4F5D">
                        <w:trPr>
                          <w:trHeight w:val="255"/>
                        </w:trPr>
                        <w:tc>
                          <w:tcPr>
                            <w:tcW w:w="3440" w:type="dxa"/>
                            <w:tcBorders>
                              <w:top w:val="nil"/>
                              <w:left w:val="nil"/>
                              <w:bottom w:val="nil"/>
                              <w:right w:val="nil"/>
                            </w:tcBorders>
                            <w:shd w:val="clear" w:color="auto" w:fill="auto"/>
                            <w:noWrap/>
                            <w:vAlign w:val="bottom"/>
                            <w:hideMark/>
                          </w:tcPr>
                          <w:p w14:paraId="167657BB" w14:textId="77777777" w:rsidR="002C4F5D" w:rsidRPr="002C4F5D" w:rsidRDefault="002C4F5D" w:rsidP="002C4F5D">
                            <w:pPr>
                              <w:spacing w:after="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Specification details</w:t>
                            </w:r>
                          </w:p>
                        </w:tc>
                        <w:tc>
                          <w:tcPr>
                            <w:tcW w:w="1120" w:type="dxa"/>
                            <w:tcBorders>
                              <w:top w:val="nil"/>
                              <w:left w:val="nil"/>
                              <w:bottom w:val="nil"/>
                              <w:right w:val="nil"/>
                            </w:tcBorders>
                            <w:shd w:val="clear" w:color="auto" w:fill="auto"/>
                            <w:noWrap/>
                            <w:vAlign w:val="bottom"/>
                            <w:hideMark/>
                          </w:tcPr>
                          <w:p w14:paraId="55105768" w14:textId="77777777" w:rsidR="002C4F5D" w:rsidRPr="002C4F5D" w:rsidRDefault="002C4F5D" w:rsidP="002C4F5D">
                            <w:pPr>
                              <w:spacing w:after="0"/>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6EF60CA4"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704FE3F0"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43E871D6"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4763FE20"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r>
                      <w:tr w:rsidR="002C4F5D" w:rsidRPr="002C4F5D" w14:paraId="3C90EDE9" w14:textId="77777777" w:rsidTr="002C4F5D">
                        <w:trPr>
                          <w:trHeight w:val="255"/>
                        </w:trPr>
                        <w:tc>
                          <w:tcPr>
                            <w:tcW w:w="3440" w:type="dxa"/>
                            <w:tcBorders>
                              <w:top w:val="nil"/>
                              <w:left w:val="nil"/>
                              <w:bottom w:val="nil"/>
                              <w:right w:val="nil"/>
                            </w:tcBorders>
                            <w:shd w:val="clear" w:color="auto" w:fill="auto"/>
                            <w:noWrap/>
                            <w:vAlign w:val="bottom"/>
                            <w:hideMark/>
                          </w:tcPr>
                          <w:p w14:paraId="725E56C5"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Year fixed effect</w:t>
                            </w:r>
                          </w:p>
                        </w:tc>
                        <w:tc>
                          <w:tcPr>
                            <w:tcW w:w="1120" w:type="dxa"/>
                            <w:tcBorders>
                              <w:top w:val="nil"/>
                              <w:left w:val="nil"/>
                              <w:bottom w:val="nil"/>
                              <w:right w:val="nil"/>
                            </w:tcBorders>
                            <w:shd w:val="clear" w:color="auto" w:fill="auto"/>
                            <w:noWrap/>
                            <w:vAlign w:val="bottom"/>
                            <w:hideMark/>
                          </w:tcPr>
                          <w:p w14:paraId="2833AD8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619474CC"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175199C4"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3084BE02"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6F7A295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r>
                      <w:tr w:rsidR="002C4F5D" w:rsidRPr="002C4F5D" w14:paraId="13AA9AAB" w14:textId="77777777" w:rsidTr="002C4F5D">
                        <w:trPr>
                          <w:trHeight w:val="255"/>
                        </w:trPr>
                        <w:tc>
                          <w:tcPr>
                            <w:tcW w:w="3440" w:type="dxa"/>
                            <w:tcBorders>
                              <w:top w:val="nil"/>
                              <w:left w:val="nil"/>
                              <w:bottom w:val="nil"/>
                              <w:right w:val="nil"/>
                            </w:tcBorders>
                            <w:shd w:val="clear" w:color="auto" w:fill="auto"/>
                            <w:noWrap/>
                            <w:vAlign w:val="bottom"/>
                            <w:hideMark/>
                          </w:tcPr>
                          <w:p w14:paraId="1F03CE80"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SA4 fixed effect</w:t>
                            </w:r>
                          </w:p>
                        </w:tc>
                        <w:tc>
                          <w:tcPr>
                            <w:tcW w:w="1120" w:type="dxa"/>
                            <w:tcBorders>
                              <w:top w:val="nil"/>
                              <w:left w:val="nil"/>
                              <w:bottom w:val="nil"/>
                              <w:right w:val="nil"/>
                            </w:tcBorders>
                            <w:shd w:val="clear" w:color="auto" w:fill="auto"/>
                            <w:noWrap/>
                            <w:vAlign w:val="bottom"/>
                            <w:hideMark/>
                          </w:tcPr>
                          <w:p w14:paraId="7015C99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0EE3451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3FDEC68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6073A301"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4F41356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r>
                      <w:tr w:rsidR="002C4F5D" w:rsidRPr="002C4F5D" w14:paraId="044D2143" w14:textId="77777777" w:rsidTr="002C4F5D">
                        <w:trPr>
                          <w:trHeight w:val="255"/>
                        </w:trPr>
                        <w:tc>
                          <w:tcPr>
                            <w:tcW w:w="3440" w:type="dxa"/>
                            <w:tcBorders>
                              <w:top w:val="nil"/>
                              <w:left w:val="nil"/>
                              <w:bottom w:val="nil"/>
                              <w:right w:val="nil"/>
                            </w:tcBorders>
                            <w:shd w:val="clear" w:color="auto" w:fill="auto"/>
                            <w:noWrap/>
                            <w:vAlign w:val="bottom"/>
                            <w:hideMark/>
                          </w:tcPr>
                          <w:p w14:paraId="12FC5B54"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SA4 trend</w:t>
                            </w:r>
                          </w:p>
                        </w:tc>
                        <w:tc>
                          <w:tcPr>
                            <w:tcW w:w="1120" w:type="dxa"/>
                            <w:tcBorders>
                              <w:top w:val="nil"/>
                              <w:left w:val="nil"/>
                              <w:bottom w:val="nil"/>
                              <w:right w:val="nil"/>
                            </w:tcBorders>
                            <w:shd w:val="clear" w:color="auto" w:fill="auto"/>
                            <w:noWrap/>
                            <w:vAlign w:val="bottom"/>
                            <w:hideMark/>
                          </w:tcPr>
                          <w:p w14:paraId="76486ABF"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53341B4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1107FA78" w14:textId="77777777" w:rsidR="002C4F5D" w:rsidRPr="002C4F5D" w:rsidRDefault="002C4F5D" w:rsidP="002C4F5D">
                            <w:pPr>
                              <w:spacing w:after="0"/>
                              <w:jc w:val="center"/>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7A20887C"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4D20F468"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r>
                      <w:tr w:rsidR="002C4F5D" w:rsidRPr="002C4F5D" w14:paraId="20F5CA75" w14:textId="77777777" w:rsidTr="002C4F5D">
                        <w:trPr>
                          <w:trHeight w:val="255"/>
                        </w:trPr>
                        <w:tc>
                          <w:tcPr>
                            <w:tcW w:w="3440" w:type="dxa"/>
                            <w:tcBorders>
                              <w:top w:val="nil"/>
                              <w:left w:val="nil"/>
                              <w:bottom w:val="nil"/>
                              <w:right w:val="nil"/>
                            </w:tcBorders>
                            <w:shd w:val="clear" w:color="auto" w:fill="auto"/>
                            <w:noWrap/>
                            <w:vAlign w:val="bottom"/>
                            <w:hideMark/>
                          </w:tcPr>
                          <w:p w14:paraId="1E01B4E6"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xml:space="preserve">State X Year fixed effect </w:t>
                            </w:r>
                          </w:p>
                        </w:tc>
                        <w:tc>
                          <w:tcPr>
                            <w:tcW w:w="1120" w:type="dxa"/>
                            <w:tcBorders>
                              <w:top w:val="nil"/>
                              <w:left w:val="nil"/>
                              <w:bottom w:val="nil"/>
                              <w:right w:val="nil"/>
                            </w:tcBorders>
                            <w:shd w:val="clear" w:color="auto" w:fill="auto"/>
                            <w:noWrap/>
                            <w:vAlign w:val="bottom"/>
                            <w:hideMark/>
                          </w:tcPr>
                          <w:p w14:paraId="42859FD1"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p>
                        </w:tc>
                        <w:tc>
                          <w:tcPr>
                            <w:tcW w:w="1120" w:type="dxa"/>
                            <w:tcBorders>
                              <w:top w:val="nil"/>
                              <w:left w:val="nil"/>
                              <w:bottom w:val="nil"/>
                              <w:right w:val="nil"/>
                            </w:tcBorders>
                            <w:shd w:val="clear" w:color="auto" w:fill="auto"/>
                            <w:noWrap/>
                            <w:vAlign w:val="bottom"/>
                            <w:hideMark/>
                          </w:tcPr>
                          <w:p w14:paraId="1B50DA9D" w14:textId="77777777" w:rsidR="002C4F5D" w:rsidRPr="002C4F5D" w:rsidRDefault="002C4F5D" w:rsidP="002C4F5D">
                            <w:pPr>
                              <w:spacing w:after="0"/>
                              <w:jc w:val="center"/>
                              <w:rPr>
                                <w:rFonts w:ascii="Times New Roman" w:eastAsia="Times New Roman" w:hAnsi="Times New Roman" w:cs="Times New Roman"/>
                                <w:color w:val="auto"/>
                                <w:sz w:val="20"/>
                                <w:szCs w:val="20"/>
                                <w:lang w:eastAsia="en-AU"/>
                              </w:rPr>
                            </w:pPr>
                          </w:p>
                        </w:tc>
                        <w:tc>
                          <w:tcPr>
                            <w:tcW w:w="1120" w:type="dxa"/>
                            <w:tcBorders>
                              <w:top w:val="nil"/>
                              <w:left w:val="nil"/>
                              <w:bottom w:val="nil"/>
                              <w:right w:val="nil"/>
                            </w:tcBorders>
                            <w:shd w:val="clear" w:color="auto" w:fill="auto"/>
                            <w:noWrap/>
                            <w:vAlign w:val="bottom"/>
                            <w:hideMark/>
                          </w:tcPr>
                          <w:p w14:paraId="07DF69A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20E5742E"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c>
                          <w:tcPr>
                            <w:tcW w:w="1120" w:type="dxa"/>
                            <w:tcBorders>
                              <w:top w:val="nil"/>
                              <w:left w:val="nil"/>
                              <w:bottom w:val="nil"/>
                              <w:right w:val="nil"/>
                            </w:tcBorders>
                            <w:shd w:val="clear" w:color="auto" w:fill="auto"/>
                            <w:noWrap/>
                            <w:vAlign w:val="bottom"/>
                            <w:hideMark/>
                          </w:tcPr>
                          <w:p w14:paraId="1DA6BEE3"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r>
                      <w:tr w:rsidR="002C4F5D" w:rsidRPr="002C4F5D" w14:paraId="5E02A96D" w14:textId="77777777" w:rsidTr="002C4F5D">
                        <w:trPr>
                          <w:trHeight w:val="270"/>
                        </w:trPr>
                        <w:tc>
                          <w:tcPr>
                            <w:tcW w:w="3440" w:type="dxa"/>
                            <w:tcBorders>
                              <w:top w:val="nil"/>
                              <w:left w:val="nil"/>
                              <w:bottom w:val="double" w:sz="6" w:space="0" w:color="auto"/>
                              <w:right w:val="nil"/>
                            </w:tcBorders>
                            <w:shd w:val="clear" w:color="auto" w:fill="auto"/>
                            <w:noWrap/>
                            <w:vAlign w:val="bottom"/>
                            <w:hideMark/>
                          </w:tcPr>
                          <w:p w14:paraId="1064A2A1" w14:textId="77777777" w:rsidR="002C4F5D" w:rsidRPr="002C4F5D" w:rsidRDefault="002C4F5D" w:rsidP="002C4F5D">
                            <w:pPr>
                              <w:spacing w:after="0"/>
                              <w:ind w:firstLineChars="100" w:firstLine="200"/>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SA4 time varying controls</w:t>
                            </w:r>
                          </w:p>
                        </w:tc>
                        <w:tc>
                          <w:tcPr>
                            <w:tcW w:w="1120" w:type="dxa"/>
                            <w:tcBorders>
                              <w:top w:val="nil"/>
                              <w:left w:val="nil"/>
                              <w:bottom w:val="double" w:sz="6" w:space="0" w:color="auto"/>
                              <w:right w:val="nil"/>
                            </w:tcBorders>
                            <w:shd w:val="clear" w:color="auto" w:fill="auto"/>
                            <w:noWrap/>
                            <w:vAlign w:val="bottom"/>
                            <w:hideMark/>
                          </w:tcPr>
                          <w:p w14:paraId="7FBFAFD5"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nil"/>
                              <w:left w:val="nil"/>
                              <w:bottom w:val="double" w:sz="6" w:space="0" w:color="auto"/>
                              <w:right w:val="nil"/>
                            </w:tcBorders>
                            <w:shd w:val="clear" w:color="auto" w:fill="auto"/>
                            <w:noWrap/>
                            <w:vAlign w:val="bottom"/>
                            <w:hideMark/>
                          </w:tcPr>
                          <w:p w14:paraId="77C98B2B"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nil"/>
                              <w:left w:val="nil"/>
                              <w:bottom w:val="double" w:sz="6" w:space="0" w:color="auto"/>
                              <w:right w:val="nil"/>
                            </w:tcBorders>
                            <w:shd w:val="clear" w:color="auto" w:fill="auto"/>
                            <w:noWrap/>
                            <w:vAlign w:val="bottom"/>
                            <w:hideMark/>
                          </w:tcPr>
                          <w:p w14:paraId="09ECD62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nil"/>
                              <w:left w:val="nil"/>
                              <w:bottom w:val="double" w:sz="6" w:space="0" w:color="auto"/>
                              <w:right w:val="nil"/>
                            </w:tcBorders>
                            <w:shd w:val="clear" w:color="auto" w:fill="auto"/>
                            <w:noWrap/>
                            <w:vAlign w:val="bottom"/>
                            <w:hideMark/>
                          </w:tcPr>
                          <w:p w14:paraId="5DE04E70"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 </w:t>
                            </w:r>
                          </w:p>
                        </w:tc>
                        <w:tc>
                          <w:tcPr>
                            <w:tcW w:w="1120" w:type="dxa"/>
                            <w:tcBorders>
                              <w:top w:val="nil"/>
                              <w:left w:val="nil"/>
                              <w:bottom w:val="double" w:sz="6" w:space="0" w:color="auto"/>
                              <w:right w:val="nil"/>
                            </w:tcBorders>
                            <w:shd w:val="clear" w:color="auto" w:fill="auto"/>
                            <w:noWrap/>
                            <w:vAlign w:val="bottom"/>
                            <w:hideMark/>
                          </w:tcPr>
                          <w:p w14:paraId="012E0857" w14:textId="77777777" w:rsidR="002C4F5D" w:rsidRPr="002C4F5D" w:rsidRDefault="002C4F5D" w:rsidP="002C4F5D">
                            <w:pPr>
                              <w:spacing w:after="0"/>
                              <w:jc w:val="center"/>
                              <w:rPr>
                                <w:rFonts w:ascii="Arial" w:eastAsia="Times New Roman" w:hAnsi="Arial" w:cs="Arial"/>
                                <w:color w:val="000000"/>
                                <w:sz w:val="20"/>
                                <w:szCs w:val="20"/>
                                <w:lang w:eastAsia="en-AU"/>
                              </w:rPr>
                            </w:pPr>
                            <w:r w:rsidRPr="002C4F5D">
                              <w:rPr>
                                <w:rFonts w:ascii="Arial" w:eastAsia="Times New Roman" w:hAnsi="Arial" w:cs="Arial"/>
                                <w:color w:val="000000"/>
                                <w:sz w:val="20"/>
                                <w:szCs w:val="20"/>
                                <w:lang w:eastAsia="en-AU"/>
                              </w:rPr>
                              <w:t>X</w:t>
                            </w:r>
                          </w:p>
                        </w:tc>
                      </w:tr>
                    </w:tbl>
                    <w:p w14:paraId="393E052F" w14:textId="5B63E409" w:rsidR="00DF77C5" w:rsidRPr="00275A2F" w:rsidRDefault="00DF77C5" w:rsidP="00697AED">
                      <w:pPr>
                        <w:pStyle w:val="ChartorTableNote"/>
                      </w:pPr>
                    </w:p>
                  </w:txbxContent>
                </v:textbox>
                <w10:wrap type="topAndBottom"/>
              </v:shape>
            </w:pict>
          </mc:Fallback>
        </mc:AlternateContent>
      </w:r>
      <w:r w:rsidRPr="00E91637">
        <w:rPr>
          <w:rStyle w:val="Caption1Char"/>
          <w:rFonts w:eastAsiaTheme="minorHAnsi"/>
        </w:rPr>
        <w:t>Table A2 – Power of employment transitions in predicting wages growth</w:t>
      </w:r>
    </w:p>
    <w:p w14:paraId="2224086C" w14:textId="77777777" w:rsidR="00B0289C" w:rsidRPr="00275A2F" w:rsidRDefault="00B0289C" w:rsidP="00B0289C">
      <w:pPr>
        <w:pStyle w:val="ChartorTableNote"/>
      </w:pPr>
      <w:r w:rsidRPr="00275A2F">
        <w:t>Note:</w:t>
      </w:r>
      <w:r>
        <w:t xml:space="preserve"> </w:t>
      </w:r>
      <w:r w:rsidRPr="00275A2F">
        <w:t xml:space="preserve">Presents estimates </w:t>
      </w:r>
      <w:r>
        <w:t xml:space="preserve">from equation (1): namely </w:t>
      </w:r>
      <w:r w:rsidRPr="00275A2F">
        <w:t>a weighted least squares regression of the natural logarithm of average wages in an SA4 in a given year on the job-to-job and unemployment to job transition rates and a set of control variables.</w:t>
      </w:r>
      <w:r>
        <w:t xml:space="preserve"> </w:t>
      </w:r>
      <w:r w:rsidRPr="00275A2F">
        <w:t>The control variables are as detailed above, noting that the SA4 time</w:t>
      </w:r>
      <w:r w:rsidRPr="00275A2F">
        <w:noBreakHyphen/>
        <w:t>varying controls include the unemployment rate, average number of weeks searching for a job, share of workers in each of 19 one-digit industry classifications based on the Australian Bureau of Statistics Labour Force Survey data and the average age and proportion female of the relevant sample (ABS 2018b; ABS 2018c).</w:t>
      </w:r>
      <w:r>
        <w:t xml:space="preserve"> </w:t>
      </w:r>
      <w:r w:rsidRPr="00275A2F">
        <w:t xml:space="preserve"> Standard errors in parentheses.</w:t>
      </w:r>
      <w:r>
        <w:t xml:space="preserve"> </w:t>
      </w:r>
      <w:r w:rsidRPr="00275A2F">
        <w:t>Significance levels are indicated as follows: * 10 per cent; ** 5 per cent; *** 1 per cent.</w:t>
      </w:r>
      <w:r>
        <w:rPr>
          <w:sz w:val="20"/>
        </w:rPr>
        <w:t xml:space="preserve"> </w:t>
      </w:r>
      <w:r w:rsidRPr="00275A2F">
        <w:br/>
        <w:t xml:space="preserve">Source: </w:t>
      </w:r>
      <w:r w:rsidRPr="00697AED">
        <w:t>Treasury</w:t>
      </w:r>
      <w:r w:rsidRPr="00275A2F">
        <w:t xml:space="preserve"> calculations using </w:t>
      </w:r>
      <w:r>
        <w:t xml:space="preserve">de-identified </w:t>
      </w:r>
      <w:r w:rsidRPr="00275A2F">
        <w:t>Pay-As-You-Go annual payment summaries, 2004-05 to 2015-16, and the Australian Taxation Office Longitudinal Information Files.</w:t>
      </w:r>
    </w:p>
    <w:p w14:paraId="6185CC7B" w14:textId="77777777" w:rsidR="00B0289C" w:rsidRDefault="00B0289C">
      <w:pPr>
        <w:spacing w:after="200" w:line="276" w:lineRule="auto"/>
      </w:pPr>
      <w:r>
        <w:br w:type="page"/>
      </w:r>
    </w:p>
    <w:p w14:paraId="4ABA85E8" w14:textId="19835994" w:rsidR="005B1962" w:rsidRDefault="005B1962" w:rsidP="005B1962">
      <w:pPr>
        <w:pStyle w:val="AppendixHeadingLevel2NotNumbered"/>
      </w:pPr>
      <w:r>
        <w:lastRenderedPageBreak/>
        <w:t>Appendix B: Additional Figures</w:t>
      </w:r>
    </w:p>
    <w:p w14:paraId="262FB257" w14:textId="3A4E135F" w:rsidR="005B1962" w:rsidRDefault="00973978" w:rsidP="00697AED">
      <w:pPr>
        <w:pStyle w:val="FigureHeading"/>
        <w:rPr>
          <w:sz w:val="20"/>
          <w:szCs w:val="20"/>
        </w:rPr>
      </w:pPr>
      <w:r>
        <w:rPr>
          <w:rStyle w:val="Caption1Char"/>
          <w:rFonts w:eastAsiaTheme="minorHAnsi"/>
        </w:rPr>
        <w:t xml:space="preserve">Figure </w:t>
      </w:r>
      <w:r w:rsidR="00A202B8">
        <w:rPr>
          <w:rStyle w:val="Caption1Char"/>
          <w:rFonts w:eastAsiaTheme="minorHAnsi"/>
        </w:rPr>
        <w:t>B</w:t>
      </w:r>
      <w:r>
        <w:rPr>
          <w:rStyle w:val="Caption1Char"/>
          <w:rFonts w:eastAsiaTheme="minorHAnsi"/>
        </w:rPr>
        <w:t>1</w:t>
      </w:r>
      <w:r w:rsidR="005B1962" w:rsidRPr="00773263">
        <w:rPr>
          <w:rStyle w:val="Caption1Char"/>
          <w:rFonts w:eastAsiaTheme="minorHAnsi"/>
        </w:rPr>
        <w:t xml:space="preserve">: </w:t>
      </w:r>
      <w:r w:rsidR="005B1962">
        <w:rPr>
          <w:rStyle w:val="Caption1Char"/>
          <w:rFonts w:eastAsiaTheme="minorHAnsi"/>
        </w:rPr>
        <w:t xml:space="preserve">Job switching rates by states and capital city status </w:t>
      </w:r>
    </w:p>
    <w:p w14:paraId="2A104160" w14:textId="3F1596FC" w:rsidR="005B1962" w:rsidRDefault="0091583D" w:rsidP="00697AED">
      <w:pPr>
        <w:pStyle w:val="ChartorTableNote"/>
      </w:pPr>
      <w:r>
        <w:rPr>
          <w:noProof/>
        </w:rPr>
        <w:drawing>
          <wp:inline distT="0" distB="0" distL="0" distR="0" wp14:anchorId="54DFD489" wp14:editId="0A7ED748">
            <wp:extent cx="5905500" cy="4295775"/>
            <wp:effectExtent l="0" t="0" r="0" b="9525"/>
            <wp:docPr id="20" name="Picture 20" descr="H:\MMPD\Models\Micro Data\Job switching and wages\1. Job switching and wages\Output\Charts\FIGB1_EE_states_c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MMPD\Models\Micro Data\Job switching and wages\1. Job switching and wages\Output\Charts\FIGB1_EE_states_cities.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05500" cy="4295775"/>
                    </a:xfrm>
                    <a:prstGeom prst="rect">
                      <a:avLst/>
                    </a:prstGeom>
                    <a:noFill/>
                    <a:ln>
                      <a:noFill/>
                    </a:ln>
                  </pic:spPr>
                </pic:pic>
              </a:graphicData>
            </a:graphic>
          </wp:inline>
        </w:drawing>
      </w:r>
      <w:r w:rsidR="005B1962" w:rsidRPr="00C33A4E">
        <w:t>Note:</w:t>
      </w:r>
      <w:r w:rsidR="005B1962">
        <w:t xml:space="preserve"> </w:t>
      </w:r>
      <w:r w:rsidR="000F168F">
        <w:t>Shows the job switching rate by states and capital city status.</w:t>
      </w:r>
      <w:r w:rsidR="005B1962">
        <w:t xml:space="preserve"> </w:t>
      </w:r>
      <w:r w:rsidR="005B1962">
        <w:br/>
      </w:r>
      <w:r w:rsidR="00DE7064">
        <w:t>Source: Treasury calculations using de-identified Pay-As-You-Go annual payment summaries, 2004-05 to 2015-16.</w:t>
      </w:r>
      <w:r w:rsidR="005B1962">
        <w:t xml:space="preserve"> </w:t>
      </w:r>
    </w:p>
    <w:p w14:paraId="17ABE517" w14:textId="38805D80" w:rsidR="00555278" w:rsidRDefault="00555278" w:rsidP="005B1962">
      <w:pPr>
        <w:jc w:val="both"/>
      </w:pPr>
    </w:p>
    <w:p w14:paraId="2F8FCF8B" w14:textId="3B19CB62" w:rsidR="00555278" w:rsidRDefault="00555278">
      <w:pPr>
        <w:spacing w:after="200" w:line="276" w:lineRule="auto"/>
      </w:pPr>
      <w:r>
        <w:br w:type="page"/>
      </w:r>
    </w:p>
    <w:p w14:paraId="373905E8" w14:textId="11CB8035" w:rsidR="00555278" w:rsidRDefault="00555278" w:rsidP="00555278">
      <w:pPr>
        <w:pStyle w:val="AppendixHeadingLevel2NotNumbered"/>
      </w:pPr>
      <w:r>
        <w:lastRenderedPageBreak/>
        <w:t>Appendix C: Demarcation of local labour markets</w:t>
      </w:r>
    </w:p>
    <w:p w14:paraId="608DA150" w14:textId="3BF758C2" w:rsidR="00555278" w:rsidRDefault="00555278" w:rsidP="00FD6D8B">
      <w:pPr>
        <w:jc w:val="both"/>
        <w:rPr>
          <w:lang w:val="en-US" w:eastAsia="en-AU"/>
        </w:rPr>
      </w:pPr>
      <w:r>
        <w:t>I</w:t>
      </w:r>
      <w:r w:rsidR="00190B72">
        <w:t xml:space="preserve">n this Appendix I </w:t>
      </w:r>
      <w:r>
        <w:t>conduct a series of tests exploring the boundaries of when and where job switching rates are most strongly associated with wages – to what extent do job switching rates from neighbouring years or locations matter?</w:t>
      </w:r>
      <w:r w:rsidR="00AC01E1">
        <w:t xml:space="preserve"> </w:t>
      </w:r>
      <w:r>
        <w:t xml:space="preserve"> </w:t>
      </w:r>
      <w:r>
        <w:rPr>
          <w:lang w:val="en-US" w:eastAsia="en-AU"/>
        </w:rPr>
        <w:t>This may lend further weight to the idea that the aggregate association between job switching and wages growth reflects an underlying causal mechanism – rather than persistent or slowly evolving differences in local labour markets.</w:t>
      </w:r>
      <w:r w:rsidR="00AC01E1">
        <w:rPr>
          <w:lang w:val="en-US" w:eastAsia="en-AU"/>
        </w:rPr>
        <w:t xml:space="preserve"> </w:t>
      </w:r>
      <w:r>
        <w:rPr>
          <w:lang w:val="en-US" w:eastAsia="en-AU"/>
        </w:rPr>
        <w:t xml:space="preserve">I focus on the association between job switching rates and the wages growth of those remaining in their jobs. </w:t>
      </w:r>
    </w:p>
    <w:p w14:paraId="34725AF2" w14:textId="4E6655A4" w:rsidR="00555278" w:rsidRDefault="00555278" w:rsidP="00FD6D8B">
      <w:pPr>
        <w:jc w:val="both"/>
        <w:rPr>
          <w:lang w:val="en-US" w:eastAsia="en-AU"/>
        </w:rPr>
      </w:pPr>
      <w:r>
        <w:rPr>
          <w:lang w:val="en-US" w:eastAsia="en-AU"/>
        </w:rPr>
        <w:t>In the first instance, I repeat the earlier regression with the full set of controls (Table 2, Panel C, column (</w:t>
      </w:r>
      <w:r w:rsidR="009D7DAF">
        <w:rPr>
          <w:lang w:val="en-US" w:eastAsia="en-AU"/>
        </w:rPr>
        <w:t>5</w:t>
      </w:r>
      <w:r>
        <w:rPr>
          <w:lang w:val="en-US" w:eastAsia="en-AU"/>
        </w:rPr>
        <w:t xml:space="preserve">)), but use the job switching from t years ahead, </w:t>
      </w:r>
      <w:r w:rsidRPr="00BD7873">
        <w:t>with t</w:t>
      </w:r>
      <w:r>
        <w:t>=</w:t>
      </w:r>
      <w:r w:rsidRPr="00BD7873">
        <w:t>{-2,-</w:t>
      </w:r>
      <w:r>
        <w:rPr>
          <w:lang w:val="en-US" w:eastAsia="en-AU"/>
        </w:rPr>
        <w:t>1,0,2,1}.</w:t>
      </w:r>
      <w:r w:rsidR="00AC01E1">
        <w:rPr>
          <w:lang w:val="en-US" w:eastAsia="en-AU"/>
        </w:rPr>
        <w:t xml:space="preserve"> </w:t>
      </w:r>
      <w:r>
        <w:rPr>
          <w:lang w:val="en-US" w:eastAsia="en-AU"/>
        </w:rPr>
        <w:t>The resulting coefficients on the job switching rates are in the left panel of Figure 5.</w:t>
      </w:r>
      <w:r w:rsidR="00AC01E1">
        <w:rPr>
          <w:lang w:val="en-US" w:eastAsia="en-AU"/>
        </w:rPr>
        <w:t xml:space="preserve"> </w:t>
      </w:r>
      <w:r>
        <w:rPr>
          <w:lang w:val="en-US" w:eastAsia="en-AU"/>
        </w:rPr>
        <w:t>The association between the job switching rate and wages growth in a given year is driven by the job switching rate in the year in question – higher job switching rates from neighbouring years are not associated with higher wages growth.</w:t>
      </w:r>
      <w:r w:rsidR="00AC01E1">
        <w:rPr>
          <w:lang w:val="en-US" w:eastAsia="en-AU"/>
        </w:rPr>
        <w:t xml:space="preserve"> </w:t>
      </w:r>
      <w:r>
        <w:rPr>
          <w:lang w:val="en-US" w:eastAsia="en-AU"/>
        </w:rPr>
        <w:t xml:space="preserve"> This makes it clear the association between job switching and wages growth is not driven by persistent or slowly evolving differences across local labour markets.</w:t>
      </w:r>
      <w:r w:rsidR="00AC01E1">
        <w:rPr>
          <w:lang w:val="en-US" w:eastAsia="en-AU"/>
        </w:rPr>
        <w:t xml:space="preserve"> </w:t>
      </w:r>
    </w:p>
    <w:p w14:paraId="2217CA6F" w14:textId="46F059F5" w:rsidR="00555278" w:rsidRDefault="002047DE" w:rsidP="00697AED">
      <w:pPr>
        <w:pStyle w:val="FigureHeading"/>
        <w:rPr>
          <w:sz w:val="20"/>
          <w:szCs w:val="20"/>
        </w:rPr>
      </w:pPr>
      <w:r>
        <w:rPr>
          <w:rStyle w:val="Caption1Char"/>
          <w:rFonts w:eastAsiaTheme="minorHAnsi"/>
        </w:rPr>
        <w:t>Figure C1</w:t>
      </w:r>
      <w:r w:rsidR="00555278" w:rsidRPr="00773263">
        <w:rPr>
          <w:rStyle w:val="Caption1Char"/>
          <w:rFonts w:eastAsiaTheme="minorHAnsi"/>
        </w:rPr>
        <w:t xml:space="preserve">: </w:t>
      </w:r>
      <w:r w:rsidR="00555278">
        <w:rPr>
          <w:rStyle w:val="Caption1Char"/>
          <w:rFonts w:eastAsiaTheme="minorHAnsi"/>
        </w:rPr>
        <w:t xml:space="preserve">Demarcation of local labour markets </w:t>
      </w:r>
    </w:p>
    <w:p w14:paraId="05BDD9F9" w14:textId="646FC1D7" w:rsidR="00555278" w:rsidRPr="00015D27" w:rsidRDefault="002C4F5D" w:rsidP="00697AED">
      <w:pPr>
        <w:pStyle w:val="ChartorTableNote"/>
        <w:rPr>
          <w:sz w:val="20"/>
        </w:rPr>
      </w:pPr>
      <w:r>
        <w:rPr>
          <w:noProof/>
        </w:rPr>
        <w:drawing>
          <wp:inline distT="0" distB="0" distL="0" distR="0" wp14:anchorId="0F473D3A" wp14:editId="5E57AC09">
            <wp:extent cx="5905500" cy="4295775"/>
            <wp:effectExtent l="0" t="0" r="0" b="9525"/>
            <wp:docPr id="11" name="Picture 11" descr="H:\MMPD\Models\Micro Data\Job switching and wages\1. Job switching and wages\Output\Charts\FIGC1_demar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MPD\Models\Micro Data\Job switching and wages\1. Job switching and wages\Output\Charts\FIGC1_demarcations.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05500" cy="4295775"/>
                    </a:xfrm>
                    <a:prstGeom prst="rect">
                      <a:avLst/>
                    </a:prstGeom>
                    <a:noFill/>
                    <a:ln>
                      <a:noFill/>
                    </a:ln>
                  </pic:spPr>
                </pic:pic>
              </a:graphicData>
            </a:graphic>
          </wp:inline>
        </w:drawing>
      </w:r>
      <w:r w:rsidR="00555278" w:rsidRPr="00275A2F">
        <w:t>Note:</w:t>
      </w:r>
      <w:r w:rsidR="00AC01E1">
        <w:t xml:space="preserve"> </w:t>
      </w:r>
      <w:r w:rsidR="00555278" w:rsidRPr="00275A2F">
        <w:t>Presents estimated coefficients on job switching (and 95 per cent confidence intervals) from equation (1): a weighted least squares regression of the change in the natural logarithm of average wages in an SA4 in a given year on the job-to-job and unemployment-to-job transition rates and a set of control variables – with varying definitions of the job-to-job transition rate.</w:t>
      </w:r>
      <w:r w:rsidR="00AC01E1">
        <w:t xml:space="preserve"> </w:t>
      </w:r>
      <w:r w:rsidR="00555278" w:rsidRPr="00275A2F">
        <w:t>The job-to-job transition rate is measured in either a neighbouring year (left panel) or over a larger catchment area (right panel).</w:t>
      </w:r>
      <w:r w:rsidR="00AC01E1">
        <w:t xml:space="preserve"> </w:t>
      </w:r>
      <w:r w:rsidR="00555278" w:rsidRPr="00275A2F">
        <w:t>The control variables include: SA4 fixed effects and trends; state interacted with year fixed effects; and SA4 time</w:t>
      </w:r>
      <w:r w:rsidR="00555278" w:rsidRPr="00275A2F">
        <w:noBreakHyphen/>
        <w:t xml:space="preserve">varying controls including the unemployment rate, average number of weeks searching for a job, share of workers in each of 19 one-digit industry classifications based on the Australian </w:t>
      </w:r>
      <w:r w:rsidR="00555278" w:rsidRPr="00697AED">
        <w:t>Bureau</w:t>
      </w:r>
      <w:r w:rsidR="00555278" w:rsidRPr="00275A2F">
        <w:t xml:space="preserve"> of Statistics Labour Force Survey data and the average age and proportion female of the relevant sample (ABS 2018b; ABS 2018c).</w:t>
      </w:r>
      <w:r w:rsidR="00AC01E1">
        <w:t xml:space="preserve"> </w:t>
      </w:r>
      <w:r w:rsidR="00555278" w:rsidRPr="00275A2F">
        <w:t xml:space="preserve"> </w:t>
      </w:r>
      <w:r w:rsidR="00555278" w:rsidRPr="00275A2F">
        <w:br/>
        <w:t xml:space="preserve">Source: </w:t>
      </w:r>
      <w:r w:rsidR="00DE7064">
        <w:t xml:space="preserve">Treasury calculations </w:t>
      </w:r>
      <w:r w:rsidR="00DE7064" w:rsidRPr="00697AED">
        <w:t>using</w:t>
      </w:r>
      <w:r w:rsidR="00DE7064">
        <w:t xml:space="preserve"> de-identified Pay-As-You-Go annual payment summaries, 2004-05 to 2015-16, and the Australian Taxation Office Longitudinal Information Files.</w:t>
      </w:r>
    </w:p>
    <w:p w14:paraId="5F5FCA2C" w14:textId="73084B02" w:rsidR="00555278" w:rsidRDefault="00555278" w:rsidP="00FD6D8B">
      <w:pPr>
        <w:jc w:val="both"/>
        <w:rPr>
          <w:lang w:val="en-US" w:eastAsia="en-AU"/>
        </w:rPr>
      </w:pPr>
      <w:r>
        <w:rPr>
          <w:lang w:val="en-US" w:eastAsia="en-AU"/>
        </w:rPr>
        <w:lastRenderedPageBreak/>
        <w:t>I now conduct a similar exercise, but instead draw in job</w:t>
      </w:r>
      <w:r w:rsidR="009D7DAF">
        <w:rPr>
          <w:lang w:val="en-US" w:eastAsia="en-AU"/>
        </w:rPr>
        <w:t>-</w:t>
      </w:r>
      <w:r>
        <w:rPr>
          <w:lang w:val="en-US" w:eastAsia="en-AU"/>
        </w:rPr>
        <w:t>switching rates from increasingly large geographic areas.</w:t>
      </w:r>
      <w:r w:rsidR="00AC01E1">
        <w:rPr>
          <w:lang w:val="en-US" w:eastAsia="en-AU"/>
        </w:rPr>
        <w:t xml:space="preserve"> </w:t>
      </w:r>
      <w:r>
        <w:rPr>
          <w:lang w:val="en-US" w:eastAsia="en-AU"/>
        </w:rPr>
        <w:t>I calculate the job</w:t>
      </w:r>
      <w:r w:rsidR="009D7DAF">
        <w:rPr>
          <w:lang w:val="en-US" w:eastAsia="en-AU"/>
        </w:rPr>
        <w:t>-</w:t>
      </w:r>
      <w:r>
        <w:rPr>
          <w:lang w:val="en-US" w:eastAsia="en-AU"/>
        </w:rPr>
        <w:t xml:space="preserve">switching rate across all SA4 within 0, 25, 50, 75 or 100km </w:t>
      </w:r>
      <w:r w:rsidR="000805B4">
        <w:rPr>
          <w:lang w:val="en-US" w:eastAsia="en-AU"/>
        </w:rPr>
        <w:t>an</w:t>
      </w:r>
      <w:r>
        <w:rPr>
          <w:lang w:val="en-US" w:eastAsia="en-AU"/>
        </w:rPr>
        <w:t xml:space="preserve"> SA4 (based on SA4 centroids) and look at the association between this job switching rate and wages growth.</w:t>
      </w:r>
      <w:r w:rsidR="00AC01E1">
        <w:rPr>
          <w:lang w:val="en-US" w:eastAsia="en-AU"/>
        </w:rPr>
        <w:t xml:space="preserve"> </w:t>
      </w:r>
      <w:r>
        <w:rPr>
          <w:lang w:val="en-US" w:eastAsia="en-AU"/>
        </w:rPr>
        <w:t xml:space="preserve">The association initially </w:t>
      </w:r>
      <w:r w:rsidR="007D7857">
        <w:rPr>
          <w:lang w:val="en-US" w:eastAsia="en-AU"/>
        </w:rPr>
        <w:t>holds steady</w:t>
      </w:r>
      <w:r>
        <w:rPr>
          <w:lang w:val="en-US" w:eastAsia="en-AU"/>
        </w:rPr>
        <w:t xml:space="preserve">, and then gradually </w:t>
      </w:r>
      <w:r w:rsidR="003C1BA2">
        <w:rPr>
          <w:lang w:val="en-US" w:eastAsia="en-AU"/>
        </w:rPr>
        <w:t>weakens (right panel of Figure C1</w:t>
      </w:r>
      <w:r>
        <w:rPr>
          <w:lang w:val="en-US" w:eastAsia="en-AU"/>
        </w:rPr>
        <w:t>).</w:t>
      </w:r>
      <w:r w:rsidR="00AC01E1">
        <w:rPr>
          <w:lang w:val="en-US" w:eastAsia="en-AU"/>
        </w:rPr>
        <w:t xml:space="preserve"> </w:t>
      </w:r>
      <w:r>
        <w:rPr>
          <w:lang w:val="en-US" w:eastAsia="en-AU"/>
        </w:rPr>
        <w:t>This is perhaps not surprising – given the large numbers of people who commute across SA4 (Cooper and Corcoran 2018)</w:t>
      </w:r>
      <w:r w:rsidR="00DE1632">
        <w:rPr>
          <w:lang w:val="en-US" w:eastAsia="en-AU"/>
        </w:rPr>
        <w:t>,</w:t>
      </w:r>
      <w:r>
        <w:rPr>
          <w:lang w:val="en-US" w:eastAsia="en-AU"/>
        </w:rPr>
        <w:t xml:space="preserve"> these slightly larger geographic regions may </w:t>
      </w:r>
      <w:r w:rsidR="007D7857">
        <w:rPr>
          <w:lang w:val="en-US" w:eastAsia="en-AU"/>
        </w:rPr>
        <w:t>still provide an accurate</w:t>
      </w:r>
      <w:r>
        <w:rPr>
          <w:lang w:val="en-US" w:eastAsia="en-AU"/>
        </w:rPr>
        <w:t xml:space="preserve"> measure of the outside offers that matter for wage bargaining.</w:t>
      </w:r>
    </w:p>
    <w:p w14:paraId="679C37CE" w14:textId="77777777" w:rsidR="00555278" w:rsidRPr="008627B1" w:rsidRDefault="00555278" w:rsidP="00FD6D8B">
      <w:pPr>
        <w:jc w:val="both"/>
      </w:pPr>
    </w:p>
    <w:sectPr w:rsidR="00555278" w:rsidRPr="008627B1" w:rsidSect="008C0793">
      <w:headerReference w:type="even" r:id="rId51"/>
      <w:headerReference w:type="default" r:id="rId52"/>
      <w:headerReference w:type="first" r:id="rId53"/>
      <w:footerReference w:type="first" r:id="rId54"/>
      <w:pgSz w:w="11906" w:h="16838" w:code="9"/>
      <w:pgMar w:top="1418" w:right="1304" w:bottom="1418" w:left="130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9E295" w14:textId="77777777" w:rsidR="00DF77C5" w:rsidRDefault="00DF77C5" w:rsidP="005F100C">
      <w:pPr>
        <w:spacing w:after="0"/>
      </w:pPr>
      <w:r>
        <w:separator/>
      </w:r>
    </w:p>
  </w:endnote>
  <w:endnote w:type="continuationSeparator" w:id="0">
    <w:p w14:paraId="664D146B" w14:textId="77777777" w:rsidR="00DF77C5" w:rsidRDefault="00DF77C5" w:rsidP="005F100C">
      <w:pPr>
        <w:spacing w:after="0"/>
      </w:pPr>
      <w:r>
        <w:continuationSeparator/>
      </w:r>
    </w:p>
  </w:endnote>
  <w:endnote w:type="continuationNotice" w:id="1">
    <w:p w14:paraId="65AB9814" w14:textId="77777777" w:rsidR="00DF77C5" w:rsidRDefault="00DF77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881D6" w14:textId="77777777" w:rsidR="00DF77C5" w:rsidRDefault="00DF77C5"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2</w:t>
    </w:r>
    <w:r w:rsidRPr="00365C6D">
      <w:rPr>
        <w:rStyle w:val="PageNumber"/>
      </w:rPr>
      <w:fldChar w:fldCharType="end"/>
    </w:r>
  </w:p>
  <w:p w14:paraId="2339AD16" w14:textId="61491AE6" w:rsidR="00DF77C5" w:rsidRPr="00365C6D" w:rsidRDefault="00DF77C5" w:rsidP="00F60530">
    <w:pPr>
      <w:pStyle w:val="SecurityClassification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9418" w14:textId="6F4C2D1A" w:rsidR="00DF77C5" w:rsidRPr="00365C6D" w:rsidRDefault="00DF77C5" w:rsidP="00610AB8">
    <w:pPr>
      <w:pStyle w:val="SecurityClassificationHeader"/>
    </w:pPr>
    <w:r>
      <w:fldChar w:fldCharType="begin"/>
    </w:r>
    <w:r>
      <w:instrText xml:space="preserve"> DOCPROPERTY WorkingDocStatus \* MERGEFORMAT </w:instrText>
    </w:r>
    <w:r>
      <w:fldChar w:fldCharType="end"/>
    </w:r>
    <w:r>
      <w:t xml:space="preserve"> – NOT FOR DISTRIBUTION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B46E5" w14:textId="77777777" w:rsidR="00094914" w:rsidRDefault="000949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25922"/>
      <w:docPartObj>
        <w:docPartGallery w:val="Page Numbers (Bottom of Page)"/>
        <w:docPartUnique/>
      </w:docPartObj>
    </w:sdtPr>
    <w:sdtEndPr>
      <w:rPr>
        <w:noProof/>
      </w:rPr>
    </w:sdtEndPr>
    <w:sdtContent>
      <w:p w14:paraId="27B33449" w14:textId="2B53493D" w:rsidR="00DF77C5" w:rsidRPr="00621D02" w:rsidRDefault="00621D02" w:rsidP="00621D02">
        <w:pPr>
          <w:pStyle w:val="Footer"/>
        </w:pPr>
        <w:r w:rsidRPr="00621D02">
          <w:rPr>
            <w:rStyle w:val="PageNumber"/>
          </w:rPr>
          <w:fldChar w:fldCharType="begin"/>
        </w:r>
        <w:r w:rsidRPr="00621D02">
          <w:rPr>
            <w:rStyle w:val="PageNumber"/>
          </w:rPr>
          <w:instrText xml:space="preserve"> PAGE   \* MERGEFORMAT </w:instrText>
        </w:r>
        <w:r w:rsidRPr="00621D02">
          <w:rPr>
            <w:rStyle w:val="PageNumber"/>
          </w:rPr>
          <w:fldChar w:fldCharType="separate"/>
        </w:r>
        <w:r w:rsidR="00540CA6">
          <w:rPr>
            <w:rStyle w:val="PageNumber"/>
            <w:noProof/>
          </w:rPr>
          <w:t>18</w:t>
        </w:r>
        <w:r w:rsidRPr="00621D02">
          <w:rPr>
            <w:rStyle w:val="PageNumber"/>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892884"/>
      <w:docPartObj>
        <w:docPartGallery w:val="Page Numbers (Bottom of Page)"/>
        <w:docPartUnique/>
      </w:docPartObj>
    </w:sdtPr>
    <w:sdtEndPr>
      <w:rPr>
        <w:noProof/>
      </w:rPr>
    </w:sdtEndPr>
    <w:sdtContent>
      <w:p w14:paraId="10895D8A" w14:textId="7EF633F7" w:rsidR="00DF77C5" w:rsidRPr="00621D02" w:rsidRDefault="00621D02" w:rsidP="00621D02">
        <w:pPr>
          <w:pStyle w:val="Footer"/>
          <w:rPr>
            <w:rStyle w:val="PageNumber"/>
            <w:rFonts w:ascii="Arial" w:hAnsi="Arial"/>
            <w:color w:val="003157"/>
            <w:sz w:val="18"/>
          </w:rPr>
        </w:pPr>
        <w:r w:rsidRPr="00621D02">
          <w:rPr>
            <w:rStyle w:val="PageNumber"/>
          </w:rPr>
          <w:fldChar w:fldCharType="begin"/>
        </w:r>
        <w:r w:rsidRPr="00621D02">
          <w:rPr>
            <w:rStyle w:val="PageNumber"/>
          </w:rPr>
          <w:instrText xml:space="preserve"> PAGE   \* MERGEFORMAT </w:instrText>
        </w:r>
        <w:r w:rsidRPr="00621D02">
          <w:rPr>
            <w:rStyle w:val="PageNumber"/>
          </w:rPr>
          <w:fldChar w:fldCharType="separate"/>
        </w:r>
        <w:r w:rsidR="00540CA6">
          <w:rPr>
            <w:rStyle w:val="PageNumber"/>
            <w:noProof/>
          </w:rPr>
          <w:t>1</w:t>
        </w:r>
        <w:r w:rsidRPr="00621D02">
          <w:rPr>
            <w:rStyle w:val="PageNumber"/>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934119"/>
      <w:docPartObj>
        <w:docPartGallery w:val="Page Numbers (Bottom of Page)"/>
        <w:docPartUnique/>
      </w:docPartObj>
    </w:sdtPr>
    <w:sdtEndPr>
      <w:rPr>
        <w:noProof/>
      </w:rPr>
    </w:sdtEndPr>
    <w:sdtContent>
      <w:p w14:paraId="38D1AC43" w14:textId="3F31FB91" w:rsidR="00DF77C5" w:rsidRPr="00621D02" w:rsidRDefault="00621D02" w:rsidP="00621D02">
        <w:pPr>
          <w:pStyle w:val="Footer"/>
          <w:rPr>
            <w:rStyle w:val="PageNumber"/>
            <w:rFonts w:ascii="Arial" w:hAnsi="Arial"/>
            <w:color w:val="003157"/>
            <w:sz w:val="18"/>
          </w:rPr>
        </w:pPr>
        <w:r w:rsidRPr="00621D02">
          <w:rPr>
            <w:rStyle w:val="PageNumber"/>
          </w:rPr>
          <w:fldChar w:fldCharType="begin"/>
        </w:r>
        <w:r w:rsidRPr="00621D02">
          <w:rPr>
            <w:rStyle w:val="PageNumber"/>
          </w:rPr>
          <w:instrText xml:space="preserve"> PAGE   \* MERGEFORMAT </w:instrText>
        </w:r>
        <w:r w:rsidRPr="00621D02">
          <w:rPr>
            <w:rStyle w:val="PageNumber"/>
          </w:rPr>
          <w:fldChar w:fldCharType="separate"/>
        </w:r>
        <w:r w:rsidR="00540CA6">
          <w:rPr>
            <w:rStyle w:val="PageNumber"/>
            <w:noProof/>
          </w:rPr>
          <w:t>8</w:t>
        </w:r>
        <w:r w:rsidRPr="00621D02">
          <w:rPr>
            <w:rStyle w:val="PageNumber"/>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50F71" w14:textId="77777777" w:rsidR="00DF77C5" w:rsidRDefault="00DF77C5"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6</w:t>
    </w:r>
    <w:r w:rsidRPr="00365C6D">
      <w:rPr>
        <w:rStyle w:val="PageNumber"/>
      </w:rPr>
      <w:fldChar w:fldCharType="end"/>
    </w:r>
  </w:p>
  <w:p w14:paraId="212E23B1" w14:textId="1E59425D" w:rsidR="00DF77C5" w:rsidRPr="00A57848" w:rsidRDefault="00DF77C5" w:rsidP="00A57848">
    <w:pPr>
      <w:pStyle w:val="SecurityClassificationFooter"/>
      <w:rPr>
        <w:rStyle w:val="PageNumber"/>
        <w:color w:val="002B54" w:themeColor="accent1"/>
        <w:sz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490793"/>
      <w:docPartObj>
        <w:docPartGallery w:val="Page Numbers (Bottom of Page)"/>
        <w:docPartUnique/>
      </w:docPartObj>
    </w:sdtPr>
    <w:sdtEndPr>
      <w:rPr>
        <w:noProof/>
      </w:rPr>
    </w:sdtEndPr>
    <w:sdtContent>
      <w:p w14:paraId="329F805E" w14:textId="268DC53B" w:rsidR="00DF77C5" w:rsidRPr="0012112D" w:rsidRDefault="00621D02" w:rsidP="00621D02">
        <w:pPr>
          <w:pStyle w:val="Footer"/>
          <w:rPr>
            <w:rStyle w:val="PageNumber"/>
            <w:rFonts w:ascii="Arial" w:hAnsi="Arial"/>
            <w:color w:val="003157"/>
            <w:sz w:val="18"/>
          </w:rPr>
        </w:pPr>
        <w:r w:rsidRPr="00621D02">
          <w:rPr>
            <w:rStyle w:val="PageNumber"/>
          </w:rPr>
          <w:fldChar w:fldCharType="begin"/>
        </w:r>
        <w:r w:rsidRPr="00621D02">
          <w:rPr>
            <w:rStyle w:val="PageNumber"/>
          </w:rPr>
          <w:instrText xml:space="preserve"> PAGE   \* MERGEFORMAT </w:instrText>
        </w:r>
        <w:r w:rsidRPr="00621D02">
          <w:rPr>
            <w:rStyle w:val="PageNumber"/>
          </w:rPr>
          <w:fldChar w:fldCharType="separate"/>
        </w:r>
        <w:r w:rsidR="00540CA6">
          <w:rPr>
            <w:rStyle w:val="PageNumber"/>
            <w:noProof/>
          </w:rPr>
          <w:t>17</w:t>
        </w:r>
        <w:r w:rsidRPr="00621D02">
          <w:rPr>
            <w:rStyle w:val="PageNumber"/>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00110"/>
      <w:docPartObj>
        <w:docPartGallery w:val="Page Numbers (Bottom of Page)"/>
        <w:docPartUnique/>
      </w:docPartObj>
    </w:sdtPr>
    <w:sdtEndPr>
      <w:rPr>
        <w:noProof/>
      </w:rPr>
    </w:sdtEndPr>
    <w:sdtContent>
      <w:p w14:paraId="1EFC5ED6" w14:textId="4BC52ED2" w:rsidR="00DF77C5" w:rsidRPr="00621D02" w:rsidRDefault="00621D02" w:rsidP="00621D02">
        <w:pPr>
          <w:pStyle w:val="Footer"/>
          <w:rPr>
            <w:rStyle w:val="PageNumber"/>
            <w:rFonts w:ascii="Arial" w:hAnsi="Arial"/>
            <w:color w:val="003157"/>
            <w:sz w:val="18"/>
          </w:rPr>
        </w:pPr>
        <w:r w:rsidRPr="00621D02">
          <w:rPr>
            <w:rStyle w:val="PageNumber"/>
          </w:rPr>
          <w:fldChar w:fldCharType="begin"/>
        </w:r>
        <w:r w:rsidRPr="00621D02">
          <w:rPr>
            <w:rStyle w:val="PageNumber"/>
          </w:rPr>
          <w:instrText xml:space="preserve"> PAGE   \* MERGEFORMAT </w:instrText>
        </w:r>
        <w:r w:rsidRPr="00621D02">
          <w:rPr>
            <w:rStyle w:val="PageNumber"/>
          </w:rPr>
          <w:fldChar w:fldCharType="separate"/>
        </w:r>
        <w:r w:rsidR="00540CA6">
          <w:rPr>
            <w:rStyle w:val="PageNumber"/>
            <w:noProof/>
          </w:rPr>
          <w:t>19</w:t>
        </w:r>
        <w:r w:rsidRPr="00621D02">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3ADA4" w14:textId="77777777" w:rsidR="00DF77C5" w:rsidRDefault="00DF77C5" w:rsidP="005F100C">
      <w:pPr>
        <w:spacing w:after="0"/>
      </w:pPr>
      <w:r>
        <w:separator/>
      </w:r>
    </w:p>
  </w:footnote>
  <w:footnote w:type="continuationSeparator" w:id="0">
    <w:p w14:paraId="5FDCB99D" w14:textId="77777777" w:rsidR="00DF77C5" w:rsidRDefault="00DF77C5" w:rsidP="005F100C">
      <w:pPr>
        <w:spacing w:after="0"/>
      </w:pPr>
      <w:r>
        <w:continuationSeparator/>
      </w:r>
    </w:p>
  </w:footnote>
  <w:footnote w:type="continuationNotice" w:id="1">
    <w:p w14:paraId="219AF51B" w14:textId="77777777" w:rsidR="00DF77C5" w:rsidRDefault="00DF77C5">
      <w:pPr>
        <w:spacing w:after="0"/>
      </w:pPr>
    </w:p>
  </w:footnote>
  <w:footnote w:id="2">
    <w:p w14:paraId="14161532" w14:textId="2FDE675C" w:rsidR="00DF77C5" w:rsidRPr="00614F35" w:rsidRDefault="00DF77C5" w:rsidP="00697AED">
      <w:pPr>
        <w:pStyle w:val="FootnoteText"/>
      </w:pPr>
      <w:r w:rsidRPr="000464B6">
        <w:rPr>
          <w:rStyle w:val="FootnoteReference"/>
          <w:vertAlign w:val="baseline"/>
        </w:rPr>
        <w:footnoteRef/>
      </w:r>
      <w:r w:rsidRPr="000464B6">
        <w:t xml:space="preserve"> </w:t>
      </w:r>
      <w:r>
        <w:tab/>
      </w:r>
      <w:r w:rsidRPr="00697AED">
        <w:t>Macroeconomic</w:t>
      </w:r>
      <w:r>
        <w:t xml:space="preserve"> Group, The Treasury, Langton Crescent, Parkes ACT 2600, </w:t>
      </w:r>
      <w:r w:rsidRPr="006B4A87">
        <w:t xml:space="preserve">Australia. Correspondence: </w:t>
      </w:r>
      <w:r>
        <w:t xml:space="preserve">Nathan Deutscher, </w:t>
      </w:r>
      <w:hyperlink r:id="rId1" w:history="1">
        <w:r w:rsidRPr="00A6141F">
          <w:rPr>
            <w:rStyle w:val="Hyperlink"/>
          </w:rPr>
          <w:t>nathan.deutscher@treasury.gov.au</w:t>
        </w:r>
      </w:hyperlink>
      <w:r>
        <w:t>. I</w:t>
      </w:r>
      <w:r w:rsidRPr="00614F35">
        <w:t xml:space="preserve"> thank</w:t>
      </w:r>
      <w:r>
        <w:t xml:space="preserve"> Dan Andrews, Robert Breunig, Jonathan Hambur, Meghan Quinn, Luke Willard, Thomas Williamson and seminar participants at the Treasury and Reserve Bank of Australia for helpful suggestions</w:t>
      </w:r>
      <w:r w:rsidRPr="00614F35">
        <w:t>.</w:t>
      </w:r>
    </w:p>
  </w:footnote>
  <w:footnote w:id="3">
    <w:p w14:paraId="2E37E79F" w14:textId="191CFF04" w:rsidR="00DF77C5" w:rsidRDefault="00DF77C5" w:rsidP="00F012EA">
      <w:pPr>
        <w:pStyle w:val="FootnoteText"/>
      </w:pPr>
      <w:r w:rsidRPr="000464B6">
        <w:rPr>
          <w:rStyle w:val="FootnoteReference"/>
          <w:vertAlign w:val="baseline"/>
        </w:rPr>
        <w:footnoteRef/>
      </w:r>
      <w:r w:rsidRPr="000464B6">
        <w:t xml:space="preserve"> </w:t>
      </w:r>
      <w:r>
        <w:tab/>
        <w:t>The views expressed in this paper are those of the author and do not necessarily reflect those of The Australian Treasury or the Australian Government.</w:t>
      </w:r>
    </w:p>
    <w:p w14:paraId="31BD8B0A" w14:textId="77777777" w:rsidR="00DF77C5" w:rsidRDefault="00DF77C5" w:rsidP="00F012EA">
      <w:pPr>
        <w:pStyle w:val="FootnoteText"/>
      </w:pPr>
    </w:p>
  </w:footnote>
  <w:footnote w:id="4">
    <w:p w14:paraId="4B7D67EE" w14:textId="6A9EE268" w:rsidR="00DF77C5" w:rsidRDefault="00DF77C5">
      <w:pPr>
        <w:pStyle w:val="FootnoteText"/>
      </w:pPr>
      <w:r w:rsidRPr="00697AED">
        <w:rPr>
          <w:rStyle w:val="FootnoteReference"/>
          <w:vertAlign w:val="baseline"/>
        </w:rPr>
        <w:footnoteRef/>
      </w:r>
      <w:r w:rsidRPr="00697AED">
        <w:t xml:space="preserve"> </w:t>
      </w:r>
      <w:r>
        <w:tab/>
        <w:t>See the recent speech by Andrew Haldane (Chief Economist at the Bank of England) (Haldane 2019) ‘Climbing the Jobs Ladder’.  The link between job-to-job transition rates and wages has also featured in the speeches and research of central banks in the United States (Faberman and Justiniano 2015; Karahan et al 2017), New Zealand (Karagedikli 2018) and Australia (Lowe 2017).</w:t>
      </w:r>
    </w:p>
  </w:footnote>
  <w:footnote w:id="5">
    <w:p w14:paraId="7B26A4F1" w14:textId="2AC7FDAD" w:rsidR="00DF77C5" w:rsidRDefault="00DF77C5" w:rsidP="00EE304B">
      <w:pPr>
        <w:pStyle w:val="FootnoteText"/>
      </w:pPr>
      <w:r w:rsidRPr="00697AED">
        <w:rPr>
          <w:rStyle w:val="FootnoteReference"/>
          <w:vertAlign w:val="baseline"/>
        </w:rPr>
        <w:footnoteRef/>
      </w:r>
      <w:r w:rsidRPr="00697AED">
        <w:t xml:space="preserve"> </w:t>
      </w:r>
      <w:r>
        <w:tab/>
        <w:t>For example, Gong and Breunig (2014) found lone parents increased their hours of work via job changes in response to welfare reforms.</w:t>
      </w:r>
    </w:p>
  </w:footnote>
  <w:footnote w:id="6">
    <w:p w14:paraId="6F872CB9" w14:textId="23D4976A" w:rsidR="00DF77C5" w:rsidRDefault="00DF77C5" w:rsidP="007371C2">
      <w:pPr>
        <w:pStyle w:val="FootnoteText"/>
      </w:pPr>
      <w:r w:rsidRPr="00697AED">
        <w:rPr>
          <w:rStyle w:val="FootnoteReference"/>
          <w:vertAlign w:val="baseline"/>
        </w:rPr>
        <w:footnoteRef/>
      </w:r>
      <w:r w:rsidRPr="00697AED">
        <w:t xml:space="preserve"> </w:t>
      </w:r>
      <w:r>
        <w:tab/>
      </w:r>
      <w:r w:rsidRPr="007371C2">
        <w:t>This work was recognised with the award of the 2010 Nobel Prize in Economics to Peter Diamond, Dale Mortensen and Christopher Pissarides.</w:t>
      </w:r>
    </w:p>
  </w:footnote>
  <w:footnote w:id="7">
    <w:p w14:paraId="01F6439F" w14:textId="2737D974" w:rsidR="00DF77C5" w:rsidRDefault="00DF77C5">
      <w:pPr>
        <w:pStyle w:val="FootnoteText"/>
      </w:pPr>
      <w:r w:rsidRPr="00697AED">
        <w:rPr>
          <w:rStyle w:val="FootnoteReference"/>
          <w:vertAlign w:val="baseline"/>
        </w:rPr>
        <w:footnoteRef/>
      </w:r>
      <w:r w:rsidRPr="00697AED">
        <w:t xml:space="preserve"> </w:t>
      </w:r>
      <w:r>
        <w:tab/>
        <w:t>Based on the proportion of employed civilians over 15 years of age with their current employer/business for fewer than 12 months who had changed employer/business in the last 12 months (Australian Bureau of Statistics 2018).</w:t>
      </w:r>
    </w:p>
  </w:footnote>
  <w:footnote w:id="8">
    <w:p w14:paraId="50942970" w14:textId="698BC101" w:rsidR="00DF77C5" w:rsidRDefault="00DF77C5">
      <w:pPr>
        <w:pStyle w:val="FootnoteText"/>
      </w:pPr>
      <w:r w:rsidRPr="00697AED">
        <w:rPr>
          <w:rStyle w:val="FootnoteReference"/>
          <w:vertAlign w:val="baseline"/>
        </w:rPr>
        <w:footnoteRef/>
      </w:r>
      <w:r w:rsidRPr="00697AED">
        <w:t xml:space="preserve"> </w:t>
      </w:r>
      <w:r>
        <w:tab/>
        <w:t>These models remain a simplification that abstracts from other long-run changes that may weigh on wages through workers’ productivity and bargaining power. These include trends in globalisation, technology, and unionisation and industrial relations. Each of these topics, while outside the scope of the paper, has received substantial attention in the literature.</w:t>
      </w:r>
    </w:p>
  </w:footnote>
  <w:footnote w:id="9">
    <w:p w14:paraId="44051091" w14:textId="1DF07652" w:rsidR="00DF77C5" w:rsidRDefault="00DF77C5">
      <w:pPr>
        <w:pStyle w:val="FootnoteText"/>
      </w:pPr>
      <w:r w:rsidRPr="00697AED">
        <w:rPr>
          <w:rStyle w:val="FootnoteReference"/>
          <w:vertAlign w:val="baseline"/>
        </w:rPr>
        <w:footnoteRef/>
      </w:r>
      <w:r w:rsidRPr="00697AED">
        <w:t xml:space="preserve"> </w:t>
      </w:r>
      <w:r>
        <w:tab/>
        <w:t>Future versions of the matched employer-employee dataset will include payment summaries from trusts and partnerships. This version nonetheless captures the bulk of employment relationships.</w:t>
      </w:r>
    </w:p>
  </w:footnote>
  <w:footnote w:id="10">
    <w:p w14:paraId="13CC9150" w14:textId="0EB5931E" w:rsidR="00DF77C5" w:rsidRDefault="00DF77C5" w:rsidP="00B03717">
      <w:pPr>
        <w:pStyle w:val="FootnoteText"/>
      </w:pPr>
      <w:r w:rsidRPr="00697AED">
        <w:rPr>
          <w:rStyle w:val="FootnoteReference"/>
          <w:vertAlign w:val="baseline"/>
        </w:rPr>
        <w:footnoteRef/>
      </w:r>
      <w:r w:rsidRPr="00697AED">
        <w:t xml:space="preserve"> </w:t>
      </w:r>
      <w:r>
        <w:tab/>
      </w:r>
      <w:r w:rsidRPr="00FD6D8B">
        <w:t>Where an individual has multiple employers</w:t>
      </w:r>
      <w:r>
        <w:t xml:space="preserve"> providing postcodes, I preference the</w:t>
      </w:r>
      <w:r w:rsidRPr="00FD6D8B">
        <w:t xml:space="preserve"> location from the employer paying the largest salary</w:t>
      </w:r>
      <w:r>
        <w:t xml:space="preserve"> in the event that the postcodes do not match</w:t>
      </w:r>
      <w:r w:rsidRPr="00FD6D8B">
        <w:t>.</w:t>
      </w:r>
    </w:p>
  </w:footnote>
  <w:footnote w:id="11">
    <w:p w14:paraId="6F8394E6" w14:textId="75EB09EB" w:rsidR="00DF77C5" w:rsidRDefault="00DF77C5">
      <w:pPr>
        <w:pStyle w:val="FootnoteText"/>
      </w:pPr>
      <w:r w:rsidRPr="00697AED">
        <w:rPr>
          <w:rStyle w:val="FootnoteReference"/>
          <w:vertAlign w:val="baseline"/>
        </w:rPr>
        <w:footnoteRef/>
      </w:r>
      <w:r w:rsidRPr="00697AED">
        <w:t xml:space="preserve"> </w:t>
      </w:r>
      <w:r>
        <w:tab/>
        <w:t xml:space="preserve">Major cities include several SA4, including 14 in Sydney and 9 in Melbourne. Smaller capital and regional cities are single SA4, including Ballarat, Bendigo, Canberra, Darwin, Hobart, Newcastle, Toowoomba, Townsville and Wollongong. </w:t>
      </w:r>
    </w:p>
  </w:footnote>
  <w:footnote w:id="12">
    <w:p w14:paraId="0EB08F0B" w14:textId="5BF74B86" w:rsidR="00DF77C5" w:rsidRDefault="00DF77C5">
      <w:pPr>
        <w:pStyle w:val="FootnoteText"/>
      </w:pPr>
      <w:r w:rsidRPr="00697AED">
        <w:rPr>
          <w:rStyle w:val="FootnoteReference"/>
          <w:vertAlign w:val="baseline"/>
        </w:rPr>
        <w:footnoteRef/>
      </w:r>
      <w:r>
        <w:t xml:space="preserve"> </w:t>
      </w:r>
      <w:r>
        <w:tab/>
        <w:t xml:space="preserve">There is slightly more variation in the unemployment-to-employment transition rate than the job-to-job transition rate – the former has  a standard deviation of 4.2 percentage points compared to the latter’s 2.5 percentage points. Even accounting for this the association between the job-to-job transition rate and wages is generally stronger than that between the unemployment-to-employment transition rate and wages.  </w:t>
      </w:r>
    </w:p>
  </w:footnote>
  <w:footnote w:id="13">
    <w:p w14:paraId="13837722" w14:textId="4759F893" w:rsidR="00DF77C5" w:rsidRDefault="00DF77C5">
      <w:pPr>
        <w:pStyle w:val="FootnoteText"/>
      </w:pPr>
      <w:r w:rsidRPr="009E6FA4">
        <w:rPr>
          <w:rStyle w:val="FootnoteReference"/>
          <w:vertAlign w:val="baseline"/>
        </w:rPr>
        <w:footnoteRef/>
      </w:r>
      <w:r w:rsidRPr="009E6FA4">
        <w:t xml:space="preserve"> </w:t>
      </w:r>
      <w:r>
        <w:tab/>
        <w:t xml:space="preserve">An alternative geographic split is to compare the ‘mining states’ of Western Australia and Queensland to the rest of the nation. Once again, positive associations between the job-to-job transition rate and wages growth is observed in both samples. </w:t>
      </w:r>
    </w:p>
  </w:footnote>
  <w:footnote w:id="14">
    <w:p w14:paraId="1CE7CB76" w14:textId="6D826A0A" w:rsidR="00DF77C5" w:rsidRDefault="00DF77C5" w:rsidP="002047DE">
      <w:pPr>
        <w:pStyle w:val="FootnoteText"/>
      </w:pPr>
      <w:r w:rsidRPr="009E6FA4">
        <w:rPr>
          <w:rStyle w:val="FootnoteReference"/>
          <w:vertAlign w:val="baseline"/>
        </w:rPr>
        <w:footnoteRef/>
      </w:r>
      <w:r w:rsidRPr="009E6FA4">
        <w:t xml:space="preserve"> </w:t>
      </w:r>
      <w:r>
        <w:tab/>
        <w:t>For example</w:t>
      </w:r>
      <w:r w:rsidRPr="00841D8C">
        <w:t xml:space="preserve">, workers may lean against the wage-depressing influence of low job switching rates by searching for job </w:t>
      </w:r>
      <w:r>
        <w:t>offers in nearby labour markets; f</w:t>
      </w:r>
      <w:r w:rsidRPr="00841D8C">
        <w:t>irms may similarly seek workers from outside.</w:t>
      </w:r>
    </w:p>
  </w:footnote>
  <w:footnote w:id="15">
    <w:p w14:paraId="3A3AC114" w14:textId="3F2AFF37" w:rsidR="00DF77C5" w:rsidRDefault="00DF77C5">
      <w:pPr>
        <w:pStyle w:val="FootnoteText"/>
      </w:pPr>
      <w:r w:rsidRPr="009E6FA4">
        <w:rPr>
          <w:rStyle w:val="FootnoteReference"/>
          <w:vertAlign w:val="baseline"/>
        </w:rPr>
        <w:footnoteRef/>
      </w:r>
      <w:r w:rsidRPr="009E6FA4">
        <w:t xml:space="preserve"> </w:t>
      </w:r>
      <w:r>
        <w:tab/>
        <w:t xml:space="preserve">Freestone (2018) finds no evidence of systematic heterogeneity in wage growth, instead preferring a model with highly persistent wage shocks. A useful avenue for future work – ideally with data spanning a longer time periods – would be to examine the role of job-to-job transitions in a more comprehensive model of individual wage growth.    </w:t>
      </w:r>
    </w:p>
  </w:footnote>
  <w:footnote w:id="16">
    <w:p w14:paraId="63E5C843" w14:textId="43667DD5" w:rsidR="00DF77C5" w:rsidRDefault="00DF77C5" w:rsidP="00DF3CC4">
      <w:pPr>
        <w:pStyle w:val="FootnoteText"/>
      </w:pPr>
      <w:r w:rsidRPr="009E6FA4">
        <w:rPr>
          <w:rStyle w:val="FootnoteReference"/>
          <w:vertAlign w:val="baseline"/>
        </w:rPr>
        <w:footnoteRef/>
      </w:r>
      <w:r w:rsidRPr="009E6FA4">
        <w:t xml:space="preserve"> </w:t>
      </w:r>
      <w:r>
        <w:tab/>
        <w:t>Note that even if we replicated the SA4-level regressions precisely at the individual-level, rather than adding some more detailed controls, we would not expect to return exactly the same results. This is because the dependent variable for the SA4</w:t>
      </w:r>
      <w:r>
        <w:noBreakHyphen/>
        <w:t xml:space="preserve">level regressions – the change in log of average wages is not the same as the average of the change in log wages at the individual level. </w:t>
      </w:r>
    </w:p>
  </w:footnote>
  <w:footnote w:id="17">
    <w:p w14:paraId="08037DD7" w14:textId="77747124" w:rsidR="00DF77C5" w:rsidRDefault="00DF77C5">
      <w:pPr>
        <w:pStyle w:val="FootnoteText"/>
      </w:pPr>
      <w:r w:rsidRPr="009E6FA4">
        <w:rPr>
          <w:rStyle w:val="FootnoteReference"/>
          <w:vertAlign w:val="baseline"/>
        </w:rPr>
        <w:footnoteRef/>
      </w:r>
      <w:r w:rsidRPr="009E6FA4">
        <w:t xml:space="preserve"> </w:t>
      </w:r>
      <w:r>
        <w:tab/>
      </w:r>
      <w:r>
        <w:rPr>
          <w:lang w:val="en-US" w:eastAsia="en-AU"/>
        </w:rPr>
        <w:t>Indeed, changes in hours worked have become an increasingly important way in which the Australian labour market responds to cyclical fluctuations:</w:t>
      </w:r>
      <w:r>
        <w:t xml:space="preserve"> Bishop et al (2016) find the share of adjustment due to changes in hours worked has increased threefold since the late 1990s.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4713C" w14:textId="65996A4C" w:rsidR="00DF77C5" w:rsidRDefault="00540CA6" w:rsidP="002C4F5D">
    <w:pPr>
      <w:pStyle w:val="SecurityClassificationHeader"/>
    </w:pPr>
    <w:r>
      <w:rPr>
        <w:noProof/>
      </w:rPr>
      <w:pict w14:anchorId="49860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455126" o:spid="_x0000_s2055" type="#_x0000_t136" style="position:absolute;left:0;text-align:left;margin-left:0;margin-top:0;width:409.65pt;height:245.8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F77C5" w:rsidDel="00151CB5">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6774" w14:textId="358C67F4" w:rsidR="00DF77C5" w:rsidRDefault="00540CA6">
    <w:pPr>
      <w:pStyle w:val="Header"/>
    </w:pPr>
    <w:r>
      <w:rPr>
        <w:noProof/>
      </w:rPr>
      <w:pict w14:anchorId="4F34B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455135" o:spid="_x0000_s2064" type="#_x0000_t136" style="position:absolute;left:0;text-align:left;margin-left:0;margin-top:0;width:409.65pt;height:245.8pt;rotation:315;z-index:-25165822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F2602" w14:textId="7873D89E" w:rsidR="00DF77C5" w:rsidRDefault="00540CA6">
    <w:pPr>
      <w:pStyle w:val="Header"/>
    </w:pPr>
    <w:r>
      <w:rPr>
        <w:noProof/>
      </w:rPr>
      <w:pict w14:anchorId="665F7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455136" o:spid="_x0000_s2065" type="#_x0000_t136" style="position:absolute;left:0;text-align:left;margin-left:0;margin-top:0;width:409.65pt;height:245.8pt;rotation:315;z-index:-2516582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223E" w14:textId="23D3C920" w:rsidR="00DF77C5" w:rsidRDefault="00DF77C5" w:rsidP="00610AB8">
    <w:pPr>
      <w:pStyle w:val="SecurityClassificationHeader"/>
    </w:pPr>
    <w:r>
      <w:fldChar w:fldCharType="begin"/>
    </w:r>
    <w:r>
      <w:instrText xml:space="preserve"> DOCPROPERTY WorkingDocStatus \* MERGEFORMAT </w:instrText>
    </w:r>
    <w:r>
      <w:fldChar w:fldCharType="end"/>
    </w:r>
    <w:r>
      <w:t xml:space="preserve"> </w:t>
    </w:r>
  </w:p>
  <w:p w14:paraId="4C7D57DE" w14:textId="34E4DB2D" w:rsidR="00DF77C5" w:rsidRPr="00F60530" w:rsidRDefault="00DF77C5" w:rsidP="00A57848">
    <w:pPr>
      <w:pStyle w:val="SecurityClassification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03E48" w14:textId="65C86B7C" w:rsidR="00DF77C5" w:rsidRDefault="00540CA6">
    <w:pPr>
      <w:pStyle w:val="Header"/>
    </w:pPr>
    <w:r>
      <w:rPr>
        <w:noProof/>
      </w:rPr>
      <w:pict w14:anchorId="36549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455138" o:spid="_x0000_s2067" type="#_x0000_t136" style="position:absolute;left:0;text-align:left;margin-left:0;margin-top:0;width:409.65pt;height:245.8pt;rotation:315;z-index:-25165822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1838D" w14:textId="5C7865E2" w:rsidR="00DF77C5" w:rsidRPr="008517BD" w:rsidRDefault="00DF77C5" w:rsidP="008517B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69C01" w14:textId="0BDFA8BE" w:rsidR="00DF77C5" w:rsidRPr="00F60530" w:rsidRDefault="00540CA6" w:rsidP="00A57848">
    <w:pPr>
      <w:pStyle w:val="SecurityClassificationHeader"/>
    </w:pPr>
    <w:r>
      <w:rPr>
        <w:noProof/>
      </w:rPr>
      <w:pict w14:anchorId="2C4C7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455137" o:spid="_x0000_s2066" type="#_x0000_t136" style="position:absolute;left:0;text-align:left;margin-left:0;margin-top:0;width:409.65pt;height:245.8pt;rotation:315;z-index:-25165822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F77C5" w:rsidDel="00151CB5">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9A98D" w14:textId="52DBC754" w:rsidR="00DF77C5" w:rsidRDefault="00540CA6">
    <w:pPr>
      <w:pStyle w:val="Header"/>
    </w:pPr>
    <w:r>
      <w:rPr>
        <w:noProof/>
      </w:rPr>
      <w:pict w14:anchorId="2A63D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455141" o:spid="_x0000_s2070" type="#_x0000_t136" style="position:absolute;left:0;text-align:left;margin-left:0;margin-top:0;width:409.65pt;height:245.8pt;rotation:315;z-index:-25165822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C82E3" w14:textId="467C4868" w:rsidR="00DF77C5" w:rsidRPr="008517BD" w:rsidRDefault="00DF77C5" w:rsidP="008517B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A119F" w14:textId="6153AC3F" w:rsidR="00DF77C5" w:rsidRPr="00F60530" w:rsidRDefault="00DF77C5" w:rsidP="00A57848">
    <w:pPr>
      <w:pStyle w:val="SecurityClassificationHeader"/>
    </w:pPr>
    <w:r w:rsidDel="00151CB5">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F07E" w14:textId="483720A8" w:rsidR="00DF77C5" w:rsidRDefault="00540CA6">
    <w:pPr>
      <w:pStyle w:val="Header"/>
    </w:pPr>
    <w:r>
      <w:rPr>
        <w:noProof/>
      </w:rPr>
      <w:pict w14:anchorId="1BD15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455144" o:spid="_x0000_s2073" type="#_x0000_t136" style="position:absolute;left:0;text-align:left;margin-left:0;margin-top:0;width:409.65pt;height:245.8pt;rotation:315;z-index:-2516582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6A5C" w14:textId="73D8DAA6" w:rsidR="00DF77C5" w:rsidRDefault="00540CA6" w:rsidP="002C4F5D">
    <w:pPr>
      <w:pStyle w:val="SecurityClassificationHeader"/>
    </w:pPr>
    <w:r>
      <w:rPr>
        <w:noProof/>
      </w:rPr>
      <w:pict w14:anchorId="42B4CD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455127" o:spid="_x0000_s2056" type="#_x0000_t136" style="position:absolute;left:0;text-align:left;margin-left:0;margin-top:0;width:409.65pt;height:245.8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F77C5" w:rsidDel="00151CB5">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801D5" w14:textId="372C7E07" w:rsidR="00DF77C5" w:rsidRPr="008517BD" w:rsidRDefault="00DF77C5" w:rsidP="008517B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29A7A" w14:textId="254BD228" w:rsidR="00DF77C5" w:rsidRPr="00F60530" w:rsidRDefault="00DF77C5" w:rsidP="00A57848">
    <w:pPr>
      <w:pStyle w:val="SecurityClassification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42848" w14:textId="2794176B" w:rsidR="00DF77C5" w:rsidRDefault="00DF77C5" w:rsidP="00610AB8">
    <w:pPr>
      <w:pStyle w:val="SecurityClassificationHeader"/>
      <w:jc w:val="left"/>
    </w:pPr>
  </w:p>
  <w:p w14:paraId="0E1A3630" w14:textId="77777777" w:rsidR="00DF77C5" w:rsidRPr="00F012EA" w:rsidRDefault="00DF77C5" w:rsidP="00F012EA">
    <w:pPr>
      <w:pStyle w:val="Header"/>
    </w:pPr>
    <w:r>
      <w:rPr>
        <w:noProof/>
        <w:lang w:eastAsia="en-AU"/>
      </w:rPr>
      <w:drawing>
        <wp:anchor distT="0" distB="0" distL="114300" distR="114300" simplePos="0" relativeHeight="251652096" behindDoc="1" locked="0" layoutInCell="1" allowOverlap="1" wp14:anchorId="17077A32" wp14:editId="14E79A45">
          <wp:simplePos x="828136" y="612475"/>
          <wp:positionH relativeFrom="page">
            <wp:align>center</wp:align>
          </wp:positionH>
          <wp:positionV relativeFrom="page">
            <wp:posOffset>180340</wp:posOffset>
          </wp:positionV>
          <wp:extent cx="7200000" cy="99972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_15mm marg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999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8CC21" w14:textId="33E02493" w:rsidR="00DF77C5" w:rsidRDefault="00540CA6">
    <w:pPr>
      <w:pStyle w:val="Header"/>
    </w:pPr>
    <w:r>
      <w:rPr>
        <w:noProof/>
      </w:rPr>
      <w:pict w14:anchorId="57174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455129" o:spid="_x0000_s2058" type="#_x0000_t136" style="position:absolute;left:0;text-align:left;margin-left:0;margin-top:0;width:409.65pt;height:245.8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9EF81" w14:textId="7D767F37" w:rsidR="00DF77C5" w:rsidRDefault="00540CA6">
    <w:pPr>
      <w:pStyle w:val="Header"/>
    </w:pPr>
    <w:r>
      <w:rPr>
        <w:noProof/>
      </w:rPr>
      <w:pict w14:anchorId="1C838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455130" o:spid="_x0000_s2059" type="#_x0000_t136" style="position:absolute;left:0;text-align:left;margin-left:0;margin-top:0;width:409.65pt;height:245.8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B7F5B" w14:textId="77777777" w:rsidR="00DF77C5" w:rsidRPr="00F012EA" w:rsidRDefault="00DF77C5" w:rsidP="00F012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3356E" w14:textId="53FDBFC6" w:rsidR="00DF77C5" w:rsidRDefault="00540CA6">
    <w:pPr>
      <w:pStyle w:val="Header"/>
    </w:pPr>
    <w:r>
      <w:rPr>
        <w:noProof/>
      </w:rPr>
      <w:pict w14:anchorId="3A185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455132" o:spid="_x0000_s2061" type="#_x0000_t136" style="position:absolute;left:0;text-align:left;margin-left:0;margin-top:0;width:409.65pt;height:245.8pt;rotation:315;z-index:-251658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B6E8F" w14:textId="3732F935" w:rsidR="00DF77C5" w:rsidRPr="008517BD" w:rsidRDefault="00DF77C5" w:rsidP="008517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4BB31" w14:textId="513F208A" w:rsidR="00DF77C5" w:rsidRPr="00F60530" w:rsidRDefault="00DF77C5" w:rsidP="00610AB8">
    <w:pPr>
      <w:pStyle w:val="SecurityClassification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627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 w15:restartNumberingAfterBreak="0">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9" w15:restartNumberingAfterBreak="0">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14" w15:restartNumberingAfterBreak="0">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17" w15:restartNumberingAfterBreak="0">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20" w15:restartNumberingAfterBreak="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45B0A7E"/>
    <w:multiLevelType w:val="multilevel"/>
    <w:tmpl w:val="EDEE4FB6"/>
    <w:numStyleLink w:val="RecommendationBulletList"/>
  </w:abstractNum>
  <w:abstractNum w:abstractNumId="22" w15:restartNumberingAfterBreak="0">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4" w15:restartNumberingAfterBreak="0">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10D2021"/>
    <w:multiLevelType w:val="multilevel"/>
    <w:tmpl w:val="F67CB8D2"/>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F73129"/>
    <w:multiLevelType w:val="multilevel"/>
    <w:tmpl w:val="D9A8A212"/>
    <w:numStyleLink w:val="RomanNumeralList"/>
  </w:abstractNum>
  <w:abstractNum w:abstractNumId="28" w15:restartNumberingAfterBreak="0">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9" w15:restartNumberingAfterBreak="0">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0" w15:restartNumberingAfterBreak="0">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32" w15:restartNumberingAfterBreak="0">
    <w:nsid w:val="6A5F7B24"/>
    <w:multiLevelType w:val="multilevel"/>
    <w:tmpl w:val="2090AC60"/>
    <w:lvl w:ilvl="0">
      <w:start w:val="1"/>
      <w:numFmt w:val="decimal"/>
      <w:lvlRestart w:val="0"/>
      <w:pStyle w:val="Heading2"/>
      <w:lvlText w:val="%1."/>
      <w:lvlJc w:val="left"/>
      <w:pPr>
        <w:tabs>
          <w:tab w:val="num" w:pos="3402"/>
        </w:tabs>
        <w:ind w:left="2552"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pStyle w:val="Heading4"/>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3" w15:restartNumberingAfterBreak="0">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3CA6E80"/>
    <w:multiLevelType w:val="multilevel"/>
    <w:tmpl w:val="00F03A94"/>
    <w:lvl w:ilvl="0">
      <w:start w:val="1"/>
      <w:numFmt w:val="none"/>
      <w:lvlText w:val=""/>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37"/>
  </w:num>
  <w:num w:numId="2">
    <w:abstractNumId w:val="24"/>
  </w:num>
  <w:num w:numId="3">
    <w:abstractNumId w:val="13"/>
  </w:num>
  <w:num w:numId="4">
    <w:abstractNumId w:val="28"/>
  </w:num>
  <w:num w:numId="5">
    <w:abstractNumId w:val="23"/>
  </w:num>
  <w:num w:numId="6">
    <w:abstractNumId w:val="11"/>
  </w:num>
  <w:num w:numId="7">
    <w:abstractNumId w:val="34"/>
  </w:num>
  <w:num w:numId="8">
    <w:abstractNumId w:val="8"/>
  </w:num>
  <w:num w:numId="9">
    <w:abstractNumId w:val="16"/>
  </w:num>
  <w:num w:numId="10">
    <w:abstractNumId w:val="29"/>
  </w:num>
  <w:num w:numId="11">
    <w:abstractNumId w:val="12"/>
  </w:num>
  <w:num w:numId="12">
    <w:abstractNumId w:val="36"/>
  </w:num>
  <w:num w:numId="13">
    <w:abstractNumId w:val="30"/>
  </w:num>
  <w:num w:numId="14">
    <w:abstractNumId w:val="15"/>
  </w:num>
  <w:num w:numId="15">
    <w:abstractNumId w:val="3"/>
  </w:num>
  <w:num w:numId="16">
    <w:abstractNumId w:val="7"/>
  </w:num>
  <w:num w:numId="17">
    <w:abstractNumId w:val="22"/>
  </w:num>
  <w:num w:numId="18">
    <w:abstractNumId w:val="2"/>
  </w:num>
  <w:num w:numId="19">
    <w:abstractNumId w:val="18"/>
  </w:num>
  <w:num w:numId="20">
    <w:abstractNumId w:val="5"/>
  </w:num>
  <w:num w:numId="21">
    <w:abstractNumId w:val="9"/>
  </w:num>
  <w:num w:numId="22">
    <w:abstractNumId w:val="4"/>
  </w:num>
  <w:num w:numId="23">
    <w:abstractNumId w:val="6"/>
  </w:num>
  <w:num w:numId="24">
    <w:abstractNumId w:val="25"/>
  </w:num>
  <w:num w:numId="25">
    <w:abstractNumId w:val="21"/>
  </w:num>
  <w:num w:numId="26">
    <w:abstractNumId w:val="27"/>
  </w:num>
  <w:num w:numId="27">
    <w:abstractNumId w:val="17"/>
  </w:num>
  <w:num w:numId="28">
    <w:abstractNumId w:val="26"/>
  </w:num>
  <w:num w:numId="29">
    <w:abstractNumId w:val="1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2"/>
  </w:num>
  <w:num w:numId="33">
    <w:abstractNumId w:val="20"/>
  </w:num>
  <w:num w:numId="34">
    <w:abstractNumId w:val="1"/>
  </w:num>
  <w:num w:numId="35">
    <w:abstractNumId w:val="1"/>
  </w:num>
  <w:num w:numId="36">
    <w:abstractNumId w:val="35"/>
  </w:num>
  <w:num w:numId="37">
    <w:abstractNumId w:val="1"/>
  </w:num>
  <w:num w:numId="38">
    <w:abstractNumId w:val="32"/>
  </w:num>
  <w:num w:numId="39">
    <w:abstractNumId w:val="1"/>
  </w:num>
  <w:num w:numId="40">
    <w:abstractNumId w:val="14"/>
  </w:num>
  <w:num w:numId="41">
    <w:abstractNumId w:val="31"/>
  </w:num>
  <w:num w:numId="42">
    <w:abstractNumId w:val="14"/>
  </w:num>
  <w:num w:numId="43">
    <w:abstractNumId w:val="14"/>
  </w:num>
  <w:num w:numId="44">
    <w:abstractNumId w:val="19"/>
  </w:num>
  <w:num w:numId="45">
    <w:abstractNumId w:val="32"/>
  </w:num>
  <w:num w:numId="46">
    <w:abstractNumId w:val="32"/>
  </w:num>
  <w:num w:numId="47">
    <w:abstractNumId w:val="33"/>
  </w:num>
  <w:num w:numId="48">
    <w:abstractNumId w:val="0"/>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74"/>
    <o:shapelayout v:ext="edit">
      <o:idmap v:ext="edit" data="2"/>
    </o:shapelayout>
  </w:hdrShapeDefaults>
  <w:footnotePr>
    <w:footnote w:id="-1"/>
    <w:footnote w:id="0"/>
    <w:footnote w:id="1"/>
  </w:footnotePr>
  <w:endnotePr>
    <w:endnote w:id="-1"/>
    <w:endnote w:id="0"/>
    <w:endnote w:id="1"/>
  </w:endnotePr>
  <w:compat>
    <w:noTabHangInd/>
    <w:noColumnBalance/>
    <w:doNotExpandShiftReturn/>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BA1099"/>
    <w:rsid w:val="00000E22"/>
    <w:rsid w:val="00003ACD"/>
    <w:rsid w:val="00007CDE"/>
    <w:rsid w:val="00015D27"/>
    <w:rsid w:val="000167A9"/>
    <w:rsid w:val="000309E7"/>
    <w:rsid w:val="000354A3"/>
    <w:rsid w:val="00043E4F"/>
    <w:rsid w:val="000464B6"/>
    <w:rsid w:val="00051C46"/>
    <w:rsid w:val="0005271F"/>
    <w:rsid w:val="00056DB9"/>
    <w:rsid w:val="000622B2"/>
    <w:rsid w:val="00063FA3"/>
    <w:rsid w:val="0006449E"/>
    <w:rsid w:val="00070378"/>
    <w:rsid w:val="00071410"/>
    <w:rsid w:val="00074649"/>
    <w:rsid w:val="00077791"/>
    <w:rsid w:val="00077D52"/>
    <w:rsid w:val="000805B4"/>
    <w:rsid w:val="00080F8A"/>
    <w:rsid w:val="00084B2C"/>
    <w:rsid w:val="0008773C"/>
    <w:rsid w:val="00091054"/>
    <w:rsid w:val="00094914"/>
    <w:rsid w:val="00094C2E"/>
    <w:rsid w:val="00095C3F"/>
    <w:rsid w:val="000A5FF0"/>
    <w:rsid w:val="000B162B"/>
    <w:rsid w:val="000B5D0E"/>
    <w:rsid w:val="000B7C93"/>
    <w:rsid w:val="000D5073"/>
    <w:rsid w:val="000D5347"/>
    <w:rsid w:val="000D5351"/>
    <w:rsid w:val="000E2B34"/>
    <w:rsid w:val="000E2B4B"/>
    <w:rsid w:val="000E684A"/>
    <w:rsid w:val="000F168F"/>
    <w:rsid w:val="000F7246"/>
    <w:rsid w:val="0010021B"/>
    <w:rsid w:val="0010708B"/>
    <w:rsid w:val="0010785E"/>
    <w:rsid w:val="00113663"/>
    <w:rsid w:val="00116F74"/>
    <w:rsid w:val="0012112D"/>
    <w:rsid w:val="00125072"/>
    <w:rsid w:val="00130E86"/>
    <w:rsid w:val="0014162C"/>
    <w:rsid w:val="00147046"/>
    <w:rsid w:val="001470A9"/>
    <w:rsid w:val="00151CB5"/>
    <w:rsid w:val="00153F10"/>
    <w:rsid w:val="001547F2"/>
    <w:rsid w:val="001602AF"/>
    <w:rsid w:val="00165879"/>
    <w:rsid w:val="0017051E"/>
    <w:rsid w:val="0017222D"/>
    <w:rsid w:val="00172326"/>
    <w:rsid w:val="001759E9"/>
    <w:rsid w:val="00175AC8"/>
    <w:rsid w:val="00176567"/>
    <w:rsid w:val="001824E8"/>
    <w:rsid w:val="00186E85"/>
    <w:rsid w:val="00190B72"/>
    <w:rsid w:val="001927F6"/>
    <w:rsid w:val="001A341F"/>
    <w:rsid w:val="001A420D"/>
    <w:rsid w:val="001B1F7D"/>
    <w:rsid w:val="001C5BC7"/>
    <w:rsid w:val="001D333D"/>
    <w:rsid w:val="001D3FF2"/>
    <w:rsid w:val="001D69F2"/>
    <w:rsid w:val="001E1D66"/>
    <w:rsid w:val="001E33A1"/>
    <w:rsid w:val="001E43A8"/>
    <w:rsid w:val="001E664D"/>
    <w:rsid w:val="001F0B88"/>
    <w:rsid w:val="001F25A1"/>
    <w:rsid w:val="001F2A7E"/>
    <w:rsid w:val="001F4217"/>
    <w:rsid w:val="001F4F26"/>
    <w:rsid w:val="001F6965"/>
    <w:rsid w:val="00200DEA"/>
    <w:rsid w:val="002015AB"/>
    <w:rsid w:val="002047DE"/>
    <w:rsid w:val="00204A00"/>
    <w:rsid w:val="002051EC"/>
    <w:rsid w:val="00211545"/>
    <w:rsid w:val="00213E9D"/>
    <w:rsid w:val="00223E2E"/>
    <w:rsid w:val="002249D2"/>
    <w:rsid w:val="002271BB"/>
    <w:rsid w:val="002271C8"/>
    <w:rsid w:val="002330AC"/>
    <w:rsid w:val="00234544"/>
    <w:rsid w:val="002367B1"/>
    <w:rsid w:val="00257A2D"/>
    <w:rsid w:val="0026493B"/>
    <w:rsid w:val="00275A2F"/>
    <w:rsid w:val="002768B3"/>
    <w:rsid w:val="00280D28"/>
    <w:rsid w:val="0028187A"/>
    <w:rsid w:val="00283C0C"/>
    <w:rsid w:val="00284053"/>
    <w:rsid w:val="00291937"/>
    <w:rsid w:val="00297C46"/>
    <w:rsid w:val="002A6C26"/>
    <w:rsid w:val="002A6F90"/>
    <w:rsid w:val="002A7829"/>
    <w:rsid w:val="002B53E2"/>
    <w:rsid w:val="002B6522"/>
    <w:rsid w:val="002C3075"/>
    <w:rsid w:val="002C3379"/>
    <w:rsid w:val="002C3EA6"/>
    <w:rsid w:val="002C4F5D"/>
    <w:rsid w:val="002C5398"/>
    <w:rsid w:val="002D2F8F"/>
    <w:rsid w:val="002D316D"/>
    <w:rsid w:val="002E5F5C"/>
    <w:rsid w:val="002E7527"/>
    <w:rsid w:val="002E7BDD"/>
    <w:rsid w:val="002F3DFC"/>
    <w:rsid w:val="002F64BE"/>
    <w:rsid w:val="002F73DF"/>
    <w:rsid w:val="00301A52"/>
    <w:rsid w:val="003064D8"/>
    <w:rsid w:val="003100EF"/>
    <w:rsid w:val="0032098B"/>
    <w:rsid w:val="003313D9"/>
    <w:rsid w:val="003326C6"/>
    <w:rsid w:val="00332823"/>
    <w:rsid w:val="00334335"/>
    <w:rsid w:val="003406DF"/>
    <w:rsid w:val="00342F25"/>
    <w:rsid w:val="003431D3"/>
    <w:rsid w:val="00344167"/>
    <w:rsid w:val="0036265D"/>
    <w:rsid w:val="003641BA"/>
    <w:rsid w:val="00365C6D"/>
    <w:rsid w:val="00366058"/>
    <w:rsid w:val="003809EA"/>
    <w:rsid w:val="00390529"/>
    <w:rsid w:val="003907C9"/>
    <w:rsid w:val="00391583"/>
    <w:rsid w:val="00391CF1"/>
    <w:rsid w:val="00395636"/>
    <w:rsid w:val="003A0F18"/>
    <w:rsid w:val="003A1A88"/>
    <w:rsid w:val="003B0501"/>
    <w:rsid w:val="003B40BB"/>
    <w:rsid w:val="003C1BA2"/>
    <w:rsid w:val="003C1FE1"/>
    <w:rsid w:val="003C351F"/>
    <w:rsid w:val="003C36A2"/>
    <w:rsid w:val="003C44F3"/>
    <w:rsid w:val="003C720F"/>
    <w:rsid w:val="003D27B3"/>
    <w:rsid w:val="003D296C"/>
    <w:rsid w:val="003D3DC9"/>
    <w:rsid w:val="003E0E7B"/>
    <w:rsid w:val="003E3374"/>
    <w:rsid w:val="003E6B90"/>
    <w:rsid w:val="004046D3"/>
    <w:rsid w:val="00406016"/>
    <w:rsid w:val="004112DE"/>
    <w:rsid w:val="00416E7C"/>
    <w:rsid w:val="00426CC1"/>
    <w:rsid w:val="0043278F"/>
    <w:rsid w:val="00433299"/>
    <w:rsid w:val="004339FA"/>
    <w:rsid w:val="004370F4"/>
    <w:rsid w:val="00447D04"/>
    <w:rsid w:val="004515B4"/>
    <w:rsid w:val="00453515"/>
    <w:rsid w:val="0045615F"/>
    <w:rsid w:val="00457AC1"/>
    <w:rsid w:val="00460338"/>
    <w:rsid w:val="00460A29"/>
    <w:rsid w:val="00460C65"/>
    <w:rsid w:val="004644F0"/>
    <w:rsid w:val="0047267F"/>
    <w:rsid w:val="00472CAB"/>
    <w:rsid w:val="00475047"/>
    <w:rsid w:val="004942A1"/>
    <w:rsid w:val="00494DE6"/>
    <w:rsid w:val="004962F5"/>
    <w:rsid w:val="00497BD6"/>
    <w:rsid w:val="004A0901"/>
    <w:rsid w:val="004A5097"/>
    <w:rsid w:val="004A6D1C"/>
    <w:rsid w:val="004B07A5"/>
    <w:rsid w:val="004B098B"/>
    <w:rsid w:val="004C0472"/>
    <w:rsid w:val="004C167F"/>
    <w:rsid w:val="004C2A5F"/>
    <w:rsid w:val="004C2E54"/>
    <w:rsid w:val="004C4877"/>
    <w:rsid w:val="004D004A"/>
    <w:rsid w:val="004E2D59"/>
    <w:rsid w:val="004E3B57"/>
    <w:rsid w:val="004F04B8"/>
    <w:rsid w:val="004F4EE7"/>
    <w:rsid w:val="004F56AF"/>
    <w:rsid w:val="00500704"/>
    <w:rsid w:val="0051251F"/>
    <w:rsid w:val="0051465F"/>
    <w:rsid w:val="00531406"/>
    <w:rsid w:val="005344C6"/>
    <w:rsid w:val="00537526"/>
    <w:rsid w:val="00540CA6"/>
    <w:rsid w:val="00546220"/>
    <w:rsid w:val="005506ED"/>
    <w:rsid w:val="00550FF7"/>
    <w:rsid w:val="00555278"/>
    <w:rsid w:val="00555B0A"/>
    <w:rsid w:val="00562EFB"/>
    <w:rsid w:val="0057074A"/>
    <w:rsid w:val="0057257A"/>
    <w:rsid w:val="005815B0"/>
    <w:rsid w:val="005826D5"/>
    <w:rsid w:val="005904CD"/>
    <w:rsid w:val="00591E1D"/>
    <w:rsid w:val="005928D6"/>
    <w:rsid w:val="005A0634"/>
    <w:rsid w:val="005A1761"/>
    <w:rsid w:val="005B1962"/>
    <w:rsid w:val="005B52C6"/>
    <w:rsid w:val="005C33A8"/>
    <w:rsid w:val="005C6E25"/>
    <w:rsid w:val="005C7CED"/>
    <w:rsid w:val="005D17C8"/>
    <w:rsid w:val="005D28AA"/>
    <w:rsid w:val="005E204F"/>
    <w:rsid w:val="005E255D"/>
    <w:rsid w:val="005F100C"/>
    <w:rsid w:val="005F3390"/>
    <w:rsid w:val="005F5653"/>
    <w:rsid w:val="005F66EC"/>
    <w:rsid w:val="005F6EA2"/>
    <w:rsid w:val="00604DF3"/>
    <w:rsid w:val="00610AB8"/>
    <w:rsid w:val="00614BAC"/>
    <w:rsid w:val="00616B2D"/>
    <w:rsid w:val="00621D02"/>
    <w:rsid w:val="006269E3"/>
    <w:rsid w:val="0062753A"/>
    <w:rsid w:val="006326BD"/>
    <w:rsid w:val="006457CC"/>
    <w:rsid w:val="0065116D"/>
    <w:rsid w:val="0065742C"/>
    <w:rsid w:val="00662DF6"/>
    <w:rsid w:val="00670997"/>
    <w:rsid w:val="00672387"/>
    <w:rsid w:val="00676B7F"/>
    <w:rsid w:val="00676D08"/>
    <w:rsid w:val="006845D6"/>
    <w:rsid w:val="00693CFB"/>
    <w:rsid w:val="00697AED"/>
    <w:rsid w:val="006A045E"/>
    <w:rsid w:val="006A30A5"/>
    <w:rsid w:val="006B0C55"/>
    <w:rsid w:val="006B2B6C"/>
    <w:rsid w:val="006B322D"/>
    <w:rsid w:val="006C66CE"/>
    <w:rsid w:val="006C7F17"/>
    <w:rsid w:val="006D45C2"/>
    <w:rsid w:val="006D5901"/>
    <w:rsid w:val="006D59EC"/>
    <w:rsid w:val="006D6023"/>
    <w:rsid w:val="006D66BA"/>
    <w:rsid w:val="006E2D21"/>
    <w:rsid w:val="006E4318"/>
    <w:rsid w:val="006E5DCB"/>
    <w:rsid w:val="006F005B"/>
    <w:rsid w:val="006F3E0E"/>
    <w:rsid w:val="00707B6D"/>
    <w:rsid w:val="00714153"/>
    <w:rsid w:val="00714C9B"/>
    <w:rsid w:val="00715D0D"/>
    <w:rsid w:val="0073035F"/>
    <w:rsid w:val="0073269C"/>
    <w:rsid w:val="00733714"/>
    <w:rsid w:val="00734665"/>
    <w:rsid w:val="0073662C"/>
    <w:rsid w:val="007371C2"/>
    <w:rsid w:val="0074570C"/>
    <w:rsid w:val="00751AA3"/>
    <w:rsid w:val="0076495C"/>
    <w:rsid w:val="00765FBC"/>
    <w:rsid w:val="0076613F"/>
    <w:rsid w:val="00767F36"/>
    <w:rsid w:val="007724FA"/>
    <w:rsid w:val="00773263"/>
    <w:rsid w:val="0078304B"/>
    <w:rsid w:val="00787502"/>
    <w:rsid w:val="0079118E"/>
    <w:rsid w:val="00792600"/>
    <w:rsid w:val="0079619D"/>
    <w:rsid w:val="00796439"/>
    <w:rsid w:val="00796469"/>
    <w:rsid w:val="007A16A3"/>
    <w:rsid w:val="007A2ACB"/>
    <w:rsid w:val="007B005A"/>
    <w:rsid w:val="007B0C23"/>
    <w:rsid w:val="007C33E6"/>
    <w:rsid w:val="007C4230"/>
    <w:rsid w:val="007C48F0"/>
    <w:rsid w:val="007C7837"/>
    <w:rsid w:val="007D1945"/>
    <w:rsid w:val="007D25EB"/>
    <w:rsid w:val="007D315F"/>
    <w:rsid w:val="007D7857"/>
    <w:rsid w:val="007E27E8"/>
    <w:rsid w:val="007F06A4"/>
    <w:rsid w:val="007F307E"/>
    <w:rsid w:val="007F31DB"/>
    <w:rsid w:val="007F4611"/>
    <w:rsid w:val="007F5673"/>
    <w:rsid w:val="007F6917"/>
    <w:rsid w:val="00803B2A"/>
    <w:rsid w:val="00805D28"/>
    <w:rsid w:val="00810472"/>
    <w:rsid w:val="00812433"/>
    <w:rsid w:val="008205C2"/>
    <w:rsid w:val="0082097D"/>
    <w:rsid w:val="008261E8"/>
    <w:rsid w:val="0082770A"/>
    <w:rsid w:val="00833303"/>
    <w:rsid w:val="00833945"/>
    <w:rsid w:val="00841D8C"/>
    <w:rsid w:val="008517BD"/>
    <w:rsid w:val="008618AD"/>
    <w:rsid w:val="00861D7F"/>
    <w:rsid w:val="00861D94"/>
    <w:rsid w:val="008627B1"/>
    <w:rsid w:val="00863846"/>
    <w:rsid w:val="00864D1D"/>
    <w:rsid w:val="00876CDB"/>
    <w:rsid w:val="0087770E"/>
    <w:rsid w:val="008807E9"/>
    <w:rsid w:val="00880ADB"/>
    <w:rsid w:val="008847CC"/>
    <w:rsid w:val="00893175"/>
    <w:rsid w:val="00894EB0"/>
    <w:rsid w:val="008A0148"/>
    <w:rsid w:val="008A7EDB"/>
    <w:rsid w:val="008B2383"/>
    <w:rsid w:val="008C0793"/>
    <w:rsid w:val="008C1101"/>
    <w:rsid w:val="008C474B"/>
    <w:rsid w:val="008D08BE"/>
    <w:rsid w:val="008D0E2F"/>
    <w:rsid w:val="008D15B6"/>
    <w:rsid w:val="008D25A2"/>
    <w:rsid w:val="008D73E9"/>
    <w:rsid w:val="008E1C29"/>
    <w:rsid w:val="008E5E87"/>
    <w:rsid w:val="008F1ACC"/>
    <w:rsid w:val="008F373B"/>
    <w:rsid w:val="0090339D"/>
    <w:rsid w:val="009100DF"/>
    <w:rsid w:val="009112D2"/>
    <w:rsid w:val="009122CC"/>
    <w:rsid w:val="0091583D"/>
    <w:rsid w:val="009163A4"/>
    <w:rsid w:val="009200F0"/>
    <w:rsid w:val="0092354D"/>
    <w:rsid w:val="0093023E"/>
    <w:rsid w:val="00931B00"/>
    <w:rsid w:val="009327F7"/>
    <w:rsid w:val="009342A9"/>
    <w:rsid w:val="00936238"/>
    <w:rsid w:val="009412D6"/>
    <w:rsid w:val="00942CB2"/>
    <w:rsid w:val="00943715"/>
    <w:rsid w:val="00950D6D"/>
    <w:rsid w:val="00952577"/>
    <w:rsid w:val="0095562B"/>
    <w:rsid w:val="00955F84"/>
    <w:rsid w:val="00960CEB"/>
    <w:rsid w:val="00961C2F"/>
    <w:rsid w:val="00962198"/>
    <w:rsid w:val="00966611"/>
    <w:rsid w:val="00971250"/>
    <w:rsid w:val="0097280B"/>
    <w:rsid w:val="00973978"/>
    <w:rsid w:val="0098510A"/>
    <w:rsid w:val="009853BC"/>
    <w:rsid w:val="009862D1"/>
    <w:rsid w:val="00986C3E"/>
    <w:rsid w:val="00992F2E"/>
    <w:rsid w:val="00993C75"/>
    <w:rsid w:val="009B0308"/>
    <w:rsid w:val="009B34BD"/>
    <w:rsid w:val="009B4234"/>
    <w:rsid w:val="009C1116"/>
    <w:rsid w:val="009C2486"/>
    <w:rsid w:val="009C57C2"/>
    <w:rsid w:val="009C7E17"/>
    <w:rsid w:val="009D0790"/>
    <w:rsid w:val="009D5489"/>
    <w:rsid w:val="009D709B"/>
    <w:rsid w:val="009D7DAF"/>
    <w:rsid w:val="009E0511"/>
    <w:rsid w:val="009E6FA4"/>
    <w:rsid w:val="009F1800"/>
    <w:rsid w:val="009F347F"/>
    <w:rsid w:val="009F56AC"/>
    <w:rsid w:val="009F5709"/>
    <w:rsid w:val="009F5EE6"/>
    <w:rsid w:val="00A07769"/>
    <w:rsid w:val="00A12E08"/>
    <w:rsid w:val="00A14CD9"/>
    <w:rsid w:val="00A16387"/>
    <w:rsid w:val="00A1658C"/>
    <w:rsid w:val="00A202B8"/>
    <w:rsid w:val="00A2599E"/>
    <w:rsid w:val="00A32C12"/>
    <w:rsid w:val="00A3513E"/>
    <w:rsid w:val="00A40BA2"/>
    <w:rsid w:val="00A421A6"/>
    <w:rsid w:val="00A42F49"/>
    <w:rsid w:val="00A43DF1"/>
    <w:rsid w:val="00A44201"/>
    <w:rsid w:val="00A537E0"/>
    <w:rsid w:val="00A57848"/>
    <w:rsid w:val="00A57CF6"/>
    <w:rsid w:val="00A6141F"/>
    <w:rsid w:val="00A714F5"/>
    <w:rsid w:val="00A75F04"/>
    <w:rsid w:val="00A768B6"/>
    <w:rsid w:val="00A84B6E"/>
    <w:rsid w:val="00A92E15"/>
    <w:rsid w:val="00A9572D"/>
    <w:rsid w:val="00AA122B"/>
    <w:rsid w:val="00AA375B"/>
    <w:rsid w:val="00AA4528"/>
    <w:rsid w:val="00AA557F"/>
    <w:rsid w:val="00AA66C7"/>
    <w:rsid w:val="00AB0CF6"/>
    <w:rsid w:val="00AB1E59"/>
    <w:rsid w:val="00AB525B"/>
    <w:rsid w:val="00AB564B"/>
    <w:rsid w:val="00AB5DF4"/>
    <w:rsid w:val="00AC01E1"/>
    <w:rsid w:val="00AC13F5"/>
    <w:rsid w:val="00AC2B70"/>
    <w:rsid w:val="00AC4416"/>
    <w:rsid w:val="00AD27DF"/>
    <w:rsid w:val="00AD661F"/>
    <w:rsid w:val="00AE3264"/>
    <w:rsid w:val="00AE35A7"/>
    <w:rsid w:val="00AE3A0C"/>
    <w:rsid w:val="00AE476E"/>
    <w:rsid w:val="00AF237F"/>
    <w:rsid w:val="00B0289C"/>
    <w:rsid w:val="00B02A2B"/>
    <w:rsid w:val="00B03266"/>
    <w:rsid w:val="00B03717"/>
    <w:rsid w:val="00B06CA3"/>
    <w:rsid w:val="00B21AF9"/>
    <w:rsid w:val="00B21CFE"/>
    <w:rsid w:val="00B220F5"/>
    <w:rsid w:val="00B24126"/>
    <w:rsid w:val="00B307BD"/>
    <w:rsid w:val="00B33127"/>
    <w:rsid w:val="00B34379"/>
    <w:rsid w:val="00B35C17"/>
    <w:rsid w:val="00B36B59"/>
    <w:rsid w:val="00B42211"/>
    <w:rsid w:val="00B472E0"/>
    <w:rsid w:val="00B52FE8"/>
    <w:rsid w:val="00B55137"/>
    <w:rsid w:val="00B617BC"/>
    <w:rsid w:val="00B7316F"/>
    <w:rsid w:val="00B804EF"/>
    <w:rsid w:val="00B80BB6"/>
    <w:rsid w:val="00B81DDA"/>
    <w:rsid w:val="00B81ED5"/>
    <w:rsid w:val="00B85EDD"/>
    <w:rsid w:val="00B87A50"/>
    <w:rsid w:val="00B936BC"/>
    <w:rsid w:val="00BA1099"/>
    <w:rsid w:val="00BA160F"/>
    <w:rsid w:val="00BA6BF3"/>
    <w:rsid w:val="00BB0089"/>
    <w:rsid w:val="00BB1E79"/>
    <w:rsid w:val="00BB3278"/>
    <w:rsid w:val="00BB77A1"/>
    <w:rsid w:val="00BC4ADF"/>
    <w:rsid w:val="00BC5A10"/>
    <w:rsid w:val="00BC6527"/>
    <w:rsid w:val="00BD491D"/>
    <w:rsid w:val="00BD586D"/>
    <w:rsid w:val="00BD7873"/>
    <w:rsid w:val="00BE1165"/>
    <w:rsid w:val="00BE59DB"/>
    <w:rsid w:val="00BF272F"/>
    <w:rsid w:val="00BF293B"/>
    <w:rsid w:val="00BF3227"/>
    <w:rsid w:val="00BF3D5A"/>
    <w:rsid w:val="00BF5A1A"/>
    <w:rsid w:val="00BF70D7"/>
    <w:rsid w:val="00C0556C"/>
    <w:rsid w:val="00C07011"/>
    <w:rsid w:val="00C07F94"/>
    <w:rsid w:val="00C1541B"/>
    <w:rsid w:val="00C16721"/>
    <w:rsid w:val="00C16D5A"/>
    <w:rsid w:val="00C215BC"/>
    <w:rsid w:val="00C24176"/>
    <w:rsid w:val="00C2462E"/>
    <w:rsid w:val="00C26351"/>
    <w:rsid w:val="00C32E80"/>
    <w:rsid w:val="00C33A4E"/>
    <w:rsid w:val="00C43735"/>
    <w:rsid w:val="00C53DA6"/>
    <w:rsid w:val="00C54ECE"/>
    <w:rsid w:val="00C611CF"/>
    <w:rsid w:val="00C61B65"/>
    <w:rsid w:val="00C63763"/>
    <w:rsid w:val="00C75B61"/>
    <w:rsid w:val="00C820C5"/>
    <w:rsid w:val="00C8232D"/>
    <w:rsid w:val="00C83D60"/>
    <w:rsid w:val="00C84B20"/>
    <w:rsid w:val="00C84F54"/>
    <w:rsid w:val="00C86465"/>
    <w:rsid w:val="00C8767F"/>
    <w:rsid w:val="00C911C1"/>
    <w:rsid w:val="00C973A4"/>
    <w:rsid w:val="00CA003A"/>
    <w:rsid w:val="00CA1DCE"/>
    <w:rsid w:val="00CA5BFD"/>
    <w:rsid w:val="00CB05C2"/>
    <w:rsid w:val="00CB0DBF"/>
    <w:rsid w:val="00CB1E5D"/>
    <w:rsid w:val="00CB2127"/>
    <w:rsid w:val="00CB224A"/>
    <w:rsid w:val="00CB277F"/>
    <w:rsid w:val="00CB6AA7"/>
    <w:rsid w:val="00CB7CE4"/>
    <w:rsid w:val="00CC086B"/>
    <w:rsid w:val="00CC1A8A"/>
    <w:rsid w:val="00CC2DA5"/>
    <w:rsid w:val="00CC5ACD"/>
    <w:rsid w:val="00CC67EF"/>
    <w:rsid w:val="00CC755F"/>
    <w:rsid w:val="00CD58B5"/>
    <w:rsid w:val="00CD5E9F"/>
    <w:rsid w:val="00CD5ED8"/>
    <w:rsid w:val="00CD64AB"/>
    <w:rsid w:val="00CE00C4"/>
    <w:rsid w:val="00CE2276"/>
    <w:rsid w:val="00CE5964"/>
    <w:rsid w:val="00CF0660"/>
    <w:rsid w:val="00D06378"/>
    <w:rsid w:val="00D11517"/>
    <w:rsid w:val="00D22245"/>
    <w:rsid w:val="00D248A0"/>
    <w:rsid w:val="00D31E4D"/>
    <w:rsid w:val="00D3480D"/>
    <w:rsid w:val="00D375AA"/>
    <w:rsid w:val="00D4005D"/>
    <w:rsid w:val="00D40581"/>
    <w:rsid w:val="00D4358B"/>
    <w:rsid w:val="00D46334"/>
    <w:rsid w:val="00D46B8F"/>
    <w:rsid w:val="00D523EA"/>
    <w:rsid w:val="00D531A9"/>
    <w:rsid w:val="00D55BE5"/>
    <w:rsid w:val="00D6257B"/>
    <w:rsid w:val="00D62642"/>
    <w:rsid w:val="00D70526"/>
    <w:rsid w:val="00D817BA"/>
    <w:rsid w:val="00D83627"/>
    <w:rsid w:val="00D862FB"/>
    <w:rsid w:val="00D864D7"/>
    <w:rsid w:val="00D92C01"/>
    <w:rsid w:val="00D94BB9"/>
    <w:rsid w:val="00DB73C5"/>
    <w:rsid w:val="00DC01B3"/>
    <w:rsid w:val="00DC08C7"/>
    <w:rsid w:val="00DC6201"/>
    <w:rsid w:val="00DC7C09"/>
    <w:rsid w:val="00DE14E9"/>
    <w:rsid w:val="00DE1632"/>
    <w:rsid w:val="00DE2B14"/>
    <w:rsid w:val="00DE573A"/>
    <w:rsid w:val="00DE6719"/>
    <w:rsid w:val="00DE7064"/>
    <w:rsid w:val="00DF3CC4"/>
    <w:rsid w:val="00DF4272"/>
    <w:rsid w:val="00DF4F94"/>
    <w:rsid w:val="00DF60D5"/>
    <w:rsid w:val="00DF77C5"/>
    <w:rsid w:val="00E0271A"/>
    <w:rsid w:val="00E10431"/>
    <w:rsid w:val="00E13B71"/>
    <w:rsid w:val="00E177C9"/>
    <w:rsid w:val="00E20B2F"/>
    <w:rsid w:val="00E22BDC"/>
    <w:rsid w:val="00E2425F"/>
    <w:rsid w:val="00E248B1"/>
    <w:rsid w:val="00E32A40"/>
    <w:rsid w:val="00E3621F"/>
    <w:rsid w:val="00E363C8"/>
    <w:rsid w:val="00E44260"/>
    <w:rsid w:val="00E45F90"/>
    <w:rsid w:val="00E478BB"/>
    <w:rsid w:val="00E54BA2"/>
    <w:rsid w:val="00E54DB4"/>
    <w:rsid w:val="00E57EE2"/>
    <w:rsid w:val="00E64629"/>
    <w:rsid w:val="00E66C68"/>
    <w:rsid w:val="00E818A7"/>
    <w:rsid w:val="00E838F8"/>
    <w:rsid w:val="00E87049"/>
    <w:rsid w:val="00E874D3"/>
    <w:rsid w:val="00E91637"/>
    <w:rsid w:val="00E93039"/>
    <w:rsid w:val="00E96C21"/>
    <w:rsid w:val="00E97758"/>
    <w:rsid w:val="00EA27AF"/>
    <w:rsid w:val="00EA359F"/>
    <w:rsid w:val="00EA37FD"/>
    <w:rsid w:val="00EA666C"/>
    <w:rsid w:val="00EB169C"/>
    <w:rsid w:val="00EB181E"/>
    <w:rsid w:val="00EB421D"/>
    <w:rsid w:val="00EB4928"/>
    <w:rsid w:val="00EE304B"/>
    <w:rsid w:val="00EE6F94"/>
    <w:rsid w:val="00EF3E90"/>
    <w:rsid w:val="00EF5D56"/>
    <w:rsid w:val="00EF7D9F"/>
    <w:rsid w:val="00F012EA"/>
    <w:rsid w:val="00F0249B"/>
    <w:rsid w:val="00F025FD"/>
    <w:rsid w:val="00F026D5"/>
    <w:rsid w:val="00F036EF"/>
    <w:rsid w:val="00F10822"/>
    <w:rsid w:val="00F139F7"/>
    <w:rsid w:val="00F21811"/>
    <w:rsid w:val="00F264DD"/>
    <w:rsid w:val="00F33A6A"/>
    <w:rsid w:val="00F41E30"/>
    <w:rsid w:val="00F425D3"/>
    <w:rsid w:val="00F44684"/>
    <w:rsid w:val="00F46086"/>
    <w:rsid w:val="00F507AB"/>
    <w:rsid w:val="00F5173F"/>
    <w:rsid w:val="00F548AE"/>
    <w:rsid w:val="00F56EB0"/>
    <w:rsid w:val="00F60530"/>
    <w:rsid w:val="00F63ECA"/>
    <w:rsid w:val="00F665AB"/>
    <w:rsid w:val="00F67BE3"/>
    <w:rsid w:val="00F703DE"/>
    <w:rsid w:val="00F71F9F"/>
    <w:rsid w:val="00F73064"/>
    <w:rsid w:val="00F74714"/>
    <w:rsid w:val="00F75430"/>
    <w:rsid w:val="00F76BAE"/>
    <w:rsid w:val="00F774B6"/>
    <w:rsid w:val="00F805AB"/>
    <w:rsid w:val="00F81046"/>
    <w:rsid w:val="00F8675B"/>
    <w:rsid w:val="00F87048"/>
    <w:rsid w:val="00F90417"/>
    <w:rsid w:val="00F90518"/>
    <w:rsid w:val="00F913A3"/>
    <w:rsid w:val="00F968C5"/>
    <w:rsid w:val="00FA0D2B"/>
    <w:rsid w:val="00FA4F14"/>
    <w:rsid w:val="00FA6B78"/>
    <w:rsid w:val="00FB1838"/>
    <w:rsid w:val="00FB393E"/>
    <w:rsid w:val="00FB3FED"/>
    <w:rsid w:val="00FB59AE"/>
    <w:rsid w:val="00FC27D9"/>
    <w:rsid w:val="00FC35B6"/>
    <w:rsid w:val="00FD6D8B"/>
    <w:rsid w:val="00FD7A43"/>
    <w:rsid w:val="00FE6257"/>
    <w:rsid w:val="00FE62CD"/>
    <w:rsid w:val="00FE63BB"/>
    <w:rsid w:val="00FE74AD"/>
    <w:rsid w:val="00FE7689"/>
    <w:rsid w:val="00FE7ACC"/>
    <w:rsid w:val="00FF4EB8"/>
    <w:rsid w:val="00FF4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1812D1E9"/>
  <w15:docId w15:val="{6526E0E5-9394-49F7-8F99-B2E7546B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848"/>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qFormat/>
    <w:rsid w:val="00F73064"/>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qFormat/>
    <w:rsid w:val="00A57848"/>
    <w:pPr>
      <w:widowControl w:val="0"/>
      <w:numPr>
        <w:numId w:val="46"/>
      </w:numPr>
      <w:tabs>
        <w:tab w:val="left" w:pos="426"/>
      </w:tabs>
      <w:adjustRightInd w:val="0"/>
      <w:spacing w:before="360" w:after="240"/>
      <w:ind w:left="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8C0793"/>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8C0793"/>
    <w:pPr>
      <w:numPr>
        <w:ilvl w:val="2"/>
        <w:numId w:val="46"/>
      </w:numPr>
      <w:tabs>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F73064"/>
    <w:rPr>
      <w:rFonts w:ascii="Arial Bold" w:hAnsi="Arial Bold"/>
      <w:b/>
      <w:smallCaps/>
      <w:color w:val="003157"/>
      <w:sz w:val="36"/>
    </w:rPr>
  </w:style>
  <w:style w:type="character" w:customStyle="1" w:styleId="Heading2Char">
    <w:name w:val="Heading 2 Char"/>
    <w:basedOn w:val="DefaultParagraphFont"/>
    <w:link w:val="Heading2"/>
    <w:rsid w:val="00A57848"/>
    <w:rPr>
      <w:rFonts w:ascii="Arial Bold" w:hAnsi="Arial Bold"/>
      <w:b/>
      <w:smallCaps/>
      <w:color w:val="003157"/>
      <w:sz w:val="32"/>
    </w:rPr>
  </w:style>
  <w:style w:type="character" w:customStyle="1" w:styleId="Heading3Char">
    <w:name w:val="Heading 3 Char"/>
    <w:basedOn w:val="DefaultParagraphFont"/>
    <w:link w:val="Heading3"/>
    <w:rsid w:val="008C0793"/>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8C0793"/>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17"/>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15"/>
      </w:numPr>
    </w:pPr>
  </w:style>
  <w:style w:type="paragraph" w:customStyle="1" w:styleId="BoxDash">
    <w:name w:val="Box Dash"/>
    <w:basedOn w:val="Normal"/>
    <w:rsid w:val="005F5653"/>
    <w:pPr>
      <w:numPr>
        <w:ilvl w:val="1"/>
        <w:numId w:val="15"/>
      </w:numPr>
    </w:pPr>
  </w:style>
  <w:style w:type="paragraph" w:customStyle="1" w:styleId="BoxDoubleDot">
    <w:name w:val="Box Double Dot"/>
    <w:basedOn w:val="BoxTextBase"/>
    <w:rsid w:val="005F5653"/>
    <w:pPr>
      <w:numPr>
        <w:ilvl w:val="2"/>
        <w:numId w:val="15"/>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rsid w:val="00F73064"/>
    <w:pPr>
      <w:keepNext/>
      <w:numPr>
        <w:numId w:val="43"/>
      </w:numPr>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27"/>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B55137"/>
    <w:pPr>
      <w:spacing w:after="20"/>
      <w:jc w:val="center"/>
    </w:pPr>
    <w:rPr>
      <w:b/>
      <w:sz w:val="24"/>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rsid w:val="00F73064"/>
    <w:pPr>
      <w:numPr>
        <w:ilvl w:val="1"/>
        <w:numId w:val="43"/>
      </w:numPr>
    </w:pPr>
  </w:style>
  <w:style w:type="paragraph" w:customStyle="1" w:styleId="DoubleDot">
    <w:name w:val="Double Dot"/>
    <w:basedOn w:val="Dash"/>
    <w:rsid w:val="00F73064"/>
    <w:pPr>
      <w:numPr>
        <w:ilvl w:val="2"/>
      </w:numPr>
    </w:pPr>
  </w:style>
  <w:style w:type="paragraph" w:customStyle="1" w:styleId="Figuregraphic">
    <w:name w:val="Figure graphic"/>
    <w:basedOn w:val="Normal"/>
    <w:rsid w:val="00BB3278"/>
    <w:pPr>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B55137"/>
  </w:style>
  <w:style w:type="paragraph" w:customStyle="1" w:styleId="FooterOdd">
    <w:name w:val="Footer Odd"/>
    <w:basedOn w:val="Footer"/>
    <w:rsid w:val="00B55137"/>
  </w:style>
  <w:style w:type="character" w:styleId="FootnoteReference">
    <w:name w:val="footnote reference"/>
    <w:basedOn w:val="DefaultParagraphFont"/>
    <w:rsid w:val="00F73064"/>
    <w:rPr>
      <w:vertAlign w:val="superscript"/>
    </w:rPr>
  </w:style>
  <w:style w:type="paragraph" w:styleId="FootnoteText">
    <w:name w:val="footnote text"/>
    <w:basedOn w:val="Normal"/>
    <w:link w:val="FootnoteTextChar"/>
    <w:rsid w:val="00697AED"/>
    <w:pPr>
      <w:tabs>
        <w:tab w:val="left" w:pos="567"/>
      </w:tabs>
      <w:spacing w:after="0"/>
      <w:ind w:left="567" w:hanging="567"/>
    </w:pPr>
    <w:rPr>
      <w:sz w:val="18"/>
    </w:rPr>
  </w:style>
  <w:style w:type="character" w:customStyle="1" w:styleId="FootnoteTextChar">
    <w:name w:val="Footnote Text Char"/>
    <w:basedOn w:val="DefaultParagraphFont"/>
    <w:link w:val="FootnoteText"/>
    <w:rsid w:val="00697AED"/>
    <w:rPr>
      <w:rFonts w:ascii="Calibri" w:hAnsi="Calibri"/>
      <w:color w:val="000000" w:themeColor="text1"/>
      <w:sz w:val="18"/>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E54DB4"/>
  </w:style>
  <w:style w:type="paragraph" w:customStyle="1" w:styleId="HeaderOdd">
    <w:name w:val="Header Odd"/>
    <w:basedOn w:val="Header"/>
    <w:rsid w:val="00B55137"/>
    <w:pPr>
      <w:jc w:val="right"/>
    </w:pPr>
  </w:style>
  <w:style w:type="character" w:styleId="Hyperlink">
    <w:name w:val="Hyperlink"/>
    <w:basedOn w:val="DefaultParagraphFont"/>
    <w:rsid w:val="00F73064"/>
    <w:rPr>
      <w:color w:val="0000FF" w:themeColor="hyperlink"/>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24"/>
      </w:numPr>
    </w:pPr>
  </w:style>
  <w:style w:type="paragraph" w:customStyle="1" w:styleId="OneLevelNumberedParagraph">
    <w:name w:val="One Level Numbered Paragraph"/>
    <w:basedOn w:val="Normal"/>
    <w:rsid w:val="003E0E7B"/>
    <w:pPr>
      <w:numPr>
        <w:numId w:val="23"/>
      </w:numPr>
    </w:pPr>
  </w:style>
  <w:style w:type="paragraph" w:customStyle="1" w:styleId="OutlineNumbered2">
    <w:name w:val="Outline Numbered 2"/>
    <w:basedOn w:val="Normal"/>
    <w:rsid w:val="003E0E7B"/>
    <w:pPr>
      <w:numPr>
        <w:ilvl w:val="1"/>
        <w:numId w:val="24"/>
      </w:numPr>
    </w:pPr>
  </w:style>
  <w:style w:type="paragraph" w:customStyle="1" w:styleId="OutlineNumbered3">
    <w:name w:val="Outline Numbered 3"/>
    <w:basedOn w:val="Normal"/>
    <w:rsid w:val="003E0E7B"/>
    <w:pPr>
      <w:numPr>
        <w:ilvl w:val="2"/>
        <w:numId w:val="24"/>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25"/>
      </w:numPr>
    </w:pPr>
  </w:style>
  <w:style w:type="paragraph" w:customStyle="1" w:styleId="RecommendationDash">
    <w:name w:val="Recommendation Dash"/>
    <w:basedOn w:val="RecommendationTextBase"/>
    <w:rsid w:val="00301A52"/>
    <w:pPr>
      <w:numPr>
        <w:ilvl w:val="1"/>
        <w:numId w:val="25"/>
      </w:numPr>
    </w:pPr>
  </w:style>
  <w:style w:type="paragraph" w:customStyle="1" w:styleId="RecommendationDoubleDot">
    <w:name w:val="Recommendation Double Dot"/>
    <w:basedOn w:val="RecommendationTextBase"/>
    <w:rsid w:val="00301A52"/>
    <w:pPr>
      <w:numPr>
        <w:ilvl w:val="2"/>
        <w:numId w:val="25"/>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26"/>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F73064"/>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20"/>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4"/>
      </w:numPr>
    </w:pPr>
  </w:style>
  <w:style w:type="numbering" w:customStyle="1" w:styleId="BoxBulletedList">
    <w:name w:val="Box Bulleted List"/>
    <w:uiPriority w:val="99"/>
    <w:rsid w:val="005F5653"/>
    <w:pPr>
      <w:numPr>
        <w:numId w:val="15"/>
      </w:numPr>
    </w:pPr>
  </w:style>
  <w:style w:type="numbering" w:customStyle="1" w:styleId="AlphaParagraphList">
    <w:name w:val="Alpha Paragraph List"/>
    <w:uiPriority w:val="99"/>
    <w:rsid w:val="009D0790"/>
    <w:pPr>
      <w:numPr>
        <w:numId w:val="17"/>
      </w:numPr>
    </w:pPr>
  </w:style>
  <w:style w:type="numbering" w:customStyle="1" w:styleId="OneLevelList">
    <w:name w:val="OneLevelList"/>
    <w:uiPriority w:val="99"/>
    <w:rsid w:val="003E0E7B"/>
    <w:pPr>
      <w:numPr>
        <w:numId w:val="19"/>
      </w:numPr>
    </w:pPr>
  </w:style>
  <w:style w:type="numbering" w:customStyle="1" w:styleId="RecommendationBulletList">
    <w:name w:val="RecommendationBulletList"/>
    <w:uiPriority w:val="99"/>
    <w:rsid w:val="00301A52"/>
    <w:pPr>
      <w:numPr>
        <w:numId w:val="21"/>
      </w:numPr>
    </w:pPr>
  </w:style>
  <w:style w:type="numbering" w:customStyle="1" w:styleId="RomanNumeralList">
    <w:name w:val="RomanNumeralList"/>
    <w:uiPriority w:val="99"/>
    <w:rsid w:val="009C7E17"/>
    <w:pPr>
      <w:numPr>
        <w:numId w:val="22"/>
      </w:numPr>
    </w:pPr>
  </w:style>
  <w:style w:type="numbering" w:customStyle="1" w:styleId="ChartandTableFootnoteAlphaList">
    <w:name w:val="ChartandTableFootnoteAlphaList"/>
    <w:uiPriority w:val="99"/>
    <w:rsid w:val="009862D1"/>
    <w:pPr>
      <w:numPr>
        <w:numId w:val="27"/>
      </w:numPr>
    </w:pPr>
  </w:style>
  <w:style w:type="paragraph" w:customStyle="1" w:styleId="TableTextBullet">
    <w:name w:val="Table Text Bullet"/>
    <w:basedOn w:val="TableTextBase"/>
    <w:rsid w:val="002271BB"/>
    <w:pPr>
      <w:numPr>
        <w:numId w:val="31"/>
      </w:numPr>
    </w:pPr>
  </w:style>
  <w:style w:type="numbering" w:customStyle="1" w:styleId="TableTestBulletList">
    <w:name w:val="Table Test Bullet List"/>
    <w:uiPriority w:val="99"/>
    <w:rsid w:val="00E177C9"/>
    <w:pPr>
      <w:numPr>
        <w:numId w:val="28"/>
      </w:numPr>
    </w:pPr>
  </w:style>
  <w:style w:type="numbering" w:customStyle="1" w:styleId="TableTextBulletList">
    <w:name w:val="Table Text Bullet List"/>
    <w:uiPriority w:val="99"/>
    <w:rsid w:val="005F3390"/>
    <w:pPr>
      <w:numPr>
        <w:numId w:val="29"/>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457AC1"/>
    <w:pPr>
      <w:spacing w:before="3000" w:after="480"/>
      <w:jc w:val="center"/>
    </w:pPr>
    <w:rPr>
      <w:rFonts w:ascii="Arial Bold" w:hAnsi="Arial Bold"/>
      <w:b/>
      <w:smallCaps/>
      <w:kern w:val="28"/>
      <w:sz w:val="56"/>
    </w:rPr>
  </w:style>
  <w:style w:type="character" w:customStyle="1" w:styleId="TitleChar">
    <w:name w:val="Title Char"/>
    <w:basedOn w:val="DefaultParagraphFont"/>
    <w:link w:val="Title"/>
    <w:rsid w:val="00457AC1"/>
    <w:rPr>
      <w:rFonts w:ascii="Arial Bold" w:hAnsi="Arial Bold"/>
      <w:b/>
      <w:smallCaps/>
      <w:color w:val="003157"/>
      <w:kern w:val="28"/>
      <w:sz w:val="56"/>
    </w:rPr>
  </w:style>
  <w:style w:type="paragraph" w:styleId="Subtitle">
    <w:name w:val="Subtitle"/>
    <w:basedOn w:val="HeadingBaseStyle"/>
    <w:link w:val="SubtitleChar"/>
    <w:qFormat/>
    <w:rsid w:val="00F73064"/>
    <w:pPr>
      <w:spacing w:before="360" w:after="360"/>
      <w:jc w:val="center"/>
      <w:outlineLvl w:val="1"/>
    </w:pPr>
    <w:rPr>
      <w:rFonts w:ascii="Arial Bold" w:hAnsi="Arial Bold"/>
      <w:b/>
      <w:color w:val="auto"/>
      <w:sz w:val="40"/>
    </w:rPr>
  </w:style>
  <w:style w:type="character" w:customStyle="1" w:styleId="SubtitleChar">
    <w:name w:val="Subtitle Char"/>
    <w:basedOn w:val="DefaultParagraphFont"/>
    <w:link w:val="Subtitle"/>
    <w:rsid w:val="00F73064"/>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F73064"/>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33"/>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39"/>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39"/>
      </w:numPr>
    </w:pPr>
  </w:style>
  <w:style w:type="paragraph" w:customStyle="1" w:styleId="AppendixHeadingLevel4">
    <w:name w:val="Appendix Heading Level 4"/>
    <w:basedOn w:val="Heading4"/>
    <w:next w:val="Normal"/>
    <w:rsid w:val="00F73064"/>
    <w:pPr>
      <w:numPr>
        <w:ilvl w:val="3"/>
        <w:numId w:val="39"/>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41"/>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44"/>
      </w:numPr>
      <w:spacing w:before="40" w:after="40"/>
    </w:pPr>
    <w:rPr>
      <w:rFonts w:ascii="Arial" w:hAnsi="Arial"/>
      <w:sz w:val="18"/>
    </w:rPr>
  </w:style>
  <w:style w:type="paragraph" w:customStyle="1" w:styleId="Heading2NotNumbered">
    <w:name w:val="Heading 2 Not Numbered"/>
    <w:basedOn w:val="Heading2"/>
    <w:rsid w:val="00F73064"/>
    <w:pPr>
      <w:numPr>
        <w:numId w:val="0"/>
      </w:numPr>
    </w:pPr>
  </w:style>
  <w:style w:type="paragraph" w:customStyle="1" w:styleId="Heading3NotNumbered">
    <w:name w:val="Heading 3 Not Numbered"/>
    <w:basedOn w:val="Heading4"/>
    <w:rsid w:val="00F73064"/>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47"/>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89034">
      <w:bodyDiv w:val="1"/>
      <w:marLeft w:val="0"/>
      <w:marRight w:val="0"/>
      <w:marTop w:val="0"/>
      <w:marBottom w:val="0"/>
      <w:divBdr>
        <w:top w:val="none" w:sz="0" w:space="0" w:color="auto"/>
        <w:left w:val="none" w:sz="0" w:space="0" w:color="auto"/>
        <w:bottom w:val="none" w:sz="0" w:space="0" w:color="auto"/>
        <w:right w:val="none" w:sz="0" w:space="0" w:color="auto"/>
      </w:divBdr>
    </w:div>
    <w:div w:id="136653815">
      <w:bodyDiv w:val="1"/>
      <w:marLeft w:val="0"/>
      <w:marRight w:val="0"/>
      <w:marTop w:val="0"/>
      <w:marBottom w:val="0"/>
      <w:divBdr>
        <w:top w:val="none" w:sz="0" w:space="0" w:color="auto"/>
        <w:left w:val="none" w:sz="0" w:space="0" w:color="auto"/>
        <w:bottom w:val="none" w:sz="0" w:space="0" w:color="auto"/>
        <w:right w:val="none" w:sz="0" w:space="0" w:color="auto"/>
      </w:divBdr>
    </w:div>
    <w:div w:id="164176256">
      <w:bodyDiv w:val="1"/>
      <w:marLeft w:val="0"/>
      <w:marRight w:val="0"/>
      <w:marTop w:val="0"/>
      <w:marBottom w:val="0"/>
      <w:divBdr>
        <w:top w:val="none" w:sz="0" w:space="0" w:color="auto"/>
        <w:left w:val="none" w:sz="0" w:space="0" w:color="auto"/>
        <w:bottom w:val="none" w:sz="0" w:space="0" w:color="auto"/>
        <w:right w:val="none" w:sz="0" w:space="0" w:color="auto"/>
      </w:divBdr>
    </w:div>
    <w:div w:id="233900309">
      <w:bodyDiv w:val="1"/>
      <w:marLeft w:val="0"/>
      <w:marRight w:val="0"/>
      <w:marTop w:val="0"/>
      <w:marBottom w:val="0"/>
      <w:divBdr>
        <w:top w:val="none" w:sz="0" w:space="0" w:color="auto"/>
        <w:left w:val="none" w:sz="0" w:space="0" w:color="auto"/>
        <w:bottom w:val="none" w:sz="0" w:space="0" w:color="auto"/>
        <w:right w:val="none" w:sz="0" w:space="0" w:color="auto"/>
      </w:divBdr>
    </w:div>
    <w:div w:id="260993028">
      <w:bodyDiv w:val="1"/>
      <w:marLeft w:val="0"/>
      <w:marRight w:val="0"/>
      <w:marTop w:val="0"/>
      <w:marBottom w:val="0"/>
      <w:divBdr>
        <w:top w:val="none" w:sz="0" w:space="0" w:color="auto"/>
        <w:left w:val="none" w:sz="0" w:space="0" w:color="auto"/>
        <w:bottom w:val="none" w:sz="0" w:space="0" w:color="auto"/>
        <w:right w:val="none" w:sz="0" w:space="0" w:color="auto"/>
      </w:divBdr>
      <w:divsChild>
        <w:div w:id="312177058">
          <w:marLeft w:val="0"/>
          <w:marRight w:val="0"/>
          <w:marTop w:val="0"/>
          <w:marBottom w:val="0"/>
          <w:divBdr>
            <w:top w:val="none" w:sz="0" w:space="0" w:color="auto"/>
            <w:left w:val="none" w:sz="0" w:space="0" w:color="auto"/>
            <w:bottom w:val="none" w:sz="0" w:space="0" w:color="auto"/>
            <w:right w:val="none" w:sz="0" w:space="0" w:color="auto"/>
          </w:divBdr>
          <w:divsChild>
            <w:div w:id="7106441">
              <w:marLeft w:val="0"/>
              <w:marRight w:val="0"/>
              <w:marTop w:val="0"/>
              <w:marBottom w:val="0"/>
              <w:divBdr>
                <w:top w:val="none" w:sz="0" w:space="0" w:color="auto"/>
                <w:left w:val="none" w:sz="0" w:space="0" w:color="auto"/>
                <w:bottom w:val="none" w:sz="0" w:space="0" w:color="auto"/>
                <w:right w:val="none" w:sz="0" w:space="0" w:color="auto"/>
              </w:divBdr>
              <w:divsChild>
                <w:div w:id="1473691">
                  <w:marLeft w:val="0"/>
                  <w:marRight w:val="0"/>
                  <w:marTop w:val="0"/>
                  <w:marBottom w:val="0"/>
                  <w:divBdr>
                    <w:top w:val="single" w:sz="6" w:space="0" w:color="CCCCCC"/>
                    <w:left w:val="single" w:sz="6" w:space="0" w:color="CCCCCC"/>
                    <w:bottom w:val="single" w:sz="6" w:space="0" w:color="CCCCCC"/>
                    <w:right w:val="single" w:sz="6" w:space="0" w:color="CCCCCC"/>
                  </w:divBdr>
                  <w:divsChild>
                    <w:div w:id="1984656405">
                      <w:marLeft w:val="0"/>
                      <w:marRight w:val="0"/>
                      <w:marTop w:val="0"/>
                      <w:marBottom w:val="0"/>
                      <w:divBdr>
                        <w:top w:val="none" w:sz="0" w:space="0" w:color="auto"/>
                        <w:left w:val="none" w:sz="0" w:space="0" w:color="auto"/>
                        <w:bottom w:val="none" w:sz="0" w:space="0" w:color="auto"/>
                        <w:right w:val="none" w:sz="0" w:space="0" w:color="auto"/>
                      </w:divBdr>
                      <w:divsChild>
                        <w:div w:id="176313039">
                          <w:marLeft w:val="0"/>
                          <w:marRight w:val="0"/>
                          <w:marTop w:val="0"/>
                          <w:marBottom w:val="0"/>
                          <w:divBdr>
                            <w:top w:val="none" w:sz="0" w:space="0" w:color="auto"/>
                            <w:left w:val="none" w:sz="0" w:space="0" w:color="auto"/>
                            <w:bottom w:val="none" w:sz="0" w:space="0" w:color="auto"/>
                            <w:right w:val="none" w:sz="0" w:space="0" w:color="auto"/>
                          </w:divBdr>
                          <w:divsChild>
                            <w:div w:id="405345231">
                              <w:marLeft w:val="0"/>
                              <w:marRight w:val="0"/>
                              <w:marTop w:val="0"/>
                              <w:marBottom w:val="0"/>
                              <w:divBdr>
                                <w:top w:val="none" w:sz="0" w:space="0" w:color="auto"/>
                                <w:left w:val="none" w:sz="0" w:space="0" w:color="auto"/>
                                <w:bottom w:val="none" w:sz="0" w:space="0" w:color="auto"/>
                                <w:right w:val="none" w:sz="0" w:space="0" w:color="auto"/>
                              </w:divBdr>
                              <w:divsChild>
                                <w:div w:id="18113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192152">
      <w:bodyDiv w:val="1"/>
      <w:marLeft w:val="0"/>
      <w:marRight w:val="0"/>
      <w:marTop w:val="0"/>
      <w:marBottom w:val="0"/>
      <w:divBdr>
        <w:top w:val="none" w:sz="0" w:space="0" w:color="auto"/>
        <w:left w:val="none" w:sz="0" w:space="0" w:color="auto"/>
        <w:bottom w:val="none" w:sz="0" w:space="0" w:color="auto"/>
        <w:right w:val="none" w:sz="0" w:space="0" w:color="auto"/>
      </w:divBdr>
    </w:div>
    <w:div w:id="428963729">
      <w:bodyDiv w:val="1"/>
      <w:marLeft w:val="0"/>
      <w:marRight w:val="0"/>
      <w:marTop w:val="0"/>
      <w:marBottom w:val="0"/>
      <w:divBdr>
        <w:top w:val="none" w:sz="0" w:space="0" w:color="auto"/>
        <w:left w:val="none" w:sz="0" w:space="0" w:color="auto"/>
        <w:bottom w:val="none" w:sz="0" w:space="0" w:color="auto"/>
        <w:right w:val="none" w:sz="0" w:space="0" w:color="auto"/>
      </w:divBdr>
    </w:div>
    <w:div w:id="456339217">
      <w:bodyDiv w:val="1"/>
      <w:marLeft w:val="0"/>
      <w:marRight w:val="0"/>
      <w:marTop w:val="0"/>
      <w:marBottom w:val="0"/>
      <w:divBdr>
        <w:top w:val="none" w:sz="0" w:space="0" w:color="auto"/>
        <w:left w:val="none" w:sz="0" w:space="0" w:color="auto"/>
        <w:bottom w:val="none" w:sz="0" w:space="0" w:color="auto"/>
        <w:right w:val="none" w:sz="0" w:space="0" w:color="auto"/>
      </w:divBdr>
    </w:div>
    <w:div w:id="470291074">
      <w:bodyDiv w:val="1"/>
      <w:marLeft w:val="0"/>
      <w:marRight w:val="0"/>
      <w:marTop w:val="0"/>
      <w:marBottom w:val="0"/>
      <w:divBdr>
        <w:top w:val="none" w:sz="0" w:space="0" w:color="auto"/>
        <w:left w:val="none" w:sz="0" w:space="0" w:color="auto"/>
        <w:bottom w:val="none" w:sz="0" w:space="0" w:color="auto"/>
        <w:right w:val="none" w:sz="0" w:space="0" w:color="auto"/>
      </w:divBdr>
    </w:div>
    <w:div w:id="538904859">
      <w:bodyDiv w:val="1"/>
      <w:marLeft w:val="0"/>
      <w:marRight w:val="0"/>
      <w:marTop w:val="0"/>
      <w:marBottom w:val="0"/>
      <w:divBdr>
        <w:top w:val="none" w:sz="0" w:space="0" w:color="auto"/>
        <w:left w:val="none" w:sz="0" w:space="0" w:color="auto"/>
        <w:bottom w:val="none" w:sz="0" w:space="0" w:color="auto"/>
        <w:right w:val="none" w:sz="0" w:space="0" w:color="auto"/>
      </w:divBdr>
    </w:div>
    <w:div w:id="635331450">
      <w:bodyDiv w:val="1"/>
      <w:marLeft w:val="0"/>
      <w:marRight w:val="0"/>
      <w:marTop w:val="0"/>
      <w:marBottom w:val="0"/>
      <w:divBdr>
        <w:top w:val="none" w:sz="0" w:space="0" w:color="auto"/>
        <w:left w:val="none" w:sz="0" w:space="0" w:color="auto"/>
        <w:bottom w:val="none" w:sz="0" w:space="0" w:color="auto"/>
        <w:right w:val="none" w:sz="0" w:space="0" w:color="auto"/>
      </w:divBdr>
    </w:div>
    <w:div w:id="656812084">
      <w:bodyDiv w:val="1"/>
      <w:marLeft w:val="0"/>
      <w:marRight w:val="0"/>
      <w:marTop w:val="0"/>
      <w:marBottom w:val="0"/>
      <w:divBdr>
        <w:top w:val="none" w:sz="0" w:space="0" w:color="auto"/>
        <w:left w:val="none" w:sz="0" w:space="0" w:color="auto"/>
        <w:bottom w:val="none" w:sz="0" w:space="0" w:color="auto"/>
        <w:right w:val="none" w:sz="0" w:space="0" w:color="auto"/>
      </w:divBdr>
    </w:div>
    <w:div w:id="665865967">
      <w:bodyDiv w:val="1"/>
      <w:marLeft w:val="0"/>
      <w:marRight w:val="0"/>
      <w:marTop w:val="0"/>
      <w:marBottom w:val="0"/>
      <w:divBdr>
        <w:top w:val="none" w:sz="0" w:space="0" w:color="auto"/>
        <w:left w:val="none" w:sz="0" w:space="0" w:color="auto"/>
        <w:bottom w:val="none" w:sz="0" w:space="0" w:color="auto"/>
        <w:right w:val="none" w:sz="0" w:space="0" w:color="auto"/>
      </w:divBdr>
    </w:div>
    <w:div w:id="681905851">
      <w:bodyDiv w:val="1"/>
      <w:marLeft w:val="0"/>
      <w:marRight w:val="0"/>
      <w:marTop w:val="0"/>
      <w:marBottom w:val="0"/>
      <w:divBdr>
        <w:top w:val="none" w:sz="0" w:space="0" w:color="auto"/>
        <w:left w:val="none" w:sz="0" w:space="0" w:color="auto"/>
        <w:bottom w:val="none" w:sz="0" w:space="0" w:color="auto"/>
        <w:right w:val="none" w:sz="0" w:space="0" w:color="auto"/>
      </w:divBdr>
    </w:div>
    <w:div w:id="785924168">
      <w:bodyDiv w:val="1"/>
      <w:marLeft w:val="0"/>
      <w:marRight w:val="0"/>
      <w:marTop w:val="0"/>
      <w:marBottom w:val="0"/>
      <w:divBdr>
        <w:top w:val="none" w:sz="0" w:space="0" w:color="auto"/>
        <w:left w:val="none" w:sz="0" w:space="0" w:color="auto"/>
        <w:bottom w:val="none" w:sz="0" w:space="0" w:color="auto"/>
        <w:right w:val="none" w:sz="0" w:space="0" w:color="auto"/>
      </w:divBdr>
    </w:div>
    <w:div w:id="887955303">
      <w:bodyDiv w:val="1"/>
      <w:marLeft w:val="0"/>
      <w:marRight w:val="0"/>
      <w:marTop w:val="0"/>
      <w:marBottom w:val="0"/>
      <w:divBdr>
        <w:top w:val="none" w:sz="0" w:space="0" w:color="auto"/>
        <w:left w:val="none" w:sz="0" w:space="0" w:color="auto"/>
        <w:bottom w:val="none" w:sz="0" w:space="0" w:color="auto"/>
        <w:right w:val="none" w:sz="0" w:space="0" w:color="auto"/>
      </w:divBdr>
    </w:div>
    <w:div w:id="926891186">
      <w:bodyDiv w:val="1"/>
      <w:marLeft w:val="0"/>
      <w:marRight w:val="0"/>
      <w:marTop w:val="0"/>
      <w:marBottom w:val="0"/>
      <w:divBdr>
        <w:top w:val="none" w:sz="0" w:space="0" w:color="auto"/>
        <w:left w:val="none" w:sz="0" w:space="0" w:color="auto"/>
        <w:bottom w:val="none" w:sz="0" w:space="0" w:color="auto"/>
        <w:right w:val="none" w:sz="0" w:space="0" w:color="auto"/>
      </w:divBdr>
    </w:div>
    <w:div w:id="1033530458">
      <w:bodyDiv w:val="1"/>
      <w:marLeft w:val="0"/>
      <w:marRight w:val="0"/>
      <w:marTop w:val="0"/>
      <w:marBottom w:val="0"/>
      <w:divBdr>
        <w:top w:val="none" w:sz="0" w:space="0" w:color="auto"/>
        <w:left w:val="none" w:sz="0" w:space="0" w:color="auto"/>
        <w:bottom w:val="none" w:sz="0" w:space="0" w:color="auto"/>
        <w:right w:val="none" w:sz="0" w:space="0" w:color="auto"/>
      </w:divBdr>
    </w:div>
    <w:div w:id="1319770272">
      <w:bodyDiv w:val="1"/>
      <w:marLeft w:val="0"/>
      <w:marRight w:val="0"/>
      <w:marTop w:val="0"/>
      <w:marBottom w:val="0"/>
      <w:divBdr>
        <w:top w:val="none" w:sz="0" w:space="0" w:color="auto"/>
        <w:left w:val="none" w:sz="0" w:space="0" w:color="auto"/>
        <w:bottom w:val="none" w:sz="0" w:space="0" w:color="auto"/>
        <w:right w:val="none" w:sz="0" w:space="0" w:color="auto"/>
      </w:divBdr>
    </w:div>
    <w:div w:id="1413552480">
      <w:bodyDiv w:val="1"/>
      <w:marLeft w:val="0"/>
      <w:marRight w:val="0"/>
      <w:marTop w:val="0"/>
      <w:marBottom w:val="0"/>
      <w:divBdr>
        <w:top w:val="none" w:sz="0" w:space="0" w:color="auto"/>
        <w:left w:val="none" w:sz="0" w:space="0" w:color="auto"/>
        <w:bottom w:val="none" w:sz="0" w:space="0" w:color="auto"/>
        <w:right w:val="none" w:sz="0" w:space="0" w:color="auto"/>
      </w:divBdr>
    </w:div>
    <w:div w:id="1431966925">
      <w:bodyDiv w:val="1"/>
      <w:marLeft w:val="0"/>
      <w:marRight w:val="0"/>
      <w:marTop w:val="0"/>
      <w:marBottom w:val="0"/>
      <w:divBdr>
        <w:top w:val="none" w:sz="0" w:space="0" w:color="auto"/>
        <w:left w:val="none" w:sz="0" w:space="0" w:color="auto"/>
        <w:bottom w:val="none" w:sz="0" w:space="0" w:color="auto"/>
        <w:right w:val="none" w:sz="0" w:space="0" w:color="auto"/>
      </w:divBdr>
    </w:div>
    <w:div w:id="1480851942">
      <w:bodyDiv w:val="1"/>
      <w:marLeft w:val="0"/>
      <w:marRight w:val="0"/>
      <w:marTop w:val="0"/>
      <w:marBottom w:val="0"/>
      <w:divBdr>
        <w:top w:val="none" w:sz="0" w:space="0" w:color="auto"/>
        <w:left w:val="none" w:sz="0" w:space="0" w:color="auto"/>
        <w:bottom w:val="none" w:sz="0" w:space="0" w:color="auto"/>
        <w:right w:val="none" w:sz="0" w:space="0" w:color="auto"/>
      </w:divBdr>
    </w:div>
    <w:div w:id="1526554746">
      <w:bodyDiv w:val="1"/>
      <w:marLeft w:val="0"/>
      <w:marRight w:val="0"/>
      <w:marTop w:val="0"/>
      <w:marBottom w:val="0"/>
      <w:divBdr>
        <w:top w:val="none" w:sz="0" w:space="0" w:color="auto"/>
        <w:left w:val="none" w:sz="0" w:space="0" w:color="auto"/>
        <w:bottom w:val="none" w:sz="0" w:space="0" w:color="auto"/>
        <w:right w:val="none" w:sz="0" w:space="0" w:color="auto"/>
      </w:divBdr>
    </w:div>
    <w:div w:id="1528252492">
      <w:bodyDiv w:val="1"/>
      <w:marLeft w:val="0"/>
      <w:marRight w:val="0"/>
      <w:marTop w:val="0"/>
      <w:marBottom w:val="0"/>
      <w:divBdr>
        <w:top w:val="none" w:sz="0" w:space="0" w:color="auto"/>
        <w:left w:val="none" w:sz="0" w:space="0" w:color="auto"/>
        <w:bottom w:val="none" w:sz="0" w:space="0" w:color="auto"/>
        <w:right w:val="none" w:sz="0" w:space="0" w:color="auto"/>
      </w:divBdr>
    </w:div>
    <w:div w:id="1557619129">
      <w:bodyDiv w:val="1"/>
      <w:marLeft w:val="0"/>
      <w:marRight w:val="0"/>
      <w:marTop w:val="0"/>
      <w:marBottom w:val="0"/>
      <w:divBdr>
        <w:top w:val="none" w:sz="0" w:space="0" w:color="auto"/>
        <w:left w:val="none" w:sz="0" w:space="0" w:color="auto"/>
        <w:bottom w:val="none" w:sz="0" w:space="0" w:color="auto"/>
        <w:right w:val="none" w:sz="0" w:space="0" w:color="auto"/>
      </w:divBdr>
    </w:div>
    <w:div w:id="1584341782">
      <w:bodyDiv w:val="1"/>
      <w:marLeft w:val="0"/>
      <w:marRight w:val="0"/>
      <w:marTop w:val="0"/>
      <w:marBottom w:val="0"/>
      <w:divBdr>
        <w:top w:val="none" w:sz="0" w:space="0" w:color="auto"/>
        <w:left w:val="none" w:sz="0" w:space="0" w:color="auto"/>
        <w:bottom w:val="none" w:sz="0" w:space="0" w:color="auto"/>
        <w:right w:val="none" w:sz="0" w:space="0" w:color="auto"/>
      </w:divBdr>
    </w:div>
    <w:div w:id="1632319860">
      <w:bodyDiv w:val="1"/>
      <w:marLeft w:val="0"/>
      <w:marRight w:val="0"/>
      <w:marTop w:val="0"/>
      <w:marBottom w:val="0"/>
      <w:divBdr>
        <w:top w:val="none" w:sz="0" w:space="0" w:color="auto"/>
        <w:left w:val="none" w:sz="0" w:space="0" w:color="auto"/>
        <w:bottom w:val="none" w:sz="0" w:space="0" w:color="auto"/>
        <w:right w:val="none" w:sz="0" w:space="0" w:color="auto"/>
      </w:divBdr>
    </w:div>
    <w:div w:id="1757357894">
      <w:bodyDiv w:val="1"/>
      <w:marLeft w:val="0"/>
      <w:marRight w:val="0"/>
      <w:marTop w:val="0"/>
      <w:marBottom w:val="0"/>
      <w:divBdr>
        <w:top w:val="none" w:sz="0" w:space="0" w:color="auto"/>
        <w:left w:val="none" w:sz="0" w:space="0" w:color="auto"/>
        <w:bottom w:val="none" w:sz="0" w:space="0" w:color="auto"/>
        <w:right w:val="none" w:sz="0" w:space="0" w:color="auto"/>
      </w:divBdr>
    </w:div>
    <w:div w:id="1824007541">
      <w:bodyDiv w:val="1"/>
      <w:marLeft w:val="0"/>
      <w:marRight w:val="0"/>
      <w:marTop w:val="0"/>
      <w:marBottom w:val="0"/>
      <w:divBdr>
        <w:top w:val="none" w:sz="0" w:space="0" w:color="auto"/>
        <w:left w:val="none" w:sz="0" w:space="0" w:color="auto"/>
        <w:bottom w:val="none" w:sz="0" w:space="0" w:color="auto"/>
        <w:right w:val="none" w:sz="0" w:space="0" w:color="auto"/>
      </w:divBdr>
    </w:div>
    <w:div w:id="1921479159">
      <w:bodyDiv w:val="1"/>
      <w:marLeft w:val="0"/>
      <w:marRight w:val="0"/>
      <w:marTop w:val="0"/>
      <w:marBottom w:val="0"/>
      <w:divBdr>
        <w:top w:val="none" w:sz="0" w:space="0" w:color="auto"/>
        <w:left w:val="none" w:sz="0" w:space="0" w:color="auto"/>
        <w:bottom w:val="none" w:sz="0" w:space="0" w:color="auto"/>
        <w:right w:val="none" w:sz="0" w:space="0" w:color="auto"/>
      </w:divBdr>
    </w:div>
    <w:div w:id="201171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creativecommons.org/licenses/by/3.0/au/deed.en" TargetMode="External"/><Relationship Id="rId26" Type="http://schemas.openxmlformats.org/officeDocument/2006/relationships/header" Target="header6.xml"/><Relationship Id="rId39" Type="http://schemas.openxmlformats.org/officeDocument/2006/relationships/header" Target="header13.xml"/><Relationship Id="rId21" Type="http://schemas.openxmlformats.org/officeDocument/2006/relationships/hyperlink" Target="http://creativecommons.org/licenses/by/3.0/au/deed.en" TargetMode="External"/><Relationship Id="rId34" Type="http://schemas.openxmlformats.org/officeDocument/2006/relationships/header" Target="header10.xml"/><Relationship Id="rId42" Type="http://schemas.openxmlformats.org/officeDocument/2006/relationships/footer" Target="footer7.xml"/><Relationship Id="rId47" Type="http://schemas.openxmlformats.org/officeDocument/2006/relationships/header" Target="header18.xml"/><Relationship Id="rId50" Type="http://schemas.openxmlformats.org/officeDocument/2006/relationships/image" Target="media/image9.png"/><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image" Target="media/image4.png"/><Relationship Id="rId38" Type="http://schemas.openxmlformats.org/officeDocument/2006/relationships/image" Target="media/image5.png"/><Relationship Id="rId46"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wmf"/><Relationship Id="rId29" Type="http://schemas.openxmlformats.org/officeDocument/2006/relationships/header" Target="header8.xml"/><Relationship Id="rId41" Type="http://schemas.openxmlformats.org/officeDocument/2006/relationships/header" Target="header15.xm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header" Target="header2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medialiaison@treasury.gov.au" TargetMode="External"/><Relationship Id="rId28" Type="http://schemas.openxmlformats.org/officeDocument/2006/relationships/header" Target="header7.xml"/><Relationship Id="rId36" Type="http://schemas.openxmlformats.org/officeDocument/2006/relationships/header" Target="header12.xml"/><Relationship Id="rId49"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hyperlink" Target="http://creativecommons.org/licenses/by/3.0/au/legalcode" TargetMode="External"/><Relationship Id="rId31" Type="http://schemas.openxmlformats.org/officeDocument/2006/relationships/header" Target="header9.xml"/><Relationship Id="rId44" Type="http://schemas.openxmlformats.org/officeDocument/2006/relationships/image" Target="media/image7.png"/><Relationship Id="rId52"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pmc.gov.au/government/commonwealth-coat-arms" TargetMode="External"/><Relationship Id="rId27" Type="http://schemas.openxmlformats.org/officeDocument/2006/relationships/image" Target="media/image3.png"/><Relationship Id="rId30" Type="http://schemas.openxmlformats.org/officeDocument/2006/relationships/footer" Target="footer4.xml"/><Relationship Id="rId35" Type="http://schemas.openxmlformats.org/officeDocument/2006/relationships/header" Target="header11.xml"/><Relationship Id="rId43" Type="http://schemas.openxmlformats.org/officeDocument/2006/relationships/image" Target="media/image6.png"/><Relationship Id="rId48" Type="http://schemas.openxmlformats.org/officeDocument/2006/relationships/footer" Target="footer8.xm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9.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mailto:nathan.deutscher@treasury.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Working%20Paper.dotm" TargetMode="External"/></Relationships>
</file>

<file path=word/theme/theme1.xml><?xml version="1.0" encoding="utf-8"?>
<a:theme xmlns:a="http://schemas.openxmlformats.org/drawingml/2006/main" name="Budget Blue">
  <a:themeElements>
    <a:clrScheme name="Budget Blue">
      <a:dk1>
        <a:sysClr val="windowText" lastClr="000000"/>
      </a:dk1>
      <a:lt1>
        <a:sysClr val="window" lastClr="FFFFFF"/>
      </a:lt1>
      <a:dk2>
        <a:srgbClr val="1F497D"/>
      </a:dk2>
      <a:lt2>
        <a:srgbClr val="EEECE1"/>
      </a:lt2>
      <a:accent1>
        <a:srgbClr val="002B54"/>
      </a:accent1>
      <a:accent2>
        <a:srgbClr val="CCD5DD"/>
      </a:accent2>
      <a:accent3>
        <a:srgbClr val="668098"/>
      </a:accent3>
      <a:accent4>
        <a:srgbClr val="99AABB"/>
      </a:accent4>
      <a:accent5>
        <a:srgbClr val="335576"/>
      </a:accent5>
      <a:accent6>
        <a:srgbClr val="7F7F7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6FAAEFECF4B76B4B9E1AE4C08850A518" ma:contentTypeVersion="24440" ma:contentTypeDescription="" ma:contentTypeScope="" ma:versionID="8d1a984f947a2170acb71c3e12ea7d9e">
  <xsd:schema xmlns:xsd="http://www.w3.org/2001/XMLSchema" xmlns:xs="http://www.w3.org/2001/XMLSchema" xmlns:p="http://schemas.microsoft.com/office/2006/metadata/properties" xmlns:ns2="0f563589-9cf9-4143-b1eb-fb0534803d38" xmlns:ns3="eb47d8b7-fefc-4923-b53c-9685ba6b7210" targetNamespace="http://schemas.microsoft.com/office/2006/metadata/properties" ma:root="true" ma:fieldsID="894ff6b0f651bd4a0153d85b65cb7b64" ns2:_="" ns3:_="">
    <xsd:import namespace="0f563589-9cf9-4143-b1eb-fb0534803d38"/>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743</Value>
    </TaxCatchAll>
    <_dlc_DocId xmlns="0f563589-9cf9-4143-b1eb-fb0534803d38">2019CSSG-835809292-750</_dlc_DocId>
    <_dlc_DocIdUrl xmlns="0f563589-9cf9-4143-b1eb-fb0534803d38">
      <Url>http://tweb/sites/cssg/ped/pu/pt/_layouts/15/DocIdRedir.aspx?ID=2019CSSG-835809292-750</Url>
      <Description>2019CSSG-835809292-750</Description>
    </_dlc_DocIdUr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21A4A-3531-4585-A4FB-A01F02337269}">
  <ds:schemaRefs>
    <ds:schemaRef ds:uri="http://schemas.microsoft.com/sharepoint/v3/contenttype/forms"/>
  </ds:schemaRefs>
</ds:datastoreItem>
</file>

<file path=customXml/itemProps2.xml><?xml version="1.0" encoding="utf-8"?>
<ds:datastoreItem xmlns:ds="http://schemas.openxmlformats.org/officeDocument/2006/customXml" ds:itemID="{6B3AF933-C99C-4329-AF8C-B1260C10A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9F3CB-E8D4-4C33-9AFD-3662796CB10E}">
  <ds:schemaRefs>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eb47d8b7-fefc-4923-b53c-9685ba6b7210"/>
    <ds:schemaRef ds:uri="http://schemas.microsoft.com/office/infopath/2007/PartnerControls"/>
    <ds:schemaRef ds:uri="0f563589-9cf9-4143-b1eb-fb0534803d38"/>
    <ds:schemaRef ds:uri="http://purl.org/dc/dcmitype/"/>
  </ds:schemaRefs>
</ds:datastoreItem>
</file>

<file path=customXml/itemProps4.xml><?xml version="1.0" encoding="utf-8"?>
<ds:datastoreItem xmlns:ds="http://schemas.openxmlformats.org/officeDocument/2006/customXml" ds:itemID="{222468E5-769D-4E77-97C6-95AEF508D84A}">
  <ds:schemaRefs>
    <ds:schemaRef ds:uri="http://schemas.microsoft.com/sharepoint/events"/>
  </ds:schemaRefs>
</ds:datastoreItem>
</file>

<file path=customXml/itemProps5.xml><?xml version="1.0" encoding="utf-8"?>
<ds:datastoreItem xmlns:ds="http://schemas.openxmlformats.org/officeDocument/2006/customXml" ds:itemID="{5827BF4F-6BCD-411F-A2C1-996B6579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Treasury Working Paper.dotm</Template>
  <TotalTime>34716</TotalTime>
  <Pages>26</Pages>
  <Words>7939</Words>
  <Characters>45570</Characters>
  <Application>Microsoft Office Word</Application>
  <DocSecurity>0</DocSecurity>
  <Lines>670</Lines>
  <Paragraphs>232</Paragraphs>
  <ScaleCrop>false</ScaleCrop>
  <HeadingPairs>
    <vt:vector size="2" baseType="variant">
      <vt:variant>
        <vt:lpstr>Title</vt:lpstr>
      </vt:variant>
      <vt:variant>
        <vt:i4>1</vt:i4>
      </vt:variant>
    </vt:vector>
  </HeadingPairs>
  <TitlesOfParts>
    <vt:vector size="1" baseType="lpstr">
      <vt:lpstr>Job switching and wages</vt:lpstr>
    </vt:vector>
  </TitlesOfParts>
  <Company>Australian Government - The Treasury</Company>
  <LinksUpToDate>false</LinksUpToDate>
  <CharactersWithSpaces>53277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switching and wages</dc:title>
  <dc:subject>Working paper: [subject]</dc:subject>
  <dc:creator>Nathan Deutscher</dc:creator>
  <cp:lastModifiedBy>Hill, Christine</cp:lastModifiedBy>
  <cp:revision>81</cp:revision>
  <cp:lastPrinted>2019-11-22T00:50:00Z</cp:lastPrinted>
  <dcterms:created xsi:type="dcterms:W3CDTF">2018-09-26T01:17:00Z</dcterms:created>
  <dcterms:modified xsi:type="dcterms:W3CDTF">2019-11-22T00:51:00Z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vt:lpwstr>
  </property>
  <property fmtid="{D5CDD505-2E9C-101B-9397-08002B2CF9AE}" pid="4" name="WorkingDocStatus">
    <vt:lpwstr/>
  </property>
  <property fmtid="{D5CDD505-2E9C-101B-9397-08002B2CF9AE}" pid="5" name="Language">
    <vt:lpwstr>English</vt:lpwstr>
  </property>
  <property fmtid="{D5CDD505-2E9C-101B-9397-08002B2CF9AE}" pid="6" name="ContentTypeId">
    <vt:lpwstr>0x010100605AAC981168BE40A9BD548B81A50DF6006FAAEFECF4B76B4B9E1AE4C08850A518</vt:lpwstr>
  </property>
  <property fmtid="{D5CDD505-2E9C-101B-9397-08002B2CF9AE}" pid="7" name="RecordPoint_WorkflowType">
    <vt:lpwstr>ActiveSubmitStub</vt:lpwstr>
  </property>
  <property fmtid="{D5CDD505-2E9C-101B-9397-08002B2CF9AE}" pid="8" name="_dlc_DocIdItemGuid">
    <vt:lpwstr>1e30ba95-209a-4c39-b949-0b07dc582fe3</vt:lpwstr>
  </property>
  <property fmtid="{D5CDD505-2E9C-101B-9397-08002B2CF9AE}" pid="9" name="RecordPoint_ActiveItemListId">
    <vt:lpwstr>{2607908e-e259-4497-ba2a-eb929317cb90}</vt:lpwstr>
  </property>
  <property fmtid="{D5CDD505-2E9C-101B-9397-08002B2CF9AE}" pid="10" name="RecordPoint_ActiveItemWebId">
    <vt:lpwstr>{f0b8e850-5d6c-4fdf-aaa8-971c30da5c10}</vt:lpwstr>
  </property>
  <property fmtid="{D5CDD505-2E9C-101B-9397-08002B2CF9AE}" pid="11" name="RecordPoint_ActiveItemSiteId">
    <vt:lpwstr>{5ee6e47b-6e52-4499-bd11-9d6883ed7b5d}</vt:lpwstr>
  </property>
  <property fmtid="{D5CDD505-2E9C-101B-9397-08002B2CF9AE}" pid="12" name="RecordPoint_SubmissionDate">
    <vt:lpwstr/>
  </property>
  <property fmtid="{D5CDD505-2E9C-101B-9397-08002B2CF9AE}" pid="13" name="RecordPoint_RecordFormat">
    <vt:lpwstr/>
  </property>
  <property fmtid="{D5CDD505-2E9C-101B-9397-08002B2CF9AE}" pid="14" name="TSYRecordClass">
    <vt:lpwstr>75</vt:lpwstr>
  </property>
  <property fmtid="{D5CDD505-2E9C-101B-9397-08002B2CF9AE}" pid="15" name="RecordPoint_ActiveItemMoved">
    <vt:lpwstr/>
  </property>
  <property fmtid="{D5CDD505-2E9C-101B-9397-08002B2CF9AE}" pid="16" name="RecordPoint_ActiveItemUniqueId">
    <vt:lpwstr>{d67c77ce-0d2e-4e18-ab0f-7d3af9aee96d}</vt:lpwstr>
  </property>
  <property fmtid="{D5CDD505-2E9C-101B-9397-08002B2CF9AE}" pid="17" name="RecordPoint_RecordNumberSubmitted">
    <vt:lpwstr/>
  </property>
  <property fmtid="{D5CDD505-2E9C-101B-9397-08002B2CF9AE}" pid="18" name="RecordPoint_SubmissionCompleted">
    <vt:lpwstr/>
  </property>
  <property fmtid="{D5CDD505-2E9C-101B-9397-08002B2CF9AE}" pid="19" name="_NewReviewCycle">
    <vt:lpwstr/>
  </property>
</Properties>
</file>