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B52EF9" w:rsidTr="00B52EF9">
        <w:tc>
          <w:tcPr>
            <w:tcW w:w="7087" w:type="dxa"/>
            <w:shd w:val="clear" w:color="auto" w:fill="auto"/>
          </w:tcPr>
          <w:p w:rsidR="00B52EF9" w:rsidRDefault="00B52EF9" w:rsidP="00B52EF9">
            <w:pPr>
              <w:jc w:val="center"/>
              <w:rPr>
                <w:b/>
                <w:sz w:val="26"/>
              </w:rPr>
            </w:pPr>
            <w:r>
              <w:rPr>
                <w:b/>
                <w:sz w:val="26"/>
              </w:rPr>
              <w:t>EXPOSURE DRAFT</w:t>
            </w:r>
          </w:p>
          <w:p w:rsidR="00B52EF9" w:rsidRPr="00B52EF9" w:rsidRDefault="00B52EF9" w:rsidP="00B52EF9">
            <w:pPr>
              <w:rPr>
                <w:b/>
                <w:sz w:val="20"/>
              </w:rPr>
            </w:pPr>
          </w:p>
        </w:tc>
      </w:tr>
    </w:tbl>
    <w:p w:rsidR="00B52EF9" w:rsidRDefault="00B52EF9" w:rsidP="00BA48BC">
      <w:pPr>
        <w:rPr>
          <w:sz w:val="32"/>
          <w:szCs w:val="32"/>
        </w:rPr>
      </w:pPr>
    </w:p>
    <w:p w:rsidR="00664C63" w:rsidRPr="00BA48BC" w:rsidRDefault="00664C63" w:rsidP="00BA48BC">
      <w:pPr>
        <w:rPr>
          <w:sz w:val="32"/>
          <w:szCs w:val="32"/>
        </w:rPr>
      </w:pPr>
      <w:r w:rsidRPr="00BA48BC">
        <w:rPr>
          <w:sz w:val="32"/>
          <w:szCs w:val="32"/>
        </w:rPr>
        <w:t>Inserts for</w:t>
      </w:r>
    </w:p>
    <w:p w:rsidR="00664C63" w:rsidRPr="00BA48BC" w:rsidRDefault="00556BE7" w:rsidP="00BA48BC">
      <w:pPr>
        <w:pStyle w:val="ShortT"/>
      </w:pPr>
      <w:r w:rsidRPr="00BA48BC">
        <w:t xml:space="preserve">Financial Sector Reform (Hayne Royal Commission Response—Protecting </w:t>
      </w:r>
      <w:bookmarkStart w:id="0" w:name="_GoBack"/>
      <w:bookmarkEnd w:id="0"/>
      <w:r w:rsidRPr="00BA48BC">
        <w:t xml:space="preserve">Consumers (2020 Measures)) Bill 2020: FSRC </w:t>
      </w:r>
      <w:r w:rsidR="00FD07AC" w:rsidRPr="00BA48BC">
        <w:t>r</w:t>
      </w:r>
      <w:r w:rsidRPr="00BA48BC">
        <w:t>ec 2.1 (ongoing fee arrangements)</w:t>
      </w:r>
    </w:p>
    <w:p w:rsidR="00664C63" w:rsidRPr="00BA48BC" w:rsidRDefault="00664C63" w:rsidP="00BA48BC">
      <w:pPr>
        <w:jc w:val="center"/>
      </w:pPr>
    </w:p>
    <w:p w:rsidR="00664C63" w:rsidRPr="00BA48BC" w:rsidRDefault="00664C63" w:rsidP="00BA48B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BA48BC" w:rsidTr="004458DE">
        <w:trPr>
          <w:tblHeader/>
        </w:trPr>
        <w:tc>
          <w:tcPr>
            <w:tcW w:w="7111" w:type="dxa"/>
            <w:gridSpan w:val="3"/>
            <w:tcBorders>
              <w:top w:val="single" w:sz="12" w:space="0" w:color="auto"/>
              <w:bottom w:val="single" w:sz="6" w:space="0" w:color="auto"/>
            </w:tcBorders>
            <w:shd w:val="clear" w:color="auto" w:fill="auto"/>
          </w:tcPr>
          <w:p w:rsidR="00664C63" w:rsidRPr="00BA48BC" w:rsidRDefault="00664C63" w:rsidP="00BA48BC">
            <w:pPr>
              <w:pStyle w:val="TableHeading"/>
            </w:pPr>
            <w:r w:rsidRPr="00BA48BC">
              <w:t>Commencement information</w:t>
            </w:r>
          </w:p>
        </w:tc>
      </w:tr>
      <w:tr w:rsidR="00664C63" w:rsidRPr="00BA48BC" w:rsidTr="004458DE">
        <w:trPr>
          <w:tblHeader/>
        </w:trPr>
        <w:tc>
          <w:tcPr>
            <w:tcW w:w="1701" w:type="dxa"/>
            <w:tcBorders>
              <w:top w:val="single" w:sz="6" w:space="0" w:color="auto"/>
              <w:bottom w:val="single" w:sz="6" w:space="0" w:color="auto"/>
            </w:tcBorders>
            <w:shd w:val="clear" w:color="auto" w:fill="auto"/>
          </w:tcPr>
          <w:p w:rsidR="00664C63" w:rsidRPr="00BA48BC" w:rsidRDefault="00664C63" w:rsidP="00BA48BC">
            <w:pPr>
              <w:pStyle w:val="TableHeading"/>
            </w:pPr>
            <w:r w:rsidRPr="00BA48BC">
              <w:t>Column 1</w:t>
            </w:r>
          </w:p>
        </w:tc>
        <w:tc>
          <w:tcPr>
            <w:tcW w:w="3828" w:type="dxa"/>
            <w:tcBorders>
              <w:top w:val="single" w:sz="6" w:space="0" w:color="auto"/>
              <w:bottom w:val="single" w:sz="6" w:space="0" w:color="auto"/>
            </w:tcBorders>
            <w:shd w:val="clear" w:color="auto" w:fill="auto"/>
          </w:tcPr>
          <w:p w:rsidR="00664C63" w:rsidRPr="00BA48BC" w:rsidRDefault="00664C63" w:rsidP="00BA48BC">
            <w:pPr>
              <w:pStyle w:val="TableHeading"/>
            </w:pPr>
            <w:r w:rsidRPr="00BA48BC">
              <w:t>Column 2</w:t>
            </w:r>
          </w:p>
        </w:tc>
        <w:tc>
          <w:tcPr>
            <w:tcW w:w="1582" w:type="dxa"/>
            <w:tcBorders>
              <w:top w:val="single" w:sz="6" w:space="0" w:color="auto"/>
              <w:bottom w:val="single" w:sz="6" w:space="0" w:color="auto"/>
            </w:tcBorders>
            <w:shd w:val="clear" w:color="auto" w:fill="auto"/>
          </w:tcPr>
          <w:p w:rsidR="00664C63" w:rsidRPr="00BA48BC" w:rsidRDefault="00664C63" w:rsidP="00BA48BC">
            <w:pPr>
              <w:pStyle w:val="TableHeading"/>
            </w:pPr>
            <w:r w:rsidRPr="00BA48BC">
              <w:t>Column 3</w:t>
            </w:r>
          </w:p>
        </w:tc>
      </w:tr>
      <w:tr w:rsidR="00664C63" w:rsidRPr="00BA48BC" w:rsidTr="004458DE">
        <w:trPr>
          <w:tblHeader/>
        </w:trPr>
        <w:tc>
          <w:tcPr>
            <w:tcW w:w="1701" w:type="dxa"/>
            <w:tcBorders>
              <w:top w:val="single" w:sz="6" w:space="0" w:color="auto"/>
              <w:bottom w:val="single" w:sz="12" w:space="0" w:color="auto"/>
            </w:tcBorders>
            <w:shd w:val="clear" w:color="auto" w:fill="auto"/>
          </w:tcPr>
          <w:p w:rsidR="00664C63" w:rsidRPr="00BA48BC" w:rsidRDefault="00664C63" w:rsidP="00BA48BC">
            <w:pPr>
              <w:pStyle w:val="TableHeading"/>
            </w:pPr>
            <w:r w:rsidRPr="00BA48BC">
              <w:t>Provisions</w:t>
            </w:r>
          </w:p>
        </w:tc>
        <w:tc>
          <w:tcPr>
            <w:tcW w:w="3828" w:type="dxa"/>
            <w:tcBorders>
              <w:top w:val="single" w:sz="6" w:space="0" w:color="auto"/>
              <w:bottom w:val="single" w:sz="12" w:space="0" w:color="auto"/>
            </w:tcBorders>
            <w:shd w:val="clear" w:color="auto" w:fill="auto"/>
          </w:tcPr>
          <w:p w:rsidR="00664C63" w:rsidRPr="00BA48BC" w:rsidRDefault="00664C63" w:rsidP="00BA48BC">
            <w:pPr>
              <w:pStyle w:val="TableHeading"/>
            </w:pPr>
            <w:r w:rsidRPr="00BA48BC">
              <w:t>Commencement</w:t>
            </w:r>
          </w:p>
        </w:tc>
        <w:tc>
          <w:tcPr>
            <w:tcW w:w="1582" w:type="dxa"/>
            <w:tcBorders>
              <w:top w:val="single" w:sz="6" w:space="0" w:color="auto"/>
              <w:bottom w:val="single" w:sz="12" w:space="0" w:color="auto"/>
            </w:tcBorders>
            <w:shd w:val="clear" w:color="auto" w:fill="auto"/>
          </w:tcPr>
          <w:p w:rsidR="00664C63" w:rsidRPr="00BA48BC" w:rsidRDefault="00664C63" w:rsidP="00BA48BC">
            <w:pPr>
              <w:pStyle w:val="TableHeading"/>
            </w:pPr>
            <w:r w:rsidRPr="00BA48BC">
              <w:t>Date/Details</w:t>
            </w:r>
          </w:p>
        </w:tc>
      </w:tr>
      <w:tr w:rsidR="00664C63" w:rsidRPr="00BA48BC" w:rsidTr="004458DE">
        <w:tc>
          <w:tcPr>
            <w:tcW w:w="1701" w:type="dxa"/>
            <w:tcBorders>
              <w:top w:val="single" w:sz="12" w:space="0" w:color="auto"/>
              <w:bottom w:val="single" w:sz="12" w:space="0" w:color="auto"/>
            </w:tcBorders>
            <w:shd w:val="clear" w:color="auto" w:fill="auto"/>
          </w:tcPr>
          <w:p w:rsidR="00664C63" w:rsidRPr="00BA48BC" w:rsidRDefault="00664C63" w:rsidP="00BA48BC">
            <w:pPr>
              <w:pStyle w:val="Tabletext"/>
            </w:pPr>
            <w:r w:rsidRPr="00BA48BC">
              <w:t xml:space="preserve">1.  </w:t>
            </w:r>
            <w:r w:rsidR="004458DE" w:rsidRPr="00BA48BC">
              <w:t>Schedule [2.1]</w:t>
            </w:r>
          </w:p>
        </w:tc>
        <w:tc>
          <w:tcPr>
            <w:tcW w:w="3828" w:type="dxa"/>
            <w:tcBorders>
              <w:top w:val="single" w:sz="12" w:space="0" w:color="auto"/>
              <w:bottom w:val="single" w:sz="12" w:space="0" w:color="auto"/>
            </w:tcBorders>
            <w:shd w:val="clear" w:color="auto" w:fill="auto"/>
          </w:tcPr>
          <w:p w:rsidR="00664C63" w:rsidRPr="00BA48BC" w:rsidRDefault="004458DE" w:rsidP="00BA48BC">
            <w:pPr>
              <w:pStyle w:val="Tabletext"/>
            </w:pPr>
            <w:r w:rsidRPr="00BA48BC">
              <w:t>1</w:t>
            </w:r>
            <w:r w:rsidR="00BA48BC" w:rsidRPr="00BA48BC">
              <w:t> </w:t>
            </w:r>
            <w:r w:rsidRPr="00BA48BC">
              <w:t>July 2020.</w:t>
            </w:r>
          </w:p>
        </w:tc>
        <w:tc>
          <w:tcPr>
            <w:tcW w:w="1582" w:type="dxa"/>
            <w:tcBorders>
              <w:top w:val="single" w:sz="12" w:space="0" w:color="auto"/>
              <w:bottom w:val="single" w:sz="12" w:space="0" w:color="auto"/>
            </w:tcBorders>
            <w:shd w:val="clear" w:color="auto" w:fill="auto"/>
          </w:tcPr>
          <w:p w:rsidR="00664C63" w:rsidRPr="00BA48BC" w:rsidRDefault="004458DE" w:rsidP="00BA48BC">
            <w:pPr>
              <w:pStyle w:val="Tabletext"/>
            </w:pPr>
            <w:r w:rsidRPr="00BA48BC">
              <w:t>1</w:t>
            </w:r>
            <w:r w:rsidR="00BA48BC" w:rsidRPr="00BA48BC">
              <w:t> </w:t>
            </w:r>
            <w:r w:rsidRPr="00BA48BC">
              <w:t>July 2020</w:t>
            </w:r>
          </w:p>
        </w:tc>
      </w:tr>
    </w:tbl>
    <w:p w:rsidR="004458DE" w:rsidRPr="00BA48BC" w:rsidRDefault="004458DE" w:rsidP="00BA48BC">
      <w:pPr>
        <w:pStyle w:val="ActHead6"/>
        <w:pageBreakBefore/>
      </w:pPr>
      <w:bookmarkStart w:id="1" w:name="_Toc31183561"/>
      <w:bookmarkStart w:id="2" w:name="opcAmSched"/>
      <w:bookmarkStart w:id="3" w:name="opcCurrentFind"/>
      <w:r w:rsidRPr="00B52EF9">
        <w:rPr>
          <w:rStyle w:val="CharAmSchNo"/>
        </w:rPr>
        <w:lastRenderedPageBreak/>
        <w:t>Schedule [2.1]</w:t>
      </w:r>
      <w:r w:rsidRPr="00BA48BC">
        <w:t>—</w:t>
      </w:r>
      <w:r w:rsidRPr="00B52EF9">
        <w:rPr>
          <w:rStyle w:val="CharAmSchText"/>
        </w:rPr>
        <w:t>Ongoing fee arrangements</w:t>
      </w:r>
      <w:bookmarkEnd w:id="1"/>
    </w:p>
    <w:p w:rsidR="004458DE" w:rsidRPr="00BA48BC" w:rsidRDefault="004458DE" w:rsidP="00BA48BC">
      <w:pPr>
        <w:pStyle w:val="ActHead7"/>
      </w:pPr>
      <w:bookmarkStart w:id="4" w:name="_Toc31183562"/>
      <w:bookmarkEnd w:id="2"/>
      <w:bookmarkEnd w:id="3"/>
      <w:r w:rsidRPr="00B52EF9">
        <w:rPr>
          <w:rStyle w:val="CharAmPartNo"/>
        </w:rPr>
        <w:t>Part</w:t>
      </w:r>
      <w:r w:rsidR="00BA48BC" w:rsidRPr="00B52EF9">
        <w:rPr>
          <w:rStyle w:val="CharAmPartNo"/>
        </w:rPr>
        <w:t> </w:t>
      </w:r>
      <w:r w:rsidRPr="00B52EF9">
        <w:rPr>
          <w:rStyle w:val="CharAmPartNo"/>
        </w:rPr>
        <w:t>1</w:t>
      </w:r>
      <w:r w:rsidRPr="00BA48BC">
        <w:t>—</w:t>
      </w:r>
      <w:r w:rsidRPr="00B52EF9">
        <w:rPr>
          <w:rStyle w:val="CharAmPartText"/>
        </w:rPr>
        <w:t>Main amendments</w:t>
      </w:r>
      <w:bookmarkEnd w:id="4"/>
    </w:p>
    <w:p w:rsidR="004458DE" w:rsidRPr="00BA48BC" w:rsidRDefault="004458DE" w:rsidP="00BA48BC">
      <w:pPr>
        <w:pStyle w:val="ActHead9"/>
        <w:rPr>
          <w:i w:val="0"/>
        </w:rPr>
      </w:pPr>
      <w:bookmarkStart w:id="5" w:name="_Toc31183563"/>
      <w:r w:rsidRPr="00BA48BC">
        <w:t>Corporations Act 2001</w:t>
      </w:r>
      <w:bookmarkEnd w:id="5"/>
    </w:p>
    <w:p w:rsidR="004458DE" w:rsidRPr="00BA48BC" w:rsidRDefault="006354A6" w:rsidP="00BA48BC">
      <w:pPr>
        <w:pStyle w:val="ItemHead"/>
      </w:pPr>
      <w:r w:rsidRPr="00BA48BC">
        <w:t>1</w:t>
      </w:r>
      <w:r w:rsidR="004458DE" w:rsidRPr="00BA48BC">
        <w:t xml:space="preserve">  Section</w:t>
      </w:r>
      <w:r w:rsidR="00BA48BC" w:rsidRPr="00BA48BC">
        <w:t> </w:t>
      </w:r>
      <w:r w:rsidR="004458DE" w:rsidRPr="00BA48BC">
        <w:t>962CA</w:t>
      </w:r>
    </w:p>
    <w:p w:rsidR="004458DE" w:rsidRPr="00BA48BC" w:rsidRDefault="004458DE" w:rsidP="00BA48BC">
      <w:pPr>
        <w:pStyle w:val="Item"/>
      </w:pPr>
      <w:r w:rsidRPr="00BA48BC">
        <w:t>Repeal the section.</w:t>
      </w:r>
    </w:p>
    <w:p w:rsidR="004458DE" w:rsidRPr="00BA48BC" w:rsidRDefault="006354A6" w:rsidP="00BA48BC">
      <w:pPr>
        <w:pStyle w:val="ItemHead"/>
      </w:pPr>
      <w:r w:rsidRPr="00BA48BC">
        <w:t>2</w:t>
      </w:r>
      <w:r w:rsidR="004458DE" w:rsidRPr="00BA48BC">
        <w:t xml:space="preserve">  Section</w:t>
      </w:r>
      <w:r w:rsidR="00BA48BC" w:rsidRPr="00BA48BC">
        <w:t> </w:t>
      </w:r>
      <w:r w:rsidR="004458DE" w:rsidRPr="00BA48BC">
        <w:t>962D</w:t>
      </w:r>
    </w:p>
    <w:p w:rsidR="004458DE" w:rsidRPr="00BA48BC" w:rsidRDefault="004458DE" w:rsidP="00BA48BC">
      <w:pPr>
        <w:pStyle w:val="Item"/>
      </w:pPr>
      <w:r w:rsidRPr="00BA48BC">
        <w:t>Repeal the section.</w:t>
      </w:r>
    </w:p>
    <w:p w:rsidR="00B3030D" w:rsidRPr="00BA48BC" w:rsidRDefault="006354A6" w:rsidP="00BA48BC">
      <w:pPr>
        <w:pStyle w:val="ItemHead"/>
      </w:pPr>
      <w:r w:rsidRPr="00BA48BC">
        <w:t>3</w:t>
      </w:r>
      <w:r w:rsidR="00B3030D" w:rsidRPr="00BA48BC">
        <w:t xml:space="preserve">  Subsection</w:t>
      </w:r>
      <w:r w:rsidR="00BA48BC" w:rsidRPr="00BA48BC">
        <w:t> </w:t>
      </w:r>
      <w:r w:rsidR="00B3030D" w:rsidRPr="00BA48BC">
        <w:t>962F(1)</w:t>
      </w:r>
    </w:p>
    <w:p w:rsidR="00B3030D" w:rsidRPr="00BA48BC" w:rsidRDefault="00B3030D" w:rsidP="00BA48BC">
      <w:pPr>
        <w:pStyle w:val="Item"/>
      </w:pPr>
      <w:r w:rsidRPr="00BA48BC">
        <w:t>Omit “section</w:t>
      </w:r>
      <w:r w:rsidR="00BA48BC" w:rsidRPr="00BA48BC">
        <w:t> </w:t>
      </w:r>
      <w:r w:rsidRPr="00BA48BC">
        <w:t>962G (the disclosure obligation) or”.</w:t>
      </w:r>
    </w:p>
    <w:p w:rsidR="00B3030D" w:rsidRPr="00BA48BC" w:rsidRDefault="006354A6" w:rsidP="00BA48BC">
      <w:pPr>
        <w:pStyle w:val="ItemHead"/>
      </w:pPr>
      <w:r w:rsidRPr="00BA48BC">
        <w:t>4</w:t>
      </w:r>
      <w:r w:rsidR="00B3030D" w:rsidRPr="00BA48BC">
        <w:t xml:space="preserve">  Subsection</w:t>
      </w:r>
      <w:r w:rsidR="00BA48BC" w:rsidRPr="00BA48BC">
        <w:t> </w:t>
      </w:r>
      <w:r w:rsidR="00B3030D" w:rsidRPr="00BA48BC">
        <w:t>962F(1)</w:t>
      </w:r>
    </w:p>
    <w:p w:rsidR="00B3030D" w:rsidRPr="00BA48BC" w:rsidRDefault="00B3030D" w:rsidP="00BA48BC">
      <w:pPr>
        <w:pStyle w:val="Item"/>
      </w:pPr>
      <w:r w:rsidRPr="00BA48BC">
        <w:t>After “renewal notice”, insert “and fee disclosure statement”.</w:t>
      </w:r>
    </w:p>
    <w:p w:rsidR="00B3030D" w:rsidRPr="00BA48BC" w:rsidRDefault="006354A6" w:rsidP="00BA48BC">
      <w:pPr>
        <w:pStyle w:val="ItemHead"/>
      </w:pPr>
      <w:r w:rsidRPr="00BA48BC">
        <w:t>5</w:t>
      </w:r>
      <w:r w:rsidR="00B3030D" w:rsidRPr="00BA48BC">
        <w:t xml:space="preserve">  Subsections</w:t>
      </w:r>
      <w:r w:rsidR="00BA48BC" w:rsidRPr="00BA48BC">
        <w:t> </w:t>
      </w:r>
      <w:r w:rsidR="00B3030D" w:rsidRPr="00BA48BC">
        <w:t>962F(2) and (3)</w:t>
      </w:r>
    </w:p>
    <w:p w:rsidR="00B3030D" w:rsidRPr="00BA48BC" w:rsidRDefault="00B3030D" w:rsidP="00BA48BC">
      <w:pPr>
        <w:pStyle w:val="Item"/>
      </w:pPr>
      <w:r w:rsidRPr="00BA48BC">
        <w:t>Omit “section</w:t>
      </w:r>
      <w:r w:rsidR="00BA48BC" w:rsidRPr="00BA48BC">
        <w:t> </w:t>
      </w:r>
      <w:r w:rsidRPr="00BA48BC">
        <w:t>962G or”.</w:t>
      </w:r>
    </w:p>
    <w:p w:rsidR="00FF3EFB" w:rsidRPr="00BA48BC" w:rsidRDefault="006354A6" w:rsidP="00BA48BC">
      <w:pPr>
        <w:pStyle w:val="ItemHead"/>
      </w:pPr>
      <w:r w:rsidRPr="00BA48BC">
        <w:t>6</w:t>
      </w:r>
      <w:r w:rsidR="00FF3EFB" w:rsidRPr="00BA48BC">
        <w:t xml:space="preserve">  After section</w:t>
      </w:r>
      <w:r w:rsidR="00BA48BC" w:rsidRPr="00BA48BC">
        <w:t> </w:t>
      </w:r>
      <w:r w:rsidR="00FF3EFB" w:rsidRPr="00BA48BC">
        <w:t>962F</w:t>
      </w:r>
    </w:p>
    <w:p w:rsidR="00FF3EFB" w:rsidRPr="00BA48BC" w:rsidRDefault="00FF3EFB" w:rsidP="00BA48BC">
      <w:pPr>
        <w:pStyle w:val="Item"/>
      </w:pPr>
      <w:r w:rsidRPr="00BA48BC">
        <w:t>Insert:</w:t>
      </w:r>
    </w:p>
    <w:p w:rsidR="00FF3EFB" w:rsidRPr="00BA48BC" w:rsidRDefault="00FF3EFB" w:rsidP="00BA48BC">
      <w:pPr>
        <w:pStyle w:val="ActHead5"/>
      </w:pPr>
      <w:bookmarkStart w:id="6" w:name="_Toc31183564"/>
      <w:r w:rsidRPr="00B52EF9">
        <w:rPr>
          <w:rStyle w:val="CharSectno"/>
        </w:rPr>
        <w:t>962FA</w:t>
      </w:r>
      <w:r w:rsidRPr="00BA48BC">
        <w:t xml:space="preserve">  Arrangement terminates if Subdivision C not complied with</w:t>
      </w:r>
      <w:bookmarkEnd w:id="6"/>
    </w:p>
    <w:p w:rsidR="00FF3EFB" w:rsidRPr="00BA48BC" w:rsidRDefault="009D774A" w:rsidP="00BA48BC">
      <w:pPr>
        <w:pStyle w:val="subsection"/>
      </w:pPr>
      <w:r w:rsidRPr="00BA48BC">
        <w:tab/>
        <w:t>(1)</w:t>
      </w:r>
      <w:r w:rsidRPr="00BA48BC">
        <w:tab/>
      </w:r>
      <w:r w:rsidR="00FF3EFB" w:rsidRPr="00BA48BC">
        <w:t>It is a condition of the ongoing fee arrangement that the arrangement terminates if any of the following provisions have not been complied with in relation to the arrangement, whether by the current or a previous fee recipient:</w:t>
      </w:r>
    </w:p>
    <w:p w:rsidR="00FF3EFB" w:rsidRPr="00BA48BC" w:rsidRDefault="00FF3EFB" w:rsidP="00BA48BC">
      <w:pPr>
        <w:pStyle w:val="paragraph"/>
      </w:pPr>
      <w:r w:rsidRPr="00BA48BC">
        <w:tab/>
        <w:t>(a)</w:t>
      </w:r>
      <w:r w:rsidRPr="00BA48BC">
        <w:tab/>
        <w:t>section</w:t>
      </w:r>
      <w:r w:rsidR="00BA48BC" w:rsidRPr="00BA48BC">
        <w:t> </w:t>
      </w:r>
      <w:r w:rsidRPr="00BA48BC">
        <w:t>962R (fee recipient must not deduct ongoing fees without consent);</w:t>
      </w:r>
    </w:p>
    <w:p w:rsidR="00FF3EFB" w:rsidRPr="00BA48BC" w:rsidRDefault="00FF3EFB" w:rsidP="00BA48BC">
      <w:pPr>
        <w:pStyle w:val="paragraph"/>
      </w:pPr>
      <w:r w:rsidRPr="00BA48BC">
        <w:tab/>
        <w:t>(b)</w:t>
      </w:r>
      <w:r w:rsidRPr="00BA48BC">
        <w:tab/>
        <w:t>section</w:t>
      </w:r>
      <w:r w:rsidR="00BA48BC" w:rsidRPr="00BA48BC">
        <w:t> </w:t>
      </w:r>
      <w:r w:rsidRPr="00BA48BC">
        <w:t xml:space="preserve">962S </w:t>
      </w:r>
      <w:r w:rsidR="00F25FCF" w:rsidRPr="00BA48BC">
        <w:t>(fee recipient must not arrange for deduction of ongoing fees without consent or accept such deductions)</w:t>
      </w:r>
      <w:r w:rsidRPr="00BA48BC">
        <w:t>.</w:t>
      </w:r>
    </w:p>
    <w:p w:rsidR="00B3030D" w:rsidRPr="00BA48BC" w:rsidRDefault="00FF3EFB" w:rsidP="00BA48BC">
      <w:pPr>
        <w:pStyle w:val="notetext"/>
      </w:pPr>
      <w:r w:rsidRPr="00BA48BC">
        <w:t>Note:</w:t>
      </w:r>
      <w:r w:rsidRPr="00BA48BC">
        <w:tab/>
        <w:t>A Court may order that the fee recipient refund amounts deducted without consent (see section</w:t>
      </w:r>
      <w:r w:rsidR="00BA48BC" w:rsidRPr="00BA48BC">
        <w:t> </w:t>
      </w:r>
      <w:r w:rsidRPr="00BA48BC">
        <w:t>1317GB).</w:t>
      </w:r>
    </w:p>
    <w:p w:rsidR="009D774A" w:rsidRPr="00BA48BC" w:rsidRDefault="009D774A" w:rsidP="00BA48BC">
      <w:pPr>
        <w:pStyle w:val="subsection"/>
      </w:pPr>
      <w:r w:rsidRPr="00BA48BC">
        <w:tab/>
        <w:t>(2)</w:t>
      </w:r>
      <w:r w:rsidRPr="00BA48BC">
        <w:tab/>
        <w:t xml:space="preserve">The client is not taken to have waived the client’s rights under the condition (subject to </w:t>
      </w:r>
      <w:r w:rsidR="00BA48BC" w:rsidRPr="00BA48BC">
        <w:t>subsection (</w:t>
      </w:r>
      <w:r w:rsidRPr="00BA48BC">
        <w:t xml:space="preserve">3)), or to have entered into a new ongoing fee arrangement, if the client gives consent under </w:t>
      </w:r>
      <w:r w:rsidRPr="00BA48BC">
        <w:lastRenderedPageBreak/>
        <w:t xml:space="preserve">Subdivision C, in relation to the deduction of ongoing fees relating to the ongoing fee arrangement, after a failure to comply with a provision referred to in </w:t>
      </w:r>
      <w:r w:rsidR="00BA48BC" w:rsidRPr="00BA48BC">
        <w:t>subsection (</w:t>
      </w:r>
      <w:r w:rsidRPr="00BA48BC">
        <w:t>1) in relation to the ongoing fee arrangement.</w:t>
      </w:r>
    </w:p>
    <w:p w:rsidR="00372EEB" w:rsidRPr="00BA48BC" w:rsidRDefault="009D774A" w:rsidP="00BA48BC">
      <w:pPr>
        <w:pStyle w:val="subsection"/>
      </w:pPr>
      <w:r w:rsidRPr="00BA48BC">
        <w:tab/>
        <w:t>(3)</w:t>
      </w:r>
      <w:r w:rsidRPr="00BA48BC">
        <w:tab/>
        <w:t xml:space="preserve">However, if the client gives </w:t>
      </w:r>
      <w:r w:rsidR="00372EEB" w:rsidRPr="00BA48BC">
        <w:t xml:space="preserve">that </w:t>
      </w:r>
      <w:r w:rsidRPr="00BA48BC">
        <w:t xml:space="preserve">consent after a failure to comply with a provision referred to in </w:t>
      </w:r>
      <w:r w:rsidR="00BA48BC" w:rsidRPr="00BA48BC">
        <w:t>subsection (</w:t>
      </w:r>
      <w:r w:rsidRPr="00BA48BC">
        <w:t>1) in relation to the ongoing fee arrangement, the fee recipient is not obliged to refund an amount deducted, or received as a result of a deduction made, in accordance with the consent.</w:t>
      </w:r>
    </w:p>
    <w:p w:rsidR="00B3030D" w:rsidRPr="00BA48BC" w:rsidRDefault="006354A6" w:rsidP="00BA48BC">
      <w:pPr>
        <w:pStyle w:val="ItemHead"/>
      </w:pPr>
      <w:r w:rsidRPr="00BA48BC">
        <w:t>7</w:t>
      </w:r>
      <w:r w:rsidR="00B3030D" w:rsidRPr="00BA48BC">
        <w:t xml:space="preserve">  Section</w:t>
      </w:r>
      <w:r w:rsidR="00BA48BC" w:rsidRPr="00BA48BC">
        <w:t> </w:t>
      </w:r>
      <w:r w:rsidR="00B3030D" w:rsidRPr="00BA48BC">
        <w:t>962G</w:t>
      </w:r>
    </w:p>
    <w:p w:rsidR="00B3030D" w:rsidRPr="00BA48BC" w:rsidRDefault="00B3030D" w:rsidP="00BA48BC">
      <w:pPr>
        <w:pStyle w:val="Item"/>
      </w:pPr>
      <w:r w:rsidRPr="00BA48BC">
        <w:t>Repeal the section.</w:t>
      </w:r>
    </w:p>
    <w:p w:rsidR="00FF3EFB" w:rsidRPr="00BA48BC" w:rsidRDefault="006354A6" w:rsidP="00BA48BC">
      <w:pPr>
        <w:pStyle w:val="ItemHead"/>
      </w:pPr>
      <w:r w:rsidRPr="00BA48BC">
        <w:t>8</w:t>
      </w:r>
      <w:r w:rsidR="00FF3EFB" w:rsidRPr="00BA48BC">
        <w:t xml:space="preserve">  Subparagraph 962H(1)(b)(ii)</w:t>
      </w:r>
    </w:p>
    <w:p w:rsidR="00FF3EFB" w:rsidRPr="00BA48BC" w:rsidRDefault="00FF3EFB" w:rsidP="00BA48BC">
      <w:pPr>
        <w:pStyle w:val="Item"/>
      </w:pPr>
      <w:r w:rsidRPr="00BA48BC">
        <w:t>Repeal the subparagraph, substitute:</w:t>
      </w:r>
    </w:p>
    <w:p w:rsidR="00FF3EFB" w:rsidRPr="00BA48BC" w:rsidRDefault="00FF3EFB" w:rsidP="00BA48BC">
      <w:pPr>
        <w:pStyle w:val="paragraphsub"/>
      </w:pPr>
      <w:r w:rsidRPr="00BA48BC">
        <w:tab/>
        <w:t>(ii)</w:t>
      </w:r>
      <w:r w:rsidRPr="00BA48BC">
        <w:tab/>
        <w:t xml:space="preserve">a period of 12 months (the </w:t>
      </w:r>
      <w:r w:rsidRPr="00BA48BC">
        <w:rPr>
          <w:b/>
          <w:i/>
        </w:rPr>
        <w:t>upcoming year</w:t>
      </w:r>
      <w:r w:rsidRPr="00BA48BC">
        <w:t>) that begins at the end of the previous year.</w:t>
      </w:r>
    </w:p>
    <w:p w:rsidR="00FF3EFB" w:rsidRPr="00BA48BC" w:rsidRDefault="006354A6" w:rsidP="00BA48BC">
      <w:pPr>
        <w:pStyle w:val="ItemHead"/>
      </w:pPr>
      <w:r w:rsidRPr="00BA48BC">
        <w:t>9</w:t>
      </w:r>
      <w:r w:rsidR="00FF3EFB" w:rsidRPr="00BA48BC">
        <w:t xml:space="preserve">  Before subsection</w:t>
      </w:r>
      <w:r w:rsidR="00BA48BC" w:rsidRPr="00BA48BC">
        <w:t> </w:t>
      </w:r>
      <w:r w:rsidR="00FF3EFB" w:rsidRPr="00BA48BC">
        <w:t>962H(2)</w:t>
      </w:r>
    </w:p>
    <w:p w:rsidR="00FF3EFB" w:rsidRPr="00BA48BC" w:rsidRDefault="00FF3EFB" w:rsidP="00BA48BC">
      <w:pPr>
        <w:pStyle w:val="Item"/>
      </w:pPr>
      <w:r w:rsidRPr="00BA48BC">
        <w:t>Insert:</w:t>
      </w:r>
    </w:p>
    <w:p w:rsidR="00FF3EFB" w:rsidRPr="00BA48BC" w:rsidRDefault="00FF3EFB" w:rsidP="00BA48BC">
      <w:pPr>
        <w:pStyle w:val="SubsectionHead"/>
      </w:pPr>
      <w:r w:rsidRPr="00BA48BC">
        <w:t>Information relating to the previous year</w:t>
      </w:r>
    </w:p>
    <w:p w:rsidR="00FF3EFB" w:rsidRPr="00BA48BC" w:rsidRDefault="006354A6" w:rsidP="00BA48BC">
      <w:pPr>
        <w:pStyle w:val="ItemHead"/>
      </w:pPr>
      <w:r w:rsidRPr="00BA48BC">
        <w:t>10</w:t>
      </w:r>
      <w:r w:rsidR="00FF3EFB" w:rsidRPr="00BA48BC">
        <w:t xml:space="preserve">  Subsection</w:t>
      </w:r>
      <w:r w:rsidR="00BA48BC" w:rsidRPr="00BA48BC">
        <w:t> </w:t>
      </w:r>
      <w:r w:rsidR="00FF3EFB" w:rsidRPr="00BA48BC">
        <w:t>962H(2)</w:t>
      </w:r>
    </w:p>
    <w:p w:rsidR="00FF3EFB" w:rsidRPr="00BA48BC" w:rsidRDefault="00FF3EFB" w:rsidP="00BA48BC">
      <w:pPr>
        <w:pStyle w:val="Item"/>
      </w:pPr>
      <w:r w:rsidRPr="00BA48BC">
        <w:t>After “following information”, insert “relating to the previous year”.</w:t>
      </w:r>
    </w:p>
    <w:p w:rsidR="00FF3EFB" w:rsidRPr="00BA48BC" w:rsidRDefault="006354A6" w:rsidP="00BA48BC">
      <w:pPr>
        <w:pStyle w:val="ItemHead"/>
      </w:pPr>
      <w:r w:rsidRPr="00BA48BC">
        <w:t>11</w:t>
      </w:r>
      <w:r w:rsidR="00FF3EFB" w:rsidRPr="00BA48BC">
        <w:t xml:space="preserve">  Paragraph 962H(2)(a)</w:t>
      </w:r>
    </w:p>
    <w:p w:rsidR="00FF3EFB" w:rsidRPr="00BA48BC" w:rsidRDefault="00FF3EFB" w:rsidP="00BA48BC">
      <w:pPr>
        <w:pStyle w:val="Item"/>
      </w:pPr>
      <w:r w:rsidRPr="00BA48BC">
        <w:t>Omit “, expressed in Australian dollars unless an alternative is provided in the regulations”.</w:t>
      </w:r>
    </w:p>
    <w:p w:rsidR="00B3030D" w:rsidRPr="00BA48BC" w:rsidRDefault="006354A6" w:rsidP="00BA48BC">
      <w:pPr>
        <w:pStyle w:val="ItemHead"/>
      </w:pPr>
      <w:r w:rsidRPr="00BA48BC">
        <w:t>12</w:t>
      </w:r>
      <w:r w:rsidR="00B3030D" w:rsidRPr="00BA48BC">
        <w:t xml:space="preserve">  </w:t>
      </w:r>
      <w:r w:rsidR="009D774A" w:rsidRPr="00BA48BC">
        <w:t>Paragraph 962H(2)(f)</w:t>
      </w:r>
    </w:p>
    <w:p w:rsidR="009D774A" w:rsidRPr="00BA48BC" w:rsidRDefault="009D774A" w:rsidP="00BA48BC">
      <w:pPr>
        <w:pStyle w:val="Item"/>
      </w:pPr>
      <w:r w:rsidRPr="00BA48BC">
        <w:t>Omit “, including information that relates to a period that begins after the previous year”.</w:t>
      </w:r>
    </w:p>
    <w:p w:rsidR="00FF3EFB" w:rsidRPr="00BA48BC" w:rsidRDefault="006354A6" w:rsidP="00BA48BC">
      <w:pPr>
        <w:pStyle w:val="ItemHead"/>
      </w:pPr>
      <w:r w:rsidRPr="00BA48BC">
        <w:t>13</w:t>
      </w:r>
      <w:r w:rsidR="00FF3EFB" w:rsidRPr="00BA48BC">
        <w:t xml:space="preserve">  After subsection</w:t>
      </w:r>
      <w:r w:rsidR="00BA48BC" w:rsidRPr="00BA48BC">
        <w:t> </w:t>
      </w:r>
      <w:r w:rsidR="00FF3EFB" w:rsidRPr="00BA48BC">
        <w:t>962H(2)</w:t>
      </w:r>
    </w:p>
    <w:p w:rsidR="00FF3EFB" w:rsidRPr="00BA48BC" w:rsidRDefault="00FF3EFB" w:rsidP="00BA48BC">
      <w:pPr>
        <w:pStyle w:val="Item"/>
      </w:pPr>
      <w:r w:rsidRPr="00BA48BC">
        <w:t>Insert:</w:t>
      </w:r>
    </w:p>
    <w:p w:rsidR="00FF3EFB" w:rsidRPr="00BA48BC" w:rsidRDefault="00FF3EFB" w:rsidP="00BA48BC">
      <w:pPr>
        <w:pStyle w:val="SubsectionHead"/>
      </w:pPr>
      <w:r w:rsidRPr="00BA48BC">
        <w:lastRenderedPageBreak/>
        <w:t>Information relating to the upcoming year</w:t>
      </w:r>
    </w:p>
    <w:p w:rsidR="00FF3EFB" w:rsidRPr="00BA48BC" w:rsidRDefault="00FF3EFB" w:rsidP="00BA48BC">
      <w:pPr>
        <w:pStyle w:val="subsection"/>
      </w:pPr>
      <w:r w:rsidRPr="00BA48BC">
        <w:tab/>
        <w:t>(2A)</w:t>
      </w:r>
      <w:r w:rsidRPr="00BA48BC">
        <w:tab/>
        <w:t xml:space="preserve">The following information relating to the upcoming year is required for a fee disclosure statement in relation to an ongoing fee arrangement, subject to </w:t>
      </w:r>
      <w:r w:rsidR="00BA48BC" w:rsidRPr="00BA48BC">
        <w:t>subsection (</w:t>
      </w:r>
      <w:r w:rsidRPr="00BA48BC">
        <w:t>3):</w:t>
      </w:r>
    </w:p>
    <w:p w:rsidR="00FF3EFB" w:rsidRPr="00BA48BC" w:rsidRDefault="00FF3EFB" w:rsidP="00BA48BC">
      <w:pPr>
        <w:pStyle w:val="paragraph"/>
      </w:pPr>
      <w:r w:rsidRPr="00BA48BC">
        <w:tab/>
        <w:t>(a)</w:t>
      </w:r>
      <w:r w:rsidRPr="00BA48BC">
        <w:tab/>
        <w:t>information about the services that the client will be entitled to receive under the arrangement during the upcoming year;</w:t>
      </w:r>
    </w:p>
    <w:p w:rsidR="00FF3EFB" w:rsidRPr="00BA48BC" w:rsidRDefault="00FF3EFB" w:rsidP="00BA48BC">
      <w:pPr>
        <w:pStyle w:val="paragraph"/>
      </w:pPr>
      <w:r w:rsidRPr="00BA48BC">
        <w:tab/>
        <w:t>(b)</w:t>
      </w:r>
      <w:r w:rsidRPr="00BA48BC">
        <w:tab/>
        <w:t>the amount of each ongoing fee that the client will be required to pay under the arrangement during the upcoming year;</w:t>
      </w:r>
    </w:p>
    <w:p w:rsidR="00FF3EFB" w:rsidRPr="00BA48BC" w:rsidRDefault="00FF3EFB" w:rsidP="00BA48BC">
      <w:pPr>
        <w:pStyle w:val="paragraph"/>
      </w:pPr>
      <w:r w:rsidRPr="00BA48BC">
        <w:tab/>
        <w:t>(c)</w:t>
      </w:r>
      <w:r w:rsidRPr="00BA48BC">
        <w:tab/>
        <w:t xml:space="preserve">if the client will be required to pay under the arrangement an ongoing fee after the end of the upcoming year for a service referred to in </w:t>
      </w:r>
      <w:r w:rsidR="00BA48BC" w:rsidRPr="00BA48BC">
        <w:t>paragraph (</w:t>
      </w:r>
      <w:r w:rsidRPr="00BA48BC">
        <w:t>a)—the amount of any such ongoing fee;</w:t>
      </w:r>
    </w:p>
    <w:p w:rsidR="00FF3EFB" w:rsidRPr="00BA48BC" w:rsidRDefault="00FF3EFB" w:rsidP="00BA48BC">
      <w:pPr>
        <w:pStyle w:val="paragraph"/>
      </w:pPr>
      <w:r w:rsidRPr="00BA48BC">
        <w:tab/>
        <w:t>(d)</w:t>
      </w:r>
      <w:r w:rsidRPr="00BA48BC">
        <w:tab/>
        <w:t>information about any other prescribed matters.</w:t>
      </w:r>
    </w:p>
    <w:p w:rsidR="006D0174" w:rsidRPr="00BA48BC" w:rsidRDefault="006D0174" w:rsidP="00BA48BC">
      <w:pPr>
        <w:pStyle w:val="subsection"/>
      </w:pPr>
      <w:r w:rsidRPr="00BA48BC">
        <w:tab/>
        <w:t>(2B)</w:t>
      </w:r>
      <w:r w:rsidRPr="00BA48BC">
        <w:tab/>
        <w:t xml:space="preserve">If an amount of an ongoing fee that is required to be included in a fee disclosure statement under </w:t>
      </w:r>
      <w:r w:rsidR="00BA48BC" w:rsidRPr="00BA48BC">
        <w:t>subsection (</w:t>
      </w:r>
      <w:r w:rsidRPr="00BA48BC">
        <w:t xml:space="preserve">2A) cannot be determined at the time of preparing the statement, the statement </w:t>
      </w:r>
      <w:r w:rsidR="004F414A" w:rsidRPr="00BA48BC">
        <w:t>must</w:t>
      </w:r>
      <w:r w:rsidRPr="00BA48BC">
        <w:t xml:space="preserve"> include a reasonable estimate of the amount of the ongoing fee and </w:t>
      </w:r>
      <w:r w:rsidR="004F414A" w:rsidRPr="00BA48BC">
        <w:t>an explanation of the method used to work out the estimate</w:t>
      </w:r>
      <w:r w:rsidRPr="00BA48BC">
        <w:t>.</w:t>
      </w:r>
    </w:p>
    <w:p w:rsidR="00FF3EFB" w:rsidRPr="00BA48BC" w:rsidRDefault="00FF3EFB" w:rsidP="00BA48BC">
      <w:pPr>
        <w:pStyle w:val="SubsectionHead"/>
      </w:pPr>
      <w:r w:rsidRPr="00BA48BC">
        <w:t>Other information requirements</w:t>
      </w:r>
    </w:p>
    <w:p w:rsidR="00FF3EFB" w:rsidRPr="00BA48BC" w:rsidRDefault="006354A6" w:rsidP="00BA48BC">
      <w:pPr>
        <w:pStyle w:val="ItemHead"/>
      </w:pPr>
      <w:r w:rsidRPr="00BA48BC">
        <w:t>14</w:t>
      </w:r>
      <w:r w:rsidR="00FF3EFB" w:rsidRPr="00BA48BC">
        <w:t xml:space="preserve">  At the end of section</w:t>
      </w:r>
      <w:r w:rsidR="00BA48BC" w:rsidRPr="00BA48BC">
        <w:t> </w:t>
      </w:r>
      <w:r w:rsidR="00FF3EFB" w:rsidRPr="00BA48BC">
        <w:t>962H</w:t>
      </w:r>
    </w:p>
    <w:p w:rsidR="00FF3EFB" w:rsidRPr="00BA48BC" w:rsidRDefault="00FF3EFB" w:rsidP="00BA48BC">
      <w:pPr>
        <w:pStyle w:val="Item"/>
      </w:pPr>
      <w:r w:rsidRPr="00BA48BC">
        <w:t>Add:</w:t>
      </w:r>
    </w:p>
    <w:p w:rsidR="00E10FDC" w:rsidRPr="00BA48BC" w:rsidRDefault="00FF3EFB" w:rsidP="00BA48BC">
      <w:pPr>
        <w:pStyle w:val="subsection"/>
      </w:pPr>
      <w:r w:rsidRPr="00BA48BC">
        <w:tab/>
        <w:t>(4)</w:t>
      </w:r>
      <w:r w:rsidRPr="00BA48BC">
        <w:tab/>
        <w:t>Information about the amount of an ongoing fee that is required to be included in a fee disclosure statement under this section must be expressed in Australian dollars, unless an alternative is provided in the regulations.</w:t>
      </w:r>
    </w:p>
    <w:p w:rsidR="009D774A" w:rsidRPr="00BA48BC" w:rsidRDefault="006354A6" w:rsidP="00BA48BC">
      <w:pPr>
        <w:pStyle w:val="ItemHead"/>
      </w:pPr>
      <w:r w:rsidRPr="00BA48BC">
        <w:t>15</w:t>
      </w:r>
      <w:r w:rsidR="009D774A" w:rsidRPr="00BA48BC">
        <w:t xml:space="preserve">  Section</w:t>
      </w:r>
      <w:r w:rsidR="00BA48BC" w:rsidRPr="00BA48BC">
        <w:t> </w:t>
      </w:r>
      <w:r w:rsidR="009D774A" w:rsidRPr="00BA48BC">
        <w:t>962J</w:t>
      </w:r>
    </w:p>
    <w:p w:rsidR="009D774A" w:rsidRPr="00BA48BC" w:rsidRDefault="009D774A" w:rsidP="00BA48BC">
      <w:pPr>
        <w:pStyle w:val="Item"/>
      </w:pPr>
      <w:r w:rsidRPr="00BA48BC">
        <w:t>Repeal the section.</w:t>
      </w:r>
    </w:p>
    <w:p w:rsidR="00FE07CC" w:rsidRPr="00BA48BC" w:rsidRDefault="006354A6" w:rsidP="00BA48BC">
      <w:pPr>
        <w:pStyle w:val="ItemHead"/>
      </w:pPr>
      <w:r w:rsidRPr="00BA48BC">
        <w:t>16</w:t>
      </w:r>
      <w:r w:rsidR="00FE07CC" w:rsidRPr="00BA48BC">
        <w:t xml:space="preserve">  Section</w:t>
      </w:r>
      <w:r w:rsidR="00BA48BC" w:rsidRPr="00BA48BC">
        <w:t> </w:t>
      </w:r>
      <w:r w:rsidR="00FE07CC" w:rsidRPr="00BA48BC">
        <w:t>962K (at the end of the heading)</w:t>
      </w:r>
    </w:p>
    <w:p w:rsidR="00FE07CC" w:rsidRPr="00BA48BC" w:rsidRDefault="00FE07CC" w:rsidP="00BA48BC">
      <w:pPr>
        <w:pStyle w:val="Item"/>
      </w:pPr>
      <w:r w:rsidRPr="00BA48BC">
        <w:t>Add</w:t>
      </w:r>
      <w:r w:rsidR="00750313" w:rsidRPr="00BA48BC">
        <w:t xml:space="preserve"> “</w:t>
      </w:r>
      <w:r w:rsidRPr="00BA48BC">
        <w:rPr>
          <w:b/>
        </w:rPr>
        <w:t>and fee disclosure statement</w:t>
      </w:r>
      <w:r w:rsidR="00750313" w:rsidRPr="00BA48BC">
        <w:t>”.</w:t>
      </w:r>
    </w:p>
    <w:p w:rsidR="000A4B22" w:rsidRPr="00BA48BC" w:rsidRDefault="006354A6" w:rsidP="00BA48BC">
      <w:pPr>
        <w:pStyle w:val="ItemHead"/>
      </w:pPr>
      <w:r w:rsidRPr="00BA48BC">
        <w:t>17</w:t>
      </w:r>
      <w:r w:rsidR="000A4B22" w:rsidRPr="00BA48BC">
        <w:t xml:space="preserve">  At the end of section</w:t>
      </w:r>
      <w:r w:rsidR="00BA48BC" w:rsidRPr="00BA48BC">
        <w:t> </w:t>
      </w:r>
      <w:r w:rsidR="000A4B22" w:rsidRPr="00BA48BC">
        <w:t>962K</w:t>
      </w:r>
    </w:p>
    <w:p w:rsidR="000A4B22" w:rsidRPr="00BA48BC" w:rsidRDefault="000A4B22" w:rsidP="00BA48BC">
      <w:pPr>
        <w:pStyle w:val="Item"/>
      </w:pPr>
      <w:r w:rsidRPr="00BA48BC">
        <w:t>Add:</w:t>
      </w:r>
    </w:p>
    <w:p w:rsidR="000A4B22" w:rsidRPr="00BA48BC" w:rsidRDefault="000A4B22" w:rsidP="00BA48BC">
      <w:pPr>
        <w:pStyle w:val="subsection"/>
      </w:pPr>
      <w:r w:rsidRPr="00BA48BC">
        <w:lastRenderedPageBreak/>
        <w:tab/>
        <w:t>(4)</w:t>
      </w:r>
      <w:r w:rsidRPr="00BA48BC">
        <w:tab/>
        <w:t xml:space="preserve">A person contravenes this subsection if the person contravenes </w:t>
      </w:r>
      <w:r w:rsidR="00BA48BC" w:rsidRPr="00BA48BC">
        <w:t>subsection (</w:t>
      </w:r>
      <w:r w:rsidR="00750313" w:rsidRPr="00BA48BC">
        <w:t>1</w:t>
      </w:r>
      <w:r w:rsidRPr="00BA48BC">
        <w:t>).</w:t>
      </w:r>
    </w:p>
    <w:p w:rsidR="000A4B22" w:rsidRPr="00BA48BC" w:rsidRDefault="000A4B22" w:rsidP="00BA48BC">
      <w:pPr>
        <w:pStyle w:val="notetext"/>
      </w:pPr>
      <w:r w:rsidRPr="00BA48BC">
        <w:t>Note:</w:t>
      </w:r>
      <w:r w:rsidRPr="00BA48BC">
        <w:tab/>
        <w:t>This subsection is a civil penalty provision (see section</w:t>
      </w:r>
      <w:r w:rsidR="00BA48BC" w:rsidRPr="00BA48BC">
        <w:t> </w:t>
      </w:r>
      <w:r w:rsidRPr="00BA48BC">
        <w:t>1317E).</w:t>
      </w:r>
    </w:p>
    <w:p w:rsidR="00FF3EFB" w:rsidRPr="00BA48BC" w:rsidRDefault="006354A6" w:rsidP="00BA48BC">
      <w:pPr>
        <w:pStyle w:val="ItemHead"/>
      </w:pPr>
      <w:r w:rsidRPr="00BA48BC">
        <w:t>18</w:t>
      </w:r>
      <w:r w:rsidR="00FF3EFB" w:rsidRPr="00BA48BC">
        <w:t xml:space="preserve">  Paragraphs 962L(1)(a) and (b)</w:t>
      </w:r>
    </w:p>
    <w:p w:rsidR="00FF3EFB" w:rsidRPr="00BA48BC" w:rsidRDefault="00FF3EFB" w:rsidP="00BA48BC">
      <w:pPr>
        <w:pStyle w:val="Item"/>
      </w:pPr>
      <w:r w:rsidRPr="00BA48BC">
        <w:t>Omit “second anniversary”, substitute “anniversary”.</w:t>
      </w:r>
    </w:p>
    <w:p w:rsidR="00FF3EFB" w:rsidRPr="00BA48BC" w:rsidRDefault="006354A6" w:rsidP="00BA48BC">
      <w:pPr>
        <w:pStyle w:val="ItemHead"/>
      </w:pPr>
      <w:r w:rsidRPr="00BA48BC">
        <w:t>19</w:t>
      </w:r>
      <w:r w:rsidR="00FF3EFB" w:rsidRPr="00BA48BC">
        <w:t xml:space="preserve">  Subdivision C of Division</w:t>
      </w:r>
      <w:r w:rsidR="00BA48BC" w:rsidRPr="00BA48BC">
        <w:t> </w:t>
      </w:r>
      <w:r w:rsidR="00FF3EFB" w:rsidRPr="00BA48BC">
        <w:t>3 of Part</w:t>
      </w:r>
      <w:r w:rsidR="00BA48BC" w:rsidRPr="00BA48BC">
        <w:t> </w:t>
      </w:r>
      <w:r w:rsidR="00FF3EFB" w:rsidRPr="00BA48BC">
        <w:t>7.7A</w:t>
      </w:r>
    </w:p>
    <w:p w:rsidR="00372EEB" w:rsidRPr="00BA48BC" w:rsidRDefault="00372EEB" w:rsidP="00BA48BC">
      <w:pPr>
        <w:pStyle w:val="Item"/>
      </w:pPr>
      <w:r w:rsidRPr="00BA48BC">
        <w:t>Repeal the Subdivision, substitute:</w:t>
      </w:r>
    </w:p>
    <w:p w:rsidR="00FF3EFB" w:rsidRPr="00BA48BC" w:rsidRDefault="00FF3EFB" w:rsidP="00BA48BC">
      <w:pPr>
        <w:pStyle w:val="ActHead4"/>
      </w:pPr>
      <w:bookmarkStart w:id="7" w:name="_Toc31183565"/>
      <w:r w:rsidRPr="00B52EF9">
        <w:rPr>
          <w:rStyle w:val="CharSubdNo"/>
        </w:rPr>
        <w:t>Subdivision C</w:t>
      </w:r>
      <w:r w:rsidRPr="00BA48BC">
        <w:t>—</w:t>
      </w:r>
      <w:r w:rsidRPr="00B52EF9">
        <w:rPr>
          <w:rStyle w:val="CharSubdText"/>
        </w:rPr>
        <w:t>Consent required for deduction of ongoing fees from accounts</w:t>
      </w:r>
      <w:bookmarkEnd w:id="7"/>
    </w:p>
    <w:p w:rsidR="00FF3EFB" w:rsidRPr="00BA48BC" w:rsidRDefault="00FF3EFB" w:rsidP="00BA48BC">
      <w:pPr>
        <w:pStyle w:val="ActHead5"/>
      </w:pPr>
      <w:bookmarkStart w:id="8" w:name="_Toc31183566"/>
      <w:r w:rsidRPr="00B52EF9">
        <w:rPr>
          <w:rStyle w:val="CharSectno"/>
        </w:rPr>
        <w:t>962R</w:t>
      </w:r>
      <w:r w:rsidRPr="00BA48BC">
        <w:t xml:space="preserve">  Fee recipient must not deduct ongoing fees without consent</w:t>
      </w:r>
      <w:bookmarkEnd w:id="8"/>
    </w:p>
    <w:p w:rsidR="00FF3EFB" w:rsidRPr="00BA48BC" w:rsidRDefault="00FF3EFB" w:rsidP="00BA48BC">
      <w:pPr>
        <w:pStyle w:val="subsection"/>
      </w:pPr>
      <w:r w:rsidRPr="00BA48BC">
        <w:tab/>
        <w:t>(1)</w:t>
      </w:r>
      <w:r w:rsidRPr="00BA48BC">
        <w:tab/>
        <w:t>This section applies if:</w:t>
      </w:r>
    </w:p>
    <w:p w:rsidR="00FF3EFB" w:rsidRPr="00BA48BC" w:rsidRDefault="00FF3EFB" w:rsidP="00BA48BC">
      <w:pPr>
        <w:pStyle w:val="paragraph"/>
      </w:pPr>
      <w:r w:rsidRPr="00BA48BC">
        <w:tab/>
        <w:t>(a)</w:t>
      </w:r>
      <w:r w:rsidRPr="00BA48BC">
        <w:tab/>
        <w:t>an ongoing fee is, or will be, payable to a fee recipient under an ongoing fee arrangement; and</w:t>
      </w:r>
    </w:p>
    <w:p w:rsidR="00FF3EFB" w:rsidRPr="00BA48BC" w:rsidRDefault="00FF3EFB" w:rsidP="00BA48BC">
      <w:pPr>
        <w:pStyle w:val="paragraph"/>
      </w:pPr>
      <w:r w:rsidRPr="00BA48BC">
        <w:tab/>
        <w:t>(b)</w:t>
      </w:r>
      <w:r w:rsidRPr="00BA48BC">
        <w:tab/>
        <w:t xml:space="preserve">a person (the </w:t>
      </w:r>
      <w:r w:rsidRPr="00BA48BC">
        <w:rPr>
          <w:b/>
          <w:i/>
        </w:rPr>
        <w:t>account holder</w:t>
      </w:r>
      <w:r w:rsidRPr="00BA48BC">
        <w:t>) holds an account with the fee recipient; and</w:t>
      </w:r>
    </w:p>
    <w:p w:rsidR="00FF3EFB" w:rsidRPr="00BA48BC" w:rsidRDefault="00FF3EFB" w:rsidP="00BA48BC">
      <w:pPr>
        <w:pStyle w:val="paragraph"/>
      </w:pPr>
      <w:r w:rsidRPr="00BA48BC">
        <w:tab/>
        <w:t>(c)</w:t>
      </w:r>
      <w:r w:rsidRPr="00BA48BC">
        <w:tab/>
        <w:t>the fee recipient proposes to deduct the amount of the ongoing fee from the account holder’s account.</w:t>
      </w:r>
    </w:p>
    <w:p w:rsidR="00FF3EFB" w:rsidRPr="00BA48BC" w:rsidRDefault="00FF3EFB" w:rsidP="00BA48BC">
      <w:pPr>
        <w:pStyle w:val="subsection"/>
      </w:pPr>
      <w:r w:rsidRPr="00BA48BC">
        <w:tab/>
        <w:t>(2)</w:t>
      </w:r>
      <w:r w:rsidRPr="00BA48BC">
        <w:tab/>
        <w:t xml:space="preserve">Subject to </w:t>
      </w:r>
      <w:r w:rsidR="00BA48BC" w:rsidRPr="00BA48BC">
        <w:t>subsection (</w:t>
      </w:r>
      <w:r w:rsidRPr="00BA48BC">
        <w:t>3), the fee recipient must not deduct the amount of the ongoing fee from the account unless all of the following are satisfied:</w:t>
      </w:r>
    </w:p>
    <w:p w:rsidR="008840B8" w:rsidRPr="00BA48BC" w:rsidRDefault="00FF3EFB" w:rsidP="00BA48BC">
      <w:pPr>
        <w:pStyle w:val="paragraph"/>
      </w:pPr>
      <w:r w:rsidRPr="00BA48BC">
        <w:tab/>
        <w:t>(a)</w:t>
      </w:r>
      <w:r w:rsidRPr="00BA48BC">
        <w:tab/>
        <w:t>the account holder has given the fee recipient written consent for the fee recipient to deduct amounts from the account in respect of ongoing fees under the ongoing fee arrangement;</w:t>
      </w:r>
    </w:p>
    <w:p w:rsidR="00FF3EFB" w:rsidRPr="00BA48BC" w:rsidRDefault="00FF3EFB" w:rsidP="00BA48BC">
      <w:pPr>
        <w:pStyle w:val="paragraph"/>
      </w:pPr>
      <w:r w:rsidRPr="00BA48BC">
        <w:tab/>
        <w:t>(b)</w:t>
      </w:r>
      <w:r w:rsidRPr="00BA48BC">
        <w:tab/>
      </w:r>
      <w:r w:rsidR="008E7FD6" w:rsidRPr="00BA48BC">
        <w:t xml:space="preserve">if requirements that apply in relation to the consent </w:t>
      </w:r>
      <w:r w:rsidR="008840B8" w:rsidRPr="00BA48BC">
        <w:t xml:space="preserve">are determined </w:t>
      </w:r>
      <w:r w:rsidR="008E7FD6" w:rsidRPr="00BA48BC">
        <w:t>under section</w:t>
      </w:r>
      <w:r w:rsidR="00BA48BC" w:rsidRPr="00BA48BC">
        <w:t> </w:t>
      </w:r>
      <w:r w:rsidR="008E7FD6" w:rsidRPr="00BA48BC">
        <w:t>962T—</w:t>
      </w:r>
      <w:r w:rsidRPr="00BA48BC">
        <w:t xml:space="preserve">the consent complies with </w:t>
      </w:r>
      <w:r w:rsidR="008840B8" w:rsidRPr="00BA48BC">
        <w:t>those requirements</w:t>
      </w:r>
      <w:r w:rsidRPr="00BA48BC">
        <w:t>;</w:t>
      </w:r>
    </w:p>
    <w:p w:rsidR="00FF3EFB" w:rsidRPr="00BA48BC" w:rsidRDefault="00FF3EFB" w:rsidP="00BA48BC">
      <w:pPr>
        <w:pStyle w:val="paragraph"/>
      </w:pPr>
      <w:r w:rsidRPr="00BA48BC">
        <w:tab/>
        <w:t>(c)</w:t>
      </w:r>
      <w:r w:rsidRPr="00BA48BC">
        <w:tab/>
        <w:t>at the time of making the deduction:</w:t>
      </w:r>
    </w:p>
    <w:p w:rsidR="00FF3EFB" w:rsidRPr="00BA48BC" w:rsidRDefault="00FF3EFB" w:rsidP="00BA48BC">
      <w:pPr>
        <w:pStyle w:val="paragraphsub"/>
      </w:pPr>
      <w:r w:rsidRPr="00BA48BC">
        <w:tab/>
        <w:t>(i)</w:t>
      </w:r>
      <w:r w:rsidRPr="00BA48BC">
        <w:tab/>
        <w:t xml:space="preserve">the consent has not been withdrawn under </w:t>
      </w:r>
      <w:r w:rsidR="00EC118D" w:rsidRPr="00BA48BC">
        <w:t>paragraph</w:t>
      </w:r>
      <w:r w:rsidR="00BA48BC" w:rsidRPr="00BA48BC">
        <w:t> </w:t>
      </w:r>
      <w:r w:rsidRPr="00BA48BC">
        <w:t>962U(1)</w:t>
      </w:r>
      <w:r w:rsidR="00EC118D" w:rsidRPr="00BA48BC">
        <w:t>(a)</w:t>
      </w:r>
      <w:r w:rsidRPr="00BA48BC">
        <w:t>; and</w:t>
      </w:r>
    </w:p>
    <w:p w:rsidR="00FF3EFB" w:rsidRPr="00BA48BC" w:rsidRDefault="00FF3EFB" w:rsidP="00BA48BC">
      <w:pPr>
        <w:pStyle w:val="paragraphsub"/>
      </w:pPr>
      <w:r w:rsidRPr="00BA48BC">
        <w:tab/>
        <w:t>(ii)</w:t>
      </w:r>
      <w:r w:rsidRPr="00BA48BC">
        <w:tab/>
        <w:t xml:space="preserve">if the consent has been varied under </w:t>
      </w:r>
      <w:r w:rsidR="00EC118D" w:rsidRPr="00BA48BC">
        <w:t>paragraph</w:t>
      </w:r>
      <w:r w:rsidR="00BA48BC" w:rsidRPr="00BA48BC">
        <w:t> </w:t>
      </w:r>
      <w:r w:rsidRPr="00BA48BC">
        <w:t>962U(1)</w:t>
      </w:r>
      <w:r w:rsidR="00EC118D" w:rsidRPr="00BA48BC">
        <w:t>(b)</w:t>
      </w:r>
      <w:r w:rsidRPr="00BA48BC">
        <w:t>—the consent as varied still allows for the deduction to be made; and</w:t>
      </w:r>
    </w:p>
    <w:p w:rsidR="00FF3EFB" w:rsidRPr="00BA48BC" w:rsidRDefault="00FF3EFB" w:rsidP="00BA48BC">
      <w:pPr>
        <w:pStyle w:val="paragraphsub"/>
      </w:pPr>
      <w:r w:rsidRPr="00BA48BC">
        <w:tab/>
        <w:t>(iii)</w:t>
      </w:r>
      <w:r w:rsidRPr="00BA48BC">
        <w:tab/>
        <w:t xml:space="preserve">the consent has not ceased to have effect </w:t>
      </w:r>
      <w:r w:rsidR="008E7FD6" w:rsidRPr="00BA48BC">
        <w:t>under section</w:t>
      </w:r>
      <w:r w:rsidR="00BA48BC" w:rsidRPr="00BA48BC">
        <w:t> </w:t>
      </w:r>
      <w:r w:rsidR="008E7FD6" w:rsidRPr="00BA48BC">
        <w:t>962V</w:t>
      </w:r>
      <w:r w:rsidRPr="00BA48BC">
        <w:t>.</w:t>
      </w:r>
    </w:p>
    <w:p w:rsidR="00FF3EFB" w:rsidRPr="00BA48BC" w:rsidRDefault="00FF3EFB" w:rsidP="00BA48BC">
      <w:pPr>
        <w:pStyle w:val="subsection"/>
      </w:pPr>
      <w:r w:rsidRPr="00BA48BC">
        <w:lastRenderedPageBreak/>
        <w:tab/>
        <w:t>(3)</w:t>
      </w:r>
      <w:r w:rsidRPr="00BA48BC">
        <w:tab/>
        <w:t xml:space="preserve">If the account holder holds the account jointly with one or more other persons, the fee recipient must not deduct the amount of the ongoing fee from the account unless all of the paragraphs in </w:t>
      </w:r>
      <w:r w:rsidR="00BA48BC" w:rsidRPr="00BA48BC">
        <w:t>subsection (</w:t>
      </w:r>
      <w:r w:rsidRPr="00BA48BC">
        <w:t>2) are satisfied in relation to the account holder as well as each of those other persons as account holders.</w:t>
      </w:r>
    </w:p>
    <w:p w:rsidR="00FF3EFB" w:rsidRPr="00BA48BC" w:rsidRDefault="00FF3EFB" w:rsidP="00BA48BC">
      <w:pPr>
        <w:pStyle w:val="subsection"/>
      </w:pPr>
      <w:r w:rsidRPr="00BA48BC">
        <w:tab/>
        <w:t>(4)</w:t>
      </w:r>
      <w:r w:rsidRPr="00BA48BC">
        <w:tab/>
        <w:t xml:space="preserve">A person contravenes this subsection if the person contravenes </w:t>
      </w:r>
      <w:r w:rsidR="00BA48BC" w:rsidRPr="00BA48BC">
        <w:t>subsection (</w:t>
      </w:r>
      <w:r w:rsidRPr="00BA48BC">
        <w:t>2) or (3).</w:t>
      </w:r>
    </w:p>
    <w:p w:rsidR="00727EEB" w:rsidRPr="00BA48BC" w:rsidRDefault="00FF3EFB" w:rsidP="00BA48BC">
      <w:pPr>
        <w:pStyle w:val="notetext"/>
      </w:pPr>
      <w:r w:rsidRPr="00BA48BC">
        <w:t>Note:</w:t>
      </w:r>
      <w:r w:rsidRPr="00BA48BC">
        <w:tab/>
        <w:t>This subsection is a civil penalty provision (see section</w:t>
      </w:r>
      <w:r w:rsidR="00BA48BC" w:rsidRPr="00BA48BC">
        <w:t> </w:t>
      </w:r>
      <w:r w:rsidRPr="00BA48BC">
        <w:t>1317E).</w:t>
      </w:r>
    </w:p>
    <w:p w:rsidR="00FF3EFB" w:rsidRPr="00BA48BC" w:rsidRDefault="00FF3EFB" w:rsidP="00BA48BC">
      <w:pPr>
        <w:pStyle w:val="ActHead5"/>
      </w:pPr>
      <w:bookmarkStart w:id="9" w:name="_Toc31183567"/>
      <w:r w:rsidRPr="00B52EF9">
        <w:rPr>
          <w:rStyle w:val="CharSectno"/>
        </w:rPr>
        <w:t>962S</w:t>
      </w:r>
      <w:r w:rsidRPr="00BA48BC">
        <w:t xml:space="preserve">  Fee recipient must not arrange for deduction of ongoing fees without consent or accept such deductions</w:t>
      </w:r>
      <w:bookmarkEnd w:id="9"/>
    </w:p>
    <w:p w:rsidR="00FF3EFB" w:rsidRPr="00BA48BC" w:rsidRDefault="00FF3EFB" w:rsidP="00BA48BC">
      <w:pPr>
        <w:pStyle w:val="subsection"/>
      </w:pPr>
      <w:r w:rsidRPr="00BA48BC">
        <w:tab/>
        <w:t>(1)</w:t>
      </w:r>
      <w:r w:rsidRPr="00BA48BC">
        <w:tab/>
        <w:t>This section applies if:</w:t>
      </w:r>
    </w:p>
    <w:p w:rsidR="00FF3EFB" w:rsidRPr="00BA48BC" w:rsidRDefault="00FF3EFB" w:rsidP="00BA48BC">
      <w:pPr>
        <w:pStyle w:val="paragraph"/>
      </w:pPr>
      <w:r w:rsidRPr="00BA48BC">
        <w:tab/>
        <w:t>(a)</w:t>
      </w:r>
      <w:r w:rsidRPr="00BA48BC">
        <w:tab/>
        <w:t>an ongoing fee is, or will be, payable to a fee recipient under an ongoing fee arrangement; and</w:t>
      </w:r>
    </w:p>
    <w:p w:rsidR="00FF3EFB" w:rsidRPr="00BA48BC" w:rsidRDefault="00FF3EFB" w:rsidP="00BA48BC">
      <w:pPr>
        <w:pStyle w:val="paragraph"/>
      </w:pPr>
      <w:r w:rsidRPr="00BA48BC">
        <w:tab/>
        <w:t>(b)</w:t>
      </w:r>
      <w:r w:rsidRPr="00BA48BC">
        <w:tab/>
        <w:t xml:space="preserve">a person (the </w:t>
      </w:r>
      <w:r w:rsidRPr="00BA48BC">
        <w:rPr>
          <w:b/>
          <w:i/>
        </w:rPr>
        <w:t>account holder</w:t>
      </w:r>
      <w:r w:rsidRPr="00BA48BC">
        <w:t xml:space="preserve">) holds an account with another person (the </w:t>
      </w:r>
      <w:r w:rsidRPr="00BA48BC">
        <w:rPr>
          <w:b/>
          <w:i/>
        </w:rPr>
        <w:t>account provider</w:t>
      </w:r>
      <w:r w:rsidRPr="00BA48BC">
        <w:t>) who is not the fee recipient; and</w:t>
      </w:r>
    </w:p>
    <w:p w:rsidR="00FF3EFB" w:rsidRPr="00BA48BC" w:rsidRDefault="00FF3EFB" w:rsidP="00BA48BC">
      <w:pPr>
        <w:pStyle w:val="paragraph"/>
      </w:pPr>
      <w:r w:rsidRPr="00BA48BC">
        <w:tab/>
        <w:t>(c)</w:t>
      </w:r>
      <w:r w:rsidRPr="00BA48BC">
        <w:tab/>
        <w:t>the fee recipient proposes to arrange with the account provider for the amount of the ongoing fee to be deducted from the account holder’s account.</w:t>
      </w:r>
    </w:p>
    <w:p w:rsidR="00FF3EFB" w:rsidRPr="00BA48BC" w:rsidRDefault="00FF3EFB" w:rsidP="00BA48BC">
      <w:pPr>
        <w:pStyle w:val="SubsectionHead"/>
      </w:pPr>
      <w:r w:rsidRPr="00BA48BC">
        <w:t>Fee recipient must not arrange deductions without consent</w:t>
      </w:r>
    </w:p>
    <w:p w:rsidR="00FF3EFB" w:rsidRPr="00BA48BC" w:rsidRDefault="00FF3EFB" w:rsidP="00BA48BC">
      <w:pPr>
        <w:pStyle w:val="subsection"/>
      </w:pPr>
      <w:r w:rsidRPr="00BA48BC">
        <w:tab/>
        <w:t>(2)</w:t>
      </w:r>
      <w:r w:rsidRPr="00BA48BC">
        <w:tab/>
        <w:t xml:space="preserve">Subject to </w:t>
      </w:r>
      <w:r w:rsidR="00BA48BC" w:rsidRPr="00BA48BC">
        <w:t>subsection (</w:t>
      </w:r>
      <w:r w:rsidRPr="00BA48BC">
        <w:t>3), the fee recipient must not arrange for the account provider to deduct the amount from the account unless all of the following are satisfied:</w:t>
      </w:r>
    </w:p>
    <w:p w:rsidR="00FF3EFB" w:rsidRPr="00BA48BC" w:rsidRDefault="00FF3EFB" w:rsidP="00BA48BC">
      <w:pPr>
        <w:pStyle w:val="paragraph"/>
      </w:pPr>
      <w:r w:rsidRPr="00BA48BC">
        <w:tab/>
        <w:t>(a)</w:t>
      </w:r>
      <w:r w:rsidRPr="00BA48BC">
        <w:tab/>
        <w:t>the account holder has given the fee recipient written consent for the fee recipient to arrange for amounts to be deducted from the account in respect of ongoing fees under the ongoing fee arrangement;</w:t>
      </w:r>
    </w:p>
    <w:p w:rsidR="008B4E8E" w:rsidRPr="00BA48BC" w:rsidRDefault="008B4E8E" w:rsidP="00BA48BC">
      <w:pPr>
        <w:pStyle w:val="paragraph"/>
      </w:pPr>
      <w:r w:rsidRPr="00BA48BC">
        <w:tab/>
        <w:t>(b)</w:t>
      </w:r>
      <w:r w:rsidRPr="00BA48BC">
        <w:tab/>
        <w:t>if requirements that apply in relation to the consent are determined under section</w:t>
      </w:r>
      <w:r w:rsidR="00BA48BC" w:rsidRPr="00BA48BC">
        <w:t> </w:t>
      </w:r>
      <w:r w:rsidRPr="00BA48BC">
        <w:t>962T—the consent complies with those requirements;</w:t>
      </w:r>
    </w:p>
    <w:p w:rsidR="00FF3EFB" w:rsidRPr="00BA48BC" w:rsidRDefault="00FF3EFB" w:rsidP="00BA48BC">
      <w:pPr>
        <w:pStyle w:val="paragraph"/>
      </w:pPr>
      <w:r w:rsidRPr="00BA48BC">
        <w:tab/>
        <w:t>(c)</w:t>
      </w:r>
      <w:r w:rsidRPr="00BA48BC">
        <w:tab/>
        <w:t>the fee recipient has given a copy of the account holder’s consent to the account provider;</w:t>
      </w:r>
    </w:p>
    <w:p w:rsidR="00FF3EFB" w:rsidRPr="00BA48BC" w:rsidRDefault="00FF3EFB" w:rsidP="00BA48BC">
      <w:pPr>
        <w:pStyle w:val="paragraph"/>
      </w:pPr>
      <w:r w:rsidRPr="00BA48BC">
        <w:tab/>
        <w:t>(d)</w:t>
      </w:r>
      <w:r w:rsidRPr="00BA48BC">
        <w:tab/>
        <w:t>at the time of giving the copy of the consent to the account provider:</w:t>
      </w:r>
    </w:p>
    <w:p w:rsidR="00FF3EFB" w:rsidRPr="00BA48BC" w:rsidRDefault="00FF3EFB" w:rsidP="00BA48BC">
      <w:pPr>
        <w:pStyle w:val="paragraphsub"/>
      </w:pPr>
      <w:r w:rsidRPr="00BA48BC">
        <w:tab/>
        <w:t>(i)</w:t>
      </w:r>
      <w:r w:rsidRPr="00BA48BC">
        <w:tab/>
        <w:t xml:space="preserve">the consent has not been withdrawn under </w:t>
      </w:r>
      <w:r w:rsidR="00EC118D" w:rsidRPr="00BA48BC">
        <w:t>paragraph</w:t>
      </w:r>
      <w:r w:rsidR="00BA48BC" w:rsidRPr="00BA48BC">
        <w:t> </w:t>
      </w:r>
      <w:r w:rsidRPr="00BA48BC">
        <w:t>962U(1)</w:t>
      </w:r>
      <w:r w:rsidR="00EC118D" w:rsidRPr="00BA48BC">
        <w:t>(a)</w:t>
      </w:r>
      <w:r w:rsidRPr="00BA48BC">
        <w:t>; and</w:t>
      </w:r>
    </w:p>
    <w:p w:rsidR="00FF3EFB" w:rsidRPr="00BA48BC" w:rsidRDefault="00FF3EFB" w:rsidP="00BA48BC">
      <w:pPr>
        <w:pStyle w:val="paragraphsub"/>
      </w:pPr>
      <w:r w:rsidRPr="00BA48BC">
        <w:lastRenderedPageBreak/>
        <w:tab/>
        <w:t>(ii)</w:t>
      </w:r>
      <w:r w:rsidRPr="00BA48BC">
        <w:tab/>
        <w:t xml:space="preserve">if the consent has been varied under </w:t>
      </w:r>
      <w:r w:rsidR="00EC118D" w:rsidRPr="00BA48BC">
        <w:t>paragraph</w:t>
      </w:r>
      <w:r w:rsidR="00BA48BC" w:rsidRPr="00BA48BC">
        <w:t> </w:t>
      </w:r>
      <w:r w:rsidRPr="00BA48BC">
        <w:t>962U(1)</w:t>
      </w:r>
      <w:r w:rsidR="00EC118D" w:rsidRPr="00BA48BC">
        <w:t>(b)</w:t>
      </w:r>
      <w:r w:rsidRPr="00BA48BC">
        <w:t>—the consent as varied still allows for the deduction to be made; and</w:t>
      </w:r>
    </w:p>
    <w:p w:rsidR="00FF3EFB" w:rsidRPr="00BA48BC" w:rsidRDefault="00FF3EFB" w:rsidP="00BA48BC">
      <w:pPr>
        <w:pStyle w:val="paragraphsub"/>
      </w:pPr>
      <w:r w:rsidRPr="00BA48BC">
        <w:tab/>
        <w:t>(iii)</w:t>
      </w:r>
      <w:r w:rsidRPr="00BA48BC">
        <w:tab/>
        <w:t>the consent has not ceased to have effect under section</w:t>
      </w:r>
      <w:r w:rsidR="00BA48BC" w:rsidRPr="00BA48BC">
        <w:t> </w:t>
      </w:r>
      <w:r w:rsidRPr="00BA48BC">
        <w:t>962</w:t>
      </w:r>
      <w:r w:rsidR="008B4E8E" w:rsidRPr="00BA48BC">
        <w:t>V</w:t>
      </w:r>
      <w:r w:rsidRPr="00BA48BC">
        <w:t>.</w:t>
      </w:r>
    </w:p>
    <w:p w:rsidR="00FF3EFB" w:rsidRPr="00BA48BC" w:rsidRDefault="00FF3EFB" w:rsidP="00BA48BC">
      <w:pPr>
        <w:pStyle w:val="subsection"/>
      </w:pPr>
      <w:r w:rsidRPr="00BA48BC">
        <w:tab/>
        <w:t>(3)</w:t>
      </w:r>
      <w:r w:rsidRPr="00BA48BC">
        <w:tab/>
        <w:t xml:space="preserve">If the account holder holds the account jointly with one or more other persons, the fee recipient must not arrange for deductions from the account unless all of the paragraphs in </w:t>
      </w:r>
      <w:r w:rsidR="00BA48BC" w:rsidRPr="00BA48BC">
        <w:t>subsection (</w:t>
      </w:r>
      <w:r w:rsidRPr="00BA48BC">
        <w:t>2) are satisfied in relation to the account holder as well as each of those other persons as account holders.</w:t>
      </w:r>
    </w:p>
    <w:p w:rsidR="00FF3EFB" w:rsidRPr="00BA48BC" w:rsidRDefault="00FF3EFB" w:rsidP="00BA48BC">
      <w:pPr>
        <w:pStyle w:val="subsection"/>
      </w:pPr>
      <w:r w:rsidRPr="00BA48BC">
        <w:tab/>
        <w:t>(4)</w:t>
      </w:r>
      <w:r w:rsidRPr="00BA48BC">
        <w:tab/>
        <w:t xml:space="preserve">A person contravenes this subsection if the person contravenes </w:t>
      </w:r>
      <w:r w:rsidR="00BA48BC" w:rsidRPr="00BA48BC">
        <w:t>subsection (</w:t>
      </w:r>
      <w:r w:rsidRPr="00BA48BC">
        <w:t>2) or (3).</w:t>
      </w:r>
    </w:p>
    <w:p w:rsidR="00FF3EFB" w:rsidRPr="00BA48BC" w:rsidRDefault="00FF3EFB" w:rsidP="00BA48BC">
      <w:pPr>
        <w:pStyle w:val="notetext"/>
      </w:pPr>
      <w:r w:rsidRPr="00BA48BC">
        <w:t>Note:</w:t>
      </w:r>
      <w:r w:rsidRPr="00BA48BC">
        <w:tab/>
        <w:t>This subsection is a civil penalty provision (see section</w:t>
      </w:r>
      <w:r w:rsidR="00BA48BC" w:rsidRPr="00BA48BC">
        <w:t> </w:t>
      </w:r>
      <w:r w:rsidRPr="00BA48BC">
        <w:t>1317E).</w:t>
      </w:r>
    </w:p>
    <w:p w:rsidR="00FF3EFB" w:rsidRPr="00BA48BC" w:rsidRDefault="00FF3EFB" w:rsidP="00BA48BC">
      <w:pPr>
        <w:pStyle w:val="SubsectionHead"/>
      </w:pPr>
      <w:r w:rsidRPr="00BA48BC">
        <w:t>Fee recipient must not accept deductions made without consent</w:t>
      </w:r>
    </w:p>
    <w:p w:rsidR="00FF3EFB" w:rsidRPr="00BA48BC" w:rsidRDefault="00FF3EFB" w:rsidP="00BA48BC">
      <w:pPr>
        <w:pStyle w:val="subsection"/>
      </w:pPr>
      <w:r w:rsidRPr="00BA48BC">
        <w:tab/>
        <w:t>(5)</w:t>
      </w:r>
      <w:r w:rsidRPr="00BA48BC">
        <w:tab/>
        <w:t xml:space="preserve">Subject to </w:t>
      </w:r>
      <w:r w:rsidR="00BA48BC" w:rsidRPr="00BA48BC">
        <w:t>subsection (</w:t>
      </w:r>
      <w:r w:rsidRPr="00BA48BC">
        <w:t>6), if the fee recipient has arranged with the account provider, with the account holder’s consent, for an amount to be deducted from the account, the fee recipient must not accept payment of the amount unless at the time the payment is made to the fee recipient all of the following are satisfied:</w:t>
      </w:r>
    </w:p>
    <w:p w:rsidR="00FF3EFB" w:rsidRPr="00BA48BC" w:rsidRDefault="00FF3EFB" w:rsidP="00BA48BC">
      <w:pPr>
        <w:pStyle w:val="paragraph"/>
      </w:pPr>
      <w:r w:rsidRPr="00BA48BC">
        <w:tab/>
        <w:t>(a)</w:t>
      </w:r>
      <w:r w:rsidRPr="00BA48BC">
        <w:tab/>
        <w:t xml:space="preserve">the consent has not been withdrawn under </w:t>
      </w:r>
      <w:r w:rsidR="00EC118D" w:rsidRPr="00BA48BC">
        <w:t>paragraph</w:t>
      </w:r>
      <w:r w:rsidR="00BA48BC" w:rsidRPr="00BA48BC">
        <w:t> </w:t>
      </w:r>
      <w:r w:rsidRPr="00BA48BC">
        <w:t>962U(1)</w:t>
      </w:r>
      <w:r w:rsidR="00EC118D" w:rsidRPr="00BA48BC">
        <w:t>(a)</w:t>
      </w:r>
      <w:r w:rsidRPr="00BA48BC">
        <w:t>;</w:t>
      </w:r>
    </w:p>
    <w:p w:rsidR="00FF3EFB" w:rsidRPr="00BA48BC" w:rsidRDefault="00FF3EFB" w:rsidP="00BA48BC">
      <w:pPr>
        <w:pStyle w:val="paragraph"/>
      </w:pPr>
      <w:r w:rsidRPr="00BA48BC">
        <w:tab/>
        <w:t>(b)</w:t>
      </w:r>
      <w:r w:rsidRPr="00BA48BC">
        <w:tab/>
        <w:t xml:space="preserve">if the consent has been varied under </w:t>
      </w:r>
      <w:r w:rsidR="00EC118D" w:rsidRPr="00BA48BC">
        <w:t>paragraph</w:t>
      </w:r>
      <w:r w:rsidR="00BA48BC" w:rsidRPr="00BA48BC">
        <w:t> </w:t>
      </w:r>
      <w:r w:rsidRPr="00BA48BC">
        <w:t>962U(1)</w:t>
      </w:r>
      <w:r w:rsidR="00EC118D" w:rsidRPr="00BA48BC">
        <w:t>(b)</w:t>
      </w:r>
      <w:r w:rsidRPr="00BA48BC">
        <w:t>—the consent as varied still allows for the deduction to be made;</w:t>
      </w:r>
    </w:p>
    <w:p w:rsidR="00FF3EFB" w:rsidRPr="00BA48BC" w:rsidRDefault="00FF3EFB" w:rsidP="00BA48BC">
      <w:pPr>
        <w:pStyle w:val="paragraph"/>
      </w:pPr>
      <w:r w:rsidRPr="00BA48BC">
        <w:tab/>
        <w:t>(c)</w:t>
      </w:r>
      <w:r w:rsidRPr="00BA48BC">
        <w:tab/>
        <w:t>the consent has not ceased to have effect under section</w:t>
      </w:r>
      <w:r w:rsidR="00BA48BC" w:rsidRPr="00BA48BC">
        <w:t> </w:t>
      </w:r>
      <w:r w:rsidRPr="00BA48BC">
        <w:t>962</w:t>
      </w:r>
      <w:r w:rsidR="008B4E8E" w:rsidRPr="00BA48BC">
        <w:t>V</w:t>
      </w:r>
      <w:r w:rsidRPr="00BA48BC">
        <w:t>.</w:t>
      </w:r>
    </w:p>
    <w:p w:rsidR="00FF3EFB" w:rsidRPr="00BA48BC" w:rsidRDefault="00FF3EFB" w:rsidP="00BA48BC">
      <w:pPr>
        <w:pStyle w:val="subsection"/>
      </w:pPr>
      <w:r w:rsidRPr="00BA48BC">
        <w:tab/>
        <w:t>(6)</w:t>
      </w:r>
      <w:r w:rsidRPr="00BA48BC">
        <w:tab/>
        <w:t xml:space="preserve">If the account holder holds the account jointly with one or more other persons, the fee recipient must not accept the payment unless all of the paragraphs in </w:t>
      </w:r>
      <w:r w:rsidR="00BA48BC" w:rsidRPr="00BA48BC">
        <w:t>subsection (</w:t>
      </w:r>
      <w:r w:rsidRPr="00BA48BC">
        <w:t>5) are satisfied in relation to the account holder as well as each of those other persons as account holders.</w:t>
      </w:r>
    </w:p>
    <w:p w:rsidR="00FF3EFB" w:rsidRPr="00BA48BC" w:rsidRDefault="00FF3EFB" w:rsidP="00BA48BC">
      <w:pPr>
        <w:pStyle w:val="subsection"/>
      </w:pPr>
      <w:r w:rsidRPr="00BA48BC">
        <w:tab/>
        <w:t>(7)</w:t>
      </w:r>
      <w:r w:rsidRPr="00BA48BC">
        <w:tab/>
        <w:t xml:space="preserve">A person contravenes this subsection if the person contravenes </w:t>
      </w:r>
      <w:r w:rsidR="00BA48BC" w:rsidRPr="00BA48BC">
        <w:t>subsection (</w:t>
      </w:r>
      <w:r w:rsidRPr="00BA48BC">
        <w:t>5) or (6).</w:t>
      </w:r>
    </w:p>
    <w:p w:rsidR="00FF3EFB" w:rsidRPr="00BA48BC" w:rsidRDefault="00FF3EFB" w:rsidP="00BA48BC">
      <w:pPr>
        <w:pStyle w:val="notetext"/>
      </w:pPr>
      <w:r w:rsidRPr="00BA48BC">
        <w:t>Note:</w:t>
      </w:r>
      <w:r w:rsidRPr="00BA48BC">
        <w:tab/>
        <w:t>This subsection is a civil penalty provision (see section</w:t>
      </w:r>
      <w:r w:rsidR="00BA48BC" w:rsidRPr="00BA48BC">
        <w:t> </w:t>
      </w:r>
      <w:r w:rsidRPr="00BA48BC">
        <w:t>1317E).</w:t>
      </w:r>
    </w:p>
    <w:p w:rsidR="00FF3EFB" w:rsidRPr="00BA48BC" w:rsidRDefault="00FF3EFB" w:rsidP="00BA48BC">
      <w:pPr>
        <w:pStyle w:val="subsection"/>
      </w:pPr>
      <w:r w:rsidRPr="00BA48BC">
        <w:tab/>
        <w:t>(8)</w:t>
      </w:r>
      <w:r w:rsidRPr="00BA48BC">
        <w:tab/>
        <w:t xml:space="preserve">However, </w:t>
      </w:r>
      <w:r w:rsidR="00BA48BC" w:rsidRPr="00BA48BC">
        <w:t>subsection (</w:t>
      </w:r>
      <w:r w:rsidRPr="00BA48BC">
        <w:t xml:space="preserve">7) does not apply if an amount accepted in contravention of </w:t>
      </w:r>
      <w:r w:rsidR="00BA48BC" w:rsidRPr="00BA48BC">
        <w:t>subsection (</w:t>
      </w:r>
      <w:r w:rsidRPr="00BA48BC">
        <w:t xml:space="preserve">5) or (6) is repaid into the account </w:t>
      </w:r>
      <w:r w:rsidRPr="00BA48BC">
        <w:lastRenderedPageBreak/>
        <w:t xml:space="preserve">holder’s account within </w:t>
      </w:r>
      <w:r w:rsidR="00372EEB" w:rsidRPr="00BA48BC">
        <w:t xml:space="preserve">5 </w:t>
      </w:r>
      <w:r w:rsidRPr="00BA48BC">
        <w:t>business days of the day on which the payment was accepted.</w:t>
      </w:r>
    </w:p>
    <w:p w:rsidR="00FF3EFB" w:rsidRPr="00BA48BC" w:rsidRDefault="00FF3EFB" w:rsidP="00BA48BC">
      <w:pPr>
        <w:pStyle w:val="ActHead5"/>
      </w:pPr>
      <w:bookmarkStart w:id="10" w:name="_Toc31183568"/>
      <w:r w:rsidRPr="00B52EF9">
        <w:rPr>
          <w:rStyle w:val="CharSectno"/>
        </w:rPr>
        <w:t>962T</w:t>
      </w:r>
      <w:r w:rsidRPr="00BA48BC">
        <w:t xml:space="preserve">  Requirements relating to consent</w:t>
      </w:r>
      <w:bookmarkEnd w:id="10"/>
    </w:p>
    <w:p w:rsidR="00FF3EFB" w:rsidRPr="00BA48BC" w:rsidRDefault="00FF3EFB" w:rsidP="00BA48BC">
      <w:pPr>
        <w:pStyle w:val="subsection"/>
      </w:pPr>
      <w:r w:rsidRPr="00BA48BC">
        <w:tab/>
        <w:t>(1)</w:t>
      </w:r>
      <w:r w:rsidRPr="00BA48BC">
        <w:tab/>
        <w:t>ASIC may, by legislative instrument, determine requirements for the giving of consent to deductions from an account for the purposes of this Subdivision.</w:t>
      </w:r>
    </w:p>
    <w:p w:rsidR="00FF3EFB" w:rsidRPr="00BA48BC" w:rsidRDefault="00FF3EFB" w:rsidP="00BA48BC">
      <w:pPr>
        <w:pStyle w:val="subsection"/>
      </w:pPr>
      <w:r w:rsidRPr="00BA48BC">
        <w:tab/>
        <w:t>(2)</w:t>
      </w:r>
      <w:r w:rsidRPr="00BA48BC">
        <w:tab/>
        <w:t xml:space="preserve">Without limiting </w:t>
      </w:r>
      <w:r w:rsidR="00BA48BC" w:rsidRPr="00BA48BC">
        <w:t>subsection (</w:t>
      </w:r>
      <w:r w:rsidRPr="00BA48BC">
        <w:t>1), the instrument may require that:</w:t>
      </w:r>
    </w:p>
    <w:p w:rsidR="00FF3EFB" w:rsidRPr="00BA48BC" w:rsidRDefault="00FF3EFB" w:rsidP="00BA48BC">
      <w:pPr>
        <w:pStyle w:val="paragraph"/>
      </w:pPr>
      <w:r w:rsidRPr="00BA48BC">
        <w:tab/>
        <w:t>(a)</w:t>
      </w:r>
      <w:r w:rsidRPr="00BA48BC">
        <w:tab/>
        <w:t>a specified form, or specified form of words, must be used for giving consent; or</w:t>
      </w:r>
    </w:p>
    <w:p w:rsidR="00566A39" w:rsidRPr="00BA48BC" w:rsidRDefault="00FF3EFB" w:rsidP="00BA48BC">
      <w:pPr>
        <w:pStyle w:val="paragraph"/>
      </w:pPr>
      <w:r w:rsidRPr="00BA48BC">
        <w:tab/>
        <w:t>(b)</w:t>
      </w:r>
      <w:r w:rsidRPr="00BA48BC">
        <w:tab/>
        <w:t>a consent must include specified information.</w:t>
      </w:r>
    </w:p>
    <w:p w:rsidR="00FF3EFB" w:rsidRPr="00BA48BC" w:rsidRDefault="00FF3EFB" w:rsidP="00BA48BC">
      <w:pPr>
        <w:pStyle w:val="ActHead5"/>
      </w:pPr>
      <w:bookmarkStart w:id="11" w:name="_Toc31183569"/>
      <w:r w:rsidRPr="00B52EF9">
        <w:rPr>
          <w:rStyle w:val="CharSectno"/>
        </w:rPr>
        <w:t>962U</w:t>
      </w:r>
      <w:r w:rsidRPr="00BA48BC">
        <w:t xml:space="preserve">  Variation or withdrawal of consent</w:t>
      </w:r>
      <w:bookmarkEnd w:id="11"/>
    </w:p>
    <w:p w:rsidR="00FF3EFB" w:rsidRPr="00BA48BC" w:rsidRDefault="00FF3EFB" w:rsidP="00BA48BC">
      <w:pPr>
        <w:pStyle w:val="subsection"/>
      </w:pPr>
      <w:r w:rsidRPr="00BA48BC">
        <w:tab/>
        <w:t>(1)</w:t>
      </w:r>
      <w:r w:rsidRPr="00BA48BC">
        <w:tab/>
        <w:t xml:space="preserve">If a person (the </w:t>
      </w:r>
      <w:r w:rsidRPr="00BA48BC">
        <w:rPr>
          <w:b/>
          <w:i/>
        </w:rPr>
        <w:t>account holder</w:t>
      </w:r>
      <w:r w:rsidRPr="00BA48BC">
        <w:t>) who holds an account gives consent to a fee recipient for amounts to be deducted from the account for the purposes of this Subdivision, the account holder may:</w:t>
      </w:r>
    </w:p>
    <w:p w:rsidR="00FF3EFB" w:rsidRPr="00BA48BC" w:rsidRDefault="00FF3EFB" w:rsidP="00BA48BC">
      <w:pPr>
        <w:pStyle w:val="paragraph"/>
      </w:pPr>
      <w:r w:rsidRPr="00BA48BC">
        <w:tab/>
        <w:t>(a)</w:t>
      </w:r>
      <w:r w:rsidRPr="00BA48BC">
        <w:tab/>
        <w:t>withdraw the consent at any time, by notice in writing to the fee recipient; and</w:t>
      </w:r>
    </w:p>
    <w:p w:rsidR="00FF3EFB" w:rsidRPr="00BA48BC" w:rsidRDefault="00FF3EFB" w:rsidP="00BA48BC">
      <w:pPr>
        <w:pStyle w:val="paragraph"/>
      </w:pPr>
      <w:r w:rsidRPr="00BA48BC">
        <w:tab/>
        <w:t>(b)</w:t>
      </w:r>
      <w:r w:rsidRPr="00BA48BC">
        <w:tab/>
        <w:t>vary the consent at any time, by notice in writing to the fee recipient.</w:t>
      </w:r>
    </w:p>
    <w:p w:rsidR="00FF3EFB" w:rsidRPr="00BA48BC" w:rsidRDefault="00FF3EFB" w:rsidP="00BA48BC">
      <w:pPr>
        <w:pStyle w:val="subsection"/>
      </w:pPr>
      <w:r w:rsidRPr="00BA48BC">
        <w:tab/>
        <w:t>(2)</w:t>
      </w:r>
      <w:r w:rsidRPr="00BA48BC">
        <w:tab/>
        <w:t xml:space="preserve">If the fee recipient receives a notice from the account holder under </w:t>
      </w:r>
      <w:r w:rsidR="00BA48BC" w:rsidRPr="00BA48BC">
        <w:t>subsection (</w:t>
      </w:r>
      <w:r w:rsidRPr="00BA48BC">
        <w:t xml:space="preserve">1), the fee recipient must within </w:t>
      </w:r>
      <w:r w:rsidR="00372EEB" w:rsidRPr="00BA48BC">
        <w:t>5</w:t>
      </w:r>
      <w:r w:rsidRPr="00BA48BC">
        <w:t xml:space="preserve"> business days of receipt:</w:t>
      </w:r>
    </w:p>
    <w:p w:rsidR="00FF3EFB" w:rsidRPr="00BA48BC" w:rsidRDefault="00FF3EFB" w:rsidP="00BA48BC">
      <w:pPr>
        <w:pStyle w:val="paragraph"/>
      </w:pPr>
      <w:r w:rsidRPr="00BA48BC">
        <w:tab/>
        <w:t>(a)</w:t>
      </w:r>
      <w:r w:rsidRPr="00BA48BC">
        <w:tab/>
        <w:t>give written confirmation to the account holder that the notice was received; and</w:t>
      </w:r>
    </w:p>
    <w:p w:rsidR="00FF3EFB" w:rsidRPr="00BA48BC" w:rsidRDefault="00FF3EFB" w:rsidP="00BA48BC">
      <w:pPr>
        <w:pStyle w:val="paragraph"/>
      </w:pPr>
      <w:r w:rsidRPr="00BA48BC">
        <w:tab/>
        <w:t>(b)</w:t>
      </w:r>
      <w:r w:rsidRPr="00BA48BC">
        <w:tab/>
        <w:t>if the fee recipient gave a copy of the account holder’s consent to an account provider under paragraph</w:t>
      </w:r>
      <w:r w:rsidR="00BA48BC" w:rsidRPr="00BA48BC">
        <w:t> </w:t>
      </w:r>
      <w:r w:rsidRPr="00BA48BC">
        <w:t>962S(2)(c)—give the account provider a copy of the notice.</w:t>
      </w:r>
    </w:p>
    <w:p w:rsidR="00FF3EFB" w:rsidRPr="00BA48BC" w:rsidRDefault="00FF3EFB" w:rsidP="00BA48BC">
      <w:pPr>
        <w:pStyle w:val="subsection"/>
      </w:pPr>
      <w:r w:rsidRPr="00BA48BC">
        <w:tab/>
        <w:t>(3)</w:t>
      </w:r>
      <w:r w:rsidRPr="00BA48BC">
        <w:tab/>
        <w:t xml:space="preserve">A person contravenes this subsection if the person contravenes </w:t>
      </w:r>
      <w:r w:rsidR="00BA48BC" w:rsidRPr="00BA48BC">
        <w:t>subsection (</w:t>
      </w:r>
      <w:r w:rsidRPr="00BA48BC">
        <w:t>2).</w:t>
      </w:r>
    </w:p>
    <w:p w:rsidR="00FF3EFB" w:rsidRPr="00BA48BC" w:rsidRDefault="00FF3EFB" w:rsidP="00BA48BC">
      <w:pPr>
        <w:pStyle w:val="notetext"/>
      </w:pPr>
      <w:r w:rsidRPr="00BA48BC">
        <w:t>Note:</w:t>
      </w:r>
      <w:r w:rsidRPr="00BA48BC">
        <w:tab/>
        <w:t>This subsection is a civil penalty provision (see section</w:t>
      </w:r>
      <w:r w:rsidR="00BA48BC" w:rsidRPr="00BA48BC">
        <w:t> </w:t>
      </w:r>
      <w:r w:rsidRPr="00BA48BC">
        <w:t>1317E).</w:t>
      </w:r>
    </w:p>
    <w:p w:rsidR="006A58CF" w:rsidRPr="00BA48BC" w:rsidRDefault="00E65D3C" w:rsidP="00BA48BC">
      <w:pPr>
        <w:pStyle w:val="ActHead5"/>
      </w:pPr>
      <w:bookmarkStart w:id="12" w:name="_Toc31183570"/>
      <w:r w:rsidRPr="00B52EF9">
        <w:rPr>
          <w:rStyle w:val="CharSectno"/>
        </w:rPr>
        <w:t>962V</w:t>
      </w:r>
      <w:r w:rsidRPr="00BA48BC">
        <w:t xml:space="preserve">  </w:t>
      </w:r>
      <w:r w:rsidR="00A04C6A" w:rsidRPr="00BA48BC">
        <w:t>When consent ceases to have effect</w:t>
      </w:r>
      <w:bookmarkEnd w:id="12"/>
    </w:p>
    <w:p w:rsidR="006A58CF" w:rsidRPr="00BA48BC" w:rsidRDefault="00A04C6A" w:rsidP="00BA48BC">
      <w:pPr>
        <w:pStyle w:val="subsection"/>
      </w:pPr>
      <w:r w:rsidRPr="00BA48BC">
        <w:tab/>
      </w:r>
      <w:r w:rsidRPr="00BA48BC">
        <w:tab/>
      </w:r>
      <w:r w:rsidR="006A58CF" w:rsidRPr="00BA48BC">
        <w:t xml:space="preserve">A consent given </w:t>
      </w:r>
      <w:r w:rsidR="007978E4" w:rsidRPr="00BA48BC">
        <w:t xml:space="preserve">in relation to an ongoing fee arrangement </w:t>
      </w:r>
      <w:r w:rsidR="006A58CF" w:rsidRPr="00BA48BC">
        <w:t>for the purposes of this Subdivision ceases to have effect</w:t>
      </w:r>
      <w:r w:rsidRPr="00BA48BC">
        <w:t>:</w:t>
      </w:r>
    </w:p>
    <w:p w:rsidR="007978E4" w:rsidRPr="00BA48BC" w:rsidRDefault="00A04C6A" w:rsidP="00BA48BC">
      <w:pPr>
        <w:pStyle w:val="paragraph"/>
      </w:pPr>
      <w:r w:rsidRPr="00BA48BC">
        <w:lastRenderedPageBreak/>
        <w:tab/>
        <w:t>(a)</w:t>
      </w:r>
      <w:r w:rsidRPr="00BA48BC">
        <w:tab/>
      </w:r>
      <w:r w:rsidR="007978E4" w:rsidRPr="00BA48BC">
        <w:t>if the ongoing fee arrangement is terminated—at the time the ongoing fee arrangement terminates; or</w:t>
      </w:r>
    </w:p>
    <w:p w:rsidR="00711B7D" w:rsidRPr="00BA48BC" w:rsidRDefault="00711B7D" w:rsidP="00BA48BC">
      <w:pPr>
        <w:pStyle w:val="paragraph"/>
      </w:pPr>
      <w:r w:rsidRPr="00BA48BC">
        <w:tab/>
        <w:t>(b)</w:t>
      </w:r>
      <w:r w:rsidRPr="00BA48BC">
        <w:tab/>
        <w:t>at the end of the period of 30 days after the end of the renewal period for the ongoing fee arrangement that is the first renewal period to start after the consent is given.</w:t>
      </w:r>
    </w:p>
    <w:p w:rsidR="00FF3EFB" w:rsidRPr="00BA48BC" w:rsidRDefault="00556600" w:rsidP="00BA48BC">
      <w:pPr>
        <w:pStyle w:val="ActHead5"/>
      </w:pPr>
      <w:bookmarkStart w:id="13" w:name="_Toc31183571"/>
      <w:r w:rsidRPr="00B52EF9">
        <w:rPr>
          <w:rStyle w:val="CharSectno"/>
        </w:rPr>
        <w:t>962W</w:t>
      </w:r>
      <w:r w:rsidR="00FF3EFB" w:rsidRPr="00BA48BC">
        <w:t xml:space="preserve">  Conditions requiring consent to be given are void</w:t>
      </w:r>
      <w:bookmarkEnd w:id="13"/>
    </w:p>
    <w:p w:rsidR="00FF3EFB" w:rsidRPr="00BA48BC" w:rsidRDefault="00FF3EFB" w:rsidP="00BA48BC">
      <w:pPr>
        <w:pStyle w:val="subsection"/>
      </w:pPr>
      <w:r w:rsidRPr="00BA48BC">
        <w:tab/>
      </w:r>
      <w:r w:rsidRPr="00BA48BC">
        <w:tab/>
        <w:t>Any condition of the ongoing fee arrangement, or any other arrangement, that requires the client to do either or both of the following is void:</w:t>
      </w:r>
    </w:p>
    <w:p w:rsidR="00FF3EFB" w:rsidRPr="00BA48BC" w:rsidRDefault="00FF3EFB" w:rsidP="00BA48BC">
      <w:pPr>
        <w:pStyle w:val="paragraph"/>
      </w:pPr>
      <w:r w:rsidRPr="00BA48BC">
        <w:tab/>
        <w:t>(a)</w:t>
      </w:r>
      <w:r w:rsidRPr="00BA48BC">
        <w:tab/>
        <w:t>to give consent under this Subdivision in relation to the deduction of ongoing fees relating to</w:t>
      </w:r>
      <w:r w:rsidR="006D0174" w:rsidRPr="00BA48BC">
        <w:t xml:space="preserve"> the ongoing fee arrangement;</w:t>
      </w:r>
    </w:p>
    <w:p w:rsidR="006A58CF" w:rsidRPr="00BA48BC" w:rsidRDefault="00FF3EFB" w:rsidP="00BA48BC">
      <w:pPr>
        <w:pStyle w:val="paragraph"/>
      </w:pPr>
      <w:r w:rsidRPr="00BA48BC">
        <w:tab/>
        <w:t>(b)</w:t>
      </w:r>
      <w:r w:rsidRPr="00BA48BC">
        <w:tab/>
        <w:t>not to vary or withdraw such consent.</w:t>
      </w:r>
    </w:p>
    <w:p w:rsidR="00FF3EFB" w:rsidRPr="00BA48BC" w:rsidRDefault="00FF3EFB" w:rsidP="00BA48BC">
      <w:pPr>
        <w:pStyle w:val="ActHead4"/>
      </w:pPr>
      <w:bookmarkStart w:id="14" w:name="_Toc31183572"/>
      <w:r w:rsidRPr="00B52EF9">
        <w:rPr>
          <w:rStyle w:val="CharSubdNo"/>
        </w:rPr>
        <w:t>Subdivision D</w:t>
      </w:r>
      <w:r w:rsidRPr="00BA48BC">
        <w:t>—</w:t>
      </w:r>
      <w:r w:rsidRPr="00B52EF9">
        <w:rPr>
          <w:rStyle w:val="CharSubdText"/>
        </w:rPr>
        <w:t>Records of compliance</w:t>
      </w:r>
      <w:bookmarkEnd w:id="14"/>
    </w:p>
    <w:p w:rsidR="00FF3EFB" w:rsidRPr="00BA48BC" w:rsidRDefault="00556600" w:rsidP="00BA48BC">
      <w:pPr>
        <w:pStyle w:val="ActHead5"/>
      </w:pPr>
      <w:bookmarkStart w:id="15" w:name="_Toc31183573"/>
      <w:r w:rsidRPr="00B52EF9">
        <w:rPr>
          <w:rStyle w:val="CharSectno"/>
        </w:rPr>
        <w:t>962X</w:t>
      </w:r>
      <w:r w:rsidR="00FF3EFB" w:rsidRPr="00BA48BC">
        <w:t xml:space="preserve">  Obligation to keep records of compliance</w:t>
      </w:r>
      <w:bookmarkEnd w:id="15"/>
    </w:p>
    <w:p w:rsidR="00FF3EFB" w:rsidRPr="00BA48BC" w:rsidRDefault="00FF3EFB" w:rsidP="00BA48BC">
      <w:pPr>
        <w:pStyle w:val="subsection"/>
      </w:pPr>
      <w:r w:rsidRPr="00BA48BC">
        <w:tab/>
        <w:t>(1)</w:t>
      </w:r>
      <w:r w:rsidRPr="00BA48BC">
        <w:tab/>
        <w:t>A fee recipient in relation to an ongoing fee arrangement must</w:t>
      </w:r>
      <w:r w:rsidR="00372EEB" w:rsidRPr="00BA48BC">
        <w:t xml:space="preserve"> </w:t>
      </w:r>
      <w:r w:rsidRPr="00BA48BC">
        <w:t>keep records sufficient to enable the fee recipient’s compliance with this Division in relation to the ongoing fee arrangement to be readily ascertained.</w:t>
      </w:r>
    </w:p>
    <w:p w:rsidR="00FF3EFB" w:rsidRPr="00BA48BC" w:rsidRDefault="00FF3EFB" w:rsidP="00BA48BC">
      <w:pPr>
        <w:pStyle w:val="notetext"/>
      </w:pPr>
      <w:r w:rsidRPr="00BA48BC">
        <w:t>Note 1:</w:t>
      </w:r>
      <w:r w:rsidRPr="00BA48BC">
        <w:tab/>
        <w:t>Failure to comply with this subsection is an offence: see subsection</w:t>
      </w:r>
      <w:r w:rsidR="00BA48BC" w:rsidRPr="00BA48BC">
        <w:t> </w:t>
      </w:r>
      <w:r w:rsidRPr="00BA48BC">
        <w:t>1311(1).</w:t>
      </w:r>
    </w:p>
    <w:p w:rsidR="00FF3EFB" w:rsidRPr="00BA48BC" w:rsidRDefault="00FF3EFB" w:rsidP="00BA48BC">
      <w:pPr>
        <w:pStyle w:val="notetext"/>
      </w:pPr>
      <w:r w:rsidRPr="00BA48BC">
        <w:t>Note 2:</w:t>
      </w:r>
      <w:r w:rsidRPr="00BA48BC">
        <w:tab/>
        <w:t>For preservation of records, see section</w:t>
      </w:r>
      <w:r w:rsidR="00BA48BC" w:rsidRPr="00BA48BC">
        <w:t> </w:t>
      </w:r>
      <w:r w:rsidRPr="00BA48BC">
        <w:t>1101C.</w:t>
      </w:r>
    </w:p>
    <w:p w:rsidR="00FF3EFB" w:rsidRPr="00BA48BC" w:rsidRDefault="00FF3EFB" w:rsidP="00BA48BC">
      <w:pPr>
        <w:pStyle w:val="subsection"/>
      </w:pPr>
      <w:r w:rsidRPr="00BA48BC">
        <w:tab/>
        <w:t>(2)</w:t>
      </w:r>
      <w:r w:rsidRPr="00BA48BC">
        <w:tab/>
        <w:t xml:space="preserve">The regulations may specify records that the fee recipient must keep as part of the obligation in </w:t>
      </w:r>
      <w:r w:rsidR="00BA48BC" w:rsidRPr="00BA48BC">
        <w:t>subsection (</w:t>
      </w:r>
      <w:r w:rsidRPr="00BA48BC">
        <w:t>1).</w:t>
      </w:r>
    </w:p>
    <w:p w:rsidR="00FF3EFB" w:rsidRPr="00BA48BC" w:rsidRDefault="006354A6" w:rsidP="00BA48BC">
      <w:pPr>
        <w:pStyle w:val="ItemHead"/>
      </w:pPr>
      <w:r w:rsidRPr="00BA48BC">
        <w:t>20</w:t>
      </w:r>
      <w:r w:rsidR="00FF3EFB" w:rsidRPr="00BA48BC">
        <w:t xml:space="preserve">  After section</w:t>
      </w:r>
      <w:r w:rsidR="00BA48BC" w:rsidRPr="00BA48BC">
        <w:t> </w:t>
      </w:r>
      <w:r w:rsidR="00FF3EFB" w:rsidRPr="00BA48BC">
        <w:t>1317GA</w:t>
      </w:r>
    </w:p>
    <w:p w:rsidR="00FF3EFB" w:rsidRPr="00BA48BC" w:rsidRDefault="00FF3EFB" w:rsidP="00BA48BC">
      <w:pPr>
        <w:pStyle w:val="Item"/>
      </w:pPr>
      <w:r w:rsidRPr="00BA48BC">
        <w:t>Insert:</w:t>
      </w:r>
    </w:p>
    <w:p w:rsidR="00FF3EFB" w:rsidRPr="00BA48BC" w:rsidRDefault="00FF3EFB" w:rsidP="00BA48BC">
      <w:pPr>
        <w:pStyle w:val="ActHead5"/>
      </w:pPr>
      <w:bookmarkStart w:id="16" w:name="_Toc31183574"/>
      <w:r w:rsidRPr="00B52EF9">
        <w:rPr>
          <w:rStyle w:val="CharSectno"/>
        </w:rPr>
        <w:t>1317GB</w:t>
      </w:r>
      <w:r w:rsidRPr="00BA48BC">
        <w:t xml:space="preserve">  Refund orders—contraventions of section</w:t>
      </w:r>
      <w:r w:rsidR="00BA48BC" w:rsidRPr="00BA48BC">
        <w:t> </w:t>
      </w:r>
      <w:r w:rsidRPr="00BA48BC">
        <w:t>962R or 962S</w:t>
      </w:r>
      <w:bookmarkEnd w:id="16"/>
    </w:p>
    <w:p w:rsidR="00FF3EFB" w:rsidRPr="00BA48BC" w:rsidRDefault="00FF3EFB" w:rsidP="00BA48BC">
      <w:pPr>
        <w:pStyle w:val="subsection"/>
      </w:pPr>
      <w:r w:rsidRPr="00BA48BC">
        <w:tab/>
        <w:t>(1)</w:t>
      </w:r>
      <w:r w:rsidRPr="00BA48BC">
        <w:tab/>
        <w:t xml:space="preserve">This section applies if a person (the </w:t>
      </w:r>
      <w:r w:rsidRPr="00BA48BC">
        <w:rPr>
          <w:b/>
          <w:i/>
        </w:rPr>
        <w:t>fee recipient</w:t>
      </w:r>
      <w:r w:rsidRPr="00BA48BC">
        <w:t>):</w:t>
      </w:r>
    </w:p>
    <w:p w:rsidR="00FF3EFB" w:rsidRPr="00BA48BC" w:rsidRDefault="00FF3EFB" w:rsidP="00BA48BC">
      <w:pPr>
        <w:pStyle w:val="paragraph"/>
      </w:pPr>
      <w:r w:rsidRPr="00BA48BC">
        <w:tab/>
        <w:t>(a)</w:t>
      </w:r>
      <w:r w:rsidRPr="00BA48BC">
        <w:tab/>
        <w:t xml:space="preserve">deducts an amount of an ongoing fee payable under an ongoing fee arrangement from an account held by a person (the </w:t>
      </w:r>
      <w:r w:rsidRPr="00BA48BC">
        <w:rPr>
          <w:b/>
          <w:i/>
        </w:rPr>
        <w:t>account holder</w:t>
      </w:r>
      <w:r w:rsidRPr="00BA48BC">
        <w:t>) with the fee recipient; or</w:t>
      </w:r>
    </w:p>
    <w:p w:rsidR="00FF3EFB" w:rsidRPr="00BA48BC" w:rsidRDefault="00FF3EFB" w:rsidP="00BA48BC">
      <w:pPr>
        <w:pStyle w:val="paragraph"/>
      </w:pPr>
      <w:r w:rsidRPr="00BA48BC">
        <w:tab/>
        <w:t>(b)</w:t>
      </w:r>
      <w:r w:rsidRPr="00BA48BC">
        <w:tab/>
        <w:t xml:space="preserve">accepts payment of the amount of the ongoing fee that has been deducted from an account held by a person (the </w:t>
      </w:r>
      <w:r w:rsidRPr="00BA48BC">
        <w:rPr>
          <w:b/>
          <w:i/>
        </w:rPr>
        <w:t xml:space="preserve">account </w:t>
      </w:r>
      <w:r w:rsidRPr="00BA48BC">
        <w:rPr>
          <w:b/>
          <w:i/>
        </w:rPr>
        <w:lastRenderedPageBreak/>
        <w:t>holder</w:t>
      </w:r>
      <w:r w:rsidRPr="00BA48BC">
        <w:t xml:space="preserve">) with another person (the </w:t>
      </w:r>
      <w:r w:rsidRPr="00BA48BC">
        <w:rPr>
          <w:b/>
          <w:i/>
        </w:rPr>
        <w:t>account provider</w:t>
      </w:r>
      <w:r w:rsidRPr="00BA48BC">
        <w:t>) under an arrangement the fee recipient made with the account provider.</w:t>
      </w:r>
    </w:p>
    <w:p w:rsidR="00FF3EFB" w:rsidRPr="00BA48BC" w:rsidRDefault="00FF3EFB" w:rsidP="00BA48BC">
      <w:pPr>
        <w:pStyle w:val="subsection"/>
      </w:pPr>
      <w:r w:rsidRPr="00BA48BC">
        <w:tab/>
        <w:t>(2)</w:t>
      </w:r>
      <w:r w:rsidRPr="00BA48BC">
        <w:tab/>
        <w:t>A Court may order that the fee recipient refund the amount if the Court is satisfied that:</w:t>
      </w:r>
    </w:p>
    <w:p w:rsidR="00FF3EFB" w:rsidRPr="00BA48BC" w:rsidRDefault="00FF3EFB" w:rsidP="00BA48BC">
      <w:pPr>
        <w:pStyle w:val="paragraph"/>
      </w:pPr>
      <w:r w:rsidRPr="00BA48BC">
        <w:tab/>
        <w:t>(a)</w:t>
      </w:r>
      <w:r w:rsidRPr="00BA48BC">
        <w:tab/>
        <w:t>either:</w:t>
      </w:r>
    </w:p>
    <w:p w:rsidR="00FF3EFB" w:rsidRPr="00BA48BC" w:rsidRDefault="00FF3EFB" w:rsidP="00BA48BC">
      <w:pPr>
        <w:pStyle w:val="paragraphsub"/>
      </w:pPr>
      <w:r w:rsidRPr="00BA48BC">
        <w:tab/>
        <w:t>(i)</w:t>
      </w:r>
      <w:r w:rsidRPr="00BA48BC">
        <w:tab/>
        <w:t xml:space="preserve">if </w:t>
      </w:r>
      <w:r w:rsidR="00BA48BC" w:rsidRPr="00BA48BC">
        <w:t>paragraph (</w:t>
      </w:r>
      <w:r w:rsidRPr="00BA48BC">
        <w:t>1)(a) applies—the fee recipient knowingly or recklessly contravened section</w:t>
      </w:r>
      <w:r w:rsidR="00BA48BC" w:rsidRPr="00BA48BC">
        <w:t> </w:t>
      </w:r>
      <w:r w:rsidRPr="00BA48BC">
        <w:t>962R (fee recipient must not deduct ongoing fees without consent) in deducting the amount; or</w:t>
      </w:r>
    </w:p>
    <w:p w:rsidR="00FF3EFB" w:rsidRPr="00BA48BC" w:rsidRDefault="00FF3EFB" w:rsidP="00BA48BC">
      <w:pPr>
        <w:pStyle w:val="paragraphsub"/>
      </w:pPr>
      <w:r w:rsidRPr="00BA48BC">
        <w:tab/>
        <w:t>(ii)</w:t>
      </w:r>
      <w:r w:rsidRPr="00BA48BC">
        <w:tab/>
        <w:t xml:space="preserve">if </w:t>
      </w:r>
      <w:r w:rsidR="00BA48BC" w:rsidRPr="00BA48BC">
        <w:t>paragraph (</w:t>
      </w:r>
      <w:r w:rsidRPr="00BA48BC">
        <w:t>1)(b) applies—the fee recipient knowingly or recklessly contravened section</w:t>
      </w:r>
      <w:r w:rsidR="00BA48BC" w:rsidRPr="00BA48BC">
        <w:t> </w:t>
      </w:r>
      <w:r w:rsidRPr="00BA48BC">
        <w:t>962S (fee recipient must not arrange for deduction of ongoing fees without consent or accept such deductions) in arranging for the deduction of the amount, or accepting payment of the amount; and</w:t>
      </w:r>
    </w:p>
    <w:p w:rsidR="00FF3EFB" w:rsidRPr="00BA48BC" w:rsidRDefault="00FF3EFB" w:rsidP="00BA48BC">
      <w:pPr>
        <w:pStyle w:val="paragraph"/>
      </w:pPr>
      <w:r w:rsidRPr="00BA48BC">
        <w:tab/>
        <w:t>(b)</w:t>
      </w:r>
      <w:r w:rsidRPr="00BA48BC">
        <w:tab/>
        <w:t>it is reasonable in all the circumstances to make the order.</w:t>
      </w:r>
    </w:p>
    <w:p w:rsidR="00FF3EFB" w:rsidRPr="00BA48BC" w:rsidRDefault="00FF3EFB" w:rsidP="00BA48BC">
      <w:pPr>
        <w:pStyle w:val="notetext"/>
      </w:pPr>
      <w:r w:rsidRPr="00BA48BC">
        <w:t>Note:</w:t>
      </w:r>
      <w:r w:rsidRPr="00BA48BC">
        <w:tab/>
        <w:t>An order may be made under this subsection whether or not a declaration of contravention has been made under section</w:t>
      </w:r>
      <w:r w:rsidR="00BA48BC" w:rsidRPr="00BA48BC">
        <w:t> </w:t>
      </w:r>
      <w:r w:rsidRPr="00BA48BC">
        <w:t>1317E.</w:t>
      </w:r>
    </w:p>
    <w:p w:rsidR="00FF3EFB" w:rsidRPr="00BA48BC" w:rsidRDefault="00FF3EFB" w:rsidP="00BA48BC">
      <w:pPr>
        <w:pStyle w:val="SubsectionHead"/>
      </w:pPr>
      <w:r w:rsidRPr="00BA48BC">
        <w:t>Applications for order</w:t>
      </w:r>
    </w:p>
    <w:p w:rsidR="00FF3EFB" w:rsidRPr="00BA48BC" w:rsidRDefault="00372EEB" w:rsidP="00BA48BC">
      <w:pPr>
        <w:pStyle w:val="subsection"/>
      </w:pPr>
      <w:r w:rsidRPr="00BA48BC">
        <w:tab/>
        <w:t>(3</w:t>
      </w:r>
      <w:r w:rsidR="00FF3EFB" w:rsidRPr="00BA48BC">
        <w:t>)</w:t>
      </w:r>
      <w:r w:rsidR="00FF3EFB" w:rsidRPr="00BA48BC">
        <w:tab/>
        <w:t>The Court may make the order under this section:</w:t>
      </w:r>
    </w:p>
    <w:p w:rsidR="00FF3EFB" w:rsidRPr="00BA48BC" w:rsidRDefault="00FF3EFB" w:rsidP="00BA48BC">
      <w:pPr>
        <w:pStyle w:val="paragraph"/>
      </w:pPr>
      <w:r w:rsidRPr="00BA48BC">
        <w:tab/>
        <w:t>(a)</w:t>
      </w:r>
      <w:r w:rsidRPr="00BA48BC">
        <w:tab/>
        <w:t>on its own initiative, during proceedings before the Court; or</w:t>
      </w:r>
    </w:p>
    <w:p w:rsidR="00FF3EFB" w:rsidRPr="00BA48BC" w:rsidRDefault="00FF3EFB" w:rsidP="00BA48BC">
      <w:pPr>
        <w:pStyle w:val="paragraph"/>
      </w:pPr>
      <w:r w:rsidRPr="00BA48BC">
        <w:tab/>
        <w:t>(b)</w:t>
      </w:r>
      <w:r w:rsidRPr="00BA48BC">
        <w:tab/>
        <w:t>on application by ASIC; or</w:t>
      </w:r>
    </w:p>
    <w:p w:rsidR="00FF3EFB" w:rsidRPr="00BA48BC" w:rsidRDefault="00FF3EFB" w:rsidP="00BA48BC">
      <w:pPr>
        <w:pStyle w:val="paragraph"/>
      </w:pPr>
      <w:r w:rsidRPr="00BA48BC">
        <w:tab/>
        <w:t>(c)</w:t>
      </w:r>
      <w:r w:rsidRPr="00BA48BC">
        <w:tab/>
        <w:t>on the application of the account holder.</w:t>
      </w:r>
    </w:p>
    <w:p w:rsidR="00FF3EFB" w:rsidRPr="00BA48BC" w:rsidRDefault="00FF3EFB" w:rsidP="00BA48BC">
      <w:pPr>
        <w:pStyle w:val="SubsectionHead"/>
      </w:pPr>
      <w:r w:rsidRPr="00BA48BC">
        <w:t>When order may be made</w:t>
      </w:r>
    </w:p>
    <w:p w:rsidR="00FF3EFB" w:rsidRPr="00BA48BC" w:rsidRDefault="00372EEB" w:rsidP="00BA48BC">
      <w:pPr>
        <w:pStyle w:val="subsection"/>
      </w:pPr>
      <w:r w:rsidRPr="00BA48BC">
        <w:tab/>
        <w:t>(4</w:t>
      </w:r>
      <w:r w:rsidR="00FF3EFB" w:rsidRPr="00BA48BC">
        <w:t>)</w:t>
      </w:r>
      <w:r w:rsidR="00FF3EFB" w:rsidRPr="00BA48BC">
        <w:tab/>
        <w:t>The Court must not make an order under this section in relation to amounts paid more than 6 years before the proceedings for the order are commenced.</w:t>
      </w:r>
    </w:p>
    <w:p w:rsidR="00FF3EFB" w:rsidRPr="00BA48BC" w:rsidRDefault="00FF3EFB" w:rsidP="00BA48BC">
      <w:pPr>
        <w:pStyle w:val="SubsectionHead"/>
      </w:pPr>
      <w:r w:rsidRPr="00BA48BC">
        <w:t>Recovery of amount as a debt</w:t>
      </w:r>
    </w:p>
    <w:p w:rsidR="00FF3EFB" w:rsidRPr="00BA48BC" w:rsidRDefault="00372EEB" w:rsidP="00BA48BC">
      <w:pPr>
        <w:pStyle w:val="subsection"/>
      </w:pPr>
      <w:r w:rsidRPr="00BA48BC">
        <w:tab/>
        <w:t>(5</w:t>
      </w:r>
      <w:r w:rsidR="00FF3EFB" w:rsidRPr="00BA48BC">
        <w:t>)</w:t>
      </w:r>
      <w:r w:rsidR="00FF3EFB" w:rsidRPr="00BA48BC">
        <w:tab/>
        <w:t>If the Court makes an order that the fee recipient refund an amount specified in the order to the account holder, the account holder may recover the amount as a debt due to the account holder.</w:t>
      </w:r>
    </w:p>
    <w:p w:rsidR="00FF3EFB" w:rsidRPr="00BA48BC" w:rsidRDefault="006354A6" w:rsidP="00BA48BC">
      <w:pPr>
        <w:pStyle w:val="ItemHead"/>
      </w:pPr>
      <w:r w:rsidRPr="00BA48BC">
        <w:t>21</w:t>
      </w:r>
      <w:r w:rsidR="00FF3EFB" w:rsidRPr="00BA48BC">
        <w:t xml:space="preserve">  In the appropriate position in Chapter</w:t>
      </w:r>
      <w:r w:rsidR="00BA48BC" w:rsidRPr="00BA48BC">
        <w:t> </w:t>
      </w:r>
      <w:r w:rsidR="00FF3EFB" w:rsidRPr="00BA48BC">
        <w:t>10</w:t>
      </w:r>
    </w:p>
    <w:p w:rsidR="00FF3EFB" w:rsidRPr="00BA48BC" w:rsidRDefault="00FF3EFB" w:rsidP="00BA48BC">
      <w:pPr>
        <w:pStyle w:val="Item"/>
      </w:pPr>
      <w:r w:rsidRPr="00BA48BC">
        <w:t>Insert:</w:t>
      </w:r>
    </w:p>
    <w:p w:rsidR="00FF3EFB" w:rsidRPr="00BA48BC" w:rsidRDefault="00B8683F" w:rsidP="00BA48BC">
      <w:pPr>
        <w:pStyle w:val="ActHead2"/>
      </w:pPr>
      <w:bookmarkStart w:id="17" w:name="_Toc31183575"/>
      <w:r w:rsidRPr="00B52EF9">
        <w:rPr>
          <w:rStyle w:val="CharPartNo"/>
        </w:rPr>
        <w:lastRenderedPageBreak/>
        <w:t>Part</w:t>
      </w:r>
      <w:r w:rsidR="00BA48BC" w:rsidRPr="00B52EF9">
        <w:rPr>
          <w:rStyle w:val="CharPartNo"/>
        </w:rPr>
        <w:t> </w:t>
      </w:r>
      <w:r w:rsidRPr="00B52EF9">
        <w:rPr>
          <w:rStyle w:val="CharPartNo"/>
        </w:rPr>
        <w:t>10.45</w:t>
      </w:r>
      <w:r w:rsidR="00FF3EFB" w:rsidRPr="00BA48BC">
        <w:t>—</w:t>
      </w:r>
      <w:r w:rsidR="00FF3EFB" w:rsidRPr="00B52EF9">
        <w:rPr>
          <w:rStyle w:val="CharPartText"/>
        </w:rPr>
        <w:t>Application and transitional provisions relating to Schedule [2.1] to the Financial Sector Reform (Hayne Royal Commission Response—Protecting Consumers (2020 Measures)) Act 2020</w:t>
      </w:r>
      <w:bookmarkStart w:id="18" w:name="BK_S1P11L5C36"/>
      <w:bookmarkEnd w:id="17"/>
      <w:bookmarkEnd w:id="18"/>
    </w:p>
    <w:p w:rsidR="00FF3EFB" w:rsidRPr="00BA48BC" w:rsidRDefault="00FF3EFB" w:rsidP="00BA48BC">
      <w:pPr>
        <w:pStyle w:val="ActHead3"/>
      </w:pPr>
      <w:bookmarkStart w:id="19" w:name="_Toc31183576"/>
      <w:r w:rsidRPr="00B52EF9">
        <w:rPr>
          <w:rStyle w:val="CharDivNo"/>
        </w:rPr>
        <w:t>Division</w:t>
      </w:r>
      <w:r w:rsidR="00BA48BC" w:rsidRPr="00B52EF9">
        <w:rPr>
          <w:rStyle w:val="CharDivNo"/>
        </w:rPr>
        <w:t> </w:t>
      </w:r>
      <w:r w:rsidRPr="00B52EF9">
        <w:rPr>
          <w:rStyle w:val="CharDivNo"/>
        </w:rPr>
        <w:t>1</w:t>
      </w:r>
      <w:r w:rsidRPr="00BA48BC">
        <w:t>—</w:t>
      </w:r>
      <w:r w:rsidRPr="00B52EF9">
        <w:rPr>
          <w:rStyle w:val="CharDivText"/>
        </w:rPr>
        <w:t>Introduction</w:t>
      </w:r>
      <w:bookmarkEnd w:id="19"/>
    </w:p>
    <w:p w:rsidR="00FF3EFB" w:rsidRPr="00BA48BC" w:rsidRDefault="00B8683F" w:rsidP="00BA48BC">
      <w:pPr>
        <w:pStyle w:val="ActHead5"/>
      </w:pPr>
      <w:bookmarkStart w:id="20" w:name="_Toc31183577"/>
      <w:r w:rsidRPr="00B52EF9">
        <w:rPr>
          <w:rStyle w:val="CharSectno"/>
        </w:rPr>
        <w:t>1672</w:t>
      </w:r>
      <w:r w:rsidR="00FF3EFB" w:rsidRPr="00BA48BC">
        <w:t xml:space="preserve">  Definitions</w:t>
      </w:r>
      <w:bookmarkEnd w:id="20"/>
    </w:p>
    <w:p w:rsidR="00FF3EFB" w:rsidRPr="00BA48BC" w:rsidRDefault="00FF3EFB" w:rsidP="00BA48BC">
      <w:pPr>
        <w:pStyle w:val="subsection"/>
      </w:pPr>
      <w:r w:rsidRPr="00BA48BC">
        <w:tab/>
      </w:r>
      <w:r w:rsidRPr="00BA48BC">
        <w:tab/>
        <w:t>In this Part:</w:t>
      </w:r>
    </w:p>
    <w:p w:rsidR="00FF3EFB" w:rsidRPr="00BA48BC" w:rsidRDefault="00FF3EFB" w:rsidP="00BA48BC">
      <w:pPr>
        <w:pStyle w:val="Definition"/>
      </w:pPr>
      <w:r w:rsidRPr="00BA48BC">
        <w:rPr>
          <w:b/>
          <w:i/>
        </w:rPr>
        <w:t xml:space="preserve">amending </w:t>
      </w:r>
      <w:r w:rsidR="00BC2ACF" w:rsidRPr="00BA48BC">
        <w:rPr>
          <w:b/>
          <w:i/>
        </w:rPr>
        <w:t xml:space="preserve">Schedule </w:t>
      </w:r>
      <w:r w:rsidRPr="00BA48BC">
        <w:t xml:space="preserve">means </w:t>
      </w:r>
      <w:r w:rsidR="00BC2ACF" w:rsidRPr="00BA48BC">
        <w:t xml:space="preserve">Schedule [2.1] to </w:t>
      </w:r>
      <w:r w:rsidRPr="00BA48BC">
        <w:t xml:space="preserve">the </w:t>
      </w:r>
      <w:r w:rsidRPr="00BA48BC">
        <w:rPr>
          <w:i/>
        </w:rPr>
        <w:t>Financial Sector Reform (Hayne Royal Commission Response—Protecting Consumers (2020 Measures)) Act 2020</w:t>
      </w:r>
      <w:r w:rsidRPr="00BA48BC">
        <w:t>.</w:t>
      </w:r>
    </w:p>
    <w:p w:rsidR="00FF3EFB" w:rsidRPr="00BA48BC" w:rsidRDefault="00FF3EFB" w:rsidP="00BA48BC">
      <w:pPr>
        <w:pStyle w:val="ActHead3"/>
      </w:pPr>
      <w:bookmarkStart w:id="21" w:name="_Toc31183578"/>
      <w:r w:rsidRPr="00B52EF9">
        <w:rPr>
          <w:rStyle w:val="CharDivNo"/>
        </w:rPr>
        <w:t>Division</w:t>
      </w:r>
      <w:r w:rsidR="00BA48BC" w:rsidRPr="00B52EF9">
        <w:rPr>
          <w:rStyle w:val="CharDivNo"/>
        </w:rPr>
        <w:t> </w:t>
      </w:r>
      <w:r w:rsidRPr="00B52EF9">
        <w:rPr>
          <w:rStyle w:val="CharDivNo"/>
        </w:rPr>
        <w:t>2</w:t>
      </w:r>
      <w:r w:rsidRPr="00BA48BC">
        <w:t>—</w:t>
      </w:r>
      <w:r w:rsidRPr="00B52EF9">
        <w:rPr>
          <w:rStyle w:val="CharDivText"/>
        </w:rPr>
        <w:t>New ongoing fee arrangements</w:t>
      </w:r>
      <w:bookmarkEnd w:id="21"/>
    </w:p>
    <w:p w:rsidR="00FF3EFB" w:rsidRPr="00BA48BC" w:rsidRDefault="00B8683F" w:rsidP="00BA48BC">
      <w:pPr>
        <w:pStyle w:val="ActHead5"/>
      </w:pPr>
      <w:bookmarkStart w:id="22" w:name="_Toc31183579"/>
      <w:r w:rsidRPr="00B52EF9">
        <w:rPr>
          <w:rStyle w:val="CharSectno"/>
        </w:rPr>
        <w:t>1672</w:t>
      </w:r>
      <w:r w:rsidR="00FF3EFB" w:rsidRPr="00B52EF9">
        <w:rPr>
          <w:rStyle w:val="CharSectno"/>
        </w:rPr>
        <w:t>A</w:t>
      </w:r>
      <w:r w:rsidR="00FF3EFB" w:rsidRPr="00BA48BC">
        <w:t xml:space="preserve">  Application provision for new ongoing fee arrangements</w:t>
      </w:r>
      <w:bookmarkEnd w:id="22"/>
    </w:p>
    <w:p w:rsidR="00FF3EFB" w:rsidRPr="00BA48BC" w:rsidRDefault="00FF3EFB" w:rsidP="00BA48BC">
      <w:pPr>
        <w:pStyle w:val="subsection"/>
      </w:pPr>
      <w:r w:rsidRPr="00BA48BC">
        <w:tab/>
      </w:r>
      <w:r w:rsidRPr="00BA48BC">
        <w:tab/>
        <w:t xml:space="preserve">The amendments made by the amending </w:t>
      </w:r>
      <w:r w:rsidR="00BC2ACF" w:rsidRPr="00BA48BC">
        <w:t xml:space="preserve">Schedule </w:t>
      </w:r>
      <w:r w:rsidRPr="00BA48BC">
        <w:t>apply in relation to an ongoing fee arrangement entered into on or after 1</w:t>
      </w:r>
      <w:r w:rsidR="00BA48BC" w:rsidRPr="00BA48BC">
        <w:t> </w:t>
      </w:r>
      <w:r w:rsidRPr="00BA48BC">
        <w:t>July 2020.</w:t>
      </w:r>
    </w:p>
    <w:p w:rsidR="00FF3EFB" w:rsidRPr="00BA48BC" w:rsidRDefault="00FF3EFB" w:rsidP="00BA48BC">
      <w:pPr>
        <w:pStyle w:val="ActHead3"/>
        <w:pageBreakBefore/>
      </w:pPr>
      <w:bookmarkStart w:id="23" w:name="_Toc31183580"/>
      <w:r w:rsidRPr="00B52EF9">
        <w:rPr>
          <w:rStyle w:val="CharDivNo"/>
        </w:rPr>
        <w:lastRenderedPageBreak/>
        <w:t>Division</w:t>
      </w:r>
      <w:r w:rsidR="00BA48BC" w:rsidRPr="00B52EF9">
        <w:rPr>
          <w:rStyle w:val="CharDivNo"/>
        </w:rPr>
        <w:t> </w:t>
      </w:r>
      <w:r w:rsidRPr="00B52EF9">
        <w:rPr>
          <w:rStyle w:val="CharDivNo"/>
        </w:rPr>
        <w:t>3</w:t>
      </w:r>
      <w:r w:rsidRPr="00BA48BC">
        <w:t>—</w:t>
      </w:r>
      <w:r w:rsidRPr="00B52EF9">
        <w:rPr>
          <w:rStyle w:val="CharDivText"/>
        </w:rPr>
        <w:t>Ongoing fee arrangements covered by former Subdivision C of Division</w:t>
      </w:r>
      <w:r w:rsidR="00BA48BC" w:rsidRPr="00B52EF9">
        <w:rPr>
          <w:rStyle w:val="CharDivText"/>
        </w:rPr>
        <w:t> </w:t>
      </w:r>
      <w:r w:rsidRPr="00B52EF9">
        <w:rPr>
          <w:rStyle w:val="CharDivText"/>
        </w:rPr>
        <w:t>3 of Part</w:t>
      </w:r>
      <w:r w:rsidR="00BA48BC" w:rsidRPr="00B52EF9">
        <w:rPr>
          <w:rStyle w:val="CharDivText"/>
        </w:rPr>
        <w:t> </w:t>
      </w:r>
      <w:r w:rsidRPr="00B52EF9">
        <w:rPr>
          <w:rStyle w:val="CharDivText"/>
        </w:rPr>
        <w:t>7.7A</w:t>
      </w:r>
      <w:bookmarkEnd w:id="23"/>
    </w:p>
    <w:p w:rsidR="00FF3EFB" w:rsidRPr="00BA48BC" w:rsidRDefault="00B8683F" w:rsidP="00BA48BC">
      <w:pPr>
        <w:pStyle w:val="ActHead5"/>
      </w:pPr>
      <w:bookmarkStart w:id="24" w:name="_Toc31183581"/>
      <w:r w:rsidRPr="00B52EF9">
        <w:rPr>
          <w:rStyle w:val="CharSectno"/>
        </w:rPr>
        <w:t>1672</w:t>
      </w:r>
      <w:r w:rsidR="00FF3EFB" w:rsidRPr="00B52EF9">
        <w:rPr>
          <w:rStyle w:val="CharSectno"/>
        </w:rPr>
        <w:t>B</w:t>
      </w:r>
      <w:r w:rsidR="00FF3EFB" w:rsidRPr="00BA48BC">
        <w:t xml:space="preserve">  Application of this Division</w:t>
      </w:r>
      <w:bookmarkEnd w:id="24"/>
    </w:p>
    <w:p w:rsidR="00FF3EFB" w:rsidRPr="00BA48BC" w:rsidRDefault="00FF3EFB" w:rsidP="00BA48BC">
      <w:pPr>
        <w:pStyle w:val="subsection"/>
      </w:pPr>
      <w:r w:rsidRPr="00BA48BC">
        <w:tab/>
      </w:r>
      <w:r w:rsidRPr="00BA48BC">
        <w:tab/>
        <w:t>This Division applies in relation to an ongoing fee arrangement that:</w:t>
      </w:r>
    </w:p>
    <w:p w:rsidR="00FF3EFB" w:rsidRPr="00BA48BC" w:rsidRDefault="00FF3EFB" w:rsidP="00BA48BC">
      <w:pPr>
        <w:pStyle w:val="paragraph"/>
      </w:pPr>
      <w:r w:rsidRPr="00BA48BC">
        <w:tab/>
        <w:t>(a)</w:t>
      </w:r>
      <w:r w:rsidRPr="00BA48BC">
        <w:tab/>
        <w:t>is in force immediately before 1</w:t>
      </w:r>
      <w:r w:rsidR="00BA48BC" w:rsidRPr="00BA48BC">
        <w:t> </w:t>
      </w:r>
      <w:r w:rsidRPr="00BA48BC">
        <w:t>July 2020; and</w:t>
      </w:r>
    </w:p>
    <w:p w:rsidR="00FF3EFB" w:rsidRPr="00BA48BC" w:rsidRDefault="00FF3EFB" w:rsidP="00BA48BC">
      <w:pPr>
        <w:pStyle w:val="paragraph"/>
      </w:pPr>
      <w:r w:rsidRPr="00BA48BC">
        <w:tab/>
        <w:t>(b)</w:t>
      </w:r>
      <w:r w:rsidRPr="00BA48BC">
        <w:tab/>
        <w:t>is an ongoing fee arrangement to which Subdivision C of Division</w:t>
      </w:r>
      <w:r w:rsidR="00BA48BC" w:rsidRPr="00BA48BC">
        <w:t> </w:t>
      </w:r>
      <w:r w:rsidRPr="00BA48BC">
        <w:t>3 of Part</w:t>
      </w:r>
      <w:r w:rsidR="00BA48BC" w:rsidRPr="00BA48BC">
        <w:t> </w:t>
      </w:r>
      <w:r w:rsidRPr="00BA48BC">
        <w:t>7.7A, as in force before 1</w:t>
      </w:r>
      <w:r w:rsidR="00BA48BC" w:rsidRPr="00BA48BC">
        <w:t> </w:t>
      </w:r>
      <w:r w:rsidRPr="00BA48BC">
        <w:t>July 2020, applied before the repea</w:t>
      </w:r>
      <w:r w:rsidR="00701FCE" w:rsidRPr="00BA48BC">
        <w:t>l of that Subdivision by item</w:t>
      </w:r>
      <w:r w:rsidR="00BA48BC" w:rsidRPr="00BA48BC">
        <w:t> </w:t>
      </w:r>
      <w:r w:rsidR="009E51A0" w:rsidRPr="00BA48BC">
        <w:t>1</w:t>
      </w:r>
      <w:r w:rsidR="00701FCE" w:rsidRPr="00BA48BC">
        <w:t>9</w:t>
      </w:r>
      <w:r w:rsidRPr="00BA48BC">
        <w:t xml:space="preserve"> of </w:t>
      </w:r>
      <w:r w:rsidR="00BC2ACF" w:rsidRPr="00BA48BC">
        <w:t>the amending Schedule</w:t>
      </w:r>
      <w:r w:rsidRPr="00BA48BC">
        <w:t>.</w:t>
      </w:r>
    </w:p>
    <w:p w:rsidR="00FF3EFB" w:rsidRPr="00BA48BC" w:rsidRDefault="00B8683F" w:rsidP="00BA48BC">
      <w:pPr>
        <w:pStyle w:val="ActHead5"/>
      </w:pPr>
      <w:bookmarkStart w:id="25" w:name="_Toc31183582"/>
      <w:r w:rsidRPr="00B52EF9">
        <w:rPr>
          <w:rStyle w:val="CharSectno"/>
        </w:rPr>
        <w:t>1672</w:t>
      </w:r>
      <w:r w:rsidR="00FF3EFB" w:rsidRPr="00B52EF9">
        <w:rPr>
          <w:rStyle w:val="CharSectno"/>
        </w:rPr>
        <w:t>C</w:t>
      </w:r>
      <w:r w:rsidR="00FF3EFB" w:rsidRPr="00BA48BC">
        <w:t xml:space="preserve">  Application—termination, disclosure and annual renewal requirements</w:t>
      </w:r>
      <w:bookmarkEnd w:id="25"/>
    </w:p>
    <w:p w:rsidR="00FF3EFB" w:rsidRPr="00BA48BC" w:rsidRDefault="00FF3EFB" w:rsidP="00BA48BC">
      <w:pPr>
        <w:pStyle w:val="subsection"/>
      </w:pPr>
      <w:r w:rsidRPr="00BA48BC">
        <w:tab/>
        <w:t>(1)</w:t>
      </w:r>
      <w:r w:rsidRPr="00BA48BC">
        <w:tab/>
        <w:t>Subdivision B of Division</w:t>
      </w:r>
      <w:r w:rsidR="00BA48BC" w:rsidRPr="00BA48BC">
        <w:t> </w:t>
      </w:r>
      <w:r w:rsidRPr="00BA48BC">
        <w:t>3 of Part</w:t>
      </w:r>
      <w:r w:rsidR="00BA48BC" w:rsidRPr="00BA48BC">
        <w:t> </w:t>
      </w:r>
      <w:r w:rsidRPr="00BA48BC">
        <w:t xml:space="preserve">7.7A, as amended by the amending </w:t>
      </w:r>
      <w:r w:rsidR="00BC2ACF" w:rsidRPr="00BA48BC">
        <w:t>Schedule</w:t>
      </w:r>
      <w:r w:rsidRPr="00BA48BC">
        <w:t>, applies to the ongoing fee arrangement from 1</w:t>
      </w:r>
      <w:r w:rsidR="00BA48BC" w:rsidRPr="00BA48BC">
        <w:t> </w:t>
      </w:r>
      <w:r w:rsidRPr="00BA48BC">
        <w:t>July 2020.</w:t>
      </w:r>
    </w:p>
    <w:p w:rsidR="00FF3EFB" w:rsidRPr="00BA48BC" w:rsidRDefault="00FF3EFB" w:rsidP="00BA48BC">
      <w:pPr>
        <w:pStyle w:val="subsection"/>
      </w:pPr>
      <w:r w:rsidRPr="00BA48BC">
        <w:tab/>
        <w:t>(2)</w:t>
      </w:r>
      <w:r w:rsidRPr="00BA48BC">
        <w:tab/>
        <w:t>However, for the period from 1</w:t>
      </w:r>
      <w:r w:rsidR="00BA48BC" w:rsidRPr="00BA48BC">
        <w:t> </w:t>
      </w:r>
      <w:r w:rsidRPr="00BA48BC">
        <w:t>July 2020 to 31</w:t>
      </w:r>
      <w:r w:rsidR="00BA48BC" w:rsidRPr="00BA48BC">
        <w:t> </w:t>
      </w:r>
      <w:r w:rsidRPr="00BA48BC">
        <w:t xml:space="preserve">December 2020 (the </w:t>
      </w:r>
      <w:r w:rsidRPr="00BA48BC">
        <w:rPr>
          <w:b/>
          <w:i/>
        </w:rPr>
        <w:t>6 month transition period</w:t>
      </w:r>
      <w:r w:rsidRPr="00BA48BC">
        <w:t>), subsection</w:t>
      </w:r>
      <w:r w:rsidR="00BA48BC" w:rsidRPr="00BA48BC">
        <w:t> </w:t>
      </w:r>
      <w:r w:rsidRPr="00BA48BC">
        <w:t xml:space="preserve">962K(1) applies in relation to the ongoing fee arrangement as if it were replaced with </w:t>
      </w:r>
      <w:r w:rsidR="00BA48BC" w:rsidRPr="00BA48BC">
        <w:t>subsection (</w:t>
      </w:r>
      <w:r w:rsidRPr="00BA48BC">
        <w:t>3) of this section.</w:t>
      </w:r>
    </w:p>
    <w:p w:rsidR="00FF3EFB" w:rsidRPr="00BA48BC" w:rsidRDefault="00FF3EFB" w:rsidP="00BA48BC">
      <w:pPr>
        <w:pStyle w:val="subsection"/>
      </w:pPr>
      <w:r w:rsidRPr="00BA48BC">
        <w:tab/>
        <w:t>(3)</w:t>
      </w:r>
      <w:r w:rsidRPr="00BA48BC">
        <w:tab/>
        <w:t>The current fee recipient in relation to the ongoing fee arrangement must, before the end of the 6 month transition period, give the client a renewal notice and a fee disclosure statement in relation to the arrangement.</w:t>
      </w:r>
    </w:p>
    <w:p w:rsidR="00FF3EFB" w:rsidRPr="00BA48BC" w:rsidRDefault="00FF3EFB" w:rsidP="00BA48BC">
      <w:pPr>
        <w:pStyle w:val="subsection"/>
      </w:pPr>
      <w:r w:rsidRPr="00BA48BC">
        <w:tab/>
        <w:t>(4)</w:t>
      </w:r>
      <w:r w:rsidRPr="00BA48BC">
        <w:tab/>
        <w:t>Section</w:t>
      </w:r>
      <w:r w:rsidR="00BA48BC" w:rsidRPr="00BA48BC">
        <w:t> </w:t>
      </w:r>
      <w:r w:rsidRPr="00BA48BC">
        <w:t>1350 does not apply in relation to the operation of Subdivision B of Division</w:t>
      </w:r>
      <w:r w:rsidR="00BA48BC" w:rsidRPr="00BA48BC">
        <w:t> </w:t>
      </w:r>
      <w:r w:rsidRPr="00BA48BC">
        <w:t>3 of Part</w:t>
      </w:r>
      <w:r w:rsidR="00BA48BC" w:rsidRPr="00BA48BC">
        <w:t> </w:t>
      </w:r>
      <w:r w:rsidRPr="00BA48BC">
        <w:t xml:space="preserve">7.7A, as amended by </w:t>
      </w:r>
      <w:r w:rsidR="00BC2ACF" w:rsidRPr="00BA48BC">
        <w:t>the amending Schedule</w:t>
      </w:r>
      <w:r w:rsidRPr="00BA48BC">
        <w:t>, in respect of the ongoing fee arrangement.</w:t>
      </w:r>
    </w:p>
    <w:p w:rsidR="00B15E7B" w:rsidRPr="00BA48BC" w:rsidRDefault="00B8683F" w:rsidP="00BA48BC">
      <w:pPr>
        <w:pStyle w:val="ActHead5"/>
      </w:pPr>
      <w:bookmarkStart w:id="26" w:name="_Toc31183583"/>
      <w:r w:rsidRPr="00B52EF9">
        <w:rPr>
          <w:rStyle w:val="CharSectno"/>
        </w:rPr>
        <w:t>1672D</w:t>
      </w:r>
      <w:r w:rsidR="00B15E7B" w:rsidRPr="00BA48BC">
        <w:t xml:space="preserve">  Transitional</w:t>
      </w:r>
      <w:r w:rsidR="004C3F01" w:rsidRPr="00BA48BC">
        <w:t>—existing obligation to give a fee disclosure statement</w:t>
      </w:r>
      <w:r w:rsidR="00AE3541" w:rsidRPr="00BA48BC">
        <w:t xml:space="preserve"> under section</w:t>
      </w:r>
      <w:r w:rsidR="00BA48BC" w:rsidRPr="00BA48BC">
        <w:t> </w:t>
      </w:r>
      <w:r w:rsidR="00AE3541" w:rsidRPr="00BA48BC">
        <w:t>962S</w:t>
      </w:r>
      <w:bookmarkEnd w:id="26"/>
    </w:p>
    <w:p w:rsidR="004C3F01" w:rsidRPr="00BA48BC" w:rsidRDefault="004C3F01" w:rsidP="00BA48BC">
      <w:pPr>
        <w:pStyle w:val="subsection"/>
      </w:pPr>
      <w:r w:rsidRPr="00BA48BC">
        <w:tab/>
        <w:t>(1)</w:t>
      </w:r>
      <w:r w:rsidRPr="00BA48BC">
        <w:tab/>
        <w:t>This section applies if:</w:t>
      </w:r>
    </w:p>
    <w:p w:rsidR="004C3F01" w:rsidRPr="00BA48BC" w:rsidRDefault="004C3F01" w:rsidP="00BA48BC">
      <w:pPr>
        <w:pStyle w:val="paragraph"/>
      </w:pPr>
      <w:r w:rsidRPr="00BA48BC">
        <w:tab/>
        <w:t>(a)</w:t>
      </w:r>
      <w:r w:rsidRPr="00BA48BC">
        <w:tab/>
        <w:t>a disclosure day for the ongoing fee arrangement occurs before 1</w:t>
      </w:r>
      <w:r w:rsidR="00BA48BC" w:rsidRPr="00BA48BC">
        <w:t> </w:t>
      </w:r>
      <w:r w:rsidRPr="00BA48BC">
        <w:t>July 2020; and</w:t>
      </w:r>
    </w:p>
    <w:p w:rsidR="004C3F01" w:rsidRPr="00BA48BC" w:rsidRDefault="004C3F01" w:rsidP="00BA48BC">
      <w:pPr>
        <w:pStyle w:val="paragraph"/>
      </w:pPr>
      <w:r w:rsidRPr="00BA48BC">
        <w:tab/>
        <w:t>(b)</w:t>
      </w:r>
      <w:r w:rsidRPr="00BA48BC">
        <w:tab/>
        <w:t>the period of 60 days beginning on the disclosure day ends on or after 1</w:t>
      </w:r>
      <w:r w:rsidR="00BA48BC" w:rsidRPr="00BA48BC">
        <w:t> </w:t>
      </w:r>
      <w:r w:rsidRPr="00BA48BC">
        <w:t>July 2020; and</w:t>
      </w:r>
    </w:p>
    <w:p w:rsidR="00D456B6" w:rsidRPr="00BA48BC" w:rsidRDefault="00D456B6" w:rsidP="00BA48BC">
      <w:pPr>
        <w:pStyle w:val="paragraph"/>
      </w:pPr>
      <w:r w:rsidRPr="00BA48BC">
        <w:lastRenderedPageBreak/>
        <w:tab/>
        <w:t>(c)</w:t>
      </w:r>
      <w:r w:rsidRPr="00BA48BC">
        <w:tab/>
        <w:t>before 1</w:t>
      </w:r>
      <w:r w:rsidR="00BA48BC" w:rsidRPr="00BA48BC">
        <w:t> </w:t>
      </w:r>
      <w:r w:rsidRPr="00BA48BC">
        <w:t>July 2020 the current fee recipient in relation to the ongoing fee arrangement has not given a fee disclosure statement in relation to the ongoing fee arrangement in accordance with the obligation arising under section</w:t>
      </w:r>
      <w:r w:rsidR="00BA48BC" w:rsidRPr="00BA48BC">
        <w:t> </w:t>
      </w:r>
      <w:r w:rsidRPr="00BA48BC">
        <w:t>962S (as in force before 1</w:t>
      </w:r>
      <w:r w:rsidR="00BA48BC" w:rsidRPr="00BA48BC">
        <w:t> </w:t>
      </w:r>
      <w:r w:rsidRPr="00BA48BC">
        <w:t>July 2020) in relation to the disclosure day.</w:t>
      </w:r>
    </w:p>
    <w:p w:rsidR="00D456B6" w:rsidRPr="00BA48BC" w:rsidRDefault="00D456B6" w:rsidP="00BA48BC">
      <w:pPr>
        <w:pStyle w:val="subsection"/>
      </w:pPr>
      <w:r w:rsidRPr="00BA48BC">
        <w:tab/>
        <w:t>(2)</w:t>
      </w:r>
      <w:r w:rsidRPr="00BA48BC">
        <w:tab/>
        <w:t xml:space="preserve">The obligation </w:t>
      </w:r>
      <w:r w:rsidR="00676D1A" w:rsidRPr="00BA48BC">
        <w:t xml:space="preserve">on the fee recipient </w:t>
      </w:r>
      <w:r w:rsidRPr="00BA48BC">
        <w:t xml:space="preserve">to give the fee disclosure statement </w:t>
      </w:r>
      <w:r w:rsidR="00AE3541" w:rsidRPr="00BA48BC">
        <w:t>within the 60 day period beginning on the disclosure day ceases on 1</w:t>
      </w:r>
      <w:r w:rsidR="00BA48BC" w:rsidRPr="00BA48BC">
        <w:t> </w:t>
      </w:r>
      <w:r w:rsidR="00AE3541" w:rsidRPr="00BA48BC">
        <w:t>July 2020.</w:t>
      </w:r>
    </w:p>
    <w:p w:rsidR="003F79F7" w:rsidRPr="00BA48BC" w:rsidRDefault="003F79F7" w:rsidP="00BA48BC">
      <w:pPr>
        <w:pStyle w:val="subsection"/>
      </w:pPr>
      <w:r w:rsidRPr="00BA48BC">
        <w:tab/>
        <w:t>(3)</w:t>
      </w:r>
      <w:r w:rsidRPr="00BA48BC">
        <w:tab/>
        <w:t xml:space="preserve">However, to the extent that the fee disclosure statement referred to in </w:t>
      </w:r>
      <w:r w:rsidR="00BA48BC" w:rsidRPr="00BA48BC">
        <w:t>subsection (</w:t>
      </w:r>
      <w:r w:rsidRPr="00BA48BC">
        <w:t>2) would have been required to include information in relation to a period that would not otherwise be required to be included in a fee disclosure statement given under section</w:t>
      </w:r>
      <w:r w:rsidR="00BA48BC" w:rsidRPr="00BA48BC">
        <w:t> </w:t>
      </w:r>
      <w:r w:rsidRPr="00BA48BC">
        <w:t>16</w:t>
      </w:r>
      <w:r w:rsidR="00B8683F" w:rsidRPr="00BA48BC">
        <w:t>72</w:t>
      </w:r>
      <w:r w:rsidRPr="00BA48BC">
        <w:t xml:space="preserve">C, the fee disclosure </w:t>
      </w:r>
      <w:r w:rsidR="00333079" w:rsidRPr="00BA48BC">
        <w:t xml:space="preserve">statement </w:t>
      </w:r>
      <w:r w:rsidRPr="00BA48BC">
        <w:t>given under that section must include that information.</w:t>
      </w:r>
    </w:p>
    <w:p w:rsidR="00FF3EFB" w:rsidRPr="00BA48BC" w:rsidRDefault="00FF3EFB" w:rsidP="00BA48BC">
      <w:pPr>
        <w:pStyle w:val="ActHead5"/>
      </w:pPr>
      <w:bookmarkStart w:id="27" w:name="_Toc31183584"/>
      <w:r w:rsidRPr="00B52EF9">
        <w:rPr>
          <w:rStyle w:val="CharSectno"/>
        </w:rPr>
        <w:t>16</w:t>
      </w:r>
      <w:r w:rsidR="00B8683F" w:rsidRPr="00B52EF9">
        <w:rPr>
          <w:rStyle w:val="CharSectno"/>
        </w:rPr>
        <w:t>72E</w:t>
      </w:r>
      <w:r w:rsidRPr="00BA48BC">
        <w:t xml:space="preserve">  Application—consent requirements</w:t>
      </w:r>
      <w:bookmarkEnd w:id="27"/>
    </w:p>
    <w:p w:rsidR="00FF3EFB" w:rsidRPr="00BA48BC" w:rsidRDefault="00FF3EFB" w:rsidP="00BA48BC">
      <w:pPr>
        <w:pStyle w:val="subsection"/>
      </w:pPr>
      <w:r w:rsidRPr="00BA48BC">
        <w:tab/>
        <w:t>(1)</w:t>
      </w:r>
      <w:r w:rsidRPr="00BA48BC">
        <w:tab/>
        <w:t>Subdivision C of Division</w:t>
      </w:r>
      <w:r w:rsidR="00BA48BC" w:rsidRPr="00BA48BC">
        <w:t> </w:t>
      </w:r>
      <w:r w:rsidRPr="00BA48BC">
        <w:t>3 of Part</w:t>
      </w:r>
      <w:r w:rsidR="00BA48BC" w:rsidRPr="00BA48BC">
        <w:t> </w:t>
      </w:r>
      <w:r w:rsidRPr="00BA48BC">
        <w:t xml:space="preserve">7.7A, as inserted by </w:t>
      </w:r>
      <w:r w:rsidR="00BC2ACF" w:rsidRPr="00BA48BC">
        <w:t>the amending Schedule</w:t>
      </w:r>
      <w:r w:rsidRPr="00BA48BC">
        <w:t>, applies in relation to the ongoing fee arrangement on and from 1</w:t>
      </w:r>
      <w:r w:rsidR="00BA48BC" w:rsidRPr="00BA48BC">
        <w:t> </w:t>
      </w:r>
      <w:r w:rsidRPr="00BA48BC">
        <w:t>January 2021.</w:t>
      </w:r>
    </w:p>
    <w:p w:rsidR="00FF3EFB" w:rsidRPr="00BA48BC" w:rsidRDefault="00FF3EFB" w:rsidP="00BA48BC">
      <w:pPr>
        <w:pStyle w:val="subsection"/>
      </w:pPr>
      <w:r w:rsidRPr="00BA48BC">
        <w:tab/>
        <w:t>(2)</w:t>
      </w:r>
      <w:r w:rsidRPr="00BA48BC">
        <w:tab/>
        <w:t>However, if a person gives a fee recipient in relation to the ongoing fee arrangement consent for the purposes of that Subdivision before 1</w:t>
      </w:r>
      <w:r w:rsidR="00BA48BC" w:rsidRPr="00BA48BC">
        <w:t> </w:t>
      </w:r>
      <w:r w:rsidRPr="00BA48BC">
        <w:t>January 2021:</w:t>
      </w:r>
    </w:p>
    <w:p w:rsidR="00FF3EFB" w:rsidRPr="00BA48BC" w:rsidRDefault="00FF3EFB" w:rsidP="00BA48BC">
      <w:pPr>
        <w:pStyle w:val="paragraph"/>
      </w:pPr>
      <w:r w:rsidRPr="00BA48BC">
        <w:tab/>
        <w:t>(a)</w:t>
      </w:r>
      <w:r w:rsidRPr="00BA48BC">
        <w:tab/>
        <w:t>section</w:t>
      </w:r>
      <w:r w:rsidR="00BA48BC" w:rsidRPr="00BA48BC">
        <w:t> </w:t>
      </w:r>
      <w:r w:rsidRPr="00BA48BC">
        <w:t>962U (variation or withdrawal of consent) in that Subdivision applies in relation to the consent from when it is given; and</w:t>
      </w:r>
    </w:p>
    <w:p w:rsidR="00FF3EFB" w:rsidRPr="00BA48BC" w:rsidRDefault="00FF3EFB" w:rsidP="00BA48BC">
      <w:pPr>
        <w:pStyle w:val="paragraph"/>
      </w:pPr>
      <w:r w:rsidRPr="00BA48BC">
        <w:tab/>
        <w:t>(b)</w:t>
      </w:r>
      <w:r w:rsidRPr="00BA48BC">
        <w:tab/>
        <w:t>section</w:t>
      </w:r>
      <w:r w:rsidR="00BA48BC" w:rsidRPr="00BA48BC">
        <w:t> </w:t>
      </w:r>
      <w:r w:rsidRPr="00BA48BC">
        <w:t>962</w:t>
      </w:r>
      <w:r w:rsidR="0053569C" w:rsidRPr="00BA48BC">
        <w:t>X</w:t>
      </w:r>
      <w:r w:rsidRPr="00BA48BC">
        <w:t xml:space="preserve"> (obligation to keep records of compliance), as inserted by </w:t>
      </w:r>
      <w:r w:rsidR="002B47AE" w:rsidRPr="00BA48BC">
        <w:t>the amending Schedule</w:t>
      </w:r>
      <w:r w:rsidRPr="00BA48BC">
        <w:t>, applies in relation to records relating to the consent.</w:t>
      </w:r>
    </w:p>
    <w:p w:rsidR="00FF3EFB" w:rsidRPr="00BA48BC" w:rsidRDefault="00FF3EFB" w:rsidP="00BA48BC">
      <w:pPr>
        <w:pStyle w:val="subsection"/>
      </w:pPr>
      <w:r w:rsidRPr="00BA48BC">
        <w:tab/>
        <w:t>(3)</w:t>
      </w:r>
      <w:r w:rsidRPr="00BA48BC">
        <w:tab/>
        <w:t>Section</w:t>
      </w:r>
      <w:r w:rsidR="00BA48BC" w:rsidRPr="00BA48BC">
        <w:t> </w:t>
      </w:r>
      <w:r w:rsidRPr="00BA48BC">
        <w:t>1350 does not apply in relation to the operation of Subdivision C of Division</w:t>
      </w:r>
      <w:r w:rsidR="00BA48BC" w:rsidRPr="00BA48BC">
        <w:t> </w:t>
      </w:r>
      <w:r w:rsidRPr="00BA48BC">
        <w:t>3 of Part</w:t>
      </w:r>
      <w:r w:rsidR="00BA48BC" w:rsidRPr="00BA48BC">
        <w:t> </w:t>
      </w:r>
      <w:r w:rsidRPr="00BA48BC">
        <w:t xml:space="preserve">7.7A, as inserted by </w:t>
      </w:r>
      <w:r w:rsidR="00BC2ACF" w:rsidRPr="00BA48BC">
        <w:t>the amending Schedule</w:t>
      </w:r>
      <w:r w:rsidRPr="00BA48BC">
        <w:t>, in respect of the ongoing fee arrangement.</w:t>
      </w:r>
    </w:p>
    <w:p w:rsidR="00FF3EFB" w:rsidRPr="00BA48BC" w:rsidRDefault="00B8683F" w:rsidP="00BA48BC">
      <w:pPr>
        <w:pStyle w:val="ActHead5"/>
      </w:pPr>
      <w:bookmarkStart w:id="28" w:name="_Toc31183585"/>
      <w:r w:rsidRPr="00B52EF9">
        <w:rPr>
          <w:rStyle w:val="CharSectno"/>
        </w:rPr>
        <w:t>1672F</w:t>
      </w:r>
      <w:r w:rsidR="00FF3EFB" w:rsidRPr="00BA48BC">
        <w:t xml:space="preserve">  Application—compliance records</w:t>
      </w:r>
      <w:bookmarkEnd w:id="28"/>
    </w:p>
    <w:p w:rsidR="00FF3EFB" w:rsidRPr="00BA48BC" w:rsidRDefault="00FF3EFB" w:rsidP="00BA48BC">
      <w:pPr>
        <w:pStyle w:val="subsection"/>
      </w:pPr>
      <w:r w:rsidRPr="00BA48BC">
        <w:tab/>
      </w:r>
      <w:r w:rsidRPr="00BA48BC">
        <w:tab/>
        <w:t>Subdivision D of Division</w:t>
      </w:r>
      <w:r w:rsidR="00BA48BC" w:rsidRPr="00BA48BC">
        <w:t> </w:t>
      </w:r>
      <w:r w:rsidRPr="00BA48BC">
        <w:t>3 of Part</w:t>
      </w:r>
      <w:r w:rsidR="00BA48BC" w:rsidRPr="00BA48BC">
        <w:t> </w:t>
      </w:r>
      <w:r w:rsidRPr="00BA48BC">
        <w:t xml:space="preserve">7.7A, as inserted by </w:t>
      </w:r>
      <w:r w:rsidR="00BC2ACF" w:rsidRPr="00BA48BC">
        <w:t>the amending Schedule</w:t>
      </w:r>
      <w:r w:rsidRPr="00BA48BC">
        <w:t>, applies on and from 1</w:t>
      </w:r>
      <w:r w:rsidR="00BA48BC" w:rsidRPr="00BA48BC">
        <w:t> </w:t>
      </w:r>
      <w:r w:rsidRPr="00BA48BC">
        <w:t>July 2020 in relation to a fee recipient’s compliance with Division</w:t>
      </w:r>
      <w:r w:rsidR="00BA48BC" w:rsidRPr="00BA48BC">
        <w:t> </w:t>
      </w:r>
      <w:r w:rsidRPr="00BA48BC">
        <w:t>3 of Part</w:t>
      </w:r>
      <w:r w:rsidR="00BA48BC" w:rsidRPr="00BA48BC">
        <w:t> </w:t>
      </w:r>
      <w:r w:rsidRPr="00BA48BC">
        <w:t>7.7A on and from that date in relation to the ongoing fee arrangement.</w:t>
      </w:r>
    </w:p>
    <w:p w:rsidR="00FF3EFB" w:rsidRPr="00BA48BC" w:rsidRDefault="00FF3EFB" w:rsidP="00BA48BC">
      <w:pPr>
        <w:pStyle w:val="ActHead3"/>
      </w:pPr>
      <w:bookmarkStart w:id="29" w:name="_Toc31183586"/>
      <w:r w:rsidRPr="00B52EF9">
        <w:rPr>
          <w:rStyle w:val="CharDivNo"/>
        </w:rPr>
        <w:lastRenderedPageBreak/>
        <w:t>Division</w:t>
      </w:r>
      <w:r w:rsidR="00BA48BC" w:rsidRPr="00B52EF9">
        <w:rPr>
          <w:rStyle w:val="CharDivNo"/>
        </w:rPr>
        <w:t> </w:t>
      </w:r>
      <w:r w:rsidRPr="00B52EF9">
        <w:rPr>
          <w:rStyle w:val="CharDivNo"/>
        </w:rPr>
        <w:t>4</w:t>
      </w:r>
      <w:r w:rsidRPr="00BA48BC">
        <w:t>—</w:t>
      </w:r>
      <w:r w:rsidRPr="00B52EF9">
        <w:rPr>
          <w:rStyle w:val="CharDivText"/>
        </w:rPr>
        <w:t>Other ongoing fee arrangements</w:t>
      </w:r>
      <w:bookmarkEnd w:id="29"/>
    </w:p>
    <w:p w:rsidR="00FF3EFB" w:rsidRPr="00BA48BC" w:rsidRDefault="00B8683F" w:rsidP="00BA48BC">
      <w:pPr>
        <w:pStyle w:val="ActHead5"/>
      </w:pPr>
      <w:bookmarkStart w:id="30" w:name="_Toc31183587"/>
      <w:r w:rsidRPr="00B52EF9">
        <w:rPr>
          <w:rStyle w:val="CharSectno"/>
        </w:rPr>
        <w:t>1672G</w:t>
      </w:r>
      <w:r w:rsidR="00FF3EFB" w:rsidRPr="00BA48BC">
        <w:t xml:space="preserve">  Application of this Division</w:t>
      </w:r>
      <w:bookmarkEnd w:id="30"/>
    </w:p>
    <w:p w:rsidR="00FF3EFB" w:rsidRPr="00BA48BC" w:rsidRDefault="00FF3EFB" w:rsidP="00BA48BC">
      <w:pPr>
        <w:pStyle w:val="subsection"/>
      </w:pPr>
      <w:r w:rsidRPr="00BA48BC">
        <w:tab/>
      </w:r>
      <w:r w:rsidRPr="00BA48BC">
        <w:tab/>
        <w:t>This Division applies in relation to an ongoing fee arrangement that:</w:t>
      </w:r>
    </w:p>
    <w:p w:rsidR="00FF3EFB" w:rsidRPr="00BA48BC" w:rsidRDefault="00FF3EFB" w:rsidP="00BA48BC">
      <w:pPr>
        <w:pStyle w:val="paragraph"/>
      </w:pPr>
      <w:r w:rsidRPr="00BA48BC">
        <w:tab/>
        <w:t>(a)</w:t>
      </w:r>
      <w:r w:rsidRPr="00BA48BC">
        <w:tab/>
        <w:t>is in force immediately before 1</w:t>
      </w:r>
      <w:r w:rsidR="00BA48BC" w:rsidRPr="00BA48BC">
        <w:t> </w:t>
      </w:r>
      <w:r w:rsidRPr="00BA48BC">
        <w:t>July 2020; and</w:t>
      </w:r>
    </w:p>
    <w:p w:rsidR="00FF3EFB" w:rsidRPr="00BA48BC" w:rsidRDefault="00FF3EFB" w:rsidP="00BA48BC">
      <w:pPr>
        <w:pStyle w:val="paragraph"/>
      </w:pPr>
      <w:r w:rsidRPr="00BA48BC">
        <w:tab/>
        <w:t>(b)</w:t>
      </w:r>
      <w:r w:rsidRPr="00BA48BC">
        <w:tab/>
        <w:t>is not an ongoing fee arrangement to which Division</w:t>
      </w:r>
      <w:r w:rsidR="00BA48BC" w:rsidRPr="00BA48BC">
        <w:t> </w:t>
      </w:r>
      <w:r w:rsidRPr="00BA48BC">
        <w:t>3 of this Part applies.</w:t>
      </w:r>
    </w:p>
    <w:p w:rsidR="00FF3EFB" w:rsidRPr="00BA48BC" w:rsidRDefault="00FF3EFB" w:rsidP="00BA48BC">
      <w:pPr>
        <w:pStyle w:val="ActHead5"/>
      </w:pPr>
      <w:bookmarkStart w:id="31" w:name="_Toc31183588"/>
      <w:r w:rsidRPr="00B52EF9">
        <w:rPr>
          <w:rStyle w:val="CharSectno"/>
        </w:rPr>
        <w:t>16</w:t>
      </w:r>
      <w:r w:rsidR="00B8683F" w:rsidRPr="00B52EF9">
        <w:rPr>
          <w:rStyle w:val="CharSectno"/>
        </w:rPr>
        <w:t>72H</w:t>
      </w:r>
      <w:r w:rsidRPr="00BA48BC">
        <w:t xml:space="preserve">  Application—annual renewal notice requirements etc.</w:t>
      </w:r>
      <w:bookmarkEnd w:id="31"/>
    </w:p>
    <w:p w:rsidR="00FF3EFB" w:rsidRPr="00BA48BC" w:rsidRDefault="00727EEB" w:rsidP="00BA48BC">
      <w:pPr>
        <w:pStyle w:val="subsection"/>
      </w:pPr>
      <w:r w:rsidRPr="00BA48BC">
        <w:tab/>
        <w:t>(1)</w:t>
      </w:r>
      <w:r w:rsidRPr="00BA48BC">
        <w:tab/>
        <w:t xml:space="preserve">The amendments </w:t>
      </w:r>
      <w:r w:rsidR="00FF3EFB" w:rsidRPr="00BA48BC">
        <w:t>of Subdivision B of Division</w:t>
      </w:r>
      <w:r w:rsidR="00BA48BC" w:rsidRPr="00BA48BC">
        <w:t> </w:t>
      </w:r>
      <w:r w:rsidR="00FF3EFB" w:rsidRPr="00BA48BC">
        <w:t>3 of Part</w:t>
      </w:r>
      <w:r w:rsidR="00BA48BC" w:rsidRPr="00BA48BC">
        <w:t> </w:t>
      </w:r>
      <w:r w:rsidRPr="00BA48BC">
        <w:t xml:space="preserve">7.7A </w:t>
      </w:r>
      <w:r w:rsidR="00FF3EFB" w:rsidRPr="00BA48BC">
        <w:t xml:space="preserve">made by </w:t>
      </w:r>
      <w:r w:rsidR="00BC2ACF" w:rsidRPr="00BA48BC">
        <w:t>the amending Schedule</w:t>
      </w:r>
      <w:r w:rsidR="00FF3EFB" w:rsidRPr="00BA48BC">
        <w:t xml:space="preserve"> apply in relation to the ongoing fee arrangement on and from 1</w:t>
      </w:r>
      <w:r w:rsidR="00BA48BC" w:rsidRPr="00BA48BC">
        <w:t> </w:t>
      </w:r>
      <w:r w:rsidR="00FF3EFB" w:rsidRPr="00BA48BC">
        <w:t>July 2020.</w:t>
      </w:r>
    </w:p>
    <w:p w:rsidR="00681A22" w:rsidRPr="00BA48BC" w:rsidRDefault="00FF3EFB" w:rsidP="00BA48BC">
      <w:pPr>
        <w:pStyle w:val="subsection"/>
      </w:pPr>
      <w:r w:rsidRPr="00BA48BC">
        <w:tab/>
        <w:t>(2)</w:t>
      </w:r>
      <w:r w:rsidRPr="00BA48BC">
        <w:tab/>
        <w:t>However, for the period from 1</w:t>
      </w:r>
      <w:r w:rsidR="00BA48BC" w:rsidRPr="00BA48BC">
        <w:t> </w:t>
      </w:r>
      <w:r w:rsidRPr="00BA48BC">
        <w:t>July 2020 to 30</w:t>
      </w:r>
      <w:r w:rsidR="00BA48BC" w:rsidRPr="00BA48BC">
        <w:t> </w:t>
      </w:r>
      <w:r w:rsidRPr="00BA48BC">
        <w:t xml:space="preserve">June 2021 (the </w:t>
      </w:r>
      <w:r w:rsidRPr="00BA48BC">
        <w:rPr>
          <w:b/>
          <w:i/>
        </w:rPr>
        <w:t>12 month transition period</w:t>
      </w:r>
      <w:r w:rsidRPr="00BA48BC">
        <w:t>) subsection</w:t>
      </w:r>
      <w:r w:rsidR="00BA48BC" w:rsidRPr="00BA48BC">
        <w:t> </w:t>
      </w:r>
      <w:r w:rsidRPr="00BA48BC">
        <w:t xml:space="preserve">962K(1) applies in relation to the ongoing fee arrangement as if it were replaced with </w:t>
      </w:r>
      <w:r w:rsidR="00BA48BC" w:rsidRPr="00BA48BC">
        <w:t>subsection (</w:t>
      </w:r>
      <w:r w:rsidR="00681A22" w:rsidRPr="00BA48BC">
        <w:t xml:space="preserve">3) </w:t>
      </w:r>
      <w:r w:rsidRPr="00BA48BC">
        <w:t>of this section.</w:t>
      </w:r>
    </w:p>
    <w:p w:rsidR="00A346A3" w:rsidRPr="00BA48BC" w:rsidRDefault="00A346A3" w:rsidP="00BA48BC">
      <w:pPr>
        <w:pStyle w:val="subsection"/>
      </w:pPr>
      <w:r w:rsidRPr="00BA48BC">
        <w:tab/>
        <w:t>(3)</w:t>
      </w:r>
      <w:r w:rsidRPr="00BA48BC">
        <w:tab/>
        <w:t>The current fee recipient in relation to the ongoing fee arrangement must, before the end of the 12 month transition period, give the client a renewal notice and a fee disclosure statement in relation to the arrangement.</w:t>
      </w:r>
    </w:p>
    <w:p w:rsidR="00A346A3" w:rsidRPr="00BA48BC" w:rsidRDefault="00A346A3" w:rsidP="00BA48BC">
      <w:pPr>
        <w:pStyle w:val="subsection"/>
      </w:pPr>
      <w:r w:rsidRPr="00BA48BC">
        <w:tab/>
        <w:t>(4)</w:t>
      </w:r>
      <w:r w:rsidRPr="00BA48BC">
        <w:tab/>
        <w:t>Section</w:t>
      </w:r>
      <w:r w:rsidR="00BA48BC" w:rsidRPr="00BA48BC">
        <w:t> </w:t>
      </w:r>
      <w:r w:rsidRPr="00BA48BC">
        <w:t>1350 does not apply in relation to the operation of Subdivision B of Division</w:t>
      </w:r>
      <w:r w:rsidR="00BA48BC" w:rsidRPr="00BA48BC">
        <w:t> </w:t>
      </w:r>
      <w:r w:rsidRPr="00BA48BC">
        <w:t>3 of Part</w:t>
      </w:r>
      <w:r w:rsidR="00BA48BC" w:rsidRPr="00BA48BC">
        <w:t> </w:t>
      </w:r>
      <w:r w:rsidRPr="00BA48BC">
        <w:t xml:space="preserve">7.7A, as amended by </w:t>
      </w:r>
      <w:r w:rsidR="00BC2ACF" w:rsidRPr="00BA48BC">
        <w:t>the amending Schedule</w:t>
      </w:r>
      <w:r w:rsidRPr="00BA48BC">
        <w:t>, in respect of the ongoing fee arrangement.</w:t>
      </w:r>
    </w:p>
    <w:p w:rsidR="005E7DE7" w:rsidRPr="00BA48BC" w:rsidRDefault="00F534DE" w:rsidP="00BA48BC">
      <w:pPr>
        <w:pStyle w:val="ActHead5"/>
      </w:pPr>
      <w:bookmarkStart w:id="32" w:name="_Toc31183589"/>
      <w:r w:rsidRPr="00B52EF9">
        <w:rPr>
          <w:rStyle w:val="CharSectno"/>
        </w:rPr>
        <w:t>16</w:t>
      </w:r>
      <w:r w:rsidR="00B8683F" w:rsidRPr="00B52EF9">
        <w:rPr>
          <w:rStyle w:val="CharSectno"/>
        </w:rPr>
        <w:t>72J</w:t>
      </w:r>
      <w:r w:rsidRPr="00BA48BC">
        <w:t xml:space="preserve">  Transitional—existing obligation to give a fee disclosu</w:t>
      </w:r>
      <w:r w:rsidR="005E7DE7" w:rsidRPr="00BA48BC">
        <w:t>re statement under section</w:t>
      </w:r>
      <w:r w:rsidR="00BA48BC" w:rsidRPr="00BA48BC">
        <w:t> </w:t>
      </w:r>
      <w:r w:rsidR="005E7DE7" w:rsidRPr="00BA48BC">
        <w:t>962G</w:t>
      </w:r>
      <w:bookmarkEnd w:id="32"/>
    </w:p>
    <w:p w:rsidR="00F534DE" w:rsidRPr="00BA48BC" w:rsidRDefault="00F534DE" w:rsidP="00BA48BC">
      <w:pPr>
        <w:pStyle w:val="subsection"/>
      </w:pPr>
      <w:r w:rsidRPr="00BA48BC">
        <w:tab/>
        <w:t>(1)</w:t>
      </w:r>
      <w:r w:rsidRPr="00BA48BC">
        <w:tab/>
        <w:t>This section applies if:</w:t>
      </w:r>
    </w:p>
    <w:p w:rsidR="00F534DE" w:rsidRPr="00BA48BC" w:rsidRDefault="00F534DE" w:rsidP="00BA48BC">
      <w:pPr>
        <w:pStyle w:val="paragraph"/>
      </w:pPr>
      <w:r w:rsidRPr="00BA48BC">
        <w:tab/>
        <w:t>(a)</w:t>
      </w:r>
      <w:r w:rsidRPr="00BA48BC">
        <w:tab/>
        <w:t>a disclosure day for the ongoing fee arrangement occurs before 1</w:t>
      </w:r>
      <w:r w:rsidR="00BA48BC" w:rsidRPr="00BA48BC">
        <w:t> </w:t>
      </w:r>
      <w:r w:rsidRPr="00BA48BC">
        <w:t>July 2020; and</w:t>
      </w:r>
    </w:p>
    <w:p w:rsidR="00F534DE" w:rsidRPr="00BA48BC" w:rsidRDefault="00F534DE" w:rsidP="00BA48BC">
      <w:pPr>
        <w:pStyle w:val="paragraph"/>
      </w:pPr>
      <w:r w:rsidRPr="00BA48BC">
        <w:tab/>
        <w:t>(b)</w:t>
      </w:r>
      <w:r w:rsidRPr="00BA48BC">
        <w:tab/>
        <w:t>the period of 60 days beginning on the disclosure day ends on or after 1</w:t>
      </w:r>
      <w:r w:rsidR="00BA48BC" w:rsidRPr="00BA48BC">
        <w:t> </w:t>
      </w:r>
      <w:r w:rsidRPr="00BA48BC">
        <w:t>July 2020; and</w:t>
      </w:r>
    </w:p>
    <w:p w:rsidR="00F534DE" w:rsidRPr="00BA48BC" w:rsidRDefault="00F534DE" w:rsidP="00BA48BC">
      <w:pPr>
        <w:pStyle w:val="paragraph"/>
      </w:pPr>
      <w:r w:rsidRPr="00BA48BC">
        <w:tab/>
        <w:t>(c)</w:t>
      </w:r>
      <w:r w:rsidRPr="00BA48BC">
        <w:tab/>
        <w:t>before 1</w:t>
      </w:r>
      <w:r w:rsidR="00BA48BC" w:rsidRPr="00BA48BC">
        <w:t> </w:t>
      </w:r>
      <w:r w:rsidRPr="00BA48BC">
        <w:t>July 2020 the current fee recipient in relation to the ongoing fee arrangement has not given a fee disclosure statement in relation to the ongoing fee arrangement in accordance with the obligation arising under section</w:t>
      </w:r>
      <w:r w:rsidR="00BA48BC" w:rsidRPr="00BA48BC">
        <w:t> </w:t>
      </w:r>
      <w:r w:rsidRPr="00BA48BC">
        <w:t xml:space="preserve">962G </w:t>
      </w:r>
      <w:r w:rsidRPr="00BA48BC">
        <w:lastRenderedPageBreak/>
        <w:t>(as in force before 1</w:t>
      </w:r>
      <w:r w:rsidR="00BA48BC" w:rsidRPr="00BA48BC">
        <w:t> </w:t>
      </w:r>
      <w:r w:rsidRPr="00BA48BC">
        <w:t>July 2020) in relation to the disclosure day.</w:t>
      </w:r>
    </w:p>
    <w:p w:rsidR="00F534DE" w:rsidRPr="00BA48BC" w:rsidRDefault="00F534DE" w:rsidP="00BA48BC">
      <w:pPr>
        <w:pStyle w:val="subsection"/>
      </w:pPr>
      <w:r w:rsidRPr="00BA48BC">
        <w:tab/>
      </w:r>
      <w:r w:rsidR="00F15B52" w:rsidRPr="00BA48BC">
        <w:t>(</w:t>
      </w:r>
      <w:r w:rsidR="005E7DE7" w:rsidRPr="00BA48BC">
        <w:t>2</w:t>
      </w:r>
      <w:r w:rsidRPr="00BA48BC">
        <w:t>)</w:t>
      </w:r>
      <w:r w:rsidRPr="00BA48BC">
        <w:tab/>
        <w:t xml:space="preserve">The obligation </w:t>
      </w:r>
      <w:r w:rsidR="00676D1A" w:rsidRPr="00BA48BC">
        <w:t xml:space="preserve">on the fee recipient </w:t>
      </w:r>
      <w:r w:rsidRPr="00BA48BC">
        <w:t>to give the fee disclosure statement</w:t>
      </w:r>
      <w:r w:rsidR="005E7DE7" w:rsidRPr="00BA48BC">
        <w:t xml:space="preserve"> </w:t>
      </w:r>
      <w:r w:rsidRPr="00BA48BC">
        <w:t>within the 60 day period beginning on the disclosure day ceases on 1</w:t>
      </w:r>
      <w:r w:rsidR="00BA48BC" w:rsidRPr="00BA48BC">
        <w:t> </w:t>
      </w:r>
      <w:r w:rsidRPr="00BA48BC">
        <w:t>July 2020.</w:t>
      </w:r>
    </w:p>
    <w:p w:rsidR="005E7DE7" w:rsidRPr="00BA48BC" w:rsidRDefault="00F15B52" w:rsidP="00BA48BC">
      <w:pPr>
        <w:pStyle w:val="subsection"/>
      </w:pPr>
      <w:r w:rsidRPr="00BA48BC">
        <w:tab/>
        <w:t>(</w:t>
      </w:r>
      <w:r w:rsidR="005E7DE7" w:rsidRPr="00BA48BC">
        <w:t>3</w:t>
      </w:r>
      <w:r w:rsidR="00F534DE" w:rsidRPr="00BA48BC">
        <w:t>)</w:t>
      </w:r>
      <w:r w:rsidR="00F534DE" w:rsidRPr="00BA48BC">
        <w:tab/>
        <w:t xml:space="preserve">However, to the extent that the fee disclosure statement referred to in </w:t>
      </w:r>
      <w:r w:rsidR="00BA48BC" w:rsidRPr="00BA48BC">
        <w:t>subsection (</w:t>
      </w:r>
      <w:r w:rsidR="00F534DE" w:rsidRPr="00BA48BC">
        <w:t>2) would have been required to include information in relation to a period that would not otherwise be required to be included in a fee disclosure st</w:t>
      </w:r>
      <w:r w:rsidR="00B8683F" w:rsidRPr="00BA48BC">
        <w:t>atement given under section</w:t>
      </w:r>
      <w:r w:rsidR="00BA48BC" w:rsidRPr="00BA48BC">
        <w:t> </w:t>
      </w:r>
      <w:r w:rsidR="00B8683F" w:rsidRPr="00BA48BC">
        <w:t>1672H</w:t>
      </w:r>
      <w:r w:rsidR="00F534DE" w:rsidRPr="00BA48BC">
        <w:t xml:space="preserve">, the fee disclosure </w:t>
      </w:r>
      <w:r w:rsidR="00333079" w:rsidRPr="00BA48BC">
        <w:t xml:space="preserve">statement </w:t>
      </w:r>
      <w:r w:rsidR="00F534DE" w:rsidRPr="00BA48BC">
        <w:t>given under that section must include that information.</w:t>
      </w:r>
    </w:p>
    <w:p w:rsidR="005E7DE7" w:rsidRPr="00BA48BC" w:rsidRDefault="005E7DE7" w:rsidP="00BA48BC">
      <w:pPr>
        <w:pStyle w:val="ActHead5"/>
      </w:pPr>
      <w:bookmarkStart w:id="33" w:name="_Toc31183590"/>
      <w:r w:rsidRPr="00B52EF9">
        <w:rPr>
          <w:rStyle w:val="CharSectno"/>
        </w:rPr>
        <w:t>16</w:t>
      </w:r>
      <w:r w:rsidR="00B8683F" w:rsidRPr="00B52EF9">
        <w:rPr>
          <w:rStyle w:val="CharSectno"/>
        </w:rPr>
        <w:t>72K</w:t>
      </w:r>
      <w:r w:rsidRPr="00BA48BC">
        <w:t xml:space="preserve">  Transitional—existing obligation to give a renewal notice and fee disclosure statement under section</w:t>
      </w:r>
      <w:r w:rsidR="00BA48BC" w:rsidRPr="00BA48BC">
        <w:t> </w:t>
      </w:r>
      <w:r w:rsidRPr="00BA48BC">
        <w:t>962K</w:t>
      </w:r>
      <w:bookmarkEnd w:id="33"/>
    </w:p>
    <w:p w:rsidR="005E7DE7" w:rsidRPr="00BA48BC" w:rsidRDefault="005E7DE7" w:rsidP="00BA48BC">
      <w:pPr>
        <w:pStyle w:val="subsection"/>
      </w:pPr>
      <w:r w:rsidRPr="00BA48BC">
        <w:tab/>
        <w:t>(1)</w:t>
      </w:r>
      <w:r w:rsidRPr="00BA48BC">
        <w:tab/>
        <w:t>This section applies if:</w:t>
      </w:r>
    </w:p>
    <w:p w:rsidR="005E7DE7" w:rsidRPr="00BA48BC" w:rsidRDefault="005E7DE7" w:rsidP="00BA48BC">
      <w:pPr>
        <w:pStyle w:val="paragraph"/>
      </w:pPr>
      <w:r w:rsidRPr="00BA48BC">
        <w:tab/>
        <w:t>(a)</w:t>
      </w:r>
      <w:r w:rsidRPr="00BA48BC">
        <w:tab/>
        <w:t>a renewal notice day for the ongoing fee arrangement occurs before 1</w:t>
      </w:r>
      <w:r w:rsidR="00BA48BC" w:rsidRPr="00BA48BC">
        <w:t> </w:t>
      </w:r>
      <w:r w:rsidRPr="00BA48BC">
        <w:t>July 2020; and</w:t>
      </w:r>
    </w:p>
    <w:p w:rsidR="005E7DE7" w:rsidRPr="00BA48BC" w:rsidRDefault="005E7DE7" w:rsidP="00BA48BC">
      <w:pPr>
        <w:pStyle w:val="paragraph"/>
      </w:pPr>
      <w:r w:rsidRPr="00BA48BC">
        <w:tab/>
        <w:t>(b)</w:t>
      </w:r>
      <w:r w:rsidRPr="00BA48BC">
        <w:tab/>
        <w:t>the period of 60 days beginning on the renewal notice day ends on or after 1</w:t>
      </w:r>
      <w:r w:rsidR="00BA48BC" w:rsidRPr="00BA48BC">
        <w:t> </w:t>
      </w:r>
      <w:r w:rsidRPr="00BA48BC">
        <w:t>July 2020; and</w:t>
      </w:r>
    </w:p>
    <w:p w:rsidR="005E7DE7" w:rsidRPr="00BA48BC" w:rsidRDefault="005E7DE7" w:rsidP="00BA48BC">
      <w:pPr>
        <w:pStyle w:val="paragraph"/>
      </w:pPr>
      <w:r w:rsidRPr="00BA48BC">
        <w:tab/>
        <w:t>(c)</w:t>
      </w:r>
      <w:r w:rsidRPr="00BA48BC">
        <w:tab/>
        <w:t>before 1</w:t>
      </w:r>
      <w:r w:rsidR="00BA48BC" w:rsidRPr="00BA48BC">
        <w:t> </w:t>
      </w:r>
      <w:r w:rsidRPr="00BA48BC">
        <w:t>July 2020 the current fee recipient in relation to the ongoing fee arrangement has not given a renewal notice and a fee disclosure statement in relation to the ongoing fee arrangement in accordance with the obligation arising under section</w:t>
      </w:r>
      <w:r w:rsidR="00BA48BC" w:rsidRPr="00BA48BC">
        <w:t> </w:t>
      </w:r>
      <w:r w:rsidRPr="00BA48BC">
        <w:t>962K (as in force before 1</w:t>
      </w:r>
      <w:r w:rsidR="00BA48BC" w:rsidRPr="00BA48BC">
        <w:t> </w:t>
      </w:r>
      <w:r w:rsidRPr="00BA48BC">
        <w:t>July 2020) in relation to the renewal notice day.</w:t>
      </w:r>
    </w:p>
    <w:p w:rsidR="005E7DE7" w:rsidRPr="00BA48BC" w:rsidRDefault="005E7DE7" w:rsidP="00BA48BC">
      <w:pPr>
        <w:pStyle w:val="subsection"/>
      </w:pPr>
      <w:r w:rsidRPr="00BA48BC">
        <w:tab/>
        <w:t>(2)</w:t>
      </w:r>
      <w:r w:rsidRPr="00BA48BC">
        <w:tab/>
        <w:t xml:space="preserve">The obligation </w:t>
      </w:r>
      <w:r w:rsidR="00676D1A" w:rsidRPr="00BA48BC">
        <w:t xml:space="preserve">on the fee recipient </w:t>
      </w:r>
      <w:r w:rsidRPr="00BA48BC">
        <w:t>to give the renewal notice and fee disclosure statement within the 60 day period beginning on the renewal notice day ceases on 1</w:t>
      </w:r>
      <w:r w:rsidR="00BA48BC" w:rsidRPr="00BA48BC">
        <w:t> </w:t>
      </w:r>
      <w:r w:rsidRPr="00BA48BC">
        <w:t>July 2020.</w:t>
      </w:r>
    </w:p>
    <w:p w:rsidR="005E7DE7" w:rsidRPr="00BA48BC" w:rsidRDefault="005E7DE7" w:rsidP="00BA48BC">
      <w:pPr>
        <w:pStyle w:val="subsection"/>
      </w:pPr>
      <w:r w:rsidRPr="00BA48BC">
        <w:tab/>
        <w:t>(3)</w:t>
      </w:r>
      <w:r w:rsidRPr="00BA48BC">
        <w:tab/>
        <w:t xml:space="preserve">However, to the extent that the fee disclosure statement referred to in </w:t>
      </w:r>
      <w:r w:rsidR="00BA48BC" w:rsidRPr="00BA48BC">
        <w:t>subsection (</w:t>
      </w:r>
      <w:r w:rsidRPr="00BA48BC">
        <w:t>2) would have been required to include information in relation to a period that would not otherwise be required to be included in a fee disclosure stat</w:t>
      </w:r>
      <w:r w:rsidR="00B8683F" w:rsidRPr="00BA48BC">
        <w:t>ement given under section</w:t>
      </w:r>
      <w:r w:rsidR="00BA48BC" w:rsidRPr="00BA48BC">
        <w:t> </w:t>
      </w:r>
      <w:r w:rsidR="00B8683F" w:rsidRPr="00BA48BC">
        <w:t>1672H</w:t>
      </w:r>
      <w:r w:rsidRPr="00BA48BC">
        <w:t xml:space="preserve">, the fee disclosure </w:t>
      </w:r>
      <w:r w:rsidR="00333079" w:rsidRPr="00BA48BC">
        <w:t xml:space="preserve">statement </w:t>
      </w:r>
      <w:r w:rsidRPr="00BA48BC">
        <w:t>given under that section must include that information.</w:t>
      </w:r>
    </w:p>
    <w:p w:rsidR="00FF3EFB" w:rsidRPr="00BA48BC" w:rsidRDefault="0057417C" w:rsidP="00BA48BC">
      <w:pPr>
        <w:pStyle w:val="ActHead5"/>
      </w:pPr>
      <w:bookmarkStart w:id="34" w:name="_Toc31183591"/>
      <w:r w:rsidRPr="00B52EF9">
        <w:rPr>
          <w:rStyle w:val="CharSectno"/>
        </w:rPr>
        <w:lastRenderedPageBreak/>
        <w:t>16</w:t>
      </w:r>
      <w:r w:rsidR="00B8683F" w:rsidRPr="00B52EF9">
        <w:rPr>
          <w:rStyle w:val="CharSectno"/>
        </w:rPr>
        <w:t>72L</w:t>
      </w:r>
      <w:r w:rsidRPr="00BA48BC">
        <w:t xml:space="preserve">  </w:t>
      </w:r>
      <w:r w:rsidR="00FF3EFB" w:rsidRPr="00BA48BC">
        <w:t>Application—consent requirements for deductions of ongoing fees</w:t>
      </w:r>
      <w:bookmarkEnd w:id="34"/>
    </w:p>
    <w:p w:rsidR="00FF3EFB" w:rsidRPr="00BA48BC" w:rsidRDefault="00FF3EFB" w:rsidP="00BA48BC">
      <w:pPr>
        <w:pStyle w:val="subsection"/>
      </w:pPr>
      <w:r w:rsidRPr="00BA48BC">
        <w:tab/>
        <w:t>(1)</w:t>
      </w:r>
      <w:r w:rsidRPr="00BA48BC">
        <w:tab/>
        <w:t>Subdivision C of Division</w:t>
      </w:r>
      <w:r w:rsidR="00BA48BC" w:rsidRPr="00BA48BC">
        <w:t> </w:t>
      </w:r>
      <w:r w:rsidRPr="00BA48BC">
        <w:t>3 of Part</w:t>
      </w:r>
      <w:r w:rsidR="00BA48BC" w:rsidRPr="00BA48BC">
        <w:t> </w:t>
      </w:r>
      <w:r w:rsidRPr="00BA48BC">
        <w:t xml:space="preserve">7.7A, as inserted by </w:t>
      </w:r>
      <w:r w:rsidR="00BC2ACF" w:rsidRPr="00BA48BC">
        <w:t>the amending Schedule</w:t>
      </w:r>
      <w:r w:rsidRPr="00BA48BC">
        <w:t>, applies in relation to the ongoing fee arrangement on and from 1</w:t>
      </w:r>
      <w:r w:rsidR="00BA48BC" w:rsidRPr="00BA48BC">
        <w:t> </w:t>
      </w:r>
      <w:r w:rsidRPr="00BA48BC">
        <w:t>July 2021.</w:t>
      </w:r>
    </w:p>
    <w:p w:rsidR="00FF3EFB" w:rsidRPr="00BA48BC" w:rsidRDefault="00FF3EFB" w:rsidP="00BA48BC">
      <w:pPr>
        <w:pStyle w:val="subsection"/>
      </w:pPr>
      <w:r w:rsidRPr="00BA48BC">
        <w:tab/>
        <w:t>(2)</w:t>
      </w:r>
      <w:r w:rsidRPr="00BA48BC">
        <w:tab/>
        <w:t>However, if a person gives a fee recipient in relation to the ongoing fee arrangement consent for the purposes of that Subdivision before 1</w:t>
      </w:r>
      <w:r w:rsidR="00BA48BC" w:rsidRPr="00BA48BC">
        <w:t> </w:t>
      </w:r>
      <w:r w:rsidRPr="00BA48BC">
        <w:t>July 2021:</w:t>
      </w:r>
    </w:p>
    <w:p w:rsidR="00FF3EFB" w:rsidRPr="00BA48BC" w:rsidRDefault="00FF3EFB" w:rsidP="00BA48BC">
      <w:pPr>
        <w:pStyle w:val="paragraph"/>
      </w:pPr>
      <w:r w:rsidRPr="00BA48BC">
        <w:tab/>
        <w:t>(a)</w:t>
      </w:r>
      <w:r w:rsidRPr="00BA48BC">
        <w:tab/>
        <w:t>section</w:t>
      </w:r>
      <w:r w:rsidR="00BA48BC" w:rsidRPr="00BA48BC">
        <w:t> </w:t>
      </w:r>
      <w:r w:rsidRPr="00BA48BC">
        <w:t>962U (variation or withdrawal of consent) in that Subdivision applies in relation to the consent from when it is given; and</w:t>
      </w:r>
    </w:p>
    <w:p w:rsidR="00FF3EFB" w:rsidRPr="00BA48BC" w:rsidRDefault="00FF3EFB" w:rsidP="00BA48BC">
      <w:pPr>
        <w:pStyle w:val="paragraph"/>
      </w:pPr>
      <w:r w:rsidRPr="00BA48BC">
        <w:tab/>
        <w:t>(b)</w:t>
      </w:r>
      <w:r w:rsidRPr="00BA48BC">
        <w:tab/>
        <w:t>section</w:t>
      </w:r>
      <w:r w:rsidR="00BA48BC" w:rsidRPr="00BA48BC">
        <w:t> </w:t>
      </w:r>
      <w:r w:rsidR="0053569C" w:rsidRPr="00BA48BC">
        <w:t>962X</w:t>
      </w:r>
      <w:r w:rsidRPr="00BA48BC">
        <w:t xml:space="preserve"> (obligation to keep records of compliance), as inserted by </w:t>
      </w:r>
      <w:r w:rsidR="00BC2ACF" w:rsidRPr="00BA48BC">
        <w:t>the amending Schedule</w:t>
      </w:r>
      <w:r w:rsidRPr="00BA48BC">
        <w:t>, applies in relation to records relating to the consent.</w:t>
      </w:r>
    </w:p>
    <w:p w:rsidR="00FF3EFB" w:rsidRPr="00BA48BC" w:rsidRDefault="00FF3EFB" w:rsidP="00BA48BC">
      <w:pPr>
        <w:pStyle w:val="subsection"/>
      </w:pPr>
      <w:r w:rsidRPr="00BA48BC">
        <w:tab/>
        <w:t>(3)</w:t>
      </w:r>
      <w:r w:rsidRPr="00BA48BC">
        <w:tab/>
        <w:t>Section</w:t>
      </w:r>
      <w:r w:rsidR="00BA48BC" w:rsidRPr="00BA48BC">
        <w:t> </w:t>
      </w:r>
      <w:r w:rsidRPr="00BA48BC">
        <w:t>1350 does not apply in relation to the operation of Subdivision C of Division</w:t>
      </w:r>
      <w:r w:rsidR="00BA48BC" w:rsidRPr="00BA48BC">
        <w:t> </w:t>
      </w:r>
      <w:r w:rsidRPr="00BA48BC">
        <w:t>3 of Part</w:t>
      </w:r>
      <w:r w:rsidR="00BA48BC" w:rsidRPr="00BA48BC">
        <w:t> </w:t>
      </w:r>
      <w:r w:rsidRPr="00BA48BC">
        <w:t xml:space="preserve">7.7A, as inserted by </w:t>
      </w:r>
      <w:r w:rsidR="00BC2ACF" w:rsidRPr="00BA48BC">
        <w:t>the amending Schedule</w:t>
      </w:r>
      <w:r w:rsidRPr="00BA48BC">
        <w:t>, in respect of the ongoing fee arrangement.</w:t>
      </w:r>
    </w:p>
    <w:p w:rsidR="00FF3EFB" w:rsidRPr="00BA48BC" w:rsidRDefault="00FF3EFB" w:rsidP="00BA48BC">
      <w:pPr>
        <w:pStyle w:val="ActHead5"/>
      </w:pPr>
      <w:bookmarkStart w:id="35" w:name="_Toc31183592"/>
      <w:r w:rsidRPr="00B52EF9">
        <w:rPr>
          <w:rStyle w:val="CharSectno"/>
        </w:rPr>
        <w:t>16</w:t>
      </w:r>
      <w:r w:rsidR="00B8683F" w:rsidRPr="00B52EF9">
        <w:rPr>
          <w:rStyle w:val="CharSectno"/>
        </w:rPr>
        <w:t>72M</w:t>
      </w:r>
      <w:r w:rsidRPr="00BA48BC">
        <w:t xml:space="preserve">  Application—compliance records</w:t>
      </w:r>
      <w:bookmarkEnd w:id="35"/>
    </w:p>
    <w:p w:rsidR="00237D47" w:rsidRPr="00BA48BC" w:rsidRDefault="00FF3EFB" w:rsidP="00BA48BC">
      <w:pPr>
        <w:pStyle w:val="subsection"/>
      </w:pPr>
      <w:r w:rsidRPr="00BA48BC">
        <w:tab/>
      </w:r>
      <w:r w:rsidRPr="00BA48BC">
        <w:tab/>
        <w:t>Subdivision D of Division</w:t>
      </w:r>
      <w:r w:rsidR="00BA48BC" w:rsidRPr="00BA48BC">
        <w:t> </w:t>
      </w:r>
      <w:r w:rsidRPr="00BA48BC">
        <w:t>3 of Part</w:t>
      </w:r>
      <w:r w:rsidR="00BA48BC" w:rsidRPr="00BA48BC">
        <w:t> </w:t>
      </w:r>
      <w:r w:rsidRPr="00BA48BC">
        <w:t xml:space="preserve">7.7A, as inserted by </w:t>
      </w:r>
      <w:r w:rsidR="00BC2ACF" w:rsidRPr="00BA48BC">
        <w:t>the amending Schedule</w:t>
      </w:r>
      <w:r w:rsidRPr="00BA48BC">
        <w:t>, applies on and from 1</w:t>
      </w:r>
      <w:r w:rsidR="00BA48BC" w:rsidRPr="00BA48BC">
        <w:t> </w:t>
      </w:r>
      <w:r w:rsidRPr="00BA48BC">
        <w:t>July 2020 in relation to a fee recipient’s compliance with Division</w:t>
      </w:r>
      <w:r w:rsidR="00BA48BC" w:rsidRPr="00BA48BC">
        <w:t> </w:t>
      </w:r>
      <w:r w:rsidRPr="00BA48BC">
        <w:t>3 of Part</w:t>
      </w:r>
      <w:r w:rsidR="00BA48BC" w:rsidRPr="00BA48BC">
        <w:t> </w:t>
      </w:r>
      <w:r w:rsidRPr="00BA48BC">
        <w:t>7.7A on and from that date in relation to the ongoing fee arrangement.</w:t>
      </w:r>
    </w:p>
    <w:p w:rsidR="00FF3EFB" w:rsidRPr="00BA48BC" w:rsidRDefault="00FF3EFB" w:rsidP="00BA48BC">
      <w:pPr>
        <w:pStyle w:val="ActHead7"/>
        <w:pageBreakBefore/>
      </w:pPr>
      <w:bookmarkStart w:id="36" w:name="_Toc31183593"/>
      <w:r w:rsidRPr="00B52EF9">
        <w:rPr>
          <w:rStyle w:val="CharAmPartNo"/>
        </w:rPr>
        <w:lastRenderedPageBreak/>
        <w:t>Part</w:t>
      </w:r>
      <w:r w:rsidR="00BA48BC" w:rsidRPr="00B52EF9">
        <w:rPr>
          <w:rStyle w:val="CharAmPartNo"/>
        </w:rPr>
        <w:t> </w:t>
      </w:r>
      <w:r w:rsidRPr="00B52EF9">
        <w:rPr>
          <w:rStyle w:val="CharAmPartNo"/>
        </w:rPr>
        <w:t>2</w:t>
      </w:r>
      <w:r w:rsidRPr="00BA48BC">
        <w:t>—</w:t>
      </w:r>
      <w:r w:rsidRPr="00B52EF9">
        <w:rPr>
          <w:rStyle w:val="CharAmPartText"/>
        </w:rPr>
        <w:t>Consequential amendments</w:t>
      </w:r>
      <w:bookmarkEnd w:id="36"/>
    </w:p>
    <w:p w:rsidR="00215D37" w:rsidRPr="00BA48BC" w:rsidRDefault="00215D37" w:rsidP="00BA48BC">
      <w:pPr>
        <w:pStyle w:val="ActHead9"/>
        <w:rPr>
          <w:i w:val="0"/>
        </w:rPr>
      </w:pPr>
      <w:bookmarkStart w:id="37" w:name="_Toc31183594"/>
      <w:r w:rsidRPr="00BA48BC">
        <w:t>Corporations Act 2001</w:t>
      </w:r>
      <w:bookmarkEnd w:id="37"/>
    </w:p>
    <w:p w:rsidR="00215D37" w:rsidRPr="00BA48BC" w:rsidRDefault="006354A6" w:rsidP="00BA48BC">
      <w:pPr>
        <w:pStyle w:val="ItemHead"/>
      </w:pPr>
      <w:r w:rsidRPr="00BA48BC">
        <w:t>22</w:t>
      </w:r>
      <w:r w:rsidR="00215D37" w:rsidRPr="00BA48BC">
        <w:t xml:space="preserve">  Section</w:t>
      </w:r>
      <w:r w:rsidR="00BA48BC" w:rsidRPr="00BA48BC">
        <w:t> </w:t>
      </w:r>
      <w:r w:rsidR="00215D37" w:rsidRPr="00BA48BC">
        <w:t>9 (</w:t>
      </w:r>
      <w:r w:rsidR="00BA48BC" w:rsidRPr="00BA48BC">
        <w:t>paragraph (</w:t>
      </w:r>
      <w:r w:rsidR="00215D37" w:rsidRPr="00BA48BC">
        <w:t xml:space="preserve">ba) of the definition of </w:t>
      </w:r>
      <w:r w:rsidR="00215D37" w:rsidRPr="00BA48BC">
        <w:rPr>
          <w:i/>
        </w:rPr>
        <w:t>civil penalty order</w:t>
      </w:r>
      <w:r w:rsidR="00215D37" w:rsidRPr="00BA48BC">
        <w:t>)</w:t>
      </w:r>
    </w:p>
    <w:p w:rsidR="00215D37" w:rsidRPr="00BA48BC" w:rsidRDefault="00215D37" w:rsidP="00BA48BC">
      <w:pPr>
        <w:pStyle w:val="Item"/>
      </w:pPr>
      <w:r w:rsidRPr="00BA48BC">
        <w:t>After “section</w:t>
      </w:r>
      <w:r w:rsidR="00BA48BC" w:rsidRPr="00BA48BC">
        <w:t> </w:t>
      </w:r>
      <w:r w:rsidRPr="00BA48BC">
        <w:t>1317GA”, insert “or 1317GB”.</w:t>
      </w:r>
    </w:p>
    <w:p w:rsidR="00FE07CC" w:rsidRPr="00BA48BC" w:rsidRDefault="006354A6" w:rsidP="00BA48BC">
      <w:pPr>
        <w:pStyle w:val="ItemHead"/>
      </w:pPr>
      <w:r w:rsidRPr="00BA48BC">
        <w:t>23</w:t>
      </w:r>
      <w:r w:rsidR="00FE07CC" w:rsidRPr="00BA48BC">
        <w:t xml:space="preserve">  Section</w:t>
      </w:r>
      <w:r w:rsidR="00BA48BC" w:rsidRPr="00BA48BC">
        <w:t> </w:t>
      </w:r>
      <w:r w:rsidR="00FE07CC" w:rsidRPr="00BA48BC">
        <w:t xml:space="preserve">9 (after </w:t>
      </w:r>
      <w:r w:rsidR="00BA48BC" w:rsidRPr="00BA48BC">
        <w:t>paragraph (</w:t>
      </w:r>
      <w:r w:rsidR="00FE07CC" w:rsidRPr="00BA48BC">
        <w:t xml:space="preserve">c) of the definition of </w:t>
      </w:r>
      <w:r w:rsidR="00FE07CC" w:rsidRPr="00BA48BC">
        <w:rPr>
          <w:i/>
        </w:rPr>
        <w:t>Part</w:t>
      </w:r>
      <w:r w:rsidR="00BA48BC" w:rsidRPr="00BA48BC">
        <w:rPr>
          <w:i/>
        </w:rPr>
        <w:t> </w:t>
      </w:r>
      <w:r w:rsidR="00FE07CC" w:rsidRPr="00BA48BC">
        <w:rPr>
          <w:i/>
        </w:rPr>
        <w:t>7.7A civil penalty provision</w:t>
      </w:r>
      <w:r w:rsidR="00FE07CC" w:rsidRPr="00BA48BC">
        <w:t>)</w:t>
      </w:r>
    </w:p>
    <w:p w:rsidR="00FE07CC" w:rsidRPr="00BA48BC" w:rsidRDefault="00FE07CC" w:rsidP="00BA48BC">
      <w:pPr>
        <w:pStyle w:val="Item"/>
      </w:pPr>
      <w:r w:rsidRPr="00BA48BC">
        <w:t>Insert:</w:t>
      </w:r>
    </w:p>
    <w:p w:rsidR="00FE07CC" w:rsidRPr="00BA48BC" w:rsidRDefault="00FE07CC" w:rsidP="00BA48BC">
      <w:pPr>
        <w:pStyle w:val="paragraph"/>
      </w:pPr>
      <w:r w:rsidRPr="00BA48BC">
        <w:tab/>
        <w:t>(ca)</w:t>
      </w:r>
      <w:r w:rsidRPr="00BA48BC">
        <w:tab/>
        <w:t>subsection</w:t>
      </w:r>
      <w:r w:rsidR="00BA48BC" w:rsidRPr="00BA48BC">
        <w:t> </w:t>
      </w:r>
      <w:r w:rsidRPr="00BA48BC">
        <w:t>962K(4) (fee recipient must give renewal notice and fee disclosure statement)</w:t>
      </w:r>
      <w:r w:rsidR="00750313" w:rsidRPr="00BA48BC">
        <w:t>;</w:t>
      </w:r>
    </w:p>
    <w:p w:rsidR="00215D37" w:rsidRPr="00BA48BC" w:rsidRDefault="006354A6" w:rsidP="00BA48BC">
      <w:pPr>
        <w:pStyle w:val="ItemHead"/>
      </w:pPr>
      <w:r w:rsidRPr="00BA48BC">
        <w:t>24</w:t>
      </w:r>
      <w:r w:rsidR="00215D37" w:rsidRPr="00BA48BC">
        <w:t xml:space="preserve">  Section</w:t>
      </w:r>
      <w:r w:rsidR="00BA48BC" w:rsidRPr="00BA48BC">
        <w:t> </w:t>
      </w:r>
      <w:r w:rsidR="00215D37" w:rsidRPr="00BA48BC">
        <w:t>9 (</w:t>
      </w:r>
      <w:r w:rsidR="00BA48BC" w:rsidRPr="00BA48BC">
        <w:t>paragraph (</w:t>
      </w:r>
      <w:r w:rsidR="00215D37" w:rsidRPr="00BA48BC">
        <w:t xml:space="preserve">e) of the definition of </w:t>
      </w:r>
      <w:r w:rsidR="00215D37" w:rsidRPr="00BA48BC">
        <w:rPr>
          <w:i/>
        </w:rPr>
        <w:t>Part</w:t>
      </w:r>
      <w:r w:rsidR="00BA48BC" w:rsidRPr="00BA48BC">
        <w:rPr>
          <w:i/>
        </w:rPr>
        <w:t> </w:t>
      </w:r>
      <w:r w:rsidR="00215D37" w:rsidRPr="00BA48BC">
        <w:rPr>
          <w:i/>
        </w:rPr>
        <w:t>7.7A civil penalty provision</w:t>
      </w:r>
      <w:r w:rsidR="00215D37" w:rsidRPr="00BA48BC">
        <w:t>)</w:t>
      </w:r>
    </w:p>
    <w:p w:rsidR="00215D37" w:rsidRPr="00BA48BC" w:rsidRDefault="00215D37" w:rsidP="00BA48BC">
      <w:pPr>
        <w:pStyle w:val="Item"/>
      </w:pPr>
      <w:r w:rsidRPr="00BA48BC">
        <w:t>Repeal the paragraph, substitute:</w:t>
      </w:r>
    </w:p>
    <w:p w:rsidR="00215D37" w:rsidRPr="00BA48BC" w:rsidRDefault="00215D37" w:rsidP="00BA48BC">
      <w:pPr>
        <w:pStyle w:val="paragraph"/>
      </w:pPr>
      <w:r w:rsidRPr="00BA48BC">
        <w:tab/>
        <w:t>(e)</w:t>
      </w:r>
      <w:r w:rsidRPr="00BA48BC">
        <w:tab/>
        <w:t>subsection</w:t>
      </w:r>
      <w:r w:rsidR="00BA48BC" w:rsidRPr="00BA48BC">
        <w:t> </w:t>
      </w:r>
      <w:r w:rsidRPr="00BA48BC">
        <w:t>962R(4) (fee recipient must not deduct ongoing fees without consent);</w:t>
      </w:r>
    </w:p>
    <w:p w:rsidR="00215D37" w:rsidRPr="00BA48BC" w:rsidRDefault="00215D37" w:rsidP="00BA48BC">
      <w:pPr>
        <w:pStyle w:val="paragraph"/>
      </w:pPr>
      <w:r w:rsidRPr="00BA48BC">
        <w:tab/>
        <w:t>(ea)</w:t>
      </w:r>
      <w:r w:rsidRPr="00BA48BC">
        <w:tab/>
        <w:t>subsection</w:t>
      </w:r>
      <w:r w:rsidR="00BA48BC" w:rsidRPr="00BA48BC">
        <w:t> </w:t>
      </w:r>
      <w:r w:rsidRPr="00BA48BC">
        <w:t>962S(4) or (7) (fee recipient must not arrange for deduction of ongoing fees without consent or accept such deductions);</w:t>
      </w:r>
    </w:p>
    <w:p w:rsidR="00215D37" w:rsidRPr="00BA48BC" w:rsidRDefault="00215D37" w:rsidP="00BA48BC">
      <w:pPr>
        <w:pStyle w:val="paragraph"/>
      </w:pPr>
      <w:r w:rsidRPr="00BA48BC">
        <w:tab/>
        <w:t>(eb)</w:t>
      </w:r>
      <w:r w:rsidRPr="00BA48BC">
        <w:tab/>
        <w:t>subsection</w:t>
      </w:r>
      <w:r w:rsidR="00BA48BC" w:rsidRPr="00BA48BC">
        <w:t> </w:t>
      </w:r>
      <w:r w:rsidRPr="00BA48BC">
        <w:t>962U(3) (fee recipient must confirm receipt of variation or withdrawal of consent for deductions of ongoing fees);</w:t>
      </w:r>
    </w:p>
    <w:p w:rsidR="009D774A" w:rsidRPr="00BA48BC" w:rsidRDefault="006354A6" w:rsidP="00BA48BC">
      <w:pPr>
        <w:pStyle w:val="ItemHead"/>
      </w:pPr>
      <w:r w:rsidRPr="00BA48BC">
        <w:t>25</w:t>
      </w:r>
      <w:r w:rsidR="009D774A" w:rsidRPr="00BA48BC">
        <w:t xml:space="preserve">  Section</w:t>
      </w:r>
      <w:r w:rsidR="00BA48BC" w:rsidRPr="00BA48BC">
        <w:t> </w:t>
      </w:r>
      <w:r w:rsidR="009D774A" w:rsidRPr="00BA48BC">
        <w:t xml:space="preserve">960 (definition of </w:t>
      </w:r>
      <w:r w:rsidR="009D774A" w:rsidRPr="00BA48BC">
        <w:rPr>
          <w:i/>
        </w:rPr>
        <w:t>disclosure day</w:t>
      </w:r>
      <w:r w:rsidR="009D774A" w:rsidRPr="00BA48BC">
        <w:t>)</w:t>
      </w:r>
    </w:p>
    <w:p w:rsidR="009D774A" w:rsidRPr="00BA48BC" w:rsidRDefault="009D774A" w:rsidP="00BA48BC">
      <w:pPr>
        <w:pStyle w:val="Item"/>
      </w:pPr>
      <w:r w:rsidRPr="00BA48BC">
        <w:t>Repeal the definition.</w:t>
      </w:r>
    </w:p>
    <w:p w:rsidR="00FE07CC" w:rsidRPr="00BA48BC" w:rsidRDefault="006354A6" w:rsidP="00BA48BC">
      <w:pPr>
        <w:pStyle w:val="ItemHead"/>
      </w:pPr>
      <w:r w:rsidRPr="00BA48BC">
        <w:t>26</w:t>
      </w:r>
      <w:r w:rsidR="00E83C56" w:rsidRPr="00BA48BC">
        <w:t xml:space="preserve">  </w:t>
      </w:r>
      <w:r w:rsidR="00FE07CC" w:rsidRPr="00BA48BC">
        <w:t>In the appropriate position in subsection</w:t>
      </w:r>
      <w:r w:rsidR="00BA48BC" w:rsidRPr="00BA48BC">
        <w:t> </w:t>
      </w:r>
      <w:r w:rsidR="00FE07CC" w:rsidRPr="00BA48BC">
        <w:t>1317E(3)</w:t>
      </w:r>
    </w:p>
    <w:p w:rsidR="00FE07CC" w:rsidRPr="00BA48BC" w:rsidRDefault="00FE07CC" w:rsidP="00BA48BC">
      <w:pPr>
        <w:pStyle w:val="Item"/>
      </w:pPr>
      <w:r w:rsidRPr="00BA48BC">
        <w:t>Insert:</w:t>
      </w:r>
    </w:p>
    <w:p w:rsidR="00FE07CC" w:rsidRPr="00BA48BC" w:rsidRDefault="00FE07CC" w:rsidP="00BA48BC">
      <w:pPr>
        <w:pStyle w:val="Tabletext"/>
      </w:pPr>
    </w:p>
    <w:tbl>
      <w:tblPr>
        <w:tblW w:w="7435" w:type="dxa"/>
        <w:tblLayout w:type="fixed"/>
        <w:tblLook w:val="0000" w:firstRow="0" w:lastRow="0" w:firstColumn="0" w:lastColumn="0" w:noHBand="0" w:noVBand="0"/>
      </w:tblPr>
      <w:tblGrid>
        <w:gridCol w:w="2410"/>
        <w:gridCol w:w="3119"/>
        <w:gridCol w:w="1906"/>
      </w:tblGrid>
      <w:tr w:rsidR="00FE07CC" w:rsidRPr="00BA48BC" w:rsidTr="005054A6">
        <w:tc>
          <w:tcPr>
            <w:tcW w:w="2410" w:type="dxa"/>
            <w:shd w:val="clear" w:color="auto" w:fill="auto"/>
          </w:tcPr>
          <w:p w:rsidR="00FE07CC" w:rsidRPr="00BA48BC" w:rsidRDefault="00FE07CC" w:rsidP="00BA48BC">
            <w:pPr>
              <w:pStyle w:val="Tabletext"/>
            </w:pPr>
            <w:r w:rsidRPr="00BA48BC">
              <w:t>subsection</w:t>
            </w:r>
            <w:r w:rsidR="00BA48BC" w:rsidRPr="00BA48BC">
              <w:t> </w:t>
            </w:r>
            <w:r w:rsidRPr="00BA48BC">
              <w:t>962K(4)</w:t>
            </w:r>
          </w:p>
        </w:tc>
        <w:tc>
          <w:tcPr>
            <w:tcW w:w="3119" w:type="dxa"/>
            <w:shd w:val="clear" w:color="auto" w:fill="auto"/>
          </w:tcPr>
          <w:p w:rsidR="00FE07CC" w:rsidRPr="00BA48BC" w:rsidRDefault="00FE07CC" w:rsidP="00BA48BC">
            <w:pPr>
              <w:pStyle w:val="Tabletext"/>
            </w:pPr>
            <w:r w:rsidRPr="00BA48BC">
              <w:t>fee recipient must g</w:t>
            </w:r>
            <w:r w:rsidR="00750313" w:rsidRPr="00BA48BC">
              <w:t>ive client a renewal notice and fee disclosure statement</w:t>
            </w:r>
          </w:p>
        </w:tc>
        <w:tc>
          <w:tcPr>
            <w:tcW w:w="1906" w:type="dxa"/>
            <w:shd w:val="clear" w:color="auto" w:fill="auto"/>
          </w:tcPr>
          <w:p w:rsidR="00FE07CC" w:rsidRPr="00BA48BC" w:rsidRDefault="00FE07CC" w:rsidP="00BA48BC">
            <w:pPr>
              <w:pStyle w:val="Tabletext"/>
            </w:pPr>
            <w:r w:rsidRPr="00BA48BC">
              <w:t>uncategorised</w:t>
            </w:r>
          </w:p>
        </w:tc>
      </w:tr>
    </w:tbl>
    <w:p w:rsidR="00FE07CC" w:rsidRPr="00BA48BC" w:rsidRDefault="00FE07CC" w:rsidP="00BA48BC">
      <w:pPr>
        <w:pStyle w:val="Tabletext"/>
      </w:pPr>
    </w:p>
    <w:p w:rsidR="00215D37" w:rsidRPr="00BA48BC" w:rsidRDefault="006354A6" w:rsidP="00BA48BC">
      <w:pPr>
        <w:pStyle w:val="ItemHead"/>
      </w:pPr>
      <w:r w:rsidRPr="00BA48BC">
        <w:lastRenderedPageBreak/>
        <w:t>27</w:t>
      </w:r>
      <w:r w:rsidR="00215D37" w:rsidRPr="00BA48BC">
        <w:t xml:space="preserve">  Subsection</w:t>
      </w:r>
      <w:r w:rsidR="00BA48BC" w:rsidRPr="00BA48BC">
        <w:t> </w:t>
      </w:r>
      <w:r w:rsidR="00215D37" w:rsidRPr="00BA48BC">
        <w:t>1317E(3) (table item dealing with subsection</w:t>
      </w:r>
      <w:r w:rsidR="00BA48BC" w:rsidRPr="00BA48BC">
        <w:t> </w:t>
      </w:r>
      <w:r w:rsidR="00215D37" w:rsidRPr="00BA48BC">
        <w:t>962S(1))</w:t>
      </w:r>
    </w:p>
    <w:p w:rsidR="00FF3EFB" w:rsidRPr="00BA48BC" w:rsidRDefault="005054A6" w:rsidP="00BA48BC">
      <w:pPr>
        <w:pStyle w:val="Item"/>
      </w:pPr>
      <w:r w:rsidRPr="00BA48BC">
        <w:t>Repeal the item, substitute:</w:t>
      </w:r>
    </w:p>
    <w:p w:rsidR="00215D37" w:rsidRPr="00BA48BC" w:rsidRDefault="00215D37" w:rsidP="00BA48BC">
      <w:pPr>
        <w:pStyle w:val="Tabletext"/>
      </w:pPr>
    </w:p>
    <w:tbl>
      <w:tblPr>
        <w:tblW w:w="7435"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410"/>
        <w:gridCol w:w="3119"/>
        <w:gridCol w:w="1906"/>
      </w:tblGrid>
      <w:tr w:rsidR="00215D37" w:rsidRPr="00BA48BC" w:rsidTr="00E83C64">
        <w:tc>
          <w:tcPr>
            <w:tcW w:w="2410" w:type="dxa"/>
            <w:tcBorders>
              <w:top w:val="nil"/>
            </w:tcBorders>
            <w:shd w:val="clear" w:color="auto" w:fill="auto"/>
          </w:tcPr>
          <w:p w:rsidR="00215D37" w:rsidRPr="00BA48BC" w:rsidRDefault="00215D37" w:rsidP="00BA48BC">
            <w:pPr>
              <w:pStyle w:val="Tabletext"/>
            </w:pPr>
            <w:r w:rsidRPr="00BA48BC">
              <w:t>subsection</w:t>
            </w:r>
            <w:r w:rsidR="00BA48BC" w:rsidRPr="00BA48BC">
              <w:t> </w:t>
            </w:r>
            <w:r w:rsidRPr="00BA48BC">
              <w:t>962R(4)</w:t>
            </w:r>
          </w:p>
        </w:tc>
        <w:tc>
          <w:tcPr>
            <w:tcW w:w="3119" w:type="dxa"/>
            <w:tcBorders>
              <w:top w:val="nil"/>
            </w:tcBorders>
            <w:shd w:val="clear" w:color="auto" w:fill="auto"/>
          </w:tcPr>
          <w:p w:rsidR="00215D37" w:rsidRPr="00BA48BC" w:rsidRDefault="00215D37" w:rsidP="00BA48BC">
            <w:pPr>
              <w:pStyle w:val="Tabletext"/>
            </w:pPr>
            <w:r w:rsidRPr="00BA48BC">
              <w:t>fee recipient must obtain consent to deduct ongoing fees from an account</w:t>
            </w:r>
          </w:p>
        </w:tc>
        <w:tc>
          <w:tcPr>
            <w:tcW w:w="1906" w:type="dxa"/>
            <w:tcBorders>
              <w:top w:val="nil"/>
            </w:tcBorders>
            <w:shd w:val="clear" w:color="auto" w:fill="auto"/>
          </w:tcPr>
          <w:p w:rsidR="00215D37" w:rsidRPr="00BA48BC" w:rsidRDefault="00215D37" w:rsidP="00BA48BC">
            <w:pPr>
              <w:pStyle w:val="Tabletext"/>
            </w:pPr>
            <w:r w:rsidRPr="00BA48BC">
              <w:t>uncategorised</w:t>
            </w:r>
          </w:p>
        </w:tc>
      </w:tr>
      <w:tr w:rsidR="00215D37" w:rsidRPr="00BA48BC" w:rsidTr="00E83C64">
        <w:tc>
          <w:tcPr>
            <w:tcW w:w="2410" w:type="dxa"/>
            <w:shd w:val="clear" w:color="auto" w:fill="auto"/>
          </w:tcPr>
          <w:p w:rsidR="00215D37" w:rsidRPr="00BA48BC" w:rsidRDefault="00215D37" w:rsidP="00BA48BC">
            <w:pPr>
              <w:pStyle w:val="Tabletext"/>
            </w:pPr>
            <w:r w:rsidRPr="00BA48BC">
              <w:t>subsection</w:t>
            </w:r>
            <w:r w:rsidR="00BA48BC" w:rsidRPr="00BA48BC">
              <w:t> </w:t>
            </w:r>
            <w:r w:rsidRPr="00BA48BC">
              <w:t>962S(4)</w:t>
            </w:r>
          </w:p>
        </w:tc>
        <w:tc>
          <w:tcPr>
            <w:tcW w:w="3119" w:type="dxa"/>
            <w:shd w:val="clear" w:color="auto" w:fill="auto"/>
          </w:tcPr>
          <w:p w:rsidR="00215D37" w:rsidRPr="00BA48BC" w:rsidRDefault="00215D37" w:rsidP="00BA48BC">
            <w:pPr>
              <w:pStyle w:val="Tabletext"/>
            </w:pPr>
            <w:r w:rsidRPr="00BA48BC">
              <w:t>fee recipient must obtain consent to arrange for deductions of ongoing fees from an account</w:t>
            </w:r>
          </w:p>
        </w:tc>
        <w:tc>
          <w:tcPr>
            <w:tcW w:w="1906" w:type="dxa"/>
            <w:shd w:val="clear" w:color="auto" w:fill="auto"/>
          </w:tcPr>
          <w:p w:rsidR="00215D37" w:rsidRPr="00BA48BC" w:rsidRDefault="00215D37" w:rsidP="00BA48BC">
            <w:pPr>
              <w:pStyle w:val="Tabletext"/>
            </w:pPr>
            <w:r w:rsidRPr="00BA48BC">
              <w:t>uncategorised</w:t>
            </w:r>
          </w:p>
        </w:tc>
      </w:tr>
      <w:tr w:rsidR="00215D37" w:rsidRPr="00BA48BC" w:rsidTr="00E83C64">
        <w:tc>
          <w:tcPr>
            <w:tcW w:w="2410" w:type="dxa"/>
            <w:tcBorders>
              <w:bottom w:val="single" w:sz="2" w:space="0" w:color="auto"/>
            </w:tcBorders>
            <w:shd w:val="clear" w:color="auto" w:fill="auto"/>
          </w:tcPr>
          <w:p w:rsidR="00215D37" w:rsidRPr="00BA48BC" w:rsidRDefault="00215D37" w:rsidP="00BA48BC">
            <w:pPr>
              <w:pStyle w:val="Tabletext"/>
            </w:pPr>
            <w:r w:rsidRPr="00BA48BC">
              <w:t>subsection</w:t>
            </w:r>
            <w:r w:rsidR="00BA48BC" w:rsidRPr="00BA48BC">
              <w:t> </w:t>
            </w:r>
            <w:r w:rsidRPr="00BA48BC">
              <w:t>962S(7)</w:t>
            </w:r>
          </w:p>
        </w:tc>
        <w:tc>
          <w:tcPr>
            <w:tcW w:w="3119" w:type="dxa"/>
            <w:tcBorders>
              <w:bottom w:val="single" w:sz="2" w:space="0" w:color="auto"/>
            </w:tcBorders>
            <w:shd w:val="clear" w:color="auto" w:fill="auto"/>
          </w:tcPr>
          <w:p w:rsidR="00215D37" w:rsidRPr="00BA48BC" w:rsidRDefault="00215D37" w:rsidP="00BA48BC">
            <w:pPr>
              <w:pStyle w:val="Tabletext"/>
            </w:pPr>
            <w:r w:rsidRPr="00BA48BC">
              <w:t>fee recipient must not accept payment of ongoing fees resulting from a deduction from an account without consent</w:t>
            </w:r>
          </w:p>
        </w:tc>
        <w:tc>
          <w:tcPr>
            <w:tcW w:w="1906" w:type="dxa"/>
            <w:tcBorders>
              <w:bottom w:val="single" w:sz="2" w:space="0" w:color="auto"/>
            </w:tcBorders>
            <w:shd w:val="clear" w:color="auto" w:fill="auto"/>
          </w:tcPr>
          <w:p w:rsidR="00215D37" w:rsidRPr="00BA48BC" w:rsidRDefault="00215D37" w:rsidP="00BA48BC">
            <w:pPr>
              <w:pStyle w:val="Tabletext"/>
            </w:pPr>
            <w:r w:rsidRPr="00BA48BC">
              <w:t>uncategorised</w:t>
            </w:r>
          </w:p>
        </w:tc>
      </w:tr>
      <w:tr w:rsidR="00215D37" w:rsidRPr="00BA48BC" w:rsidTr="00E83C64">
        <w:tc>
          <w:tcPr>
            <w:tcW w:w="2410" w:type="dxa"/>
            <w:tcBorders>
              <w:top w:val="single" w:sz="2" w:space="0" w:color="auto"/>
              <w:bottom w:val="nil"/>
            </w:tcBorders>
            <w:shd w:val="clear" w:color="auto" w:fill="auto"/>
          </w:tcPr>
          <w:p w:rsidR="00215D37" w:rsidRPr="00BA48BC" w:rsidRDefault="00215D37" w:rsidP="00BA48BC">
            <w:pPr>
              <w:pStyle w:val="Tabletext"/>
            </w:pPr>
            <w:r w:rsidRPr="00BA48BC">
              <w:t>subsection</w:t>
            </w:r>
            <w:r w:rsidR="00BA48BC" w:rsidRPr="00BA48BC">
              <w:t> </w:t>
            </w:r>
            <w:r w:rsidRPr="00BA48BC">
              <w:t>962U(3)</w:t>
            </w:r>
          </w:p>
        </w:tc>
        <w:tc>
          <w:tcPr>
            <w:tcW w:w="3119" w:type="dxa"/>
            <w:tcBorders>
              <w:top w:val="single" w:sz="2" w:space="0" w:color="auto"/>
              <w:bottom w:val="nil"/>
            </w:tcBorders>
            <w:shd w:val="clear" w:color="auto" w:fill="auto"/>
          </w:tcPr>
          <w:p w:rsidR="00215D37" w:rsidRPr="00BA48BC" w:rsidRDefault="00215D37" w:rsidP="00BA48BC">
            <w:pPr>
              <w:pStyle w:val="Tabletext"/>
            </w:pPr>
            <w:r w:rsidRPr="00BA48BC">
              <w:t>fee recipient to confirm receipt of variation or withdrawal of consent for deductions of ongoing fees</w:t>
            </w:r>
          </w:p>
        </w:tc>
        <w:tc>
          <w:tcPr>
            <w:tcW w:w="1906" w:type="dxa"/>
            <w:tcBorders>
              <w:top w:val="single" w:sz="2" w:space="0" w:color="auto"/>
              <w:bottom w:val="nil"/>
            </w:tcBorders>
            <w:shd w:val="clear" w:color="auto" w:fill="auto"/>
          </w:tcPr>
          <w:p w:rsidR="00215D37" w:rsidRPr="00BA48BC" w:rsidRDefault="00215D37" w:rsidP="00BA48BC">
            <w:pPr>
              <w:pStyle w:val="Tabletext"/>
            </w:pPr>
            <w:r w:rsidRPr="00BA48BC">
              <w:t>uncategorised</w:t>
            </w:r>
          </w:p>
        </w:tc>
      </w:tr>
    </w:tbl>
    <w:p w:rsidR="00215D37" w:rsidRPr="00BA48BC" w:rsidRDefault="00215D37" w:rsidP="00BA48BC">
      <w:pPr>
        <w:pStyle w:val="Tabletext"/>
      </w:pPr>
    </w:p>
    <w:p w:rsidR="00215D37" w:rsidRPr="00BA48BC" w:rsidRDefault="006354A6" w:rsidP="00BA48BC">
      <w:pPr>
        <w:pStyle w:val="ItemHead"/>
      </w:pPr>
      <w:r w:rsidRPr="00BA48BC">
        <w:t>2</w:t>
      </w:r>
      <w:r w:rsidR="005054A6" w:rsidRPr="00BA48BC">
        <w:t>8</w:t>
      </w:r>
      <w:r w:rsidR="00215D37" w:rsidRPr="00BA48BC">
        <w:t xml:space="preserve">  Subparagraph 1317QF(2)(a)(ii)</w:t>
      </w:r>
    </w:p>
    <w:p w:rsidR="00215D37" w:rsidRPr="00BA48BC" w:rsidRDefault="00215D37" w:rsidP="00BA48BC">
      <w:pPr>
        <w:pStyle w:val="Item"/>
      </w:pPr>
      <w:r w:rsidRPr="00BA48BC">
        <w:t>After “section</w:t>
      </w:r>
      <w:r w:rsidR="00BA48BC" w:rsidRPr="00BA48BC">
        <w:t> </w:t>
      </w:r>
      <w:r w:rsidRPr="00BA48BC">
        <w:t>1317GA”, insert “or 1317GB”.</w:t>
      </w:r>
    </w:p>
    <w:p w:rsidR="00215D37" w:rsidRPr="00BA48BC" w:rsidRDefault="005054A6" w:rsidP="00BA48BC">
      <w:pPr>
        <w:pStyle w:val="ItemHead"/>
      </w:pPr>
      <w:r w:rsidRPr="00BA48BC">
        <w:t>29</w:t>
      </w:r>
      <w:r w:rsidR="00215D37" w:rsidRPr="00BA48BC">
        <w:t xml:space="preserve">  At the end of paragraph</w:t>
      </w:r>
      <w:r w:rsidR="00BA48BC" w:rsidRPr="00BA48BC">
        <w:t> </w:t>
      </w:r>
      <w:r w:rsidR="00215D37" w:rsidRPr="00BA48BC">
        <w:t>1317QF(3)(b)</w:t>
      </w:r>
    </w:p>
    <w:p w:rsidR="00215D37" w:rsidRPr="00BA48BC" w:rsidRDefault="00215D37" w:rsidP="00BA48BC">
      <w:pPr>
        <w:pStyle w:val="Item"/>
      </w:pPr>
      <w:r w:rsidRPr="00BA48BC">
        <w:t>Add “or 1317GB”.</w:t>
      </w:r>
    </w:p>
    <w:p w:rsidR="00215D37" w:rsidRPr="00BA48BC" w:rsidRDefault="005054A6" w:rsidP="00BA48BC">
      <w:pPr>
        <w:pStyle w:val="ItemHead"/>
      </w:pPr>
      <w:r w:rsidRPr="00BA48BC">
        <w:t>30</w:t>
      </w:r>
      <w:r w:rsidR="00215D37" w:rsidRPr="00BA48BC">
        <w:t xml:space="preserve">  Subsection</w:t>
      </w:r>
      <w:r w:rsidR="00BA48BC" w:rsidRPr="00BA48BC">
        <w:t> </w:t>
      </w:r>
      <w:r w:rsidR="00215D37" w:rsidRPr="00BA48BC">
        <w:t>1317S(1) (</w:t>
      </w:r>
      <w:r w:rsidR="00BA48BC" w:rsidRPr="00BA48BC">
        <w:t>paragraph (</w:t>
      </w:r>
      <w:r w:rsidR="00215D37" w:rsidRPr="00BA48BC">
        <w:t xml:space="preserve">a) of the definition of </w:t>
      </w:r>
      <w:r w:rsidR="00215D37" w:rsidRPr="00BA48BC">
        <w:rPr>
          <w:i/>
        </w:rPr>
        <w:t>eligible proceedings</w:t>
      </w:r>
      <w:r w:rsidR="00215D37" w:rsidRPr="00BA48BC">
        <w:t>)</w:t>
      </w:r>
    </w:p>
    <w:p w:rsidR="00215D37" w:rsidRPr="00BA48BC" w:rsidRDefault="00215D37" w:rsidP="00BA48BC">
      <w:pPr>
        <w:pStyle w:val="Item"/>
      </w:pPr>
      <w:r w:rsidRPr="00BA48BC">
        <w:t>After “1317GA,”, insert “1317GB,”.</w:t>
      </w:r>
    </w:p>
    <w:p w:rsidR="00215D37" w:rsidRPr="00BA48BC" w:rsidRDefault="005054A6" w:rsidP="00BA48BC">
      <w:pPr>
        <w:pStyle w:val="ItemHead"/>
      </w:pPr>
      <w:r w:rsidRPr="00BA48BC">
        <w:t>31</w:t>
      </w:r>
      <w:r w:rsidR="00215D37" w:rsidRPr="00BA48BC">
        <w:t xml:space="preserve">  In the appropriate position in Schedule</w:t>
      </w:r>
      <w:r w:rsidR="00BA48BC" w:rsidRPr="00BA48BC">
        <w:t> </w:t>
      </w:r>
      <w:r w:rsidR="00215D37" w:rsidRPr="00BA48BC">
        <w:t>3</w:t>
      </w:r>
    </w:p>
    <w:p w:rsidR="00215D37" w:rsidRPr="00BA48BC" w:rsidRDefault="00215D37" w:rsidP="00BA48BC">
      <w:pPr>
        <w:pStyle w:val="Item"/>
      </w:pPr>
      <w:r w:rsidRPr="00BA48BC">
        <w:t>Insert:</w:t>
      </w:r>
    </w:p>
    <w:p w:rsidR="00215D37" w:rsidRPr="00BA48BC" w:rsidRDefault="00215D37" w:rsidP="00BA48BC">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215D37" w:rsidRPr="00BA48BC" w:rsidTr="00E83C64">
        <w:tc>
          <w:tcPr>
            <w:tcW w:w="3261" w:type="dxa"/>
            <w:shd w:val="clear" w:color="auto" w:fill="auto"/>
          </w:tcPr>
          <w:p w:rsidR="00215D37" w:rsidRPr="00BA48BC" w:rsidRDefault="00215D37" w:rsidP="00BA48BC">
            <w:pPr>
              <w:pStyle w:val="Tabletext"/>
            </w:pPr>
            <w:r w:rsidRPr="00BA48BC">
              <w:t>Subsection</w:t>
            </w:r>
            <w:r w:rsidR="00BA48BC" w:rsidRPr="00BA48BC">
              <w:t> </w:t>
            </w:r>
            <w:r w:rsidR="0053569C" w:rsidRPr="00BA48BC">
              <w:t>962X</w:t>
            </w:r>
            <w:r w:rsidRPr="00BA48BC">
              <w:t>(1)</w:t>
            </w:r>
          </w:p>
        </w:tc>
        <w:tc>
          <w:tcPr>
            <w:tcW w:w="4111" w:type="dxa"/>
            <w:shd w:val="clear" w:color="auto" w:fill="auto"/>
          </w:tcPr>
          <w:p w:rsidR="00215D37" w:rsidRPr="00BA48BC" w:rsidRDefault="00215D37" w:rsidP="00BA48BC">
            <w:pPr>
              <w:pStyle w:val="Tabletext"/>
            </w:pPr>
            <w:r w:rsidRPr="00BA48BC">
              <w:t>5 years imprisonment</w:t>
            </w:r>
          </w:p>
        </w:tc>
      </w:tr>
    </w:tbl>
    <w:p w:rsidR="00215D37" w:rsidRPr="00BA48BC" w:rsidRDefault="00215D37" w:rsidP="00BA48BC">
      <w:pPr>
        <w:pStyle w:val="Tabletext"/>
        <w:tabs>
          <w:tab w:val="left" w:pos="3828"/>
        </w:tabs>
      </w:pPr>
    </w:p>
    <w:sectPr w:rsidR="00215D37" w:rsidRPr="00BA48BC" w:rsidSect="00BA48BC">
      <w:headerReference w:type="even" r:id="rId8"/>
      <w:headerReference w:type="default" r:id="rId9"/>
      <w:footerReference w:type="even" r:id="rId10"/>
      <w:footerReference w:type="default" r:id="rId11"/>
      <w:headerReference w:type="first" r:id="rId12"/>
      <w:footerReference w:type="first" r:id="rId13"/>
      <w:pgSz w:w="11907" w:h="16839"/>
      <w:pgMar w:top="794" w:right="2409" w:bottom="4252" w:left="2409" w:header="720" w:footer="3402" w:gutter="0"/>
      <w:lnNumType w:countBy="1" w:distance="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E7" w:rsidRDefault="00556BE7" w:rsidP="00664C63">
      <w:pPr>
        <w:spacing w:line="240" w:lineRule="auto"/>
      </w:pPr>
      <w:r>
        <w:separator/>
      </w:r>
    </w:p>
  </w:endnote>
  <w:endnote w:type="continuationSeparator" w:id="0">
    <w:p w:rsidR="00556BE7" w:rsidRDefault="00556BE7"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BA48BC">
    <w:pPr>
      <w:pBdr>
        <w:top w:val="single" w:sz="6" w:space="1" w:color="auto"/>
      </w:pBdr>
      <w:spacing w:before="120"/>
      <w:jc w:val="right"/>
      <w:rPr>
        <w:sz w:val="18"/>
      </w:rPr>
    </w:pPr>
  </w:p>
  <w:p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BA48BC">
      <w:rPr>
        <w:i/>
        <w:noProof/>
        <w:sz w:val="18"/>
      </w:rPr>
      <w:t>18</w:t>
    </w:r>
    <w:r w:rsidRPr="00BB4623">
      <w:rPr>
        <w:i/>
        <w:sz w:val="18"/>
      </w:rPr>
      <w:fldChar w:fldCharType="end"/>
    </w:r>
  </w:p>
  <w:p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02D" w:rsidRDefault="0095602D" w:rsidP="00BA48BC">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95602D" w:rsidRPr="00B3608C" w:rsidTr="00A91C76">
      <w:trPr>
        <w:trHeight w:val="280"/>
      </w:trPr>
      <w:tc>
        <w:tcPr>
          <w:tcW w:w="7087" w:type="dxa"/>
        </w:tcPr>
        <w:p w:rsidR="0095602D" w:rsidRPr="00B3608C" w:rsidRDefault="0095602D" w:rsidP="00A91C7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F91EF6">
            <w:rPr>
              <w:i/>
              <w:noProof/>
              <w:sz w:val="18"/>
            </w:rPr>
            <w:t>2</w:t>
          </w:r>
          <w:r w:rsidRPr="00BB4623">
            <w:rPr>
              <w:i/>
              <w:sz w:val="18"/>
            </w:rPr>
            <w:fldChar w:fldCharType="end"/>
          </w:r>
        </w:p>
      </w:tc>
    </w:tr>
    <w:tr w:rsidR="0095602D" w:rsidRPr="00B3608C" w:rsidTr="00A91C76">
      <w:tc>
        <w:tcPr>
          <w:tcW w:w="7087" w:type="dxa"/>
        </w:tcPr>
        <w:p w:rsidR="0095602D" w:rsidRPr="00B3608C" w:rsidRDefault="0095602D" w:rsidP="00A91C76">
          <w:pPr>
            <w:rPr>
              <w:i/>
              <w:sz w:val="18"/>
            </w:rPr>
          </w:pPr>
          <w:r>
            <w:rPr>
              <w:i/>
              <w:noProof/>
              <w:sz w:val="18"/>
              <w:lang w:eastAsia="en-AU"/>
            </w:rPr>
            <mc:AlternateContent>
              <mc:Choice Requires="wps">
                <w:drawing>
                  <wp:anchor distT="0" distB="0" distL="114300" distR="114300" simplePos="0" relativeHeight="251665408" behindDoc="1" locked="0" layoutInCell="1" allowOverlap="1" wp14:anchorId="00133924" wp14:editId="7C83C89B">
                    <wp:simplePos x="0" y="0"/>
                    <wp:positionH relativeFrom="column">
                      <wp:align>center</wp:align>
                    </wp:positionH>
                    <wp:positionV relativeFrom="page">
                      <wp:posOffset>10079990</wp:posOffset>
                    </wp:positionV>
                    <wp:extent cx="4410075" cy="400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95602D" w:rsidRPr="0033411C" w:rsidRDefault="0095602D" w:rsidP="0095602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52EF9">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793.7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I6XvMpMAwAAywcAAA4AAAAAAAAAAAAAAAAALgIA&#10;AGRycy9lMm9Eb2MueG1sUEsBAi0AFAAGAAgAAAAhADwCUpLfAAAACgEAAA8AAAAAAAAAAAAAAAAA&#10;pgUAAGRycy9kb3ducmV2LnhtbFBLBQYAAAAABAAEAPMAAACyBgAAAAA=&#10;" stroked="f">
                    <v:stroke joinstyle="round"/>
                    <v:path arrowok="t"/>
                    <v:textbox>
                      <w:txbxContent>
                        <w:p w:rsidR="0095602D" w:rsidRPr="0033411C" w:rsidRDefault="0095602D" w:rsidP="0095602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52EF9">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v:textbox>
                    <w10:wrap anchory="page"/>
                  </v:shape>
                </w:pict>
              </mc:Fallback>
            </mc:AlternateContent>
          </w:r>
          <w:r w:rsidRPr="00BB4623">
            <w:rPr>
              <w:i/>
              <w:sz w:val="18"/>
            </w:rPr>
            <w:t xml:space="preserve">  </w:t>
          </w:r>
        </w:p>
      </w:tc>
    </w:tr>
  </w:tbl>
  <w:p w:rsidR="00B3608C" w:rsidRPr="00BB4623" w:rsidRDefault="00B3608C" w:rsidP="00B3608C">
    <w:pPr>
      <w:pStyle w:val="Tabletext"/>
      <w:spacing w:before="0"/>
    </w:pPr>
    <w:r>
      <w:rPr>
        <w:i/>
        <w:noProof/>
        <w:sz w:val="18"/>
      </w:rPr>
      <mc:AlternateContent>
        <mc:Choice Requires="wps">
          <w:drawing>
            <wp:anchor distT="0" distB="0" distL="114300" distR="114300" simplePos="0" relativeHeight="251663360" behindDoc="1" locked="0" layoutInCell="1" allowOverlap="1" wp14:anchorId="597DEDF2" wp14:editId="4F1E41FE">
              <wp:simplePos x="0" y="0"/>
              <wp:positionH relativeFrom="column">
                <wp:posOffset>275590</wp:posOffset>
              </wp:positionH>
              <wp:positionV relativeFrom="page">
                <wp:posOffset>10035540</wp:posOffset>
              </wp:positionV>
              <wp:extent cx="4326255" cy="4343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6255" cy="43434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B3608C" w:rsidRPr="0033411C" w:rsidRDefault="00B3608C" w:rsidP="008E05C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52EF9">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1.7pt;margin-top:790.2pt;width:340.65pt;height:3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" stroked="f">
              <v:stroke joinstyle="round"/>
              <v:path arrowok="t"/>
              <v:textbox>
                <w:txbxContent>
                  <w:p w:rsidR="00B3608C" w:rsidRPr="0033411C" w:rsidRDefault="00B3608C" w:rsidP="008E05CA">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52EF9">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v:textbox>
              <w10:wrap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BA48BC">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E7" w:rsidRDefault="00556BE7" w:rsidP="00664C63">
      <w:pPr>
        <w:spacing w:line="240" w:lineRule="auto"/>
      </w:pPr>
      <w:r>
        <w:separator/>
      </w:r>
    </w:p>
  </w:footnote>
  <w:footnote w:type="continuationSeparator" w:id="0">
    <w:p w:rsidR="00556BE7" w:rsidRDefault="00556BE7"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rPr>
        <w:sz w:val="24"/>
      </w:rPr>
    </w:pPr>
  </w:p>
  <w:p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33411C" w:rsidP="00664C63">
    <w:pPr>
      <w:jc w:val="right"/>
      <w:rPr>
        <w:sz w:val="24"/>
      </w:rPr>
    </w:pPr>
    <w:r>
      <w:rPr>
        <w:noProof/>
        <w:sz w:val="24"/>
        <w:lang w:eastAsia="en-AU"/>
      </w:rPr>
      <mc:AlternateContent>
        <mc:Choice Requires="wps">
          <w:drawing>
            <wp:anchor distT="0" distB="0" distL="114300" distR="114300" simplePos="0" relativeHeight="251659264" behindDoc="1" locked="0" layoutInCell="1" allowOverlap="1" wp14:anchorId="4646D15B" wp14:editId="25DA72AB">
              <wp:simplePos x="0" y="0"/>
              <wp:positionH relativeFrom="column">
                <wp:align>center</wp:align>
              </wp:positionH>
              <wp:positionV relativeFrom="page">
                <wp:posOffset>143510</wp:posOffset>
              </wp:positionV>
              <wp:extent cx="4410075" cy="4000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3411C" w:rsidRPr="0033411C" w:rsidRDefault="0033411C" w:rsidP="003341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52EF9">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PpSAMAAMQ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" stroked="f">
              <v:stroke joinstyle="round"/>
              <v:path arrowok="t"/>
              <v:textbox>
                <w:txbxContent>
                  <w:p w:rsidR="0033411C" w:rsidRPr="0033411C" w:rsidRDefault="0033411C" w:rsidP="003341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52EF9">
                      <w:rPr>
                        <w:rFonts w:ascii="Arial" w:hAnsi="Arial" w:cs="Arial"/>
                        <w:b/>
                        <w:sz w:val="40"/>
                      </w:rPr>
                      <w:t>EXPOSURE DRAFT</w:t>
                    </w:r>
                    <w:r>
                      <w:rPr>
                        <w:rFonts w:ascii="Arial" w:hAnsi="Arial" w:cs="Arial"/>
                        <w:b/>
                        <w:sz w:val="40"/>
                      </w:rPr>
                      <w:fldChar w:fldCharType="end"/>
                    </w:r>
                    <w:r w:rsidRPr="0033411C">
                      <w:rPr>
                        <w:rFonts w:ascii="Arial" w:hAnsi="Arial" w:cs="Arial"/>
                        <w:b/>
                        <w:sz w:val="40"/>
                      </w:rPr>
                      <w:t xml:space="preserve"> </w:t>
                    </w:r>
                  </w:p>
                </w:txbxContent>
              </v:textbox>
              <w10:wrap anchory="page"/>
            </v:shape>
          </w:pict>
        </mc:Fallback>
      </mc:AlternateContent>
    </w:r>
  </w:p>
  <w:p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E7"/>
    <w:rsid w:val="000136AF"/>
    <w:rsid w:val="00014B9A"/>
    <w:rsid w:val="00055D20"/>
    <w:rsid w:val="000614BF"/>
    <w:rsid w:val="00073C5A"/>
    <w:rsid w:val="000843E0"/>
    <w:rsid w:val="00087033"/>
    <w:rsid w:val="000A420C"/>
    <w:rsid w:val="000A4B22"/>
    <w:rsid w:val="000A70A7"/>
    <w:rsid w:val="000C74F9"/>
    <w:rsid w:val="000D05EF"/>
    <w:rsid w:val="000D3899"/>
    <w:rsid w:val="000F21C1"/>
    <w:rsid w:val="000F4126"/>
    <w:rsid w:val="000F72B5"/>
    <w:rsid w:val="001016D1"/>
    <w:rsid w:val="0010240E"/>
    <w:rsid w:val="0010745C"/>
    <w:rsid w:val="0011206D"/>
    <w:rsid w:val="0014009A"/>
    <w:rsid w:val="0014068B"/>
    <w:rsid w:val="00166C2F"/>
    <w:rsid w:val="00182C9A"/>
    <w:rsid w:val="0018435F"/>
    <w:rsid w:val="001939E1"/>
    <w:rsid w:val="00195382"/>
    <w:rsid w:val="001A1AF5"/>
    <w:rsid w:val="001A3BF5"/>
    <w:rsid w:val="001B0F61"/>
    <w:rsid w:val="001B12CC"/>
    <w:rsid w:val="001C2F87"/>
    <w:rsid w:val="001C69C4"/>
    <w:rsid w:val="001E3590"/>
    <w:rsid w:val="001E7407"/>
    <w:rsid w:val="00207B54"/>
    <w:rsid w:val="0021250A"/>
    <w:rsid w:val="00215D37"/>
    <w:rsid w:val="002277A0"/>
    <w:rsid w:val="00237D47"/>
    <w:rsid w:val="00240749"/>
    <w:rsid w:val="00246F5E"/>
    <w:rsid w:val="002472E0"/>
    <w:rsid w:val="00270E42"/>
    <w:rsid w:val="00296415"/>
    <w:rsid w:val="00297ECB"/>
    <w:rsid w:val="002B47AE"/>
    <w:rsid w:val="002C085A"/>
    <w:rsid w:val="002D043A"/>
    <w:rsid w:val="002E65C9"/>
    <w:rsid w:val="002F08B3"/>
    <w:rsid w:val="002F5D12"/>
    <w:rsid w:val="00313C6F"/>
    <w:rsid w:val="00333079"/>
    <w:rsid w:val="0033411C"/>
    <w:rsid w:val="00334771"/>
    <w:rsid w:val="003415D3"/>
    <w:rsid w:val="003445FA"/>
    <w:rsid w:val="00352B0F"/>
    <w:rsid w:val="00364464"/>
    <w:rsid w:val="00372EEB"/>
    <w:rsid w:val="003913BA"/>
    <w:rsid w:val="0039715B"/>
    <w:rsid w:val="003B0F1E"/>
    <w:rsid w:val="003D0317"/>
    <w:rsid w:val="003D0BFE"/>
    <w:rsid w:val="003D3584"/>
    <w:rsid w:val="003D5700"/>
    <w:rsid w:val="003F60D2"/>
    <w:rsid w:val="003F79F7"/>
    <w:rsid w:val="00402376"/>
    <w:rsid w:val="004043EE"/>
    <w:rsid w:val="0040616D"/>
    <w:rsid w:val="00410577"/>
    <w:rsid w:val="004116CD"/>
    <w:rsid w:val="004168B4"/>
    <w:rsid w:val="00424CA9"/>
    <w:rsid w:val="00427D10"/>
    <w:rsid w:val="00431113"/>
    <w:rsid w:val="0044291A"/>
    <w:rsid w:val="004458DE"/>
    <w:rsid w:val="004548A1"/>
    <w:rsid w:val="00454D7F"/>
    <w:rsid w:val="00485DBA"/>
    <w:rsid w:val="00496F97"/>
    <w:rsid w:val="004C3F01"/>
    <w:rsid w:val="004E3680"/>
    <w:rsid w:val="004F414A"/>
    <w:rsid w:val="005054A6"/>
    <w:rsid w:val="005104CE"/>
    <w:rsid w:val="00516B8D"/>
    <w:rsid w:val="0053569C"/>
    <w:rsid w:val="00537FBC"/>
    <w:rsid w:val="00543850"/>
    <w:rsid w:val="00544463"/>
    <w:rsid w:val="00554B20"/>
    <w:rsid w:val="00556600"/>
    <w:rsid w:val="00556BE7"/>
    <w:rsid w:val="00566A39"/>
    <w:rsid w:val="0057417C"/>
    <w:rsid w:val="00584052"/>
    <w:rsid w:val="00584811"/>
    <w:rsid w:val="00593AA6"/>
    <w:rsid w:val="00594161"/>
    <w:rsid w:val="00594749"/>
    <w:rsid w:val="005A6F34"/>
    <w:rsid w:val="005B0F73"/>
    <w:rsid w:val="005B4067"/>
    <w:rsid w:val="005C1C1A"/>
    <w:rsid w:val="005C3F41"/>
    <w:rsid w:val="005C5800"/>
    <w:rsid w:val="005D4DEA"/>
    <w:rsid w:val="005E7DE7"/>
    <w:rsid w:val="005F558B"/>
    <w:rsid w:val="00600219"/>
    <w:rsid w:val="00611C2E"/>
    <w:rsid w:val="00630941"/>
    <w:rsid w:val="006354A6"/>
    <w:rsid w:val="006444FB"/>
    <w:rsid w:val="0065106B"/>
    <w:rsid w:val="006527A6"/>
    <w:rsid w:val="00664C63"/>
    <w:rsid w:val="00676D1A"/>
    <w:rsid w:val="00677CC2"/>
    <w:rsid w:val="00681A22"/>
    <w:rsid w:val="00681A4A"/>
    <w:rsid w:val="0069207B"/>
    <w:rsid w:val="006A58CF"/>
    <w:rsid w:val="006B51F1"/>
    <w:rsid w:val="006C7F8C"/>
    <w:rsid w:val="006D0174"/>
    <w:rsid w:val="006D3764"/>
    <w:rsid w:val="00700B2C"/>
    <w:rsid w:val="00701FCE"/>
    <w:rsid w:val="00711B7D"/>
    <w:rsid w:val="00713084"/>
    <w:rsid w:val="007173B8"/>
    <w:rsid w:val="00727EEB"/>
    <w:rsid w:val="00731E00"/>
    <w:rsid w:val="00732A85"/>
    <w:rsid w:val="0073783D"/>
    <w:rsid w:val="007440B7"/>
    <w:rsid w:val="00750313"/>
    <w:rsid w:val="0075226A"/>
    <w:rsid w:val="007627F4"/>
    <w:rsid w:val="007715C9"/>
    <w:rsid w:val="00774EDD"/>
    <w:rsid w:val="007757EC"/>
    <w:rsid w:val="007845BF"/>
    <w:rsid w:val="00795FCE"/>
    <w:rsid w:val="007978E4"/>
    <w:rsid w:val="007A659A"/>
    <w:rsid w:val="007B081F"/>
    <w:rsid w:val="007E4CC8"/>
    <w:rsid w:val="0080251B"/>
    <w:rsid w:val="0080277D"/>
    <w:rsid w:val="00830815"/>
    <w:rsid w:val="00856A31"/>
    <w:rsid w:val="008754D0"/>
    <w:rsid w:val="00883892"/>
    <w:rsid w:val="008840B8"/>
    <w:rsid w:val="00887791"/>
    <w:rsid w:val="008A6470"/>
    <w:rsid w:val="008B4E8E"/>
    <w:rsid w:val="008C6A83"/>
    <w:rsid w:val="008C7CA5"/>
    <w:rsid w:val="008D0EE0"/>
    <w:rsid w:val="008E05CA"/>
    <w:rsid w:val="008E7FD6"/>
    <w:rsid w:val="008F781D"/>
    <w:rsid w:val="00932377"/>
    <w:rsid w:val="00932FA3"/>
    <w:rsid w:val="0093375F"/>
    <w:rsid w:val="0095602D"/>
    <w:rsid w:val="009620C2"/>
    <w:rsid w:val="009C0B5F"/>
    <w:rsid w:val="009C24EE"/>
    <w:rsid w:val="009D774A"/>
    <w:rsid w:val="009E51A0"/>
    <w:rsid w:val="00A04C6A"/>
    <w:rsid w:val="00A120DD"/>
    <w:rsid w:val="00A231E2"/>
    <w:rsid w:val="00A25627"/>
    <w:rsid w:val="00A30739"/>
    <w:rsid w:val="00A346A3"/>
    <w:rsid w:val="00A415B9"/>
    <w:rsid w:val="00A43A63"/>
    <w:rsid w:val="00A64912"/>
    <w:rsid w:val="00A70A74"/>
    <w:rsid w:val="00A71D75"/>
    <w:rsid w:val="00A82D47"/>
    <w:rsid w:val="00AA5445"/>
    <w:rsid w:val="00AB5A90"/>
    <w:rsid w:val="00AD27B3"/>
    <w:rsid w:val="00AD5641"/>
    <w:rsid w:val="00AE3541"/>
    <w:rsid w:val="00AE59F7"/>
    <w:rsid w:val="00AE7BD7"/>
    <w:rsid w:val="00B05DED"/>
    <w:rsid w:val="00B15E7B"/>
    <w:rsid w:val="00B26413"/>
    <w:rsid w:val="00B3030D"/>
    <w:rsid w:val="00B30BBF"/>
    <w:rsid w:val="00B33B3C"/>
    <w:rsid w:val="00B340B6"/>
    <w:rsid w:val="00B3608C"/>
    <w:rsid w:val="00B372A6"/>
    <w:rsid w:val="00B429C2"/>
    <w:rsid w:val="00B52EF9"/>
    <w:rsid w:val="00B61C25"/>
    <w:rsid w:val="00B70E56"/>
    <w:rsid w:val="00B8683F"/>
    <w:rsid w:val="00BA48BC"/>
    <w:rsid w:val="00BC2ACF"/>
    <w:rsid w:val="00BC30F2"/>
    <w:rsid w:val="00BD1655"/>
    <w:rsid w:val="00BE719A"/>
    <w:rsid w:val="00BE720A"/>
    <w:rsid w:val="00BF7F52"/>
    <w:rsid w:val="00C42BF8"/>
    <w:rsid w:val="00C50043"/>
    <w:rsid w:val="00C53114"/>
    <w:rsid w:val="00C723B9"/>
    <w:rsid w:val="00C7573B"/>
    <w:rsid w:val="00C77D10"/>
    <w:rsid w:val="00C85C89"/>
    <w:rsid w:val="00CB0EA8"/>
    <w:rsid w:val="00CC3B30"/>
    <w:rsid w:val="00CC7A09"/>
    <w:rsid w:val="00CE3CA2"/>
    <w:rsid w:val="00CF0BB2"/>
    <w:rsid w:val="00CF4975"/>
    <w:rsid w:val="00D06ABD"/>
    <w:rsid w:val="00D13441"/>
    <w:rsid w:val="00D3213F"/>
    <w:rsid w:val="00D374CE"/>
    <w:rsid w:val="00D40252"/>
    <w:rsid w:val="00D456B6"/>
    <w:rsid w:val="00D64293"/>
    <w:rsid w:val="00D70DFB"/>
    <w:rsid w:val="00D766DF"/>
    <w:rsid w:val="00D9284D"/>
    <w:rsid w:val="00DD314D"/>
    <w:rsid w:val="00DE5874"/>
    <w:rsid w:val="00E05704"/>
    <w:rsid w:val="00E10FDC"/>
    <w:rsid w:val="00E1363F"/>
    <w:rsid w:val="00E5016B"/>
    <w:rsid w:val="00E54CAB"/>
    <w:rsid w:val="00E57730"/>
    <w:rsid w:val="00E65D3C"/>
    <w:rsid w:val="00E74DC7"/>
    <w:rsid w:val="00E80A6B"/>
    <w:rsid w:val="00E83C56"/>
    <w:rsid w:val="00E83C64"/>
    <w:rsid w:val="00E85CB9"/>
    <w:rsid w:val="00E94998"/>
    <w:rsid w:val="00EA5EE7"/>
    <w:rsid w:val="00EC118D"/>
    <w:rsid w:val="00ED1A6C"/>
    <w:rsid w:val="00EE290D"/>
    <w:rsid w:val="00EE6DCC"/>
    <w:rsid w:val="00EF2E3A"/>
    <w:rsid w:val="00F0132A"/>
    <w:rsid w:val="00F05BF7"/>
    <w:rsid w:val="00F078DC"/>
    <w:rsid w:val="00F15B52"/>
    <w:rsid w:val="00F25FCF"/>
    <w:rsid w:val="00F409EA"/>
    <w:rsid w:val="00F5076A"/>
    <w:rsid w:val="00F534DE"/>
    <w:rsid w:val="00F71234"/>
    <w:rsid w:val="00F8103A"/>
    <w:rsid w:val="00F91EF6"/>
    <w:rsid w:val="00F95F13"/>
    <w:rsid w:val="00FA3991"/>
    <w:rsid w:val="00FD07AC"/>
    <w:rsid w:val="00FE07CC"/>
    <w:rsid w:val="00FE0816"/>
    <w:rsid w:val="00FF0CED"/>
    <w:rsid w:val="00FF3EFB"/>
    <w:rsid w:val="00FF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48B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48BC"/>
  </w:style>
  <w:style w:type="paragraph" w:customStyle="1" w:styleId="OPCParaBase">
    <w:name w:val="OPCParaBase"/>
    <w:qFormat/>
    <w:rsid w:val="00BA48BC"/>
    <w:pPr>
      <w:spacing w:line="260" w:lineRule="atLeast"/>
    </w:pPr>
    <w:rPr>
      <w:rFonts w:eastAsia="Times New Roman" w:cs="Times New Roman"/>
      <w:sz w:val="22"/>
      <w:lang w:eastAsia="en-AU"/>
    </w:rPr>
  </w:style>
  <w:style w:type="paragraph" w:customStyle="1" w:styleId="ShortT">
    <w:name w:val="ShortT"/>
    <w:basedOn w:val="OPCParaBase"/>
    <w:next w:val="Normal"/>
    <w:qFormat/>
    <w:rsid w:val="00BA48BC"/>
    <w:pPr>
      <w:spacing w:line="240" w:lineRule="auto"/>
    </w:pPr>
    <w:rPr>
      <w:b/>
      <w:sz w:val="40"/>
    </w:rPr>
  </w:style>
  <w:style w:type="paragraph" w:customStyle="1" w:styleId="ActHead1">
    <w:name w:val="ActHead 1"/>
    <w:aliases w:val="c"/>
    <w:basedOn w:val="OPCParaBase"/>
    <w:next w:val="Normal"/>
    <w:qFormat/>
    <w:rsid w:val="00BA48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48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48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48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A48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48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48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48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48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48BC"/>
  </w:style>
  <w:style w:type="paragraph" w:customStyle="1" w:styleId="Blocks">
    <w:name w:val="Blocks"/>
    <w:aliases w:val="bb"/>
    <w:basedOn w:val="OPCParaBase"/>
    <w:qFormat/>
    <w:rsid w:val="00BA48BC"/>
    <w:pPr>
      <w:spacing w:line="240" w:lineRule="auto"/>
    </w:pPr>
    <w:rPr>
      <w:sz w:val="24"/>
    </w:rPr>
  </w:style>
  <w:style w:type="paragraph" w:customStyle="1" w:styleId="BoxText">
    <w:name w:val="BoxText"/>
    <w:aliases w:val="bt"/>
    <w:basedOn w:val="OPCParaBase"/>
    <w:qFormat/>
    <w:rsid w:val="00BA48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48BC"/>
    <w:rPr>
      <w:b/>
    </w:rPr>
  </w:style>
  <w:style w:type="paragraph" w:customStyle="1" w:styleId="BoxHeadItalic">
    <w:name w:val="BoxHeadItalic"/>
    <w:aliases w:val="bhi"/>
    <w:basedOn w:val="BoxText"/>
    <w:next w:val="BoxStep"/>
    <w:qFormat/>
    <w:rsid w:val="00BA48BC"/>
    <w:rPr>
      <w:i/>
    </w:rPr>
  </w:style>
  <w:style w:type="paragraph" w:customStyle="1" w:styleId="BoxList">
    <w:name w:val="BoxList"/>
    <w:aliases w:val="bl"/>
    <w:basedOn w:val="BoxText"/>
    <w:qFormat/>
    <w:rsid w:val="00BA48BC"/>
    <w:pPr>
      <w:ind w:left="1559" w:hanging="425"/>
    </w:pPr>
  </w:style>
  <w:style w:type="paragraph" w:customStyle="1" w:styleId="BoxNote">
    <w:name w:val="BoxNote"/>
    <w:aliases w:val="bn"/>
    <w:basedOn w:val="BoxText"/>
    <w:qFormat/>
    <w:rsid w:val="00BA48BC"/>
    <w:pPr>
      <w:tabs>
        <w:tab w:val="left" w:pos="1985"/>
      </w:tabs>
      <w:spacing w:before="122" w:line="198" w:lineRule="exact"/>
      <w:ind w:left="2948" w:hanging="1814"/>
    </w:pPr>
    <w:rPr>
      <w:sz w:val="18"/>
    </w:rPr>
  </w:style>
  <w:style w:type="paragraph" w:customStyle="1" w:styleId="BoxPara">
    <w:name w:val="BoxPara"/>
    <w:aliases w:val="bp"/>
    <w:basedOn w:val="BoxText"/>
    <w:qFormat/>
    <w:rsid w:val="00BA48BC"/>
    <w:pPr>
      <w:tabs>
        <w:tab w:val="right" w:pos="2268"/>
      </w:tabs>
      <w:ind w:left="2552" w:hanging="1418"/>
    </w:pPr>
  </w:style>
  <w:style w:type="paragraph" w:customStyle="1" w:styleId="BoxStep">
    <w:name w:val="BoxStep"/>
    <w:aliases w:val="bs"/>
    <w:basedOn w:val="BoxText"/>
    <w:qFormat/>
    <w:rsid w:val="00BA48BC"/>
    <w:pPr>
      <w:ind w:left="1985" w:hanging="851"/>
    </w:pPr>
  </w:style>
  <w:style w:type="character" w:customStyle="1" w:styleId="CharAmPartNo">
    <w:name w:val="CharAmPartNo"/>
    <w:basedOn w:val="OPCCharBase"/>
    <w:qFormat/>
    <w:rsid w:val="00BA48BC"/>
  </w:style>
  <w:style w:type="character" w:customStyle="1" w:styleId="CharAmPartText">
    <w:name w:val="CharAmPartText"/>
    <w:basedOn w:val="OPCCharBase"/>
    <w:qFormat/>
    <w:rsid w:val="00BA48BC"/>
  </w:style>
  <w:style w:type="character" w:customStyle="1" w:styleId="CharAmSchNo">
    <w:name w:val="CharAmSchNo"/>
    <w:basedOn w:val="OPCCharBase"/>
    <w:qFormat/>
    <w:rsid w:val="00BA48BC"/>
  </w:style>
  <w:style w:type="character" w:customStyle="1" w:styleId="CharAmSchText">
    <w:name w:val="CharAmSchText"/>
    <w:basedOn w:val="OPCCharBase"/>
    <w:qFormat/>
    <w:rsid w:val="00BA48BC"/>
  </w:style>
  <w:style w:type="character" w:customStyle="1" w:styleId="CharBoldItalic">
    <w:name w:val="CharBoldItalic"/>
    <w:basedOn w:val="OPCCharBase"/>
    <w:uiPriority w:val="1"/>
    <w:qFormat/>
    <w:rsid w:val="00BA48BC"/>
    <w:rPr>
      <w:b/>
      <w:i/>
    </w:rPr>
  </w:style>
  <w:style w:type="character" w:customStyle="1" w:styleId="CharChapNo">
    <w:name w:val="CharChapNo"/>
    <w:basedOn w:val="OPCCharBase"/>
    <w:uiPriority w:val="1"/>
    <w:qFormat/>
    <w:rsid w:val="00BA48BC"/>
  </w:style>
  <w:style w:type="character" w:customStyle="1" w:styleId="CharChapText">
    <w:name w:val="CharChapText"/>
    <w:basedOn w:val="OPCCharBase"/>
    <w:uiPriority w:val="1"/>
    <w:qFormat/>
    <w:rsid w:val="00BA48BC"/>
  </w:style>
  <w:style w:type="character" w:customStyle="1" w:styleId="CharDivNo">
    <w:name w:val="CharDivNo"/>
    <w:basedOn w:val="OPCCharBase"/>
    <w:uiPriority w:val="1"/>
    <w:qFormat/>
    <w:rsid w:val="00BA48BC"/>
  </w:style>
  <w:style w:type="character" w:customStyle="1" w:styleId="CharDivText">
    <w:name w:val="CharDivText"/>
    <w:basedOn w:val="OPCCharBase"/>
    <w:uiPriority w:val="1"/>
    <w:qFormat/>
    <w:rsid w:val="00BA48BC"/>
  </w:style>
  <w:style w:type="character" w:customStyle="1" w:styleId="CharItalic">
    <w:name w:val="CharItalic"/>
    <w:basedOn w:val="OPCCharBase"/>
    <w:uiPriority w:val="1"/>
    <w:qFormat/>
    <w:rsid w:val="00BA48BC"/>
    <w:rPr>
      <w:i/>
    </w:rPr>
  </w:style>
  <w:style w:type="character" w:customStyle="1" w:styleId="CharPartNo">
    <w:name w:val="CharPartNo"/>
    <w:basedOn w:val="OPCCharBase"/>
    <w:uiPriority w:val="1"/>
    <w:qFormat/>
    <w:rsid w:val="00BA48BC"/>
  </w:style>
  <w:style w:type="character" w:customStyle="1" w:styleId="CharPartText">
    <w:name w:val="CharPartText"/>
    <w:basedOn w:val="OPCCharBase"/>
    <w:uiPriority w:val="1"/>
    <w:qFormat/>
    <w:rsid w:val="00BA48BC"/>
  </w:style>
  <w:style w:type="character" w:customStyle="1" w:styleId="CharSectno">
    <w:name w:val="CharSectno"/>
    <w:basedOn w:val="OPCCharBase"/>
    <w:qFormat/>
    <w:rsid w:val="00BA48BC"/>
  </w:style>
  <w:style w:type="character" w:customStyle="1" w:styleId="CharSubdNo">
    <w:name w:val="CharSubdNo"/>
    <w:basedOn w:val="OPCCharBase"/>
    <w:uiPriority w:val="1"/>
    <w:qFormat/>
    <w:rsid w:val="00BA48BC"/>
  </w:style>
  <w:style w:type="character" w:customStyle="1" w:styleId="CharSubdText">
    <w:name w:val="CharSubdText"/>
    <w:basedOn w:val="OPCCharBase"/>
    <w:uiPriority w:val="1"/>
    <w:qFormat/>
    <w:rsid w:val="00BA48BC"/>
  </w:style>
  <w:style w:type="paragraph" w:customStyle="1" w:styleId="CTA--">
    <w:name w:val="CTA --"/>
    <w:basedOn w:val="OPCParaBase"/>
    <w:next w:val="Normal"/>
    <w:rsid w:val="00BA48BC"/>
    <w:pPr>
      <w:spacing w:before="60" w:line="240" w:lineRule="atLeast"/>
      <w:ind w:left="142" w:hanging="142"/>
    </w:pPr>
    <w:rPr>
      <w:sz w:val="20"/>
    </w:rPr>
  </w:style>
  <w:style w:type="paragraph" w:customStyle="1" w:styleId="CTA-">
    <w:name w:val="CTA -"/>
    <w:basedOn w:val="OPCParaBase"/>
    <w:rsid w:val="00BA48BC"/>
    <w:pPr>
      <w:spacing w:before="60" w:line="240" w:lineRule="atLeast"/>
      <w:ind w:left="85" w:hanging="85"/>
    </w:pPr>
    <w:rPr>
      <w:sz w:val="20"/>
    </w:rPr>
  </w:style>
  <w:style w:type="paragraph" w:customStyle="1" w:styleId="CTA---">
    <w:name w:val="CTA ---"/>
    <w:basedOn w:val="OPCParaBase"/>
    <w:next w:val="Normal"/>
    <w:rsid w:val="00BA48BC"/>
    <w:pPr>
      <w:spacing w:before="60" w:line="240" w:lineRule="atLeast"/>
      <w:ind w:left="198" w:hanging="198"/>
    </w:pPr>
    <w:rPr>
      <w:sz w:val="20"/>
    </w:rPr>
  </w:style>
  <w:style w:type="paragraph" w:customStyle="1" w:styleId="CTA----">
    <w:name w:val="CTA ----"/>
    <w:basedOn w:val="OPCParaBase"/>
    <w:next w:val="Normal"/>
    <w:rsid w:val="00BA48BC"/>
    <w:pPr>
      <w:spacing w:before="60" w:line="240" w:lineRule="atLeast"/>
      <w:ind w:left="255" w:hanging="255"/>
    </w:pPr>
    <w:rPr>
      <w:sz w:val="20"/>
    </w:rPr>
  </w:style>
  <w:style w:type="paragraph" w:customStyle="1" w:styleId="CTA1a">
    <w:name w:val="CTA 1(a)"/>
    <w:basedOn w:val="OPCParaBase"/>
    <w:rsid w:val="00BA48BC"/>
    <w:pPr>
      <w:tabs>
        <w:tab w:val="right" w:pos="414"/>
      </w:tabs>
      <w:spacing w:before="40" w:line="240" w:lineRule="atLeast"/>
      <w:ind w:left="675" w:hanging="675"/>
    </w:pPr>
    <w:rPr>
      <w:sz w:val="20"/>
    </w:rPr>
  </w:style>
  <w:style w:type="paragraph" w:customStyle="1" w:styleId="CTA1ai">
    <w:name w:val="CTA 1(a)(i)"/>
    <w:basedOn w:val="OPCParaBase"/>
    <w:rsid w:val="00BA48BC"/>
    <w:pPr>
      <w:tabs>
        <w:tab w:val="right" w:pos="1004"/>
      </w:tabs>
      <w:spacing w:before="40" w:line="240" w:lineRule="atLeast"/>
      <w:ind w:left="1253" w:hanging="1253"/>
    </w:pPr>
    <w:rPr>
      <w:sz w:val="20"/>
    </w:rPr>
  </w:style>
  <w:style w:type="paragraph" w:customStyle="1" w:styleId="CTA2a">
    <w:name w:val="CTA 2(a)"/>
    <w:basedOn w:val="OPCParaBase"/>
    <w:rsid w:val="00BA48BC"/>
    <w:pPr>
      <w:tabs>
        <w:tab w:val="right" w:pos="482"/>
      </w:tabs>
      <w:spacing w:before="40" w:line="240" w:lineRule="atLeast"/>
      <w:ind w:left="748" w:hanging="748"/>
    </w:pPr>
    <w:rPr>
      <w:sz w:val="20"/>
    </w:rPr>
  </w:style>
  <w:style w:type="paragraph" w:customStyle="1" w:styleId="CTA2ai">
    <w:name w:val="CTA 2(a)(i)"/>
    <w:basedOn w:val="OPCParaBase"/>
    <w:rsid w:val="00BA48BC"/>
    <w:pPr>
      <w:tabs>
        <w:tab w:val="right" w:pos="1089"/>
      </w:tabs>
      <w:spacing w:before="40" w:line="240" w:lineRule="atLeast"/>
      <w:ind w:left="1327" w:hanging="1327"/>
    </w:pPr>
    <w:rPr>
      <w:sz w:val="20"/>
    </w:rPr>
  </w:style>
  <w:style w:type="paragraph" w:customStyle="1" w:styleId="CTA3a">
    <w:name w:val="CTA 3(a)"/>
    <w:basedOn w:val="OPCParaBase"/>
    <w:rsid w:val="00BA48BC"/>
    <w:pPr>
      <w:tabs>
        <w:tab w:val="right" w:pos="556"/>
      </w:tabs>
      <w:spacing w:before="40" w:line="240" w:lineRule="atLeast"/>
      <w:ind w:left="805" w:hanging="805"/>
    </w:pPr>
    <w:rPr>
      <w:sz w:val="20"/>
    </w:rPr>
  </w:style>
  <w:style w:type="paragraph" w:customStyle="1" w:styleId="CTA3ai">
    <w:name w:val="CTA 3(a)(i)"/>
    <w:basedOn w:val="OPCParaBase"/>
    <w:rsid w:val="00BA48BC"/>
    <w:pPr>
      <w:tabs>
        <w:tab w:val="right" w:pos="1140"/>
      </w:tabs>
      <w:spacing w:before="40" w:line="240" w:lineRule="atLeast"/>
      <w:ind w:left="1361" w:hanging="1361"/>
    </w:pPr>
    <w:rPr>
      <w:sz w:val="20"/>
    </w:rPr>
  </w:style>
  <w:style w:type="paragraph" w:customStyle="1" w:styleId="CTA4a">
    <w:name w:val="CTA 4(a)"/>
    <w:basedOn w:val="OPCParaBase"/>
    <w:rsid w:val="00BA48BC"/>
    <w:pPr>
      <w:tabs>
        <w:tab w:val="right" w:pos="624"/>
      </w:tabs>
      <w:spacing w:before="40" w:line="240" w:lineRule="atLeast"/>
      <w:ind w:left="873" w:hanging="873"/>
    </w:pPr>
    <w:rPr>
      <w:sz w:val="20"/>
    </w:rPr>
  </w:style>
  <w:style w:type="paragraph" w:customStyle="1" w:styleId="CTA4ai">
    <w:name w:val="CTA 4(a)(i)"/>
    <w:basedOn w:val="OPCParaBase"/>
    <w:rsid w:val="00BA48BC"/>
    <w:pPr>
      <w:tabs>
        <w:tab w:val="right" w:pos="1213"/>
      </w:tabs>
      <w:spacing w:before="40" w:line="240" w:lineRule="atLeast"/>
      <w:ind w:left="1452" w:hanging="1452"/>
    </w:pPr>
    <w:rPr>
      <w:sz w:val="20"/>
    </w:rPr>
  </w:style>
  <w:style w:type="paragraph" w:customStyle="1" w:styleId="CTACAPS">
    <w:name w:val="CTA CAPS"/>
    <w:basedOn w:val="OPCParaBase"/>
    <w:rsid w:val="00BA48BC"/>
    <w:pPr>
      <w:spacing w:before="60" w:line="240" w:lineRule="atLeast"/>
    </w:pPr>
    <w:rPr>
      <w:sz w:val="20"/>
    </w:rPr>
  </w:style>
  <w:style w:type="paragraph" w:customStyle="1" w:styleId="CTAright">
    <w:name w:val="CTA right"/>
    <w:basedOn w:val="OPCParaBase"/>
    <w:rsid w:val="00BA48BC"/>
    <w:pPr>
      <w:spacing w:before="60" w:line="240" w:lineRule="auto"/>
      <w:jc w:val="right"/>
    </w:pPr>
    <w:rPr>
      <w:sz w:val="20"/>
    </w:rPr>
  </w:style>
  <w:style w:type="paragraph" w:customStyle="1" w:styleId="subsection">
    <w:name w:val="subsection"/>
    <w:aliases w:val="ss"/>
    <w:basedOn w:val="OPCParaBase"/>
    <w:rsid w:val="00BA48BC"/>
    <w:pPr>
      <w:tabs>
        <w:tab w:val="right" w:pos="1021"/>
      </w:tabs>
      <w:spacing w:before="180" w:line="240" w:lineRule="auto"/>
      <w:ind w:left="1134" w:hanging="1134"/>
    </w:pPr>
  </w:style>
  <w:style w:type="paragraph" w:customStyle="1" w:styleId="Definition">
    <w:name w:val="Definition"/>
    <w:aliases w:val="dd"/>
    <w:basedOn w:val="OPCParaBase"/>
    <w:rsid w:val="00BA48BC"/>
    <w:pPr>
      <w:spacing w:before="180" w:line="240" w:lineRule="auto"/>
      <w:ind w:left="1134"/>
    </w:pPr>
  </w:style>
  <w:style w:type="paragraph" w:customStyle="1" w:styleId="ETAsubitem">
    <w:name w:val="ETA(subitem)"/>
    <w:basedOn w:val="OPCParaBase"/>
    <w:rsid w:val="00BA48BC"/>
    <w:pPr>
      <w:tabs>
        <w:tab w:val="right" w:pos="340"/>
      </w:tabs>
      <w:spacing w:before="60" w:line="240" w:lineRule="auto"/>
      <w:ind w:left="454" w:hanging="454"/>
    </w:pPr>
    <w:rPr>
      <w:sz w:val="20"/>
    </w:rPr>
  </w:style>
  <w:style w:type="paragraph" w:customStyle="1" w:styleId="ETApara">
    <w:name w:val="ETA(para)"/>
    <w:basedOn w:val="OPCParaBase"/>
    <w:rsid w:val="00BA48BC"/>
    <w:pPr>
      <w:tabs>
        <w:tab w:val="right" w:pos="754"/>
      </w:tabs>
      <w:spacing w:before="60" w:line="240" w:lineRule="auto"/>
      <w:ind w:left="828" w:hanging="828"/>
    </w:pPr>
    <w:rPr>
      <w:sz w:val="20"/>
    </w:rPr>
  </w:style>
  <w:style w:type="paragraph" w:customStyle="1" w:styleId="ETAsubpara">
    <w:name w:val="ETA(subpara)"/>
    <w:basedOn w:val="OPCParaBase"/>
    <w:rsid w:val="00BA48BC"/>
    <w:pPr>
      <w:tabs>
        <w:tab w:val="right" w:pos="1083"/>
      </w:tabs>
      <w:spacing w:before="60" w:line="240" w:lineRule="auto"/>
      <w:ind w:left="1191" w:hanging="1191"/>
    </w:pPr>
    <w:rPr>
      <w:sz w:val="20"/>
    </w:rPr>
  </w:style>
  <w:style w:type="paragraph" w:customStyle="1" w:styleId="ETAsub-subpara">
    <w:name w:val="ETA(sub-subpara)"/>
    <w:basedOn w:val="OPCParaBase"/>
    <w:rsid w:val="00BA48BC"/>
    <w:pPr>
      <w:tabs>
        <w:tab w:val="right" w:pos="1412"/>
      </w:tabs>
      <w:spacing w:before="60" w:line="240" w:lineRule="auto"/>
      <w:ind w:left="1525" w:hanging="1525"/>
    </w:pPr>
    <w:rPr>
      <w:sz w:val="20"/>
    </w:rPr>
  </w:style>
  <w:style w:type="paragraph" w:customStyle="1" w:styleId="Formula">
    <w:name w:val="Formula"/>
    <w:basedOn w:val="OPCParaBase"/>
    <w:rsid w:val="00BA48BC"/>
    <w:pPr>
      <w:spacing w:line="240" w:lineRule="auto"/>
      <w:ind w:left="1134"/>
    </w:pPr>
    <w:rPr>
      <w:sz w:val="20"/>
    </w:rPr>
  </w:style>
  <w:style w:type="paragraph" w:styleId="Header">
    <w:name w:val="header"/>
    <w:basedOn w:val="OPCParaBase"/>
    <w:link w:val="HeaderChar"/>
    <w:unhideWhenUsed/>
    <w:rsid w:val="00BA48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48BC"/>
    <w:rPr>
      <w:rFonts w:eastAsia="Times New Roman" w:cs="Times New Roman"/>
      <w:sz w:val="16"/>
      <w:lang w:eastAsia="en-AU"/>
    </w:rPr>
  </w:style>
  <w:style w:type="paragraph" w:customStyle="1" w:styleId="House">
    <w:name w:val="House"/>
    <w:basedOn w:val="OPCParaBase"/>
    <w:rsid w:val="00BA48BC"/>
    <w:pPr>
      <w:spacing w:line="240" w:lineRule="auto"/>
    </w:pPr>
    <w:rPr>
      <w:sz w:val="28"/>
    </w:rPr>
  </w:style>
  <w:style w:type="paragraph" w:customStyle="1" w:styleId="Item">
    <w:name w:val="Item"/>
    <w:aliases w:val="i"/>
    <w:basedOn w:val="OPCParaBase"/>
    <w:next w:val="ItemHead"/>
    <w:rsid w:val="00BA48BC"/>
    <w:pPr>
      <w:keepLines/>
      <w:spacing w:before="80" w:line="240" w:lineRule="auto"/>
      <w:ind w:left="709"/>
    </w:pPr>
  </w:style>
  <w:style w:type="paragraph" w:customStyle="1" w:styleId="ItemHead">
    <w:name w:val="ItemHead"/>
    <w:aliases w:val="ih"/>
    <w:basedOn w:val="OPCParaBase"/>
    <w:next w:val="Item"/>
    <w:rsid w:val="00BA48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48BC"/>
    <w:pPr>
      <w:spacing w:line="240" w:lineRule="auto"/>
    </w:pPr>
    <w:rPr>
      <w:b/>
      <w:sz w:val="32"/>
    </w:rPr>
  </w:style>
  <w:style w:type="paragraph" w:customStyle="1" w:styleId="notedraft">
    <w:name w:val="note(draft)"/>
    <w:aliases w:val="nd"/>
    <w:basedOn w:val="OPCParaBase"/>
    <w:rsid w:val="00BA48BC"/>
    <w:pPr>
      <w:spacing w:before="240" w:line="240" w:lineRule="auto"/>
      <w:ind w:left="284" w:hanging="284"/>
    </w:pPr>
    <w:rPr>
      <w:i/>
      <w:sz w:val="24"/>
    </w:rPr>
  </w:style>
  <w:style w:type="paragraph" w:customStyle="1" w:styleId="notemargin">
    <w:name w:val="note(margin)"/>
    <w:aliases w:val="nm"/>
    <w:basedOn w:val="OPCParaBase"/>
    <w:rsid w:val="00BA48BC"/>
    <w:pPr>
      <w:tabs>
        <w:tab w:val="left" w:pos="709"/>
      </w:tabs>
      <w:spacing w:before="122" w:line="198" w:lineRule="exact"/>
      <w:ind w:left="709" w:hanging="709"/>
    </w:pPr>
    <w:rPr>
      <w:sz w:val="18"/>
    </w:rPr>
  </w:style>
  <w:style w:type="paragraph" w:customStyle="1" w:styleId="noteToPara">
    <w:name w:val="noteToPara"/>
    <w:aliases w:val="ntp"/>
    <w:basedOn w:val="OPCParaBase"/>
    <w:rsid w:val="00BA48BC"/>
    <w:pPr>
      <w:spacing w:before="122" w:line="198" w:lineRule="exact"/>
      <w:ind w:left="2353" w:hanging="709"/>
    </w:pPr>
    <w:rPr>
      <w:sz w:val="18"/>
    </w:rPr>
  </w:style>
  <w:style w:type="paragraph" w:customStyle="1" w:styleId="noteParlAmend">
    <w:name w:val="note(ParlAmend)"/>
    <w:aliases w:val="npp"/>
    <w:basedOn w:val="OPCParaBase"/>
    <w:next w:val="ParlAmend"/>
    <w:rsid w:val="00BA48BC"/>
    <w:pPr>
      <w:spacing w:line="240" w:lineRule="auto"/>
      <w:jc w:val="right"/>
    </w:pPr>
    <w:rPr>
      <w:rFonts w:ascii="Arial" w:hAnsi="Arial"/>
      <w:b/>
      <w:i/>
    </w:rPr>
  </w:style>
  <w:style w:type="paragraph" w:customStyle="1" w:styleId="Page1">
    <w:name w:val="Page1"/>
    <w:basedOn w:val="OPCParaBase"/>
    <w:rsid w:val="00BA48BC"/>
    <w:pPr>
      <w:spacing w:before="5600" w:line="240" w:lineRule="auto"/>
    </w:pPr>
    <w:rPr>
      <w:b/>
      <w:sz w:val="32"/>
    </w:rPr>
  </w:style>
  <w:style w:type="paragraph" w:customStyle="1" w:styleId="PageBreak">
    <w:name w:val="PageBreak"/>
    <w:aliases w:val="pb"/>
    <w:basedOn w:val="OPCParaBase"/>
    <w:rsid w:val="00BA48BC"/>
    <w:pPr>
      <w:spacing w:line="240" w:lineRule="auto"/>
    </w:pPr>
    <w:rPr>
      <w:sz w:val="20"/>
    </w:rPr>
  </w:style>
  <w:style w:type="paragraph" w:customStyle="1" w:styleId="paragraphsub">
    <w:name w:val="paragraph(sub)"/>
    <w:aliases w:val="aa"/>
    <w:basedOn w:val="OPCParaBase"/>
    <w:rsid w:val="00BA48BC"/>
    <w:pPr>
      <w:tabs>
        <w:tab w:val="right" w:pos="1985"/>
      </w:tabs>
      <w:spacing w:before="40" w:line="240" w:lineRule="auto"/>
      <w:ind w:left="2098" w:hanging="2098"/>
    </w:pPr>
  </w:style>
  <w:style w:type="paragraph" w:customStyle="1" w:styleId="paragraphsub-sub">
    <w:name w:val="paragraph(sub-sub)"/>
    <w:aliases w:val="aaa"/>
    <w:basedOn w:val="OPCParaBase"/>
    <w:rsid w:val="00BA48BC"/>
    <w:pPr>
      <w:tabs>
        <w:tab w:val="right" w:pos="2722"/>
      </w:tabs>
      <w:spacing w:before="40" w:line="240" w:lineRule="auto"/>
      <w:ind w:left="2835" w:hanging="2835"/>
    </w:pPr>
  </w:style>
  <w:style w:type="paragraph" w:customStyle="1" w:styleId="paragraph">
    <w:name w:val="paragraph"/>
    <w:aliases w:val="a"/>
    <w:basedOn w:val="OPCParaBase"/>
    <w:rsid w:val="00BA48BC"/>
    <w:pPr>
      <w:tabs>
        <w:tab w:val="right" w:pos="1531"/>
      </w:tabs>
      <w:spacing w:before="40" w:line="240" w:lineRule="auto"/>
      <w:ind w:left="1644" w:hanging="1644"/>
    </w:pPr>
  </w:style>
  <w:style w:type="paragraph" w:customStyle="1" w:styleId="ParlAmend">
    <w:name w:val="ParlAmend"/>
    <w:aliases w:val="pp"/>
    <w:basedOn w:val="OPCParaBase"/>
    <w:rsid w:val="00BA48BC"/>
    <w:pPr>
      <w:spacing w:before="240" w:line="240" w:lineRule="atLeast"/>
      <w:ind w:hanging="567"/>
    </w:pPr>
    <w:rPr>
      <w:sz w:val="24"/>
    </w:rPr>
  </w:style>
  <w:style w:type="paragraph" w:customStyle="1" w:styleId="Penalty">
    <w:name w:val="Penalty"/>
    <w:basedOn w:val="OPCParaBase"/>
    <w:rsid w:val="00BA48BC"/>
    <w:pPr>
      <w:tabs>
        <w:tab w:val="left" w:pos="2977"/>
      </w:tabs>
      <w:spacing w:before="180" w:line="240" w:lineRule="auto"/>
      <w:ind w:left="1985" w:hanging="851"/>
    </w:pPr>
  </w:style>
  <w:style w:type="paragraph" w:customStyle="1" w:styleId="Portfolio">
    <w:name w:val="Portfolio"/>
    <w:basedOn w:val="OPCParaBase"/>
    <w:rsid w:val="00BA48BC"/>
    <w:pPr>
      <w:spacing w:line="240" w:lineRule="auto"/>
    </w:pPr>
    <w:rPr>
      <w:i/>
      <w:sz w:val="20"/>
    </w:rPr>
  </w:style>
  <w:style w:type="paragraph" w:customStyle="1" w:styleId="Preamble">
    <w:name w:val="Preamble"/>
    <w:basedOn w:val="OPCParaBase"/>
    <w:next w:val="Normal"/>
    <w:rsid w:val="00BA48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48BC"/>
    <w:pPr>
      <w:spacing w:line="240" w:lineRule="auto"/>
    </w:pPr>
    <w:rPr>
      <w:i/>
      <w:sz w:val="20"/>
    </w:rPr>
  </w:style>
  <w:style w:type="paragraph" w:customStyle="1" w:styleId="Session">
    <w:name w:val="Session"/>
    <w:basedOn w:val="OPCParaBase"/>
    <w:rsid w:val="00BA48BC"/>
    <w:pPr>
      <w:spacing w:line="240" w:lineRule="auto"/>
    </w:pPr>
    <w:rPr>
      <w:sz w:val="28"/>
    </w:rPr>
  </w:style>
  <w:style w:type="paragraph" w:customStyle="1" w:styleId="Sponsor">
    <w:name w:val="Sponsor"/>
    <w:basedOn w:val="OPCParaBase"/>
    <w:rsid w:val="00BA48BC"/>
    <w:pPr>
      <w:spacing w:line="240" w:lineRule="auto"/>
    </w:pPr>
    <w:rPr>
      <w:i/>
    </w:rPr>
  </w:style>
  <w:style w:type="paragraph" w:customStyle="1" w:styleId="Subitem">
    <w:name w:val="Subitem"/>
    <w:aliases w:val="iss"/>
    <w:basedOn w:val="OPCParaBase"/>
    <w:rsid w:val="00BA48BC"/>
    <w:pPr>
      <w:spacing w:before="180" w:line="240" w:lineRule="auto"/>
      <w:ind w:left="709" w:hanging="709"/>
    </w:pPr>
  </w:style>
  <w:style w:type="paragraph" w:customStyle="1" w:styleId="SubitemHead">
    <w:name w:val="SubitemHead"/>
    <w:aliases w:val="issh"/>
    <w:basedOn w:val="OPCParaBase"/>
    <w:rsid w:val="00BA48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48BC"/>
    <w:pPr>
      <w:spacing w:before="40" w:line="240" w:lineRule="auto"/>
      <w:ind w:left="1134"/>
    </w:pPr>
  </w:style>
  <w:style w:type="paragraph" w:customStyle="1" w:styleId="SubsectionHead">
    <w:name w:val="SubsectionHead"/>
    <w:aliases w:val="ssh"/>
    <w:basedOn w:val="OPCParaBase"/>
    <w:next w:val="subsection"/>
    <w:rsid w:val="00BA48BC"/>
    <w:pPr>
      <w:keepNext/>
      <w:keepLines/>
      <w:spacing w:before="240" w:line="240" w:lineRule="auto"/>
      <w:ind w:left="1134"/>
    </w:pPr>
    <w:rPr>
      <w:i/>
    </w:rPr>
  </w:style>
  <w:style w:type="paragraph" w:customStyle="1" w:styleId="Tablea">
    <w:name w:val="Table(a)"/>
    <w:aliases w:val="ta"/>
    <w:basedOn w:val="OPCParaBase"/>
    <w:rsid w:val="00BA48BC"/>
    <w:pPr>
      <w:spacing w:before="60" w:line="240" w:lineRule="auto"/>
      <w:ind w:left="284" w:hanging="284"/>
    </w:pPr>
    <w:rPr>
      <w:sz w:val="20"/>
    </w:rPr>
  </w:style>
  <w:style w:type="paragraph" w:customStyle="1" w:styleId="TableAA">
    <w:name w:val="Table(AA)"/>
    <w:aliases w:val="taaa"/>
    <w:basedOn w:val="OPCParaBase"/>
    <w:rsid w:val="00BA48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48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A48BC"/>
    <w:pPr>
      <w:spacing w:before="60" w:line="240" w:lineRule="atLeast"/>
    </w:pPr>
    <w:rPr>
      <w:sz w:val="20"/>
    </w:rPr>
  </w:style>
  <w:style w:type="paragraph" w:customStyle="1" w:styleId="TLPBoxTextnote">
    <w:name w:val="TLPBoxText(note"/>
    <w:aliases w:val="right)"/>
    <w:basedOn w:val="OPCParaBase"/>
    <w:rsid w:val="00BA48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48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48BC"/>
    <w:pPr>
      <w:spacing w:before="122" w:line="198" w:lineRule="exact"/>
      <w:ind w:left="1985" w:hanging="851"/>
      <w:jc w:val="right"/>
    </w:pPr>
    <w:rPr>
      <w:sz w:val="18"/>
    </w:rPr>
  </w:style>
  <w:style w:type="paragraph" w:customStyle="1" w:styleId="TLPTableBullet">
    <w:name w:val="TLPTableBullet"/>
    <w:aliases w:val="ttb"/>
    <w:basedOn w:val="OPCParaBase"/>
    <w:rsid w:val="00BA48BC"/>
    <w:pPr>
      <w:spacing w:line="240" w:lineRule="exact"/>
      <w:ind w:left="284" w:hanging="284"/>
    </w:pPr>
    <w:rPr>
      <w:sz w:val="20"/>
    </w:rPr>
  </w:style>
  <w:style w:type="paragraph" w:styleId="TOC1">
    <w:name w:val="toc 1"/>
    <w:basedOn w:val="OPCParaBase"/>
    <w:next w:val="Normal"/>
    <w:uiPriority w:val="39"/>
    <w:semiHidden/>
    <w:unhideWhenUsed/>
    <w:rsid w:val="00BA48B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A48B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A48B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A48B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A48B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A48B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A48B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A48B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A48B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48BC"/>
    <w:pPr>
      <w:keepLines/>
      <w:spacing w:before="240" w:after="120" w:line="240" w:lineRule="auto"/>
      <w:ind w:left="794"/>
    </w:pPr>
    <w:rPr>
      <w:b/>
      <w:kern w:val="28"/>
      <w:sz w:val="20"/>
    </w:rPr>
  </w:style>
  <w:style w:type="paragraph" w:customStyle="1" w:styleId="TofSectsHeading">
    <w:name w:val="TofSects(Heading)"/>
    <w:basedOn w:val="OPCParaBase"/>
    <w:rsid w:val="00BA48BC"/>
    <w:pPr>
      <w:spacing w:before="240" w:after="120" w:line="240" w:lineRule="auto"/>
    </w:pPr>
    <w:rPr>
      <w:b/>
      <w:sz w:val="24"/>
    </w:rPr>
  </w:style>
  <w:style w:type="paragraph" w:customStyle="1" w:styleId="TofSectsSection">
    <w:name w:val="TofSects(Section)"/>
    <w:basedOn w:val="OPCParaBase"/>
    <w:rsid w:val="00BA48BC"/>
    <w:pPr>
      <w:keepLines/>
      <w:spacing w:before="40" w:line="240" w:lineRule="auto"/>
      <w:ind w:left="1588" w:hanging="794"/>
    </w:pPr>
    <w:rPr>
      <w:kern w:val="28"/>
      <w:sz w:val="18"/>
    </w:rPr>
  </w:style>
  <w:style w:type="paragraph" w:customStyle="1" w:styleId="TofSectsSubdiv">
    <w:name w:val="TofSects(Subdiv)"/>
    <w:basedOn w:val="OPCParaBase"/>
    <w:rsid w:val="00BA48BC"/>
    <w:pPr>
      <w:keepLines/>
      <w:spacing w:before="80" w:line="240" w:lineRule="auto"/>
      <w:ind w:left="1588" w:hanging="794"/>
    </w:pPr>
    <w:rPr>
      <w:kern w:val="28"/>
    </w:rPr>
  </w:style>
  <w:style w:type="paragraph" w:customStyle="1" w:styleId="WRStyle">
    <w:name w:val="WR Style"/>
    <w:aliases w:val="WR"/>
    <w:basedOn w:val="OPCParaBase"/>
    <w:rsid w:val="00BA48BC"/>
    <w:pPr>
      <w:spacing w:before="240" w:line="240" w:lineRule="auto"/>
      <w:ind w:left="284" w:hanging="284"/>
    </w:pPr>
    <w:rPr>
      <w:b/>
      <w:i/>
      <w:kern w:val="28"/>
      <w:sz w:val="24"/>
    </w:rPr>
  </w:style>
  <w:style w:type="paragraph" w:customStyle="1" w:styleId="notepara">
    <w:name w:val="note(para)"/>
    <w:aliases w:val="na"/>
    <w:basedOn w:val="OPCParaBase"/>
    <w:rsid w:val="00BA48BC"/>
    <w:pPr>
      <w:spacing w:before="40" w:line="198" w:lineRule="exact"/>
      <w:ind w:left="2354" w:hanging="369"/>
    </w:pPr>
    <w:rPr>
      <w:sz w:val="18"/>
    </w:rPr>
  </w:style>
  <w:style w:type="paragraph" w:styleId="Footer">
    <w:name w:val="footer"/>
    <w:link w:val="FooterChar"/>
    <w:rsid w:val="00BA48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48BC"/>
    <w:rPr>
      <w:rFonts w:eastAsia="Times New Roman" w:cs="Times New Roman"/>
      <w:sz w:val="22"/>
      <w:szCs w:val="24"/>
      <w:lang w:eastAsia="en-AU"/>
    </w:rPr>
  </w:style>
  <w:style w:type="character" w:styleId="LineNumber">
    <w:name w:val="line number"/>
    <w:basedOn w:val="OPCCharBase"/>
    <w:uiPriority w:val="99"/>
    <w:semiHidden/>
    <w:unhideWhenUsed/>
    <w:rsid w:val="00BA48BC"/>
    <w:rPr>
      <w:sz w:val="16"/>
    </w:rPr>
  </w:style>
  <w:style w:type="table" w:customStyle="1" w:styleId="CFlag">
    <w:name w:val="CFlag"/>
    <w:basedOn w:val="TableNormal"/>
    <w:uiPriority w:val="99"/>
    <w:rsid w:val="00BA48BC"/>
    <w:rPr>
      <w:rFonts w:eastAsia="Times New Roman" w:cs="Times New Roman"/>
      <w:lang w:eastAsia="en-AU"/>
    </w:rPr>
    <w:tblPr/>
  </w:style>
  <w:style w:type="paragraph" w:customStyle="1" w:styleId="CompiledActNo">
    <w:name w:val="CompiledActNo"/>
    <w:basedOn w:val="OPCParaBase"/>
    <w:next w:val="Normal"/>
    <w:rsid w:val="00BA48BC"/>
    <w:rPr>
      <w:b/>
      <w:sz w:val="24"/>
      <w:szCs w:val="24"/>
    </w:rPr>
  </w:style>
  <w:style w:type="paragraph" w:customStyle="1" w:styleId="CompiledMadeUnder">
    <w:name w:val="CompiledMadeUnder"/>
    <w:basedOn w:val="OPCParaBase"/>
    <w:next w:val="Normal"/>
    <w:rsid w:val="00BA48BC"/>
    <w:rPr>
      <w:i/>
      <w:sz w:val="24"/>
      <w:szCs w:val="24"/>
    </w:rPr>
  </w:style>
  <w:style w:type="paragraph" w:customStyle="1" w:styleId="ENotesText">
    <w:name w:val="ENotesText"/>
    <w:aliases w:val="Ent"/>
    <w:basedOn w:val="OPCParaBase"/>
    <w:next w:val="Normal"/>
    <w:rsid w:val="00BA48BC"/>
    <w:pPr>
      <w:spacing w:before="120"/>
    </w:pPr>
  </w:style>
  <w:style w:type="paragraph" w:customStyle="1" w:styleId="Paragraphsub-sub-sub">
    <w:name w:val="Paragraph(sub-sub-sub)"/>
    <w:aliases w:val="aaaa"/>
    <w:basedOn w:val="OPCParaBase"/>
    <w:rsid w:val="00BA48BC"/>
    <w:pPr>
      <w:tabs>
        <w:tab w:val="right" w:pos="3402"/>
      </w:tabs>
      <w:spacing w:before="40" w:line="240" w:lineRule="auto"/>
      <w:ind w:left="3402" w:hanging="3402"/>
    </w:pPr>
  </w:style>
  <w:style w:type="paragraph" w:customStyle="1" w:styleId="NoteToSubpara">
    <w:name w:val="NoteToSubpara"/>
    <w:aliases w:val="nts"/>
    <w:basedOn w:val="OPCParaBase"/>
    <w:rsid w:val="00BA48BC"/>
    <w:pPr>
      <w:spacing w:before="40" w:line="198" w:lineRule="exact"/>
      <w:ind w:left="2835" w:hanging="709"/>
    </w:pPr>
    <w:rPr>
      <w:sz w:val="18"/>
    </w:rPr>
  </w:style>
  <w:style w:type="paragraph" w:customStyle="1" w:styleId="ENoteTableHeading">
    <w:name w:val="ENoteTableHeading"/>
    <w:aliases w:val="enth"/>
    <w:basedOn w:val="OPCParaBase"/>
    <w:rsid w:val="00BA48BC"/>
    <w:pPr>
      <w:keepNext/>
      <w:spacing w:before="60" w:line="240" w:lineRule="atLeast"/>
    </w:pPr>
    <w:rPr>
      <w:rFonts w:ascii="Arial" w:hAnsi="Arial"/>
      <w:b/>
      <w:sz w:val="16"/>
    </w:rPr>
  </w:style>
  <w:style w:type="paragraph" w:customStyle="1" w:styleId="ENoteTTi">
    <w:name w:val="ENoteTTi"/>
    <w:aliases w:val="entti"/>
    <w:basedOn w:val="OPCParaBase"/>
    <w:rsid w:val="00BA48BC"/>
    <w:pPr>
      <w:keepNext/>
      <w:spacing w:before="60" w:line="240" w:lineRule="atLeast"/>
      <w:ind w:left="170"/>
    </w:pPr>
    <w:rPr>
      <w:sz w:val="16"/>
    </w:rPr>
  </w:style>
  <w:style w:type="paragraph" w:customStyle="1" w:styleId="ENotesHeading1">
    <w:name w:val="ENotesHeading 1"/>
    <w:aliases w:val="Enh1"/>
    <w:basedOn w:val="OPCParaBase"/>
    <w:next w:val="Normal"/>
    <w:rsid w:val="00BA48BC"/>
    <w:pPr>
      <w:spacing w:before="120"/>
      <w:outlineLvl w:val="1"/>
    </w:pPr>
    <w:rPr>
      <w:b/>
      <w:sz w:val="28"/>
      <w:szCs w:val="28"/>
    </w:rPr>
  </w:style>
  <w:style w:type="paragraph" w:customStyle="1" w:styleId="ENotesHeading2">
    <w:name w:val="ENotesHeading 2"/>
    <w:aliases w:val="Enh2"/>
    <w:basedOn w:val="OPCParaBase"/>
    <w:next w:val="Normal"/>
    <w:rsid w:val="00BA48BC"/>
    <w:pPr>
      <w:spacing w:before="120" w:after="120"/>
      <w:outlineLvl w:val="2"/>
    </w:pPr>
    <w:rPr>
      <w:b/>
      <w:sz w:val="24"/>
      <w:szCs w:val="28"/>
    </w:rPr>
  </w:style>
  <w:style w:type="paragraph" w:customStyle="1" w:styleId="ENoteTTIndentHeading">
    <w:name w:val="ENoteTTIndentHeading"/>
    <w:aliases w:val="enTTHi"/>
    <w:basedOn w:val="OPCParaBase"/>
    <w:rsid w:val="00BA48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8BC"/>
    <w:pPr>
      <w:spacing w:before="60" w:line="240" w:lineRule="atLeast"/>
    </w:pPr>
    <w:rPr>
      <w:sz w:val="16"/>
    </w:rPr>
  </w:style>
  <w:style w:type="paragraph" w:customStyle="1" w:styleId="MadeunderText">
    <w:name w:val="MadeunderText"/>
    <w:basedOn w:val="OPCParaBase"/>
    <w:next w:val="Normal"/>
    <w:rsid w:val="00BA48BC"/>
    <w:pPr>
      <w:spacing w:before="240"/>
    </w:pPr>
    <w:rPr>
      <w:sz w:val="24"/>
      <w:szCs w:val="24"/>
    </w:rPr>
  </w:style>
  <w:style w:type="paragraph" w:customStyle="1" w:styleId="ENotesHeading3">
    <w:name w:val="ENotesHeading 3"/>
    <w:aliases w:val="Enh3"/>
    <w:basedOn w:val="OPCParaBase"/>
    <w:next w:val="Normal"/>
    <w:rsid w:val="00BA48BC"/>
    <w:pPr>
      <w:keepNext/>
      <w:spacing w:before="120" w:line="240" w:lineRule="auto"/>
      <w:outlineLvl w:val="4"/>
    </w:pPr>
    <w:rPr>
      <w:b/>
      <w:szCs w:val="24"/>
    </w:rPr>
  </w:style>
  <w:style w:type="character" w:customStyle="1" w:styleId="CharSubPartTextCASA">
    <w:name w:val="CharSubPartText(CASA)"/>
    <w:basedOn w:val="OPCCharBase"/>
    <w:uiPriority w:val="1"/>
    <w:rsid w:val="00BA48BC"/>
  </w:style>
  <w:style w:type="character" w:customStyle="1" w:styleId="CharSubPartNoCASA">
    <w:name w:val="CharSubPartNo(CASA)"/>
    <w:basedOn w:val="OPCCharBase"/>
    <w:uiPriority w:val="1"/>
    <w:rsid w:val="00BA48BC"/>
  </w:style>
  <w:style w:type="paragraph" w:customStyle="1" w:styleId="ENoteTTIndentHeadingSub">
    <w:name w:val="ENoteTTIndentHeadingSub"/>
    <w:aliases w:val="enTTHis"/>
    <w:basedOn w:val="OPCParaBase"/>
    <w:rsid w:val="00BA48BC"/>
    <w:pPr>
      <w:keepNext/>
      <w:spacing w:before="60" w:line="240" w:lineRule="atLeast"/>
      <w:ind w:left="340"/>
    </w:pPr>
    <w:rPr>
      <w:b/>
      <w:sz w:val="16"/>
    </w:rPr>
  </w:style>
  <w:style w:type="paragraph" w:customStyle="1" w:styleId="ENoteTTiSub">
    <w:name w:val="ENoteTTiSub"/>
    <w:aliases w:val="enttis"/>
    <w:basedOn w:val="OPCParaBase"/>
    <w:rsid w:val="00BA48BC"/>
    <w:pPr>
      <w:keepNext/>
      <w:spacing w:before="60" w:line="240" w:lineRule="atLeast"/>
      <w:ind w:left="340"/>
    </w:pPr>
    <w:rPr>
      <w:sz w:val="16"/>
    </w:rPr>
  </w:style>
  <w:style w:type="paragraph" w:customStyle="1" w:styleId="SubDivisionMigration">
    <w:name w:val="SubDivisionMigration"/>
    <w:aliases w:val="sdm"/>
    <w:basedOn w:val="OPCParaBase"/>
    <w:rsid w:val="00BA48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48BC"/>
    <w:pPr>
      <w:keepNext/>
      <w:keepLines/>
      <w:spacing w:before="240" w:line="240" w:lineRule="auto"/>
      <w:ind w:left="1134" w:hanging="1134"/>
    </w:pPr>
    <w:rPr>
      <w:b/>
      <w:sz w:val="28"/>
    </w:rPr>
  </w:style>
  <w:style w:type="paragraph" w:customStyle="1" w:styleId="notetext">
    <w:name w:val="note(text)"/>
    <w:aliases w:val="n"/>
    <w:basedOn w:val="OPCParaBase"/>
    <w:rsid w:val="00BA48BC"/>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BA48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48BC"/>
    <w:rPr>
      <w:sz w:val="22"/>
    </w:rPr>
  </w:style>
  <w:style w:type="paragraph" w:customStyle="1" w:styleId="SOTextNote">
    <w:name w:val="SO TextNote"/>
    <w:aliases w:val="sont"/>
    <w:basedOn w:val="SOText"/>
    <w:qFormat/>
    <w:rsid w:val="00BA48BC"/>
    <w:pPr>
      <w:spacing w:before="122" w:line="198" w:lineRule="exact"/>
      <w:ind w:left="1843" w:hanging="709"/>
    </w:pPr>
    <w:rPr>
      <w:sz w:val="18"/>
    </w:rPr>
  </w:style>
  <w:style w:type="paragraph" w:customStyle="1" w:styleId="SOPara">
    <w:name w:val="SO Para"/>
    <w:aliases w:val="soa"/>
    <w:basedOn w:val="SOText"/>
    <w:link w:val="SOParaChar"/>
    <w:qFormat/>
    <w:rsid w:val="00BA48BC"/>
    <w:pPr>
      <w:tabs>
        <w:tab w:val="right" w:pos="1786"/>
      </w:tabs>
      <w:spacing w:before="40"/>
      <w:ind w:left="2070" w:hanging="936"/>
    </w:pPr>
  </w:style>
  <w:style w:type="character" w:customStyle="1" w:styleId="SOParaChar">
    <w:name w:val="SO Para Char"/>
    <w:aliases w:val="soa Char"/>
    <w:basedOn w:val="DefaultParagraphFont"/>
    <w:link w:val="SOPara"/>
    <w:rsid w:val="00BA48BC"/>
    <w:rPr>
      <w:sz w:val="22"/>
    </w:rPr>
  </w:style>
  <w:style w:type="paragraph" w:customStyle="1" w:styleId="FileName">
    <w:name w:val="FileName"/>
    <w:basedOn w:val="Normal"/>
    <w:rsid w:val="00BA48BC"/>
  </w:style>
  <w:style w:type="paragraph" w:customStyle="1" w:styleId="TableHeading">
    <w:name w:val="TableHeading"/>
    <w:aliases w:val="th"/>
    <w:basedOn w:val="OPCParaBase"/>
    <w:next w:val="Tabletext"/>
    <w:rsid w:val="00BA48BC"/>
    <w:pPr>
      <w:keepNext/>
      <w:spacing w:before="60" w:line="240" w:lineRule="atLeast"/>
    </w:pPr>
    <w:rPr>
      <w:b/>
      <w:sz w:val="20"/>
    </w:rPr>
  </w:style>
  <w:style w:type="paragraph" w:customStyle="1" w:styleId="SOHeadBold">
    <w:name w:val="SO HeadBold"/>
    <w:aliases w:val="sohb"/>
    <w:basedOn w:val="SOText"/>
    <w:next w:val="SOText"/>
    <w:link w:val="SOHeadBoldChar"/>
    <w:qFormat/>
    <w:rsid w:val="00BA48BC"/>
    <w:rPr>
      <w:b/>
    </w:rPr>
  </w:style>
  <w:style w:type="character" w:customStyle="1" w:styleId="SOHeadBoldChar">
    <w:name w:val="SO HeadBold Char"/>
    <w:aliases w:val="sohb Char"/>
    <w:basedOn w:val="DefaultParagraphFont"/>
    <w:link w:val="SOHeadBold"/>
    <w:rsid w:val="00BA48BC"/>
    <w:rPr>
      <w:b/>
      <w:sz w:val="22"/>
    </w:rPr>
  </w:style>
  <w:style w:type="paragraph" w:customStyle="1" w:styleId="SOHeadItalic">
    <w:name w:val="SO HeadItalic"/>
    <w:aliases w:val="sohi"/>
    <w:basedOn w:val="SOText"/>
    <w:next w:val="SOText"/>
    <w:link w:val="SOHeadItalicChar"/>
    <w:qFormat/>
    <w:rsid w:val="00BA48BC"/>
    <w:rPr>
      <w:i/>
    </w:rPr>
  </w:style>
  <w:style w:type="character" w:customStyle="1" w:styleId="SOHeadItalicChar">
    <w:name w:val="SO HeadItalic Char"/>
    <w:aliases w:val="sohi Char"/>
    <w:basedOn w:val="DefaultParagraphFont"/>
    <w:link w:val="SOHeadItalic"/>
    <w:rsid w:val="00BA48BC"/>
    <w:rPr>
      <w:i/>
      <w:sz w:val="22"/>
    </w:rPr>
  </w:style>
  <w:style w:type="paragraph" w:customStyle="1" w:styleId="SOBullet">
    <w:name w:val="SO Bullet"/>
    <w:aliases w:val="sotb"/>
    <w:basedOn w:val="SOText"/>
    <w:link w:val="SOBulletChar"/>
    <w:qFormat/>
    <w:rsid w:val="00BA48BC"/>
    <w:pPr>
      <w:ind w:left="1559" w:hanging="425"/>
    </w:pPr>
  </w:style>
  <w:style w:type="character" w:customStyle="1" w:styleId="SOBulletChar">
    <w:name w:val="SO Bullet Char"/>
    <w:aliases w:val="sotb Char"/>
    <w:basedOn w:val="DefaultParagraphFont"/>
    <w:link w:val="SOBullet"/>
    <w:rsid w:val="00BA48BC"/>
    <w:rPr>
      <w:sz w:val="22"/>
    </w:rPr>
  </w:style>
  <w:style w:type="paragraph" w:customStyle="1" w:styleId="SOBulletNote">
    <w:name w:val="SO BulletNote"/>
    <w:aliases w:val="sonb"/>
    <w:basedOn w:val="SOTextNote"/>
    <w:link w:val="SOBulletNoteChar"/>
    <w:qFormat/>
    <w:rsid w:val="00BA48BC"/>
    <w:pPr>
      <w:tabs>
        <w:tab w:val="left" w:pos="1560"/>
      </w:tabs>
      <w:ind w:left="2268" w:hanging="1134"/>
    </w:pPr>
  </w:style>
  <w:style w:type="character" w:customStyle="1" w:styleId="SOBulletNoteChar">
    <w:name w:val="SO BulletNote Char"/>
    <w:aliases w:val="sonb Char"/>
    <w:basedOn w:val="DefaultParagraphFont"/>
    <w:link w:val="SOBulletNote"/>
    <w:rsid w:val="00BA48BC"/>
    <w:rPr>
      <w:sz w:val="18"/>
    </w:rPr>
  </w:style>
  <w:style w:type="paragraph" w:customStyle="1" w:styleId="SOText2">
    <w:name w:val="SO Text2"/>
    <w:aliases w:val="sot2"/>
    <w:basedOn w:val="Normal"/>
    <w:next w:val="SOText"/>
    <w:link w:val="SOText2Char"/>
    <w:rsid w:val="00BA48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48BC"/>
    <w:rPr>
      <w:sz w:val="22"/>
    </w:rPr>
  </w:style>
  <w:style w:type="paragraph" w:customStyle="1" w:styleId="SubPartCASA">
    <w:name w:val="SubPart(CASA)"/>
    <w:aliases w:val="csp"/>
    <w:basedOn w:val="OPCParaBase"/>
    <w:next w:val="ActHead3"/>
    <w:rsid w:val="00BA48BC"/>
    <w:pPr>
      <w:keepNext/>
      <w:keepLines/>
      <w:spacing w:before="280"/>
      <w:ind w:left="1134" w:hanging="1134"/>
      <w:outlineLvl w:val="1"/>
    </w:pPr>
    <w:rPr>
      <w:b/>
      <w:kern w:val="28"/>
      <w:sz w:val="32"/>
    </w:rPr>
  </w:style>
  <w:style w:type="paragraph" w:customStyle="1" w:styleId="NotesHeading1">
    <w:name w:val="NotesHeading 1"/>
    <w:basedOn w:val="OPCParaBase"/>
    <w:next w:val="Normal"/>
    <w:rsid w:val="00BA48BC"/>
    <w:rPr>
      <w:b/>
      <w:sz w:val="28"/>
      <w:szCs w:val="28"/>
    </w:rPr>
  </w:style>
  <w:style w:type="paragraph" w:customStyle="1" w:styleId="NotesHeading2">
    <w:name w:val="NotesHeading 2"/>
    <w:basedOn w:val="OPCParaBase"/>
    <w:next w:val="Normal"/>
    <w:rsid w:val="00BA48BC"/>
    <w:rPr>
      <w:b/>
      <w:sz w:val="28"/>
      <w:szCs w:val="28"/>
    </w:rPr>
  </w:style>
  <w:style w:type="paragraph" w:customStyle="1" w:styleId="SignCoverPageEnd">
    <w:name w:val="SignCoverPageEnd"/>
    <w:basedOn w:val="OPCParaBase"/>
    <w:next w:val="Normal"/>
    <w:rsid w:val="00BA48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48BC"/>
    <w:pPr>
      <w:pBdr>
        <w:top w:val="single" w:sz="4" w:space="1" w:color="auto"/>
      </w:pBdr>
      <w:spacing w:before="360"/>
      <w:ind w:right="397"/>
      <w:jc w:val="both"/>
    </w:pPr>
  </w:style>
  <w:style w:type="paragraph" w:customStyle="1" w:styleId="EndNotespara">
    <w:name w:val="EndNotes(para)"/>
    <w:aliases w:val="eta"/>
    <w:basedOn w:val="OPCParaBase"/>
    <w:next w:val="EndNotessubpara"/>
    <w:rsid w:val="00BA48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48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48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48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A48BC"/>
    <w:pPr>
      <w:spacing w:before="60" w:line="240" w:lineRule="auto"/>
    </w:pPr>
    <w:rPr>
      <w:rFonts w:cs="Arial"/>
      <w:sz w:val="20"/>
      <w:szCs w:val="22"/>
    </w:rPr>
  </w:style>
  <w:style w:type="table" w:styleId="TableGrid">
    <w:name w:val="Table Grid"/>
    <w:basedOn w:val="TableNormal"/>
    <w:uiPriority w:val="59"/>
    <w:rsid w:val="00BA4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BA48BC"/>
  </w:style>
  <w:style w:type="character" w:customStyle="1" w:styleId="TabletextChar">
    <w:name w:val="Tabletext Char"/>
    <w:aliases w:val="tt Char"/>
    <w:basedOn w:val="DefaultParagraphFont"/>
    <w:link w:val="Tabletext"/>
    <w:rsid w:val="00215D37"/>
    <w:rPr>
      <w:rFonts w:eastAsia="Times New Roman"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48BC"/>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A48BC"/>
  </w:style>
  <w:style w:type="paragraph" w:customStyle="1" w:styleId="OPCParaBase">
    <w:name w:val="OPCParaBase"/>
    <w:qFormat/>
    <w:rsid w:val="00BA48BC"/>
    <w:pPr>
      <w:spacing w:line="260" w:lineRule="atLeast"/>
    </w:pPr>
    <w:rPr>
      <w:rFonts w:eastAsia="Times New Roman" w:cs="Times New Roman"/>
      <w:sz w:val="22"/>
      <w:lang w:eastAsia="en-AU"/>
    </w:rPr>
  </w:style>
  <w:style w:type="paragraph" w:customStyle="1" w:styleId="ShortT">
    <w:name w:val="ShortT"/>
    <w:basedOn w:val="OPCParaBase"/>
    <w:next w:val="Normal"/>
    <w:qFormat/>
    <w:rsid w:val="00BA48BC"/>
    <w:pPr>
      <w:spacing w:line="240" w:lineRule="auto"/>
    </w:pPr>
    <w:rPr>
      <w:b/>
      <w:sz w:val="40"/>
    </w:rPr>
  </w:style>
  <w:style w:type="paragraph" w:customStyle="1" w:styleId="ActHead1">
    <w:name w:val="ActHead 1"/>
    <w:aliases w:val="c"/>
    <w:basedOn w:val="OPCParaBase"/>
    <w:next w:val="Normal"/>
    <w:qFormat/>
    <w:rsid w:val="00BA48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48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48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48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A48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48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48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48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48B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48BC"/>
  </w:style>
  <w:style w:type="paragraph" w:customStyle="1" w:styleId="Blocks">
    <w:name w:val="Blocks"/>
    <w:aliases w:val="bb"/>
    <w:basedOn w:val="OPCParaBase"/>
    <w:qFormat/>
    <w:rsid w:val="00BA48BC"/>
    <w:pPr>
      <w:spacing w:line="240" w:lineRule="auto"/>
    </w:pPr>
    <w:rPr>
      <w:sz w:val="24"/>
    </w:rPr>
  </w:style>
  <w:style w:type="paragraph" w:customStyle="1" w:styleId="BoxText">
    <w:name w:val="BoxText"/>
    <w:aliases w:val="bt"/>
    <w:basedOn w:val="OPCParaBase"/>
    <w:qFormat/>
    <w:rsid w:val="00BA48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48BC"/>
    <w:rPr>
      <w:b/>
    </w:rPr>
  </w:style>
  <w:style w:type="paragraph" w:customStyle="1" w:styleId="BoxHeadItalic">
    <w:name w:val="BoxHeadItalic"/>
    <w:aliases w:val="bhi"/>
    <w:basedOn w:val="BoxText"/>
    <w:next w:val="BoxStep"/>
    <w:qFormat/>
    <w:rsid w:val="00BA48BC"/>
    <w:rPr>
      <w:i/>
    </w:rPr>
  </w:style>
  <w:style w:type="paragraph" w:customStyle="1" w:styleId="BoxList">
    <w:name w:val="BoxList"/>
    <w:aliases w:val="bl"/>
    <w:basedOn w:val="BoxText"/>
    <w:qFormat/>
    <w:rsid w:val="00BA48BC"/>
    <w:pPr>
      <w:ind w:left="1559" w:hanging="425"/>
    </w:pPr>
  </w:style>
  <w:style w:type="paragraph" w:customStyle="1" w:styleId="BoxNote">
    <w:name w:val="BoxNote"/>
    <w:aliases w:val="bn"/>
    <w:basedOn w:val="BoxText"/>
    <w:qFormat/>
    <w:rsid w:val="00BA48BC"/>
    <w:pPr>
      <w:tabs>
        <w:tab w:val="left" w:pos="1985"/>
      </w:tabs>
      <w:spacing w:before="122" w:line="198" w:lineRule="exact"/>
      <w:ind w:left="2948" w:hanging="1814"/>
    </w:pPr>
    <w:rPr>
      <w:sz w:val="18"/>
    </w:rPr>
  </w:style>
  <w:style w:type="paragraph" w:customStyle="1" w:styleId="BoxPara">
    <w:name w:val="BoxPara"/>
    <w:aliases w:val="bp"/>
    <w:basedOn w:val="BoxText"/>
    <w:qFormat/>
    <w:rsid w:val="00BA48BC"/>
    <w:pPr>
      <w:tabs>
        <w:tab w:val="right" w:pos="2268"/>
      </w:tabs>
      <w:ind w:left="2552" w:hanging="1418"/>
    </w:pPr>
  </w:style>
  <w:style w:type="paragraph" w:customStyle="1" w:styleId="BoxStep">
    <w:name w:val="BoxStep"/>
    <w:aliases w:val="bs"/>
    <w:basedOn w:val="BoxText"/>
    <w:qFormat/>
    <w:rsid w:val="00BA48BC"/>
    <w:pPr>
      <w:ind w:left="1985" w:hanging="851"/>
    </w:pPr>
  </w:style>
  <w:style w:type="character" w:customStyle="1" w:styleId="CharAmPartNo">
    <w:name w:val="CharAmPartNo"/>
    <w:basedOn w:val="OPCCharBase"/>
    <w:qFormat/>
    <w:rsid w:val="00BA48BC"/>
  </w:style>
  <w:style w:type="character" w:customStyle="1" w:styleId="CharAmPartText">
    <w:name w:val="CharAmPartText"/>
    <w:basedOn w:val="OPCCharBase"/>
    <w:qFormat/>
    <w:rsid w:val="00BA48BC"/>
  </w:style>
  <w:style w:type="character" w:customStyle="1" w:styleId="CharAmSchNo">
    <w:name w:val="CharAmSchNo"/>
    <w:basedOn w:val="OPCCharBase"/>
    <w:qFormat/>
    <w:rsid w:val="00BA48BC"/>
  </w:style>
  <w:style w:type="character" w:customStyle="1" w:styleId="CharAmSchText">
    <w:name w:val="CharAmSchText"/>
    <w:basedOn w:val="OPCCharBase"/>
    <w:qFormat/>
    <w:rsid w:val="00BA48BC"/>
  </w:style>
  <w:style w:type="character" w:customStyle="1" w:styleId="CharBoldItalic">
    <w:name w:val="CharBoldItalic"/>
    <w:basedOn w:val="OPCCharBase"/>
    <w:uiPriority w:val="1"/>
    <w:qFormat/>
    <w:rsid w:val="00BA48BC"/>
    <w:rPr>
      <w:b/>
      <w:i/>
    </w:rPr>
  </w:style>
  <w:style w:type="character" w:customStyle="1" w:styleId="CharChapNo">
    <w:name w:val="CharChapNo"/>
    <w:basedOn w:val="OPCCharBase"/>
    <w:uiPriority w:val="1"/>
    <w:qFormat/>
    <w:rsid w:val="00BA48BC"/>
  </w:style>
  <w:style w:type="character" w:customStyle="1" w:styleId="CharChapText">
    <w:name w:val="CharChapText"/>
    <w:basedOn w:val="OPCCharBase"/>
    <w:uiPriority w:val="1"/>
    <w:qFormat/>
    <w:rsid w:val="00BA48BC"/>
  </w:style>
  <w:style w:type="character" w:customStyle="1" w:styleId="CharDivNo">
    <w:name w:val="CharDivNo"/>
    <w:basedOn w:val="OPCCharBase"/>
    <w:uiPriority w:val="1"/>
    <w:qFormat/>
    <w:rsid w:val="00BA48BC"/>
  </w:style>
  <w:style w:type="character" w:customStyle="1" w:styleId="CharDivText">
    <w:name w:val="CharDivText"/>
    <w:basedOn w:val="OPCCharBase"/>
    <w:uiPriority w:val="1"/>
    <w:qFormat/>
    <w:rsid w:val="00BA48BC"/>
  </w:style>
  <w:style w:type="character" w:customStyle="1" w:styleId="CharItalic">
    <w:name w:val="CharItalic"/>
    <w:basedOn w:val="OPCCharBase"/>
    <w:uiPriority w:val="1"/>
    <w:qFormat/>
    <w:rsid w:val="00BA48BC"/>
    <w:rPr>
      <w:i/>
    </w:rPr>
  </w:style>
  <w:style w:type="character" w:customStyle="1" w:styleId="CharPartNo">
    <w:name w:val="CharPartNo"/>
    <w:basedOn w:val="OPCCharBase"/>
    <w:uiPriority w:val="1"/>
    <w:qFormat/>
    <w:rsid w:val="00BA48BC"/>
  </w:style>
  <w:style w:type="character" w:customStyle="1" w:styleId="CharPartText">
    <w:name w:val="CharPartText"/>
    <w:basedOn w:val="OPCCharBase"/>
    <w:uiPriority w:val="1"/>
    <w:qFormat/>
    <w:rsid w:val="00BA48BC"/>
  </w:style>
  <w:style w:type="character" w:customStyle="1" w:styleId="CharSectno">
    <w:name w:val="CharSectno"/>
    <w:basedOn w:val="OPCCharBase"/>
    <w:qFormat/>
    <w:rsid w:val="00BA48BC"/>
  </w:style>
  <w:style w:type="character" w:customStyle="1" w:styleId="CharSubdNo">
    <w:name w:val="CharSubdNo"/>
    <w:basedOn w:val="OPCCharBase"/>
    <w:uiPriority w:val="1"/>
    <w:qFormat/>
    <w:rsid w:val="00BA48BC"/>
  </w:style>
  <w:style w:type="character" w:customStyle="1" w:styleId="CharSubdText">
    <w:name w:val="CharSubdText"/>
    <w:basedOn w:val="OPCCharBase"/>
    <w:uiPriority w:val="1"/>
    <w:qFormat/>
    <w:rsid w:val="00BA48BC"/>
  </w:style>
  <w:style w:type="paragraph" w:customStyle="1" w:styleId="CTA--">
    <w:name w:val="CTA --"/>
    <w:basedOn w:val="OPCParaBase"/>
    <w:next w:val="Normal"/>
    <w:rsid w:val="00BA48BC"/>
    <w:pPr>
      <w:spacing w:before="60" w:line="240" w:lineRule="atLeast"/>
      <w:ind w:left="142" w:hanging="142"/>
    </w:pPr>
    <w:rPr>
      <w:sz w:val="20"/>
    </w:rPr>
  </w:style>
  <w:style w:type="paragraph" w:customStyle="1" w:styleId="CTA-">
    <w:name w:val="CTA -"/>
    <w:basedOn w:val="OPCParaBase"/>
    <w:rsid w:val="00BA48BC"/>
    <w:pPr>
      <w:spacing w:before="60" w:line="240" w:lineRule="atLeast"/>
      <w:ind w:left="85" w:hanging="85"/>
    </w:pPr>
    <w:rPr>
      <w:sz w:val="20"/>
    </w:rPr>
  </w:style>
  <w:style w:type="paragraph" w:customStyle="1" w:styleId="CTA---">
    <w:name w:val="CTA ---"/>
    <w:basedOn w:val="OPCParaBase"/>
    <w:next w:val="Normal"/>
    <w:rsid w:val="00BA48BC"/>
    <w:pPr>
      <w:spacing w:before="60" w:line="240" w:lineRule="atLeast"/>
      <w:ind w:left="198" w:hanging="198"/>
    </w:pPr>
    <w:rPr>
      <w:sz w:val="20"/>
    </w:rPr>
  </w:style>
  <w:style w:type="paragraph" w:customStyle="1" w:styleId="CTA----">
    <w:name w:val="CTA ----"/>
    <w:basedOn w:val="OPCParaBase"/>
    <w:next w:val="Normal"/>
    <w:rsid w:val="00BA48BC"/>
    <w:pPr>
      <w:spacing w:before="60" w:line="240" w:lineRule="atLeast"/>
      <w:ind w:left="255" w:hanging="255"/>
    </w:pPr>
    <w:rPr>
      <w:sz w:val="20"/>
    </w:rPr>
  </w:style>
  <w:style w:type="paragraph" w:customStyle="1" w:styleId="CTA1a">
    <w:name w:val="CTA 1(a)"/>
    <w:basedOn w:val="OPCParaBase"/>
    <w:rsid w:val="00BA48BC"/>
    <w:pPr>
      <w:tabs>
        <w:tab w:val="right" w:pos="414"/>
      </w:tabs>
      <w:spacing w:before="40" w:line="240" w:lineRule="atLeast"/>
      <w:ind w:left="675" w:hanging="675"/>
    </w:pPr>
    <w:rPr>
      <w:sz w:val="20"/>
    </w:rPr>
  </w:style>
  <w:style w:type="paragraph" w:customStyle="1" w:styleId="CTA1ai">
    <w:name w:val="CTA 1(a)(i)"/>
    <w:basedOn w:val="OPCParaBase"/>
    <w:rsid w:val="00BA48BC"/>
    <w:pPr>
      <w:tabs>
        <w:tab w:val="right" w:pos="1004"/>
      </w:tabs>
      <w:spacing w:before="40" w:line="240" w:lineRule="atLeast"/>
      <w:ind w:left="1253" w:hanging="1253"/>
    </w:pPr>
    <w:rPr>
      <w:sz w:val="20"/>
    </w:rPr>
  </w:style>
  <w:style w:type="paragraph" w:customStyle="1" w:styleId="CTA2a">
    <w:name w:val="CTA 2(a)"/>
    <w:basedOn w:val="OPCParaBase"/>
    <w:rsid w:val="00BA48BC"/>
    <w:pPr>
      <w:tabs>
        <w:tab w:val="right" w:pos="482"/>
      </w:tabs>
      <w:spacing w:before="40" w:line="240" w:lineRule="atLeast"/>
      <w:ind w:left="748" w:hanging="748"/>
    </w:pPr>
    <w:rPr>
      <w:sz w:val="20"/>
    </w:rPr>
  </w:style>
  <w:style w:type="paragraph" w:customStyle="1" w:styleId="CTA2ai">
    <w:name w:val="CTA 2(a)(i)"/>
    <w:basedOn w:val="OPCParaBase"/>
    <w:rsid w:val="00BA48BC"/>
    <w:pPr>
      <w:tabs>
        <w:tab w:val="right" w:pos="1089"/>
      </w:tabs>
      <w:spacing w:before="40" w:line="240" w:lineRule="atLeast"/>
      <w:ind w:left="1327" w:hanging="1327"/>
    </w:pPr>
    <w:rPr>
      <w:sz w:val="20"/>
    </w:rPr>
  </w:style>
  <w:style w:type="paragraph" w:customStyle="1" w:styleId="CTA3a">
    <w:name w:val="CTA 3(a)"/>
    <w:basedOn w:val="OPCParaBase"/>
    <w:rsid w:val="00BA48BC"/>
    <w:pPr>
      <w:tabs>
        <w:tab w:val="right" w:pos="556"/>
      </w:tabs>
      <w:spacing w:before="40" w:line="240" w:lineRule="atLeast"/>
      <w:ind w:left="805" w:hanging="805"/>
    </w:pPr>
    <w:rPr>
      <w:sz w:val="20"/>
    </w:rPr>
  </w:style>
  <w:style w:type="paragraph" w:customStyle="1" w:styleId="CTA3ai">
    <w:name w:val="CTA 3(a)(i)"/>
    <w:basedOn w:val="OPCParaBase"/>
    <w:rsid w:val="00BA48BC"/>
    <w:pPr>
      <w:tabs>
        <w:tab w:val="right" w:pos="1140"/>
      </w:tabs>
      <w:spacing w:before="40" w:line="240" w:lineRule="atLeast"/>
      <w:ind w:left="1361" w:hanging="1361"/>
    </w:pPr>
    <w:rPr>
      <w:sz w:val="20"/>
    </w:rPr>
  </w:style>
  <w:style w:type="paragraph" w:customStyle="1" w:styleId="CTA4a">
    <w:name w:val="CTA 4(a)"/>
    <w:basedOn w:val="OPCParaBase"/>
    <w:rsid w:val="00BA48BC"/>
    <w:pPr>
      <w:tabs>
        <w:tab w:val="right" w:pos="624"/>
      </w:tabs>
      <w:spacing w:before="40" w:line="240" w:lineRule="atLeast"/>
      <w:ind w:left="873" w:hanging="873"/>
    </w:pPr>
    <w:rPr>
      <w:sz w:val="20"/>
    </w:rPr>
  </w:style>
  <w:style w:type="paragraph" w:customStyle="1" w:styleId="CTA4ai">
    <w:name w:val="CTA 4(a)(i)"/>
    <w:basedOn w:val="OPCParaBase"/>
    <w:rsid w:val="00BA48BC"/>
    <w:pPr>
      <w:tabs>
        <w:tab w:val="right" w:pos="1213"/>
      </w:tabs>
      <w:spacing w:before="40" w:line="240" w:lineRule="atLeast"/>
      <w:ind w:left="1452" w:hanging="1452"/>
    </w:pPr>
    <w:rPr>
      <w:sz w:val="20"/>
    </w:rPr>
  </w:style>
  <w:style w:type="paragraph" w:customStyle="1" w:styleId="CTACAPS">
    <w:name w:val="CTA CAPS"/>
    <w:basedOn w:val="OPCParaBase"/>
    <w:rsid w:val="00BA48BC"/>
    <w:pPr>
      <w:spacing w:before="60" w:line="240" w:lineRule="atLeast"/>
    </w:pPr>
    <w:rPr>
      <w:sz w:val="20"/>
    </w:rPr>
  </w:style>
  <w:style w:type="paragraph" w:customStyle="1" w:styleId="CTAright">
    <w:name w:val="CTA right"/>
    <w:basedOn w:val="OPCParaBase"/>
    <w:rsid w:val="00BA48BC"/>
    <w:pPr>
      <w:spacing w:before="60" w:line="240" w:lineRule="auto"/>
      <w:jc w:val="right"/>
    </w:pPr>
    <w:rPr>
      <w:sz w:val="20"/>
    </w:rPr>
  </w:style>
  <w:style w:type="paragraph" w:customStyle="1" w:styleId="subsection">
    <w:name w:val="subsection"/>
    <w:aliases w:val="ss"/>
    <w:basedOn w:val="OPCParaBase"/>
    <w:rsid w:val="00BA48BC"/>
    <w:pPr>
      <w:tabs>
        <w:tab w:val="right" w:pos="1021"/>
      </w:tabs>
      <w:spacing w:before="180" w:line="240" w:lineRule="auto"/>
      <w:ind w:left="1134" w:hanging="1134"/>
    </w:pPr>
  </w:style>
  <w:style w:type="paragraph" w:customStyle="1" w:styleId="Definition">
    <w:name w:val="Definition"/>
    <w:aliases w:val="dd"/>
    <w:basedOn w:val="OPCParaBase"/>
    <w:rsid w:val="00BA48BC"/>
    <w:pPr>
      <w:spacing w:before="180" w:line="240" w:lineRule="auto"/>
      <w:ind w:left="1134"/>
    </w:pPr>
  </w:style>
  <w:style w:type="paragraph" w:customStyle="1" w:styleId="ETAsubitem">
    <w:name w:val="ETA(subitem)"/>
    <w:basedOn w:val="OPCParaBase"/>
    <w:rsid w:val="00BA48BC"/>
    <w:pPr>
      <w:tabs>
        <w:tab w:val="right" w:pos="340"/>
      </w:tabs>
      <w:spacing w:before="60" w:line="240" w:lineRule="auto"/>
      <w:ind w:left="454" w:hanging="454"/>
    </w:pPr>
    <w:rPr>
      <w:sz w:val="20"/>
    </w:rPr>
  </w:style>
  <w:style w:type="paragraph" w:customStyle="1" w:styleId="ETApara">
    <w:name w:val="ETA(para)"/>
    <w:basedOn w:val="OPCParaBase"/>
    <w:rsid w:val="00BA48BC"/>
    <w:pPr>
      <w:tabs>
        <w:tab w:val="right" w:pos="754"/>
      </w:tabs>
      <w:spacing w:before="60" w:line="240" w:lineRule="auto"/>
      <w:ind w:left="828" w:hanging="828"/>
    </w:pPr>
    <w:rPr>
      <w:sz w:val="20"/>
    </w:rPr>
  </w:style>
  <w:style w:type="paragraph" w:customStyle="1" w:styleId="ETAsubpara">
    <w:name w:val="ETA(subpara)"/>
    <w:basedOn w:val="OPCParaBase"/>
    <w:rsid w:val="00BA48BC"/>
    <w:pPr>
      <w:tabs>
        <w:tab w:val="right" w:pos="1083"/>
      </w:tabs>
      <w:spacing w:before="60" w:line="240" w:lineRule="auto"/>
      <w:ind w:left="1191" w:hanging="1191"/>
    </w:pPr>
    <w:rPr>
      <w:sz w:val="20"/>
    </w:rPr>
  </w:style>
  <w:style w:type="paragraph" w:customStyle="1" w:styleId="ETAsub-subpara">
    <w:name w:val="ETA(sub-subpara)"/>
    <w:basedOn w:val="OPCParaBase"/>
    <w:rsid w:val="00BA48BC"/>
    <w:pPr>
      <w:tabs>
        <w:tab w:val="right" w:pos="1412"/>
      </w:tabs>
      <w:spacing w:before="60" w:line="240" w:lineRule="auto"/>
      <w:ind w:left="1525" w:hanging="1525"/>
    </w:pPr>
    <w:rPr>
      <w:sz w:val="20"/>
    </w:rPr>
  </w:style>
  <w:style w:type="paragraph" w:customStyle="1" w:styleId="Formula">
    <w:name w:val="Formula"/>
    <w:basedOn w:val="OPCParaBase"/>
    <w:rsid w:val="00BA48BC"/>
    <w:pPr>
      <w:spacing w:line="240" w:lineRule="auto"/>
      <w:ind w:left="1134"/>
    </w:pPr>
    <w:rPr>
      <w:sz w:val="20"/>
    </w:rPr>
  </w:style>
  <w:style w:type="paragraph" w:styleId="Header">
    <w:name w:val="header"/>
    <w:basedOn w:val="OPCParaBase"/>
    <w:link w:val="HeaderChar"/>
    <w:unhideWhenUsed/>
    <w:rsid w:val="00BA48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A48BC"/>
    <w:rPr>
      <w:rFonts w:eastAsia="Times New Roman" w:cs="Times New Roman"/>
      <w:sz w:val="16"/>
      <w:lang w:eastAsia="en-AU"/>
    </w:rPr>
  </w:style>
  <w:style w:type="paragraph" w:customStyle="1" w:styleId="House">
    <w:name w:val="House"/>
    <w:basedOn w:val="OPCParaBase"/>
    <w:rsid w:val="00BA48BC"/>
    <w:pPr>
      <w:spacing w:line="240" w:lineRule="auto"/>
    </w:pPr>
    <w:rPr>
      <w:sz w:val="28"/>
    </w:rPr>
  </w:style>
  <w:style w:type="paragraph" w:customStyle="1" w:styleId="Item">
    <w:name w:val="Item"/>
    <w:aliases w:val="i"/>
    <w:basedOn w:val="OPCParaBase"/>
    <w:next w:val="ItemHead"/>
    <w:rsid w:val="00BA48BC"/>
    <w:pPr>
      <w:keepLines/>
      <w:spacing w:before="80" w:line="240" w:lineRule="auto"/>
      <w:ind w:left="709"/>
    </w:pPr>
  </w:style>
  <w:style w:type="paragraph" w:customStyle="1" w:styleId="ItemHead">
    <w:name w:val="ItemHead"/>
    <w:aliases w:val="ih"/>
    <w:basedOn w:val="OPCParaBase"/>
    <w:next w:val="Item"/>
    <w:rsid w:val="00BA48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48BC"/>
    <w:pPr>
      <w:spacing w:line="240" w:lineRule="auto"/>
    </w:pPr>
    <w:rPr>
      <w:b/>
      <w:sz w:val="32"/>
    </w:rPr>
  </w:style>
  <w:style w:type="paragraph" w:customStyle="1" w:styleId="notedraft">
    <w:name w:val="note(draft)"/>
    <w:aliases w:val="nd"/>
    <w:basedOn w:val="OPCParaBase"/>
    <w:rsid w:val="00BA48BC"/>
    <w:pPr>
      <w:spacing w:before="240" w:line="240" w:lineRule="auto"/>
      <w:ind w:left="284" w:hanging="284"/>
    </w:pPr>
    <w:rPr>
      <w:i/>
      <w:sz w:val="24"/>
    </w:rPr>
  </w:style>
  <w:style w:type="paragraph" w:customStyle="1" w:styleId="notemargin">
    <w:name w:val="note(margin)"/>
    <w:aliases w:val="nm"/>
    <w:basedOn w:val="OPCParaBase"/>
    <w:rsid w:val="00BA48BC"/>
    <w:pPr>
      <w:tabs>
        <w:tab w:val="left" w:pos="709"/>
      </w:tabs>
      <w:spacing w:before="122" w:line="198" w:lineRule="exact"/>
      <w:ind w:left="709" w:hanging="709"/>
    </w:pPr>
    <w:rPr>
      <w:sz w:val="18"/>
    </w:rPr>
  </w:style>
  <w:style w:type="paragraph" w:customStyle="1" w:styleId="noteToPara">
    <w:name w:val="noteToPara"/>
    <w:aliases w:val="ntp"/>
    <w:basedOn w:val="OPCParaBase"/>
    <w:rsid w:val="00BA48BC"/>
    <w:pPr>
      <w:spacing w:before="122" w:line="198" w:lineRule="exact"/>
      <w:ind w:left="2353" w:hanging="709"/>
    </w:pPr>
    <w:rPr>
      <w:sz w:val="18"/>
    </w:rPr>
  </w:style>
  <w:style w:type="paragraph" w:customStyle="1" w:styleId="noteParlAmend">
    <w:name w:val="note(ParlAmend)"/>
    <w:aliases w:val="npp"/>
    <w:basedOn w:val="OPCParaBase"/>
    <w:next w:val="ParlAmend"/>
    <w:rsid w:val="00BA48BC"/>
    <w:pPr>
      <w:spacing w:line="240" w:lineRule="auto"/>
      <w:jc w:val="right"/>
    </w:pPr>
    <w:rPr>
      <w:rFonts w:ascii="Arial" w:hAnsi="Arial"/>
      <w:b/>
      <w:i/>
    </w:rPr>
  </w:style>
  <w:style w:type="paragraph" w:customStyle="1" w:styleId="Page1">
    <w:name w:val="Page1"/>
    <w:basedOn w:val="OPCParaBase"/>
    <w:rsid w:val="00BA48BC"/>
    <w:pPr>
      <w:spacing w:before="5600" w:line="240" w:lineRule="auto"/>
    </w:pPr>
    <w:rPr>
      <w:b/>
      <w:sz w:val="32"/>
    </w:rPr>
  </w:style>
  <w:style w:type="paragraph" w:customStyle="1" w:styleId="PageBreak">
    <w:name w:val="PageBreak"/>
    <w:aliases w:val="pb"/>
    <w:basedOn w:val="OPCParaBase"/>
    <w:rsid w:val="00BA48BC"/>
    <w:pPr>
      <w:spacing w:line="240" w:lineRule="auto"/>
    </w:pPr>
    <w:rPr>
      <w:sz w:val="20"/>
    </w:rPr>
  </w:style>
  <w:style w:type="paragraph" w:customStyle="1" w:styleId="paragraphsub">
    <w:name w:val="paragraph(sub)"/>
    <w:aliases w:val="aa"/>
    <w:basedOn w:val="OPCParaBase"/>
    <w:rsid w:val="00BA48BC"/>
    <w:pPr>
      <w:tabs>
        <w:tab w:val="right" w:pos="1985"/>
      </w:tabs>
      <w:spacing w:before="40" w:line="240" w:lineRule="auto"/>
      <w:ind w:left="2098" w:hanging="2098"/>
    </w:pPr>
  </w:style>
  <w:style w:type="paragraph" w:customStyle="1" w:styleId="paragraphsub-sub">
    <w:name w:val="paragraph(sub-sub)"/>
    <w:aliases w:val="aaa"/>
    <w:basedOn w:val="OPCParaBase"/>
    <w:rsid w:val="00BA48BC"/>
    <w:pPr>
      <w:tabs>
        <w:tab w:val="right" w:pos="2722"/>
      </w:tabs>
      <w:spacing w:before="40" w:line="240" w:lineRule="auto"/>
      <w:ind w:left="2835" w:hanging="2835"/>
    </w:pPr>
  </w:style>
  <w:style w:type="paragraph" w:customStyle="1" w:styleId="paragraph">
    <w:name w:val="paragraph"/>
    <w:aliases w:val="a"/>
    <w:basedOn w:val="OPCParaBase"/>
    <w:rsid w:val="00BA48BC"/>
    <w:pPr>
      <w:tabs>
        <w:tab w:val="right" w:pos="1531"/>
      </w:tabs>
      <w:spacing w:before="40" w:line="240" w:lineRule="auto"/>
      <w:ind w:left="1644" w:hanging="1644"/>
    </w:pPr>
  </w:style>
  <w:style w:type="paragraph" w:customStyle="1" w:styleId="ParlAmend">
    <w:name w:val="ParlAmend"/>
    <w:aliases w:val="pp"/>
    <w:basedOn w:val="OPCParaBase"/>
    <w:rsid w:val="00BA48BC"/>
    <w:pPr>
      <w:spacing w:before="240" w:line="240" w:lineRule="atLeast"/>
      <w:ind w:hanging="567"/>
    </w:pPr>
    <w:rPr>
      <w:sz w:val="24"/>
    </w:rPr>
  </w:style>
  <w:style w:type="paragraph" w:customStyle="1" w:styleId="Penalty">
    <w:name w:val="Penalty"/>
    <w:basedOn w:val="OPCParaBase"/>
    <w:rsid w:val="00BA48BC"/>
    <w:pPr>
      <w:tabs>
        <w:tab w:val="left" w:pos="2977"/>
      </w:tabs>
      <w:spacing w:before="180" w:line="240" w:lineRule="auto"/>
      <w:ind w:left="1985" w:hanging="851"/>
    </w:pPr>
  </w:style>
  <w:style w:type="paragraph" w:customStyle="1" w:styleId="Portfolio">
    <w:name w:val="Portfolio"/>
    <w:basedOn w:val="OPCParaBase"/>
    <w:rsid w:val="00BA48BC"/>
    <w:pPr>
      <w:spacing w:line="240" w:lineRule="auto"/>
    </w:pPr>
    <w:rPr>
      <w:i/>
      <w:sz w:val="20"/>
    </w:rPr>
  </w:style>
  <w:style w:type="paragraph" w:customStyle="1" w:styleId="Preamble">
    <w:name w:val="Preamble"/>
    <w:basedOn w:val="OPCParaBase"/>
    <w:next w:val="Normal"/>
    <w:rsid w:val="00BA48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48BC"/>
    <w:pPr>
      <w:spacing w:line="240" w:lineRule="auto"/>
    </w:pPr>
    <w:rPr>
      <w:i/>
      <w:sz w:val="20"/>
    </w:rPr>
  </w:style>
  <w:style w:type="paragraph" w:customStyle="1" w:styleId="Session">
    <w:name w:val="Session"/>
    <w:basedOn w:val="OPCParaBase"/>
    <w:rsid w:val="00BA48BC"/>
    <w:pPr>
      <w:spacing w:line="240" w:lineRule="auto"/>
    </w:pPr>
    <w:rPr>
      <w:sz w:val="28"/>
    </w:rPr>
  </w:style>
  <w:style w:type="paragraph" w:customStyle="1" w:styleId="Sponsor">
    <w:name w:val="Sponsor"/>
    <w:basedOn w:val="OPCParaBase"/>
    <w:rsid w:val="00BA48BC"/>
    <w:pPr>
      <w:spacing w:line="240" w:lineRule="auto"/>
    </w:pPr>
    <w:rPr>
      <w:i/>
    </w:rPr>
  </w:style>
  <w:style w:type="paragraph" w:customStyle="1" w:styleId="Subitem">
    <w:name w:val="Subitem"/>
    <w:aliases w:val="iss"/>
    <w:basedOn w:val="OPCParaBase"/>
    <w:rsid w:val="00BA48BC"/>
    <w:pPr>
      <w:spacing w:before="180" w:line="240" w:lineRule="auto"/>
      <w:ind w:left="709" w:hanging="709"/>
    </w:pPr>
  </w:style>
  <w:style w:type="paragraph" w:customStyle="1" w:styleId="SubitemHead">
    <w:name w:val="SubitemHead"/>
    <w:aliases w:val="issh"/>
    <w:basedOn w:val="OPCParaBase"/>
    <w:rsid w:val="00BA48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48BC"/>
    <w:pPr>
      <w:spacing w:before="40" w:line="240" w:lineRule="auto"/>
      <w:ind w:left="1134"/>
    </w:pPr>
  </w:style>
  <w:style w:type="paragraph" w:customStyle="1" w:styleId="SubsectionHead">
    <w:name w:val="SubsectionHead"/>
    <w:aliases w:val="ssh"/>
    <w:basedOn w:val="OPCParaBase"/>
    <w:next w:val="subsection"/>
    <w:rsid w:val="00BA48BC"/>
    <w:pPr>
      <w:keepNext/>
      <w:keepLines/>
      <w:spacing w:before="240" w:line="240" w:lineRule="auto"/>
      <w:ind w:left="1134"/>
    </w:pPr>
    <w:rPr>
      <w:i/>
    </w:rPr>
  </w:style>
  <w:style w:type="paragraph" w:customStyle="1" w:styleId="Tablea">
    <w:name w:val="Table(a)"/>
    <w:aliases w:val="ta"/>
    <w:basedOn w:val="OPCParaBase"/>
    <w:rsid w:val="00BA48BC"/>
    <w:pPr>
      <w:spacing w:before="60" w:line="240" w:lineRule="auto"/>
      <w:ind w:left="284" w:hanging="284"/>
    </w:pPr>
    <w:rPr>
      <w:sz w:val="20"/>
    </w:rPr>
  </w:style>
  <w:style w:type="paragraph" w:customStyle="1" w:styleId="TableAA">
    <w:name w:val="Table(AA)"/>
    <w:aliases w:val="taaa"/>
    <w:basedOn w:val="OPCParaBase"/>
    <w:rsid w:val="00BA48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48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A48BC"/>
    <w:pPr>
      <w:spacing w:before="60" w:line="240" w:lineRule="atLeast"/>
    </w:pPr>
    <w:rPr>
      <w:sz w:val="20"/>
    </w:rPr>
  </w:style>
  <w:style w:type="paragraph" w:customStyle="1" w:styleId="TLPBoxTextnote">
    <w:name w:val="TLPBoxText(note"/>
    <w:aliases w:val="right)"/>
    <w:basedOn w:val="OPCParaBase"/>
    <w:rsid w:val="00BA48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48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48BC"/>
    <w:pPr>
      <w:spacing w:before="122" w:line="198" w:lineRule="exact"/>
      <w:ind w:left="1985" w:hanging="851"/>
      <w:jc w:val="right"/>
    </w:pPr>
    <w:rPr>
      <w:sz w:val="18"/>
    </w:rPr>
  </w:style>
  <w:style w:type="paragraph" w:customStyle="1" w:styleId="TLPTableBullet">
    <w:name w:val="TLPTableBullet"/>
    <w:aliases w:val="ttb"/>
    <w:basedOn w:val="OPCParaBase"/>
    <w:rsid w:val="00BA48BC"/>
    <w:pPr>
      <w:spacing w:line="240" w:lineRule="exact"/>
      <w:ind w:left="284" w:hanging="284"/>
    </w:pPr>
    <w:rPr>
      <w:sz w:val="20"/>
    </w:rPr>
  </w:style>
  <w:style w:type="paragraph" w:styleId="TOC1">
    <w:name w:val="toc 1"/>
    <w:basedOn w:val="OPCParaBase"/>
    <w:next w:val="Normal"/>
    <w:uiPriority w:val="39"/>
    <w:semiHidden/>
    <w:unhideWhenUsed/>
    <w:rsid w:val="00BA48B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A48B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A48B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A48B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A48BC"/>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A48B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A48B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A48B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A48B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48BC"/>
    <w:pPr>
      <w:keepLines/>
      <w:spacing w:before="240" w:after="120" w:line="240" w:lineRule="auto"/>
      <w:ind w:left="794"/>
    </w:pPr>
    <w:rPr>
      <w:b/>
      <w:kern w:val="28"/>
      <w:sz w:val="20"/>
    </w:rPr>
  </w:style>
  <w:style w:type="paragraph" w:customStyle="1" w:styleId="TofSectsHeading">
    <w:name w:val="TofSects(Heading)"/>
    <w:basedOn w:val="OPCParaBase"/>
    <w:rsid w:val="00BA48BC"/>
    <w:pPr>
      <w:spacing w:before="240" w:after="120" w:line="240" w:lineRule="auto"/>
    </w:pPr>
    <w:rPr>
      <w:b/>
      <w:sz w:val="24"/>
    </w:rPr>
  </w:style>
  <w:style w:type="paragraph" w:customStyle="1" w:styleId="TofSectsSection">
    <w:name w:val="TofSects(Section)"/>
    <w:basedOn w:val="OPCParaBase"/>
    <w:rsid w:val="00BA48BC"/>
    <w:pPr>
      <w:keepLines/>
      <w:spacing w:before="40" w:line="240" w:lineRule="auto"/>
      <w:ind w:left="1588" w:hanging="794"/>
    </w:pPr>
    <w:rPr>
      <w:kern w:val="28"/>
      <w:sz w:val="18"/>
    </w:rPr>
  </w:style>
  <w:style w:type="paragraph" w:customStyle="1" w:styleId="TofSectsSubdiv">
    <w:name w:val="TofSects(Subdiv)"/>
    <w:basedOn w:val="OPCParaBase"/>
    <w:rsid w:val="00BA48BC"/>
    <w:pPr>
      <w:keepLines/>
      <w:spacing w:before="80" w:line="240" w:lineRule="auto"/>
      <w:ind w:left="1588" w:hanging="794"/>
    </w:pPr>
    <w:rPr>
      <w:kern w:val="28"/>
    </w:rPr>
  </w:style>
  <w:style w:type="paragraph" w:customStyle="1" w:styleId="WRStyle">
    <w:name w:val="WR Style"/>
    <w:aliases w:val="WR"/>
    <w:basedOn w:val="OPCParaBase"/>
    <w:rsid w:val="00BA48BC"/>
    <w:pPr>
      <w:spacing w:before="240" w:line="240" w:lineRule="auto"/>
      <w:ind w:left="284" w:hanging="284"/>
    </w:pPr>
    <w:rPr>
      <w:b/>
      <w:i/>
      <w:kern w:val="28"/>
      <w:sz w:val="24"/>
    </w:rPr>
  </w:style>
  <w:style w:type="paragraph" w:customStyle="1" w:styleId="notepara">
    <w:name w:val="note(para)"/>
    <w:aliases w:val="na"/>
    <w:basedOn w:val="OPCParaBase"/>
    <w:rsid w:val="00BA48BC"/>
    <w:pPr>
      <w:spacing w:before="40" w:line="198" w:lineRule="exact"/>
      <w:ind w:left="2354" w:hanging="369"/>
    </w:pPr>
    <w:rPr>
      <w:sz w:val="18"/>
    </w:rPr>
  </w:style>
  <w:style w:type="paragraph" w:styleId="Footer">
    <w:name w:val="footer"/>
    <w:link w:val="FooterChar"/>
    <w:rsid w:val="00BA48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A48BC"/>
    <w:rPr>
      <w:rFonts w:eastAsia="Times New Roman" w:cs="Times New Roman"/>
      <w:sz w:val="22"/>
      <w:szCs w:val="24"/>
      <w:lang w:eastAsia="en-AU"/>
    </w:rPr>
  </w:style>
  <w:style w:type="character" w:styleId="LineNumber">
    <w:name w:val="line number"/>
    <w:basedOn w:val="OPCCharBase"/>
    <w:uiPriority w:val="99"/>
    <w:semiHidden/>
    <w:unhideWhenUsed/>
    <w:rsid w:val="00BA48BC"/>
    <w:rPr>
      <w:sz w:val="16"/>
    </w:rPr>
  </w:style>
  <w:style w:type="table" w:customStyle="1" w:styleId="CFlag">
    <w:name w:val="CFlag"/>
    <w:basedOn w:val="TableNormal"/>
    <w:uiPriority w:val="99"/>
    <w:rsid w:val="00BA48BC"/>
    <w:rPr>
      <w:rFonts w:eastAsia="Times New Roman" w:cs="Times New Roman"/>
      <w:lang w:eastAsia="en-AU"/>
    </w:rPr>
    <w:tblPr/>
  </w:style>
  <w:style w:type="paragraph" w:customStyle="1" w:styleId="CompiledActNo">
    <w:name w:val="CompiledActNo"/>
    <w:basedOn w:val="OPCParaBase"/>
    <w:next w:val="Normal"/>
    <w:rsid w:val="00BA48BC"/>
    <w:rPr>
      <w:b/>
      <w:sz w:val="24"/>
      <w:szCs w:val="24"/>
    </w:rPr>
  </w:style>
  <w:style w:type="paragraph" w:customStyle="1" w:styleId="CompiledMadeUnder">
    <w:name w:val="CompiledMadeUnder"/>
    <w:basedOn w:val="OPCParaBase"/>
    <w:next w:val="Normal"/>
    <w:rsid w:val="00BA48BC"/>
    <w:rPr>
      <w:i/>
      <w:sz w:val="24"/>
      <w:szCs w:val="24"/>
    </w:rPr>
  </w:style>
  <w:style w:type="paragraph" w:customStyle="1" w:styleId="ENotesText">
    <w:name w:val="ENotesText"/>
    <w:aliases w:val="Ent"/>
    <w:basedOn w:val="OPCParaBase"/>
    <w:next w:val="Normal"/>
    <w:rsid w:val="00BA48BC"/>
    <w:pPr>
      <w:spacing w:before="120"/>
    </w:pPr>
  </w:style>
  <w:style w:type="paragraph" w:customStyle="1" w:styleId="Paragraphsub-sub-sub">
    <w:name w:val="Paragraph(sub-sub-sub)"/>
    <w:aliases w:val="aaaa"/>
    <w:basedOn w:val="OPCParaBase"/>
    <w:rsid w:val="00BA48BC"/>
    <w:pPr>
      <w:tabs>
        <w:tab w:val="right" w:pos="3402"/>
      </w:tabs>
      <w:spacing w:before="40" w:line="240" w:lineRule="auto"/>
      <w:ind w:left="3402" w:hanging="3402"/>
    </w:pPr>
  </w:style>
  <w:style w:type="paragraph" w:customStyle="1" w:styleId="NoteToSubpara">
    <w:name w:val="NoteToSubpara"/>
    <w:aliases w:val="nts"/>
    <w:basedOn w:val="OPCParaBase"/>
    <w:rsid w:val="00BA48BC"/>
    <w:pPr>
      <w:spacing w:before="40" w:line="198" w:lineRule="exact"/>
      <w:ind w:left="2835" w:hanging="709"/>
    </w:pPr>
    <w:rPr>
      <w:sz w:val="18"/>
    </w:rPr>
  </w:style>
  <w:style w:type="paragraph" w:customStyle="1" w:styleId="ENoteTableHeading">
    <w:name w:val="ENoteTableHeading"/>
    <w:aliases w:val="enth"/>
    <w:basedOn w:val="OPCParaBase"/>
    <w:rsid w:val="00BA48BC"/>
    <w:pPr>
      <w:keepNext/>
      <w:spacing w:before="60" w:line="240" w:lineRule="atLeast"/>
    </w:pPr>
    <w:rPr>
      <w:rFonts w:ascii="Arial" w:hAnsi="Arial"/>
      <w:b/>
      <w:sz w:val="16"/>
    </w:rPr>
  </w:style>
  <w:style w:type="paragraph" w:customStyle="1" w:styleId="ENoteTTi">
    <w:name w:val="ENoteTTi"/>
    <w:aliases w:val="entti"/>
    <w:basedOn w:val="OPCParaBase"/>
    <w:rsid w:val="00BA48BC"/>
    <w:pPr>
      <w:keepNext/>
      <w:spacing w:before="60" w:line="240" w:lineRule="atLeast"/>
      <w:ind w:left="170"/>
    </w:pPr>
    <w:rPr>
      <w:sz w:val="16"/>
    </w:rPr>
  </w:style>
  <w:style w:type="paragraph" w:customStyle="1" w:styleId="ENotesHeading1">
    <w:name w:val="ENotesHeading 1"/>
    <w:aliases w:val="Enh1"/>
    <w:basedOn w:val="OPCParaBase"/>
    <w:next w:val="Normal"/>
    <w:rsid w:val="00BA48BC"/>
    <w:pPr>
      <w:spacing w:before="120"/>
      <w:outlineLvl w:val="1"/>
    </w:pPr>
    <w:rPr>
      <w:b/>
      <w:sz w:val="28"/>
      <w:szCs w:val="28"/>
    </w:rPr>
  </w:style>
  <w:style w:type="paragraph" w:customStyle="1" w:styleId="ENotesHeading2">
    <w:name w:val="ENotesHeading 2"/>
    <w:aliases w:val="Enh2"/>
    <w:basedOn w:val="OPCParaBase"/>
    <w:next w:val="Normal"/>
    <w:rsid w:val="00BA48BC"/>
    <w:pPr>
      <w:spacing w:before="120" w:after="120"/>
      <w:outlineLvl w:val="2"/>
    </w:pPr>
    <w:rPr>
      <w:b/>
      <w:sz w:val="24"/>
      <w:szCs w:val="28"/>
    </w:rPr>
  </w:style>
  <w:style w:type="paragraph" w:customStyle="1" w:styleId="ENoteTTIndentHeading">
    <w:name w:val="ENoteTTIndentHeading"/>
    <w:aliases w:val="enTTHi"/>
    <w:basedOn w:val="OPCParaBase"/>
    <w:rsid w:val="00BA48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8BC"/>
    <w:pPr>
      <w:spacing w:before="60" w:line="240" w:lineRule="atLeast"/>
    </w:pPr>
    <w:rPr>
      <w:sz w:val="16"/>
    </w:rPr>
  </w:style>
  <w:style w:type="paragraph" w:customStyle="1" w:styleId="MadeunderText">
    <w:name w:val="MadeunderText"/>
    <w:basedOn w:val="OPCParaBase"/>
    <w:next w:val="Normal"/>
    <w:rsid w:val="00BA48BC"/>
    <w:pPr>
      <w:spacing w:before="240"/>
    </w:pPr>
    <w:rPr>
      <w:sz w:val="24"/>
      <w:szCs w:val="24"/>
    </w:rPr>
  </w:style>
  <w:style w:type="paragraph" w:customStyle="1" w:styleId="ENotesHeading3">
    <w:name w:val="ENotesHeading 3"/>
    <w:aliases w:val="Enh3"/>
    <w:basedOn w:val="OPCParaBase"/>
    <w:next w:val="Normal"/>
    <w:rsid w:val="00BA48BC"/>
    <w:pPr>
      <w:keepNext/>
      <w:spacing w:before="120" w:line="240" w:lineRule="auto"/>
      <w:outlineLvl w:val="4"/>
    </w:pPr>
    <w:rPr>
      <w:b/>
      <w:szCs w:val="24"/>
    </w:rPr>
  </w:style>
  <w:style w:type="character" w:customStyle="1" w:styleId="CharSubPartTextCASA">
    <w:name w:val="CharSubPartText(CASA)"/>
    <w:basedOn w:val="OPCCharBase"/>
    <w:uiPriority w:val="1"/>
    <w:rsid w:val="00BA48BC"/>
  </w:style>
  <w:style w:type="character" w:customStyle="1" w:styleId="CharSubPartNoCASA">
    <w:name w:val="CharSubPartNo(CASA)"/>
    <w:basedOn w:val="OPCCharBase"/>
    <w:uiPriority w:val="1"/>
    <w:rsid w:val="00BA48BC"/>
  </w:style>
  <w:style w:type="paragraph" w:customStyle="1" w:styleId="ENoteTTIndentHeadingSub">
    <w:name w:val="ENoteTTIndentHeadingSub"/>
    <w:aliases w:val="enTTHis"/>
    <w:basedOn w:val="OPCParaBase"/>
    <w:rsid w:val="00BA48BC"/>
    <w:pPr>
      <w:keepNext/>
      <w:spacing w:before="60" w:line="240" w:lineRule="atLeast"/>
      <w:ind w:left="340"/>
    </w:pPr>
    <w:rPr>
      <w:b/>
      <w:sz w:val="16"/>
    </w:rPr>
  </w:style>
  <w:style w:type="paragraph" w:customStyle="1" w:styleId="ENoteTTiSub">
    <w:name w:val="ENoteTTiSub"/>
    <w:aliases w:val="enttis"/>
    <w:basedOn w:val="OPCParaBase"/>
    <w:rsid w:val="00BA48BC"/>
    <w:pPr>
      <w:keepNext/>
      <w:spacing w:before="60" w:line="240" w:lineRule="atLeast"/>
      <w:ind w:left="340"/>
    </w:pPr>
    <w:rPr>
      <w:sz w:val="16"/>
    </w:rPr>
  </w:style>
  <w:style w:type="paragraph" w:customStyle="1" w:styleId="SubDivisionMigration">
    <w:name w:val="SubDivisionMigration"/>
    <w:aliases w:val="sdm"/>
    <w:basedOn w:val="OPCParaBase"/>
    <w:rsid w:val="00BA48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48BC"/>
    <w:pPr>
      <w:keepNext/>
      <w:keepLines/>
      <w:spacing w:before="240" w:line="240" w:lineRule="auto"/>
      <w:ind w:left="1134" w:hanging="1134"/>
    </w:pPr>
    <w:rPr>
      <w:b/>
      <w:sz w:val="28"/>
    </w:rPr>
  </w:style>
  <w:style w:type="paragraph" w:customStyle="1" w:styleId="notetext">
    <w:name w:val="note(text)"/>
    <w:aliases w:val="n"/>
    <w:basedOn w:val="OPCParaBase"/>
    <w:rsid w:val="00BA48BC"/>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BA48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A48BC"/>
    <w:rPr>
      <w:sz w:val="22"/>
    </w:rPr>
  </w:style>
  <w:style w:type="paragraph" w:customStyle="1" w:styleId="SOTextNote">
    <w:name w:val="SO TextNote"/>
    <w:aliases w:val="sont"/>
    <w:basedOn w:val="SOText"/>
    <w:qFormat/>
    <w:rsid w:val="00BA48BC"/>
    <w:pPr>
      <w:spacing w:before="122" w:line="198" w:lineRule="exact"/>
      <w:ind w:left="1843" w:hanging="709"/>
    </w:pPr>
    <w:rPr>
      <w:sz w:val="18"/>
    </w:rPr>
  </w:style>
  <w:style w:type="paragraph" w:customStyle="1" w:styleId="SOPara">
    <w:name w:val="SO Para"/>
    <w:aliases w:val="soa"/>
    <w:basedOn w:val="SOText"/>
    <w:link w:val="SOParaChar"/>
    <w:qFormat/>
    <w:rsid w:val="00BA48BC"/>
    <w:pPr>
      <w:tabs>
        <w:tab w:val="right" w:pos="1786"/>
      </w:tabs>
      <w:spacing w:before="40"/>
      <w:ind w:left="2070" w:hanging="936"/>
    </w:pPr>
  </w:style>
  <w:style w:type="character" w:customStyle="1" w:styleId="SOParaChar">
    <w:name w:val="SO Para Char"/>
    <w:aliases w:val="soa Char"/>
    <w:basedOn w:val="DefaultParagraphFont"/>
    <w:link w:val="SOPara"/>
    <w:rsid w:val="00BA48BC"/>
    <w:rPr>
      <w:sz w:val="22"/>
    </w:rPr>
  </w:style>
  <w:style w:type="paragraph" w:customStyle="1" w:styleId="FileName">
    <w:name w:val="FileName"/>
    <w:basedOn w:val="Normal"/>
    <w:rsid w:val="00BA48BC"/>
  </w:style>
  <w:style w:type="paragraph" w:customStyle="1" w:styleId="TableHeading">
    <w:name w:val="TableHeading"/>
    <w:aliases w:val="th"/>
    <w:basedOn w:val="OPCParaBase"/>
    <w:next w:val="Tabletext"/>
    <w:rsid w:val="00BA48BC"/>
    <w:pPr>
      <w:keepNext/>
      <w:spacing w:before="60" w:line="240" w:lineRule="atLeast"/>
    </w:pPr>
    <w:rPr>
      <w:b/>
      <w:sz w:val="20"/>
    </w:rPr>
  </w:style>
  <w:style w:type="paragraph" w:customStyle="1" w:styleId="SOHeadBold">
    <w:name w:val="SO HeadBold"/>
    <w:aliases w:val="sohb"/>
    <w:basedOn w:val="SOText"/>
    <w:next w:val="SOText"/>
    <w:link w:val="SOHeadBoldChar"/>
    <w:qFormat/>
    <w:rsid w:val="00BA48BC"/>
    <w:rPr>
      <w:b/>
    </w:rPr>
  </w:style>
  <w:style w:type="character" w:customStyle="1" w:styleId="SOHeadBoldChar">
    <w:name w:val="SO HeadBold Char"/>
    <w:aliases w:val="sohb Char"/>
    <w:basedOn w:val="DefaultParagraphFont"/>
    <w:link w:val="SOHeadBold"/>
    <w:rsid w:val="00BA48BC"/>
    <w:rPr>
      <w:b/>
      <w:sz w:val="22"/>
    </w:rPr>
  </w:style>
  <w:style w:type="paragraph" w:customStyle="1" w:styleId="SOHeadItalic">
    <w:name w:val="SO HeadItalic"/>
    <w:aliases w:val="sohi"/>
    <w:basedOn w:val="SOText"/>
    <w:next w:val="SOText"/>
    <w:link w:val="SOHeadItalicChar"/>
    <w:qFormat/>
    <w:rsid w:val="00BA48BC"/>
    <w:rPr>
      <w:i/>
    </w:rPr>
  </w:style>
  <w:style w:type="character" w:customStyle="1" w:styleId="SOHeadItalicChar">
    <w:name w:val="SO HeadItalic Char"/>
    <w:aliases w:val="sohi Char"/>
    <w:basedOn w:val="DefaultParagraphFont"/>
    <w:link w:val="SOHeadItalic"/>
    <w:rsid w:val="00BA48BC"/>
    <w:rPr>
      <w:i/>
      <w:sz w:val="22"/>
    </w:rPr>
  </w:style>
  <w:style w:type="paragraph" w:customStyle="1" w:styleId="SOBullet">
    <w:name w:val="SO Bullet"/>
    <w:aliases w:val="sotb"/>
    <w:basedOn w:val="SOText"/>
    <w:link w:val="SOBulletChar"/>
    <w:qFormat/>
    <w:rsid w:val="00BA48BC"/>
    <w:pPr>
      <w:ind w:left="1559" w:hanging="425"/>
    </w:pPr>
  </w:style>
  <w:style w:type="character" w:customStyle="1" w:styleId="SOBulletChar">
    <w:name w:val="SO Bullet Char"/>
    <w:aliases w:val="sotb Char"/>
    <w:basedOn w:val="DefaultParagraphFont"/>
    <w:link w:val="SOBullet"/>
    <w:rsid w:val="00BA48BC"/>
    <w:rPr>
      <w:sz w:val="22"/>
    </w:rPr>
  </w:style>
  <w:style w:type="paragraph" w:customStyle="1" w:styleId="SOBulletNote">
    <w:name w:val="SO BulletNote"/>
    <w:aliases w:val="sonb"/>
    <w:basedOn w:val="SOTextNote"/>
    <w:link w:val="SOBulletNoteChar"/>
    <w:qFormat/>
    <w:rsid w:val="00BA48BC"/>
    <w:pPr>
      <w:tabs>
        <w:tab w:val="left" w:pos="1560"/>
      </w:tabs>
      <w:ind w:left="2268" w:hanging="1134"/>
    </w:pPr>
  </w:style>
  <w:style w:type="character" w:customStyle="1" w:styleId="SOBulletNoteChar">
    <w:name w:val="SO BulletNote Char"/>
    <w:aliases w:val="sonb Char"/>
    <w:basedOn w:val="DefaultParagraphFont"/>
    <w:link w:val="SOBulletNote"/>
    <w:rsid w:val="00BA48BC"/>
    <w:rPr>
      <w:sz w:val="18"/>
    </w:rPr>
  </w:style>
  <w:style w:type="paragraph" w:customStyle="1" w:styleId="SOText2">
    <w:name w:val="SO Text2"/>
    <w:aliases w:val="sot2"/>
    <w:basedOn w:val="Normal"/>
    <w:next w:val="SOText"/>
    <w:link w:val="SOText2Char"/>
    <w:rsid w:val="00BA48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A48BC"/>
    <w:rPr>
      <w:sz w:val="22"/>
    </w:rPr>
  </w:style>
  <w:style w:type="paragraph" w:customStyle="1" w:styleId="SubPartCASA">
    <w:name w:val="SubPart(CASA)"/>
    <w:aliases w:val="csp"/>
    <w:basedOn w:val="OPCParaBase"/>
    <w:next w:val="ActHead3"/>
    <w:rsid w:val="00BA48BC"/>
    <w:pPr>
      <w:keepNext/>
      <w:keepLines/>
      <w:spacing w:before="280"/>
      <w:ind w:left="1134" w:hanging="1134"/>
      <w:outlineLvl w:val="1"/>
    </w:pPr>
    <w:rPr>
      <w:b/>
      <w:kern w:val="28"/>
      <w:sz w:val="32"/>
    </w:rPr>
  </w:style>
  <w:style w:type="paragraph" w:customStyle="1" w:styleId="NotesHeading1">
    <w:name w:val="NotesHeading 1"/>
    <w:basedOn w:val="OPCParaBase"/>
    <w:next w:val="Normal"/>
    <w:rsid w:val="00BA48BC"/>
    <w:rPr>
      <w:b/>
      <w:sz w:val="28"/>
      <w:szCs w:val="28"/>
    </w:rPr>
  </w:style>
  <w:style w:type="paragraph" w:customStyle="1" w:styleId="NotesHeading2">
    <w:name w:val="NotesHeading 2"/>
    <w:basedOn w:val="OPCParaBase"/>
    <w:next w:val="Normal"/>
    <w:rsid w:val="00BA48BC"/>
    <w:rPr>
      <w:b/>
      <w:sz w:val="28"/>
      <w:szCs w:val="28"/>
    </w:rPr>
  </w:style>
  <w:style w:type="paragraph" w:customStyle="1" w:styleId="SignCoverPageEnd">
    <w:name w:val="SignCoverPageEnd"/>
    <w:basedOn w:val="OPCParaBase"/>
    <w:next w:val="Normal"/>
    <w:rsid w:val="00BA48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48BC"/>
    <w:pPr>
      <w:pBdr>
        <w:top w:val="single" w:sz="4" w:space="1" w:color="auto"/>
      </w:pBdr>
      <w:spacing w:before="360"/>
      <w:ind w:right="397"/>
      <w:jc w:val="both"/>
    </w:pPr>
  </w:style>
  <w:style w:type="paragraph" w:customStyle="1" w:styleId="EndNotespara">
    <w:name w:val="EndNotes(para)"/>
    <w:aliases w:val="eta"/>
    <w:basedOn w:val="OPCParaBase"/>
    <w:next w:val="EndNotessubpara"/>
    <w:rsid w:val="00BA48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48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48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48B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A48BC"/>
    <w:pPr>
      <w:spacing w:before="60" w:line="240" w:lineRule="auto"/>
    </w:pPr>
    <w:rPr>
      <w:rFonts w:cs="Arial"/>
      <w:sz w:val="20"/>
      <w:szCs w:val="22"/>
    </w:rPr>
  </w:style>
  <w:style w:type="table" w:styleId="TableGrid">
    <w:name w:val="Table Grid"/>
    <w:basedOn w:val="TableNormal"/>
    <w:uiPriority w:val="59"/>
    <w:rsid w:val="00BA4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BA48BC"/>
  </w:style>
  <w:style w:type="character" w:customStyle="1" w:styleId="TabletextChar">
    <w:name w:val="Tabletext Char"/>
    <w:aliases w:val="tt Char"/>
    <w:basedOn w:val="DefaultParagraphFont"/>
    <w:link w:val="Tabletext"/>
    <w:rsid w:val="00215D37"/>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6111" ma:contentTypeDescription="" ma:contentTypeScope="" ma:versionID="f20c90bea810d4e6df69fb64cca75e5e">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7</Value>
    </TaxCatchAll>
    <Status xmlns="687b78b0-2ddd-4441-8a8b-c9638c2a1939">
      <Value>Current</Value>
    </Status>
    <NAture_x0020_of_x0020_documents1 xmlns="687b78b0-2ddd-4441-8a8b-c9638c2a1939"/>
    <_dlc_DocId xmlns="0f563589-9cf9-4143-b1eb-fb0534803d38">2020RG-136-48627</_dlc_DocId>
    <_dlc_DocIdUrl xmlns="0f563589-9cf9-4143-b1eb-fb0534803d38">
      <Url>http://tweb/sites/rg/ldp/_layouts/15/DocIdRedir.aspx?ID=2020RG-136-48627</Url>
      <Description>2020RG-136-48627</Description>
    </_dlc_DocIdUrl>
  </documentManagement>
</p:properties>
</file>

<file path=customXml/itemProps1.xml><?xml version="1.0" encoding="utf-8"?>
<ds:datastoreItem xmlns:ds="http://schemas.openxmlformats.org/officeDocument/2006/customXml" ds:itemID="{22E8F217-27AB-47C5-8A7B-9C01E0EC19DF}"/>
</file>

<file path=customXml/itemProps2.xml><?xml version="1.0" encoding="utf-8"?>
<ds:datastoreItem xmlns:ds="http://schemas.openxmlformats.org/officeDocument/2006/customXml" ds:itemID="{729A4C4C-279B-4870-BFFA-CF03777B87D9}"/>
</file>

<file path=customXml/itemProps3.xml><?xml version="1.0" encoding="utf-8"?>
<ds:datastoreItem xmlns:ds="http://schemas.openxmlformats.org/officeDocument/2006/customXml" ds:itemID="{30C96D49-EECB-4A98-A061-CD29B928B3E4}"/>
</file>

<file path=customXml/itemProps4.xml><?xml version="1.0" encoding="utf-8"?>
<ds:datastoreItem xmlns:ds="http://schemas.openxmlformats.org/officeDocument/2006/customXml" ds:itemID="{2E327C8A-FF16-4D9E-8513-6FA96255B2F3}"/>
</file>

<file path=customXml/itemProps5.xml><?xml version="1.0" encoding="utf-8"?>
<ds:datastoreItem xmlns:ds="http://schemas.openxmlformats.org/officeDocument/2006/customXml" ds:itemID="{AE44043E-B7FB-4080-9F66-D581C62B7958}"/>
</file>

<file path=docProps/app.xml><?xml version="1.0" encoding="utf-8"?>
<Properties xmlns="http://schemas.openxmlformats.org/officeDocument/2006/extended-properties" xmlns:vt="http://schemas.openxmlformats.org/officeDocument/2006/docPropsVTypes">
  <Template>bill_ins.dotx</Template>
  <TotalTime>0</TotalTime>
  <Pages>18</Pages>
  <Words>4134</Words>
  <Characters>20949</Characters>
  <Application>Microsoft Office Word</Application>
  <DocSecurity>6</DocSecurity>
  <PresentationFormat/>
  <Lines>556</Lines>
  <Paragraphs>275</Paragraphs>
  <ScaleCrop>false</ScaleCrop>
  <HeadingPairs>
    <vt:vector size="2" baseType="variant">
      <vt:variant>
        <vt:lpstr>Title</vt:lpstr>
      </vt:variant>
      <vt:variant>
        <vt:i4>1</vt:i4>
      </vt:variant>
    </vt:vector>
  </HeadingPairs>
  <TitlesOfParts>
    <vt:vector size="1" baseType="lpstr">
      <vt:lpstr>Financial Sector Reform (Hayne Royal Commission Response—Protecting Consumers (2020 Measures)) Bill 2020: FSRC rec 2.1 (ongoing fee arrangements)</vt:lpstr>
    </vt:vector>
  </TitlesOfParts>
  <Manager/>
  <Company/>
  <LinksUpToDate>false</LinksUpToDate>
  <CharactersWithSpaces>24968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B20RH104.v10</dc:title>
  <dc:subject/>
  <dc:creator/>
  <cp:keywords/>
  <dc:description/>
  <cp:lastModifiedBy/>
  <cp:revision>1</cp:revision>
  <cp:lastPrinted>2020-01-15T03:11:00Z</cp:lastPrinted>
  <dcterms:created xsi:type="dcterms:W3CDTF">2020-01-28T22:51:00Z</dcterms:created>
  <dcterms:modified xsi:type="dcterms:W3CDTF">2020-01-28T22:51:00Z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EXPOSURE DRAFT</vt:lpwstr>
  </property>
  <property fmtid="{D5CDD505-2E9C-101B-9397-08002B2CF9AE}" pid="4" name="DocType">
    <vt:lpwstr>INS</vt:lpwstr>
  </property>
  <property fmtid="{D5CDD505-2E9C-101B-9397-08002B2CF9AE}" pid="5" name="ShortT">
    <vt:lpwstr>Financial Sector Reform (Hayne Royal Commission Response—Protecting Consumers (2020 Measures)) Bill 2020: FSRC Rec 2.1 (ongoing fee arrangements)</vt:lpwstr>
  </property>
  <property fmtid="{D5CDD505-2E9C-101B-9397-08002B2CF9AE}" pid="6" name="ID">
    <vt:lpwstr>OPC7273</vt:lpwstr>
  </property>
  <property fmtid="{D5CDD505-2E9C-101B-9397-08002B2CF9AE}" pid="7" name="DoNotAsk">
    <vt:lpwstr>0</vt:lpwstr>
  </property>
  <property fmtid="{D5CDD505-2E9C-101B-9397-08002B2CF9AE}" pid="8" name="ChangedTitle">
    <vt:lpwstr/>
  </property>
  <property fmtid="{D5CDD505-2E9C-101B-9397-08002B2CF9AE}" pid="9" name="Actno">
    <vt:lpwstr/>
  </property>
  <property fmtid="{D5CDD505-2E9C-101B-9397-08002B2CF9AE}" pid="10" name="Class">
    <vt:lpwstr/>
  </property>
  <property fmtid="{D5CDD505-2E9C-101B-9397-08002B2CF9AE}" pid="11" name="Type">
    <vt:lpwstr>BILL</vt:lpwstr>
  </property>
  <property fmtid="{D5CDD505-2E9C-101B-9397-08002B2CF9AE}" pid="12" name="TrimID">
    <vt:lpwstr>PC:D20/877</vt:lpwstr>
  </property>
  <property fmtid="{D5CDD505-2E9C-101B-9397-08002B2CF9AE}" pid="13" name="ContentTypeId">
    <vt:lpwstr>0x01010036BB8DE7EC542E42A8B2E98CC20CB69700AD614E3FF758BD46BB6A91BF499E7E08</vt:lpwstr>
  </property>
  <property fmtid="{D5CDD505-2E9C-101B-9397-08002B2CF9AE}" pid="14" name="TSYRecordClass">
    <vt:lpwstr>7;#TSY RA-9236 - Retain as national archives|c6a225b4-6b93-473e-bcbb-6bc6ab25b623</vt:lpwstr>
  </property>
  <property fmtid="{D5CDD505-2E9C-101B-9397-08002B2CF9AE}" pid="15" name="_dlc_DocIdItemGuid">
    <vt:lpwstr>82dec5d6-1a3d-4912-ac65-ddabbaba87a0</vt:lpwstr>
  </property>
  <property fmtid="{D5CDD505-2E9C-101B-9397-08002B2CF9AE}" pid="16" name="Order">
    <vt:r8>4862700</vt:r8>
  </property>
  <property fmtid="{D5CDD505-2E9C-101B-9397-08002B2CF9AE}" pid="17" name="oae75e2df9d943898d59cb03ca0993c5">
    <vt:lpwstr/>
  </property>
  <property fmtid="{D5CDD505-2E9C-101B-9397-08002B2CF9AE}" pid="18" name="Topics">
    <vt:lpwstr/>
  </property>
</Properties>
</file>