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0F3C0" w14:textId="77777777" w:rsidR="000E0B74" w:rsidRPr="006D0240" w:rsidRDefault="000E0B74" w:rsidP="00C72318">
      <w:pPr>
        <w:pStyle w:val="Crest"/>
        <w:spacing w:after="3000"/>
        <w:jc w:val="right"/>
      </w:pPr>
      <w:bookmarkStart w:id="0" w:name="_GoBack"/>
      <w:bookmarkEnd w:id="0"/>
    </w:p>
    <w:p w14:paraId="38C3F547" w14:textId="5A367B81" w:rsidR="00D8620B" w:rsidRDefault="00D8620B" w:rsidP="00D8620B">
      <w:pPr>
        <w:pStyle w:val="Title"/>
        <w:rPr>
          <w:iCs/>
        </w:rPr>
      </w:pPr>
      <w:r w:rsidRPr="00D8620B">
        <w:t>Government Response</w:t>
      </w:r>
      <w:r w:rsidR="00316104">
        <w:t xml:space="preserve"> </w:t>
      </w:r>
      <w:r w:rsidRPr="00D8620B">
        <w:t>to the</w:t>
      </w:r>
      <w:r w:rsidR="00316104">
        <w:t xml:space="preserve"> </w:t>
      </w:r>
      <w:r w:rsidR="0095580B">
        <w:t>Australian Charities and Not</w:t>
      </w:r>
      <w:r w:rsidR="0095580B">
        <w:noBreakHyphen/>
        <w:t>for</w:t>
      </w:r>
      <w:r w:rsidR="0095580B">
        <w:noBreakHyphen/>
        <w:t>p</w:t>
      </w:r>
      <w:r w:rsidRPr="00D8620B">
        <w:t>rofits Commission Legislation Review 2018</w:t>
      </w:r>
    </w:p>
    <w:p w14:paraId="747706DF" w14:textId="116200E5" w:rsidR="002F617F" w:rsidRDefault="007539CA" w:rsidP="008B76C6">
      <w:pPr>
        <w:pStyle w:val="ReportDate"/>
      </w:pPr>
      <w:r>
        <w:rPr>
          <w:rStyle w:val="ReportDateChar"/>
          <w:rFonts w:eastAsiaTheme="minorHAnsi"/>
        </w:rPr>
        <w:t xml:space="preserve">6 March </w:t>
      </w:r>
      <w:r w:rsidR="00B83734" w:rsidRPr="00C067E2">
        <w:rPr>
          <w:rStyle w:val="ReportDateChar"/>
          <w:rFonts w:eastAsiaTheme="minorHAnsi"/>
        </w:rPr>
        <w:t>20</w:t>
      </w:r>
      <w:r w:rsidR="0079735A">
        <w:rPr>
          <w:rStyle w:val="ReportDateChar"/>
          <w:rFonts w:eastAsiaTheme="majorEastAsia"/>
        </w:rPr>
        <w:t>20</w:t>
      </w:r>
    </w:p>
    <w:p w14:paraId="154F862F" w14:textId="77777777" w:rsidR="000E0B74" w:rsidRDefault="000E0B74" w:rsidP="000E0B74">
      <w:pPr>
        <w:rPr>
          <w:rFonts w:cs="Calibri"/>
          <w:sz w:val="20"/>
        </w:rPr>
      </w:pPr>
    </w:p>
    <w:p w14:paraId="26DB8594" w14:textId="77777777" w:rsidR="000E0B74" w:rsidRDefault="000E0B74" w:rsidP="000E0B74">
      <w:pPr>
        <w:sectPr w:rsidR="000E0B74" w:rsidSect="00EB457C">
          <w:headerReference w:type="default" r:id="rId13"/>
          <w:footerReference w:type="even" r:id="rId14"/>
          <w:pgSz w:w="11906" w:h="16838"/>
          <w:pgMar w:top="1418" w:right="1418" w:bottom="1418" w:left="1418" w:header="709" w:footer="709" w:gutter="0"/>
          <w:cols w:space="720"/>
        </w:sectPr>
      </w:pPr>
    </w:p>
    <w:p w14:paraId="4EA043B3" w14:textId="70ABD096" w:rsidR="000E0B74" w:rsidRDefault="000E0B74" w:rsidP="000E0B74">
      <w:pPr>
        <w:spacing w:before="240"/>
      </w:pPr>
      <w:r w:rsidRPr="00661BF0">
        <w:lastRenderedPageBreak/>
        <w:t xml:space="preserve">© Commonwealth of Australia </w:t>
      </w:r>
      <w:r w:rsidR="00CB01C8">
        <w:t>2020</w:t>
      </w:r>
    </w:p>
    <w:p w14:paraId="7552080F" w14:textId="1B385CDC" w:rsidR="000E0B74" w:rsidRPr="00086F82" w:rsidRDefault="000E0B74" w:rsidP="000E0B74">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00BD511A">
        <w:t>and where otherwise stated</w:t>
      </w:r>
      <w:r w:rsidRPr="002F1BC2">
        <w:t>. 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p>
    <w:p w14:paraId="670C2613" w14:textId="77777777" w:rsidR="000E0B74" w:rsidRDefault="000E0B74" w:rsidP="000E0B74">
      <w:pPr>
        <w:pStyle w:val="ChartGraphic"/>
        <w:jc w:val="left"/>
      </w:pPr>
      <w:r w:rsidRPr="00E56DFB">
        <w:rPr>
          <w:noProof/>
          <w:lang w:eastAsia="en-AU"/>
        </w:rPr>
        <w:drawing>
          <wp:inline distT="0" distB="0" distL="0" distR="0" wp14:anchorId="0DC0C550" wp14:editId="375E52D9">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81DA60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4784A4C"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15C6E59B"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A63344B" w14:textId="02A12774"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1AD9D19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149D450"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862C7B7" w14:textId="4573E028" w:rsidR="000E0B74" w:rsidRPr="006627B4" w:rsidRDefault="000E0B74" w:rsidP="000E0B74">
      <w:pPr>
        <w:ind w:firstLine="720"/>
      </w:pPr>
      <w:r w:rsidRPr="002F1BC2">
        <w:rPr>
          <w:i/>
        </w:rPr>
        <w:t>Based on The Australian Government the Treasury data</w:t>
      </w:r>
      <w:r w:rsidRPr="006627B4">
        <w:t xml:space="preserve"> </w:t>
      </w:r>
    </w:p>
    <w:p w14:paraId="0094C2B4" w14:textId="77777777" w:rsidR="000E0B74" w:rsidRPr="006627B4" w:rsidRDefault="000E0B74" w:rsidP="000E0B74">
      <w:pPr>
        <w:spacing w:before="240"/>
        <w:rPr>
          <w:b/>
        </w:rPr>
      </w:pPr>
      <w:r w:rsidRPr="006627B4">
        <w:rPr>
          <w:b/>
        </w:rPr>
        <w:t>Use of the Coat of Arms</w:t>
      </w:r>
    </w:p>
    <w:p w14:paraId="65FE133C" w14:textId="77777777" w:rsidR="000E0B74" w:rsidRPr="006627B4" w:rsidRDefault="000E0B74" w:rsidP="000E0B74">
      <w:r w:rsidRPr="006627B4">
        <w:t xml:space="preserve">The terms under which the Coat of Arms can be used are set out on the It’s an Honour website (see </w:t>
      </w:r>
      <w:hyperlink r:id="rId19" w:history="1">
        <w:r w:rsidRPr="004A0F11">
          <w:rPr>
            <w:rStyle w:val="Hyperlink"/>
          </w:rPr>
          <w:t>www.itsanhonour.gov.au</w:t>
        </w:r>
      </w:hyperlink>
      <w:r w:rsidRPr="006627B4">
        <w:t>)</w:t>
      </w:r>
      <w:r>
        <w:t>.</w:t>
      </w:r>
    </w:p>
    <w:p w14:paraId="5F34C634" w14:textId="77777777" w:rsidR="000E0B74" w:rsidRPr="006627B4" w:rsidRDefault="000E0B74" w:rsidP="000E0B74">
      <w:pPr>
        <w:spacing w:before="240"/>
        <w:rPr>
          <w:b/>
        </w:rPr>
      </w:pPr>
      <w:r>
        <w:rPr>
          <w:b/>
        </w:rPr>
        <w:t>Other u</w:t>
      </w:r>
      <w:r w:rsidRPr="006627B4">
        <w:rPr>
          <w:b/>
        </w:rPr>
        <w:t>ses</w:t>
      </w:r>
    </w:p>
    <w:p w14:paraId="06A4A34B" w14:textId="77777777" w:rsidR="000E0B74" w:rsidRPr="006627B4" w:rsidRDefault="000E0B74" w:rsidP="000E0B74">
      <w:r>
        <w:t>E</w:t>
      </w:r>
      <w:r w:rsidRPr="006627B4">
        <w:t>nquiries regarding this licence and any other use of this document are welcome at:</w:t>
      </w:r>
    </w:p>
    <w:p w14:paraId="75192506" w14:textId="77777777" w:rsidR="000E0B74" w:rsidRPr="002F1BC2" w:rsidRDefault="000E0B74" w:rsidP="000E0B74">
      <w:pPr>
        <w:ind w:left="720"/>
        <w:rPr>
          <w:rStyle w:val="Hyperlink"/>
        </w:rPr>
      </w:pPr>
      <w:r w:rsidRPr="006627B4">
        <w:t>Manager</w:t>
      </w:r>
      <w:r w:rsidR="00A72960">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0" w:history="1">
        <w:r w:rsidRPr="00B31CFB">
          <w:rPr>
            <w:rStyle w:val="Hyperlink"/>
          </w:rPr>
          <w:t>medialiaison@treasury.gov.au</w:t>
        </w:r>
      </w:hyperlink>
    </w:p>
    <w:p w14:paraId="60AE3A88" w14:textId="77777777" w:rsidR="00F836F9" w:rsidRDefault="00F836F9" w:rsidP="00FC4C5D">
      <w:pPr>
        <w:pStyle w:val="Heading1"/>
        <w:sectPr w:rsidR="00F836F9" w:rsidSect="00EB457C">
          <w:footerReference w:type="default" r:id="rId21"/>
          <w:pgSz w:w="11906" w:h="16838" w:code="9"/>
          <w:pgMar w:top="1418" w:right="1418" w:bottom="1418" w:left="1418" w:header="709" w:footer="709" w:gutter="0"/>
          <w:pgNumType w:fmt="lowerRoman"/>
          <w:cols w:space="708"/>
          <w:docGrid w:linePitch="360"/>
        </w:sectPr>
      </w:pPr>
    </w:p>
    <w:p w14:paraId="17086E11" w14:textId="77777777" w:rsidR="000E0B74" w:rsidRDefault="000E0B74" w:rsidP="00FC4C5D">
      <w:pPr>
        <w:pStyle w:val="Heading1"/>
      </w:pPr>
      <w:bookmarkStart w:id="1" w:name="_Toc511308202"/>
      <w:bookmarkStart w:id="2" w:name="_Toc535239120"/>
      <w:r w:rsidRPr="001F1B27">
        <w:lastRenderedPageBreak/>
        <w:t>Contents</w:t>
      </w:r>
      <w:bookmarkEnd w:id="1"/>
      <w:bookmarkEnd w:id="2"/>
    </w:p>
    <w:bookmarkStart w:id="3" w:name="_Toc432067103"/>
    <w:bookmarkStart w:id="4" w:name="_Toc452635030"/>
    <w:p w14:paraId="5BC43E08" w14:textId="42D39EDD" w:rsidR="00DA03A2" w:rsidRDefault="00DA03A2">
      <w:pPr>
        <w:pStyle w:val="TOC1"/>
        <w:rPr>
          <w:rFonts w:eastAsiaTheme="minorEastAsia"/>
          <w:b w:val="0"/>
          <w:color w:val="auto"/>
        </w:rPr>
      </w:pPr>
      <w:r>
        <w:rPr>
          <w:b w:val="0"/>
        </w:rPr>
        <w:fldChar w:fldCharType="begin"/>
      </w:r>
      <w:r>
        <w:rPr>
          <w:b w:val="0"/>
        </w:rPr>
        <w:instrText xml:space="preserve"> TOC \o "1-1" \h \z </w:instrText>
      </w:r>
      <w:r>
        <w:rPr>
          <w:b w:val="0"/>
        </w:rPr>
        <w:fldChar w:fldCharType="separate"/>
      </w:r>
      <w:hyperlink w:anchor="_Toc535239120" w:history="1">
        <w:r w:rsidRPr="00E9512B">
          <w:rPr>
            <w:rStyle w:val="Hyperlink"/>
          </w:rPr>
          <w:t>Contents</w:t>
        </w:r>
        <w:r>
          <w:rPr>
            <w:webHidden/>
          </w:rPr>
          <w:tab/>
        </w:r>
        <w:r>
          <w:rPr>
            <w:webHidden/>
          </w:rPr>
          <w:fldChar w:fldCharType="begin"/>
        </w:r>
        <w:r>
          <w:rPr>
            <w:webHidden/>
          </w:rPr>
          <w:instrText xml:space="preserve"> PAGEREF _Toc535239120 \h </w:instrText>
        </w:r>
        <w:r>
          <w:rPr>
            <w:webHidden/>
          </w:rPr>
        </w:r>
        <w:r>
          <w:rPr>
            <w:webHidden/>
          </w:rPr>
          <w:fldChar w:fldCharType="separate"/>
        </w:r>
        <w:r w:rsidR="00F14E74">
          <w:rPr>
            <w:webHidden/>
          </w:rPr>
          <w:t>iii</w:t>
        </w:r>
        <w:r>
          <w:rPr>
            <w:webHidden/>
          </w:rPr>
          <w:fldChar w:fldCharType="end"/>
        </w:r>
      </w:hyperlink>
    </w:p>
    <w:p w14:paraId="128C961F" w14:textId="13286482" w:rsidR="00DA03A2" w:rsidRDefault="00A75538">
      <w:pPr>
        <w:pStyle w:val="TOC1"/>
        <w:rPr>
          <w:rFonts w:eastAsiaTheme="minorEastAsia"/>
          <w:b w:val="0"/>
          <w:color w:val="auto"/>
        </w:rPr>
      </w:pPr>
      <w:hyperlink w:anchor="_Toc535239121" w:history="1">
        <w:r w:rsidR="00DA03A2" w:rsidRPr="00E9512B">
          <w:rPr>
            <w:rStyle w:val="Hyperlink"/>
          </w:rPr>
          <w:t>Foreword</w:t>
        </w:r>
        <w:r w:rsidR="00DA03A2">
          <w:rPr>
            <w:webHidden/>
          </w:rPr>
          <w:tab/>
        </w:r>
        <w:r w:rsidR="00DA03A2">
          <w:rPr>
            <w:webHidden/>
          </w:rPr>
          <w:fldChar w:fldCharType="begin"/>
        </w:r>
        <w:r w:rsidR="00DA03A2">
          <w:rPr>
            <w:webHidden/>
          </w:rPr>
          <w:instrText xml:space="preserve"> PAGEREF _Toc535239121 \h </w:instrText>
        </w:r>
        <w:r w:rsidR="00DA03A2">
          <w:rPr>
            <w:webHidden/>
          </w:rPr>
        </w:r>
        <w:r w:rsidR="00DA03A2">
          <w:rPr>
            <w:webHidden/>
          </w:rPr>
          <w:fldChar w:fldCharType="separate"/>
        </w:r>
        <w:r w:rsidR="00F14E74">
          <w:rPr>
            <w:webHidden/>
          </w:rPr>
          <w:t>4</w:t>
        </w:r>
        <w:r w:rsidR="00DA03A2">
          <w:rPr>
            <w:webHidden/>
          </w:rPr>
          <w:fldChar w:fldCharType="end"/>
        </w:r>
      </w:hyperlink>
    </w:p>
    <w:p w14:paraId="3667D53D" w14:textId="372B2E90" w:rsidR="00DA03A2" w:rsidRDefault="00A75538">
      <w:pPr>
        <w:pStyle w:val="TOC1"/>
        <w:rPr>
          <w:rFonts w:eastAsiaTheme="minorEastAsia"/>
          <w:b w:val="0"/>
          <w:color w:val="auto"/>
        </w:rPr>
      </w:pPr>
      <w:hyperlink w:anchor="_Toc535239122" w:history="1">
        <w:r w:rsidR="00DA03A2" w:rsidRPr="00E9512B">
          <w:rPr>
            <w:rStyle w:val="Hyperlink"/>
          </w:rPr>
          <w:t>Overview</w:t>
        </w:r>
        <w:r w:rsidR="00DA03A2">
          <w:rPr>
            <w:webHidden/>
          </w:rPr>
          <w:tab/>
        </w:r>
        <w:r w:rsidR="00DA03A2">
          <w:rPr>
            <w:webHidden/>
          </w:rPr>
          <w:fldChar w:fldCharType="begin"/>
        </w:r>
        <w:r w:rsidR="00DA03A2">
          <w:rPr>
            <w:webHidden/>
          </w:rPr>
          <w:instrText xml:space="preserve"> PAGEREF _Toc535239122 \h </w:instrText>
        </w:r>
        <w:r w:rsidR="00DA03A2">
          <w:rPr>
            <w:webHidden/>
          </w:rPr>
        </w:r>
        <w:r w:rsidR="00DA03A2">
          <w:rPr>
            <w:webHidden/>
          </w:rPr>
          <w:fldChar w:fldCharType="separate"/>
        </w:r>
        <w:r w:rsidR="00F14E74">
          <w:rPr>
            <w:webHidden/>
          </w:rPr>
          <w:t>5</w:t>
        </w:r>
        <w:r w:rsidR="00DA03A2">
          <w:rPr>
            <w:webHidden/>
          </w:rPr>
          <w:fldChar w:fldCharType="end"/>
        </w:r>
      </w:hyperlink>
    </w:p>
    <w:p w14:paraId="486C64EB" w14:textId="12BAEC66" w:rsidR="00DA03A2" w:rsidRDefault="00A75538">
      <w:pPr>
        <w:pStyle w:val="TOC1"/>
        <w:rPr>
          <w:rFonts w:eastAsiaTheme="minorEastAsia"/>
          <w:b w:val="0"/>
          <w:color w:val="auto"/>
        </w:rPr>
      </w:pPr>
      <w:hyperlink w:anchor="_Toc535239123" w:history="1">
        <w:r w:rsidR="00DA03A2" w:rsidRPr="00E9512B">
          <w:rPr>
            <w:rStyle w:val="Hyperlink"/>
          </w:rPr>
          <w:t>Key responses</w:t>
        </w:r>
        <w:r w:rsidR="00DA03A2">
          <w:rPr>
            <w:webHidden/>
          </w:rPr>
          <w:tab/>
        </w:r>
        <w:r w:rsidR="00DA03A2">
          <w:rPr>
            <w:webHidden/>
          </w:rPr>
          <w:fldChar w:fldCharType="begin"/>
        </w:r>
        <w:r w:rsidR="00DA03A2">
          <w:rPr>
            <w:webHidden/>
          </w:rPr>
          <w:instrText xml:space="preserve"> PAGEREF _Toc535239123 \h </w:instrText>
        </w:r>
        <w:r w:rsidR="00DA03A2">
          <w:rPr>
            <w:webHidden/>
          </w:rPr>
        </w:r>
        <w:r w:rsidR="00DA03A2">
          <w:rPr>
            <w:webHidden/>
          </w:rPr>
          <w:fldChar w:fldCharType="separate"/>
        </w:r>
        <w:r w:rsidR="00F14E74">
          <w:rPr>
            <w:webHidden/>
          </w:rPr>
          <w:t>6</w:t>
        </w:r>
        <w:r w:rsidR="00DA03A2">
          <w:rPr>
            <w:webHidden/>
          </w:rPr>
          <w:fldChar w:fldCharType="end"/>
        </w:r>
      </w:hyperlink>
    </w:p>
    <w:p w14:paraId="01686A76" w14:textId="687E9F5D" w:rsidR="00DA03A2" w:rsidRDefault="00A75538">
      <w:pPr>
        <w:pStyle w:val="TOC1"/>
        <w:rPr>
          <w:rFonts w:eastAsiaTheme="minorEastAsia"/>
          <w:b w:val="0"/>
          <w:color w:val="auto"/>
        </w:rPr>
      </w:pPr>
      <w:hyperlink w:anchor="_Toc535239124" w:history="1">
        <w:r w:rsidR="00DA03A2" w:rsidRPr="00E9512B">
          <w:rPr>
            <w:rStyle w:val="Hyperlink"/>
          </w:rPr>
          <w:t>Government response</w:t>
        </w:r>
        <w:r w:rsidR="00DA03A2">
          <w:rPr>
            <w:webHidden/>
          </w:rPr>
          <w:tab/>
        </w:r>
        <w:r w:rsidR="00DA03A2">
          <w:rPr>
            <w:webHidden/>
          </w:rPr>
          <w:fldChar w:fldCharType="begin"/>
        </w:r>
        <w:r w:rsidR="00DA03A2">
          <w:rPr>
            <w:webHidden/>
          </w:rPr>
          <w:instrText xml:space="preserve"> PAGEREF _Toc535239124 \h </w:instrText>
        </w:r>
        <w:r w:rsidR="00DA03A2">
          <w:rPr>
            <w:webHidden/>
          </w:rPr>
        </w:r>
        <w:r w:rsidR="00DA03A2">
          <w:rPr>
            <w:webHidden/>
          </w:rPr>
          <w:fldChar w:fldCharType="separate"/>
        </w:r>
        <w:r w:rsidR="00F14E74">
          <w:rPr>
            <w:webHidden/>
          </w:rPr>
          <w:t>7</w:t>
        </w:r>
        <w:r w:rsidR="00DA03A2">
          <w:rPr>
            <w:webHidden/>
          </w:rPr>
          <w:fldChar w:fldCharType="end"/>
        </w:r>
      </w:hyperlink>
    </w:p>
    <w:p w14:paraId="1429BCD0" w14:textId="7DE2AF88" w:rsidR="006A4472" w:rsidRPr="006A4472" w:rsidRDefault="00DA03A2" w:rsidP="00047C72">
      <w:pPr>
        <w:pStyle w:val="SingleParagraph"/>
        <w:ind w:right="-2"/>
      </w:pPr>
      <w:r>
        <w:rPr>
          <w:b/>
          <w:noProof/>
          <w:color w:val="004A7F"/>
        </w:rPr>
        <w:fldChar w:fldCharType="end"/>
      </w:r>
    </w:p>
    <w:p w14:paraId="3C8197E6" w14:textId="0B1A89EB" w:rsidR="00F836F9" w:rsidRPr="006A4472" w:rsidRDefault="00F836F9" w:rsidP="006A4472">
      <w:pPr>
        <w:sectPr w:rsidR="00F836F9" w:rsidRPr="006A4472" w:rsidSect="00EB457C">
          <w:headerReference w:type="even" r:id="rId22"/>
          <w:headerReference w:type="default" r:id="rId23"/>
          <w:footerReference w:type="even" r:id="rId24"/>
          <w:headerReference w:type="first" r:id="rId25"/>
          <w:footerReference w:type="first" r:id="rId26"/>
          <w:pgSz w:w="11906" w:h="16838" w:code="9"/>
          <w:pgMar w:top="1418" w:right="1418" w:bottom="1418" w:left="1418" w:header="709" w:footer="709" w:gutter="0"/>
          <w:pgNumType w:fmt="lowerRoman"/>
          <w:cols w:space="708"/>
          <w:docGrid w:linePitch="360"/>
        </w:sectPr>
      </w:pPr>
    </w:p>
    <w:p w14:paraId="7F9CA97D" w14:textId="5F40C1A5" w:rsidR="00946E41" w:rsidRPr="00024ECD" w:rsidRDefault="00946E41" w:rsidP="00C23A2E">
      <w:pPr>
        <w:pStyle w:val="Heading1"/>
        <w:tabs>
          <w:tab w:val="left" w:pos="6027"/>
        </w:tabs>
        <w:spacing w:after="0"/>
        <w:rPr>
          <w:color w:val="F2F2F2" w:themeColor="background1" w:themeShade="F2"/>
        </w:rPr>
      </w:pPr>
      <w:bookmarkStart w:id="5" w:name="_Toc535239121"/>
      <w:bookmarkEnd w:id="3"/>
      <w:bookmarkEnd w:id="4"/>
      <w:r w:rsidRPr="00024ECD">
        <w:rPr>
          <w:noProof/>
          <w:color w:val="F2F2F2" w:themeColor="background1" w:themeShade="F2"/>
        </w:rPr>
        <w:lastRenderedPageBreak/>
        <w:drawing>
          <wp:anchor distT="0" distB="0" distL="114300" distR="114300" simplePos="0" relativeHeight="251658240" behindDoc="0" locked="0" layoutInCell="1" allowOverlap="1" wp14:anchorId="0237741A" wp14:editId="15A9CF19">
            <wp:simplePos x="0" y="0"/>
            <wp:positionH relativeFrom="page">
              <wp:posOffset>720090</wp:posOffset>
            </wp:positionH>
            <wp:positionV relativeFrom="page">
              <wp:posOffset>1205774</wp:posOffset>
            </wp:positionV>
            <wp:extent cx="2112840" cy="1889280"/>
            <wp:effectExtent l="0" t="0" r="1905" b="0"/>
            <wp:wrapNone/>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7"/>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9237" r="6425"/>
                    <a:stretch/>
                  </pic:blipFill>
                  <pic:spPr bwMode="auto">
                    <a:xfrm>
                      <a:off x="0" y="0"/>
                      <a:ext cx="2112840" cy="1889280"/>
                    </a:xfrm>
                    <a:prstGeom prst="rect">
                      <a:avLst/>
                    </a:prstGeom>
                    <a:noFill/>
                    <a:ln w="38100">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4ECD">
        <w:rPr>
          <w:color w:val="F2F2F2" w:themeColor="background1" w:themeShade="F2"/>
        </w:rPr>
        <w:t>Foreword</w:t>
      </w:r>
      <w:bookmarkEnd w:id="5"/>
    </w:p>
    <w:p w14:paraId="6DA2B773" w14:textId="18B5B057" w:rsidR="00354CA7" w:rsidRPr="00354CA7" w:rsidRDefault="00946E41" w:rsidP="00354CA7">
      <w:r w:rsidRPr="00024ECD">
        <w:rPr>
          <w:rFonts w:ascii="Calibri Light" w:hAnsi="Calibri Light"/>
          <w:color w:val="F2F2F2" w:themeColor="background1" w:themeShade="F2"/>
          <w:sz w:val="36"/>
        </w:rPr>
        <w:t>I am pleased to rel</w:t>
      </w:r>
      <w:r w:rsidR="003A1666">
        <w:rPr>
          <w:rFonts w:ascii="Calibri Light" w:hAnsi="Calibri Light"/>
          <w:color w:val="F2F2F2" w:themeColor="background1" w:themeShade="F2"/>
          <w:sz w:val="36"/>
        </w:rPr>
        <w:t>ease the Australian Government</w:t>
      </w:r>
      <w:r w:rsidRPr="00024ECD">
        <w:rPr>
          <w:rFonts w:ascii="Calibri Light" w:hAnsi="Calibri Light"/>
          <w:color w:val="F2F2F2" w:themeColor="background1" w:themeShade="F2"/>
          <w:sz w:val="36"/>
        </w:rPr>
        <w:t xml:space="preserve"> response to the Australian Charities and Not-for-profits Commission (ACNC) Legislation Review 2018.</w:t>
      </w:r>
    </w:p>
    <w:p w14:paraId="3B8C7B3E" w14:textId="77777777" w:rsidR="00854E9C" w:rsidRPr="00354CA7" w:rsidRDefault="00854E9C" w:rsidP="00354CA7">
      <w:pPr>
        <w:sectPr w:rsidR="00854E9C" w:rsidRPr="00354CA7" w:rsidSect="00C15F7A">
          <w:headerReference w:type="default" r:id="rId29"/>
          <w:pgSz w:w="11906" w:h="16838" w:code="9"/>
          <w:pgMar w:top="4931" w:right="1134" w:bottom="993" w:left="1134" w:header="709" w:footer="709" w:gutter="0"/>
          <w:cols w:space="340"/>
          <w:docGrid w:linePitch="360"/>
        </w:sectPr>
      </w:pPr>
    </w:p>
    <w:p w14:paraId="603C794F" w14:textId="14758009" w:rsidR="00C23A2E" w:rsidRPr="008F6D6C" w:rsidRDefault="00C23A2E" w:rsidP="00C23A2E">
      <w:pPr>
        <w:rPr>
          <w:color w:val="F2F2F2" w:themeColor="background1" w:themeShade="F2"/>
          <w:sz w:val="21"/>
          <w:szCs w:val="21"/>
        </w:rPr>
      </w:pPr>
      <w:r w:rsidRPr="008F6D6C">
        <w:rPr>
          <w:color w:val="F2F2F2" w:themeColor="background1" w:themeShade="F2"/>
          <w:sz w:val="21"/>
          <w:szCs w:val="21"/>
        </w:rPr>
        <w:t>Our respons</w:t>
      </w:r>
      <w:r w:rsidR="003A1666" w:rsidRPr="008F6D6C">
        <w:rPr>
          <w:color w:val="F2F2F2" w:themeColor="background1" w:themeShade="F2"/>
          <w:sz w:val="21"/>
          <w:szCs w:val="21"/>
        </w:rPr>
        <w:t>e forms part of the Government</w:t>
      </w:r>
      <w:r w:rsidR="00BE2F55" w:rsidRPr="008F6D6C">
        <w:rPr>
          <w:color w:val="F2F2F2" w:themeColor="background1" w:themeShade="F2"/>
          <w:sz w:val="21"/>
          <w:szCs w:val="21"/>
        </w:rPr>
        <w:t>’s</w:t>
      </w:r>
      <w:r w:rsidRPr="008F6D6C">
        <w:rPr>
          <w:color w:val="F2F2F2" w:themeColor="background1" w:themeShade="F2"/>
          <w:sz w:val="21"/>
          <w:szCs w:val="21"/>
        </w:rPr>
        <w:t xml:space="preserve"> wider commitment to guarantee the essential services Australians rely on. Indeed, I am confident our approach will deliver tangible benefits to the more than 5</w:t>
      </w:r>
      <w:r w:rsidR="00B31A2B">
        <w:rPr>
          <w:color w:val="F2F2F2" w:themeColor="background1" w:themeShade="F2"/>
          <w:sz w:val="21"/>
          <w:szCs w:val="21"/>
        </w:rPr>
        <w:t>7</w:t>
      </w:r>
      <w:r w:rsidRPr="008F6D6C">
        <w:rPr>
          <w:color w:val="F2F2F2" w:themeColor="background1" w:themeShade="F2"/>
          <w:sz w:val="21"/>
          <w:szCs w:val="21"/>
        </w:rPr>
        <w:t>,</w:t>
      </w:r>
      <w:r w:rsidR="00457D20">
        <w:rPr>
          <w:color w:val="F2F2F2" w:themeColor="background1" w:themeShade="F2"/>
          <w:sz w:val="21"/>
          <w:szCs w:val="21"/>
        </w:rPr>
        <w:t>0</w:t>
      </w:r>
      <w:r w:rsidRPr="008F6D6C">
        <w:rPr>
          <w:color w:val="F2F2F2" w:themeColor="background1" w:themeShade="F2"/>
          <w:sz w:val="21"/>
          <w:szCs w:val="21"/>
        </w:rPr>
        <w:t>00 registered charities in Australia, the ACNC, and the wider community.</w:t>
      </w:r>
    </w:p>
    <w:p w14:paraId="1E227618" w14:textId="1E30C484" w:rsidR="00C23A2E" w:rsidRPr="008F6D6C" w:rsidRDefault="00387D94" w:rsidP="00C23A2E">
      <w:pPr>
        <w:rPr>
          <w:color w:val="F2F2F2" w:themeColor="background1" w:themeShade="F2"/>
          <w:sz w:val="21"/>
          <w:szCs w:val="21"/>
        </w:rPr>
      </w:pPr>
      <w:r>
        <w:rPr>
          <w:color w:val="F2F2F2" w:themeColor="background1" w:themeShade="F2"/>
          <w:sz w:val="21"/>
          <w:szCs w:val="21"/>
        </w:rPr>
        <w:t>T</w:t>
      </w:r>
      <w:r w:rsidRPr="00387D94">
        <w:rPr>
          <w:color w:val="F2F2F2" w:themeColor="background1" w:themeShade="F2"/>
          <w:sz w:val="21"/>
          <w:szCs w:val="21"/>
        </w:rPr>
        <w:t>he panel received more than 170 submissions and met with 215 stakeholders to gauge the effectiveness of the ACNC as the primary regulator of charities in Australia.</w:t>
      </w:r>
      <w:r w:rsidR="00C15F7A">
        <w:rPr>
          <w:color w:val="F2F2F2" w:themeColor="background1" w:themeShade="F2"/>
          <w:sz w:val="21"/>
          <w:szCs w:val="21"/>
        </w:rPr>
        <w:t xml:space="preserve"> </w:t>
      </w:r>
      <w:r w:rsidR="00C23A2E" w:rsidRPr="008F6D6C">
        <w:rPr>
          <w:color w:val="F2F2F2" w:themeColor="background1" w:themeShade="F2"/>
          <w:sz w:val="21"/>
          <w:szCs w:val="21"/>
        </w:rPr>
        <w:t xml:space="preserve">The Government welcomes the panel’s finding that there is strong support for the ACNC within the sector, and that the legislation underpinning the ACNC has been functioning as intended. </w:t>
      </w:r>
      <w:r w:rsidR="00A05C81">
        <w:rPr>
          <w:color w:val="F2F2F2" w:themeColor="background1" w:themeShade="F2"/>
          <w:sz w:val="21"/>
          <w:szCs w:val="21"/>
        </w:rPr>
        <w:t>However</w:t>
      </w:r>
      <w:r w:rsidR="00C23A2E" w:rsidRPr="008F6D6C">
        <w:rPr>
          <w:color w:val="F2F2F2" w:themeColor="background1" w:themeShade="F2"/>
          <w:sz w:val="21"/>
          <w:szCs w:val="21"/>
        </w:rPr>
        <w:t>, the panel identified some are</w:t>
      </w:r>
      <w:r w:rsidR="003A5753">
        <w:rPr>
          <w:color w:val="F2F2F2" w:themeColor="background1" w:themeShade="F2"/>
          <w:sz w:val="21"/>
          <w:szCs w:val="21"/>
        </w:rPr>
        <w:t>as for improvement proposing 30 </w:t>
      </w:r>
      <w:r w:rsidR="00C23A2E" w:rsidRPr="008F6D6C">
        <w:rPr>
          <w:color w:val="F2F2F2" w:themeColor="background1" w:themeShade="F2"/>
          <w:sz w:val="21"/>
          <w:szCs w:val="21"/>
        </w:rPr>
        <w:t>recommendations.</w:t>
      </w:r>
    </w:p>
    <w:p w14:paraId="36FB17F4" w14:textId="583D251C" w:rsidR="00E65E4A" w:rsidRDefault="00387D94" w:rsidP="00C23A2E">
      <w:pPr>
        <w:rPr>
          <w:color w:val="F2F2F2" w:themeColor="background1" w:themeShade="F2"/>
          <w:sz w:val="21"/>
          <w:szCs w:val="21"/>
        </w:rPr>
      </w:pPr>
      <w:r w:rsidRPr="00387D94">
        <w:rPr>
          <w:color w:val="F2F2F2" w:themeColor="background1" w:themeShade="F2"/>
          <w:sz w:val="21"/>
          <w:szCs w:val="21"/>
        </w:rPr>
        <w:t>Since the Government tabled the panel’s report in Parliament in August 2018, I have consulted extensively with the charity sector</w:t>
      </w:r>
      <w:r w:rsidR="008C658A">
        <w:rPr>
          <w:color w:val="F2F2F2" w:themeColor="background1" w:themeShade="F2"/>
          <w:sz w:val="21"/>
          <w:szCs w:val="21"/>
        </w:rPr>
        <w:t xml:space="preserve">, the community, </w:t>
      </w:r>
      <w:r w:rsidRPr="00387D94">
        <w:rPr>
          <w:color w:val="F2F2F2" w:themeColor="background1" w:themeShade="F2"/>
          <w:sz w:val="21"/>
          <w:szCs w:val="21"/>
        </w:rPr>
        <w:t>and with state and territory ministers to understand their views on the panel’s recommendations</w:t>
      </w:r>
      <w:r>
        <w:rPr>
          <w:color w:val="F2F2F2" w:themeColor="background1" w:themeShade="F2"/>
          <w:sz w:val="21"/>
          <w:szCs w:val="21"/>
        </w:rPr>
        <w:t xml:space="preserve">. </w:t>
      </w:r>
    </w:p>
    <w:p w14:paraId="418C7A73" w14:textId="1BAEE4C2" w:rsidR="008C658A" w:rsidRDefault="00387D94" w:rsidP="00C23A2E">
      <w:pPr>
        <w:rPr>
          <w:color w:val="F2F2F2" w:themeColor="background1" w:themeShade="F2"/>
          <w:sz w:val="21"/>
          <w:szCs w:val="21"/>
        </w:rPr>
      </w:pPr>
      <w:r>
        <w:rPr>
          <w:color w:val="F2F2F2" w:themeColor="background1" w:themeShade="F2"/>
          <w:sz w:val="21"/>
          <w:szCs w:val="21"/>
        </w:rPr>
        <w:t xml:space="preserve">I </w:t>
      </w:r>
      <w:r w:rsidR="00C23A2E" w:rsidRPr="008F6D6C">
        <w:rPr>
          <w:color w:val="F2F2F2" w:themeColor="background1" w:themeShade="F2"/>
          <w:sz w:val="21"/>
          <w:szCs w:val="21"/>
        </w:rPr>
        <w:t xml:space="preserve">believe our response to the recommendations </w:t>
      </w:r>
      <w:r w:rsidR="002D68FC" w:rsidRPr="008F6D6C">
        <w:rPr>
          <w:color w:val="F2F2F2" w:themeColor="background1" w:themeShade="F2"/>
          <w:sz w:val="21"/>
          <w:szCs w:val="21"/>
        </w:rPr>
        <w:t xml:space="preserve">will result in a better </w:t>
      </w:r>
      <w:r w:rsidR="00C23A2E" w:rsidRPr="008F6D6C">
        <w:rPr>
          <w:color w:val="F2F2F2" w:themeColor="background1" w:themeShade="F2"/>
          <w:sz w:val="21"/>
          <w:szCs w:val="21"/>
        </w:rPr>
        <w:t>balance</w:t>
      </w:r>
      <w:r w:rsidR="00C23A2E" w:rsidRPr="008F6D6C" w:rsidDel="002D68FC">
        <w:rPr>
          <w:color w:val="F2F2F2" w:themeColor="background1" w:themeShade="F2"/>
          <w:sz w:val="21"/>
          <w:szCs w:val="21"/>
        </w:rPr>
        <w:t xml:space="preserve"> </w:t>
      </w:r>
      <w:r w:rsidR="00E65E4A" w:rsidRPr="00E65E4A">
        <w:rPr>
          <w:color w:val="F2F2F2" w:themeColor="background1" w:themeShade="F2"/>
          <w:sz w:val="21"/>
          <w:szCs w:val="21"/>
        </w:rPr>
        <w:t>be</w:t>
      </w:r>
      <w:r w:rsidR="00E65E4A">
        <w:rPr>
          <w:color w:val="F2F2F2" w:themeColor="background1" w:themeShade="F2"/>
          <w:sz w:val="21"/>
          <w:szCs w:val="21"/>
        </w:rPr>
        <w:t xml:space="preserve">tween </w:t>
      </w:r>
      <w:r w:rsidR="00E65E4A" w:rsidRPr="00E65E4A">
        <w:rPr>
          <w:color w:val="F2F2F2" w:themeColor="background1" w:themeShade="F2"/>
          <w:sz w:val="21"/>
          <w:szCs w:val="21"/>
        </w:rPr>
        <w:t>reducing red tape for charities</w:t>
      </w:r>
      <w:r w:rsidR="00E65E4A">
        <w:rPr>
          <w:color w:val="F2F2F2" w:themeColor="background1" w:themeShade="F2"/>
          <w:sz w:val="21"/>
          <w:szCs w:val="21"/>
        </w:rPr>
        <w:t xml:space="preserve"> so they can focus their resources on </w:t>
      </w:r>
      <w:r w:rsidR="00E65E4A" w:rsidRPr="00E65E4A">
        <w:rPr>
          <w:color w:val="F2F2F2" w:themeColor="background1" w:themeShade="F2"/>
          <w:sz w:val="21"/>
          <w:szCs w:val="21"/>
        </w:rPr>
        <w:t>supporting their communities</w:t>
      </w:r>
      <w:r w:rsidR="00E65E4A">
        <w:rPr>
          <w:color w:val="F2F2F2" w:themeColor="background1" w:themeShade="F2"/>
          <w:sz w:val="21"/>
          <w:szCs w:val="21"/>
        </w:rPr>
        <w:t xml:space="preserve">, while </w:t>
      </w:r>
      <w:r w:rsidR="00E65E4A" w:rsidRPr="00E65E4A">
        <w:rPr>
          <w:color w:val="F2F2F2" w:themeColor="background1" w:themeShade="F2"/>
          <w:sz w:val="21"/>
          <w:szCs w:val="21"/>
        </w:rPr>
        <w:t xml:space="preserve">ensuring the generous Australians who give their time and money to various causes can have trust and confidence in the governance of the charities they support. </w:t>
      </w:r>
    </w:p>
    <w:p w14:paraId="2B193297" w14:textId="1EE9DFB6" w:rsidR="00C23A2E" w:rsidRPr="008F6D6C" w:rsidRDefault="00C23A2E" w:rsidP="00C23A2E">
      <w:pPr>
        <w:rPr>
          <w:color w:val="F2F2F2" w:themeColor="background1" w:themeShade="F2"/>
          <w:sz w:val="21"/>
          <w:szCs w:val="21"/>
        </w:rPr>
      </w:pPr>
      <w:r w:rsidRPr="008F6D6C">
        <w:rPr>
          <w:color w:val="F2F2F2" w:themeColor="background1" w:themeShade="F2"/>
          <w:sz w:val="21"/>
          <w:szCs w:val="21"/>
        </w:rPr>
        <w:t xml:space="preserve">Yet I note some of the recommendations require more time and consultation to yield meaningful </w:t>
      </w:r>
      <w:r w:rsidRPr="008F6D6C">
        <w:rPr>
          <w:color w:val="F2F2F2" w:themeColor="background1" w:themeShade="F2"/>
          <w:sz w:val="21"/>
          <w:szCs w:val="21"/>
        </w:rPr>
        <w:t>reform.</w:t>
      </w:r>
      <w:r w:rsidR="00C15F7A">
        <w:rPr>
          <w:color w:val="F2F2F2" w:themeColor="background1" w:themeShade="F2"/>
          <w:sz w:val="21"/>
          <w:szCs w:val="21"/>
        </w:rPr>
        <w:t xml:space="preserve"> </w:t>
      </w:r>
      <w:r w:rsidRPr="008F6D6C">
        <w:rPr>
          <w:color w:val="F2F2F2" w:themeColor="background1" w:themeShade="F2"/>
          <w:sz w:val="21"/>
          <w:szCs w:val="21"/>
        </w:rPr>
        <w:t xml:space="preserve">This includes working towards the harmonisation of </w:t>
      </w:r>
      <w:r w:rsidR="00B10A5F" w:rsidRPr="008F6D6C">
        <w:rPr>
          <w:color w:val="F2F2F2" w:themeColor="background1" w:themeShade="F2"/>
          <w:sz w:val="21"/>
          <w:szCs w:val="21"/>
        </w:rPr>
        <w:t>regulatory</w:t>
      </w:r>
      <w:r w:rsidR="000E66BA" w:rsidRPr="008F6D6C">
        <w:rPr>
          <w:color w:val="F2F2F2" w:themeColor="background1" w:themeShade="F2"/>
          <w:sz w:val="21"/>
          <w:szCs w:val="21"/>
        </w:rPr>
        <w:t xml:space="preserve"> requirements</w:t>
      </w:r>
      <w:r w:rsidRPr="008F6D6C">
        <w:rPr>
          <w:color w:val="F2F2F2" w:themeColor="background1" w:themeShade="F2"/>
          <w:sz w:val="21"/>
          <w:szCs w:val="21"/>
        </w:rPr>
        <w:t xml:space="preserve"> across all jurisdictions.</w:t>
      </w:r>
    </w:p>
    <w:p w14:paraId="4508BBDD" w14:textId="4DB9091F" w:rsidR="00A42838" w:rsidRDefault="00A42838" w:rsidP="00C23A2E">
      <w:pPr>
        <w:rPr>
          <w:color w:val="F2F2F2" w:themeColor="background1" w:themeShade="F2"/>
          <w:sz w:val="21"/>
          <w:szCs w:val="21"/>
        </w:rPr>
      </w:pPr>
      <w:r w:rsidRPr="00A42838">
        <w:rPr>
          <w:color w:val="F2F2F2" w:themeColor="background1" w:themeShade="F2"/>
          <w:sz w:val="21"/>
          <w:szCs w:val="21"/>
        </w:rPr>
        <w:t>Finally, we have been reminded over the summer once again of the vital role that our charities play during natural disasters and states of emergency.</w:t>
      </w:r>
      <w:r w:rsidR="00C15F7A">
        <w:rPr>
          <w:color w:val="F2F2F2" w:themeColor="background1" w:themeShade="F2"/>
          <w:sz w:val="21"/>
          <w:szCs w:val="21"/>
        </w:rPr>
        <w:t xml:space="preserve"> </w:t>
      </w:r>
      <w:r w:rsidRPr="00A42838">
        <w:rPr>
          <w:color w:val="F2F2F2" w:themeColor="background1" w:themeShade="F2"/>
          <w:sz w:val="21"/>
          <w:szCs w:val="21"/>
        </w:rPr>
        <w:t>Charities have stepped up and have mobilised support services to help tens of thousands of people right across our country. I note that this Government response relates solely to the report undertaken in 2018 into the ACNC and is aimed at our charities sector more broadly, and it not a reflection on recent events.</w:t>
      </w:r>
    </w:p>
    <w:p w14:paraId="74D9EBE2" w14:textId="06BE13C2" w:rsidR="00C23A2E" w:rsidRPr="008F6D6C" w:rsidRDefault="00C23A2E" w:rsidP="00C23A2E">
      <w:pPr>
        <w:rPr>
          <w:color w:val="F2F2F2" w:themeColor="background1" w:themeShade="F2"/>
          <w:sz w:val="21"/>
          <w:szCs w:val="21"/>
        </w:rPr>
      </w:pPr>
      <w:r w:rsidRPr="008F6D6C">
        <w:rPr>
          <w:color w:val="F2F2F2" w:themeColor="background1" w:themeShade="F2"/>
          <w:sz w:val="21"/>
          <w:szCs w:val="21"/>
        </w:rPr>
        <w:t>I would like to ac</w:t>
      </w:r>
      <w:r w:rsidR="000E66BA" w:rsidRPr="008F6D6C">
        <w:rPr>
          <w:color w:val="F2F2F2" w:themeColor="background1" w:themeShade="F2"/>
          <w:sz w:val="21"/>
          <w:szCs w:val="21"/>
        </w:rPr>
        <w:t>knowledge the review panel — Mr </w:t>
      </w:r>
      <w:r w:rsidRPr="008F6D6C">
        <w:rPr>
          <w:color w:val="F2F2F2" w:themeColor="background1" w:themeShade="F2"/>
          <w:sz w:val="21"/>
          <w:szCs w:val="21"/>
        </w:rPr>
        <w:t xml:space="preserve">Patrick McClure AO (chair), Mr Greg Hammond OAM, Ms Su </w:t>
      </w:r>
      <w:proofErr w:type="spellStart"/>
      <w:r w:rsidRPr="008F6D6C">
        <w:rPr>
          <w:color w:val="F2F2F2" w:themeColor="background1" w:themeShade="F2"/>
          <w:sz w:val="21"/>
          <w:szCs w:val="21"/>
        </w:rPr>
        <w:t>McCluskey</w:t>
      </w:r>
      <w:proofErr w:type="spellEnd"/>
      <w:r w:rsidRPr="008F6D6C">
        <w:rPr>
          <w:color w:val="F2F2F2" w:themeColor="background1" w:themeShade="F2"/>
          <w:sz w:val="21"/>
          <w:szCs w:val="21"/>
        </w:rPr>
        <w:t xml:space="preserve"> and Dr Matthew </w:t>
      </w:r>
      <w:proofErr w:type="spellStart"/>
      <w:r w:rsidRPr="008F6D6C">
        <w:rPr>
          <w:color w:val="F2F2F2" w:themeColor="background1" w:themeShade="F2"/>
          <w:sz w:val="21"/>
          <w:szCs w:val="21"/>
        </w:rPr>
        <w:t>Turnour</w:t>
      </w:r>
      <w:proofErr w:type="spellEnd"/>
      <w:r w:rsidRPr="008F6D6C">
        <w:rPr>
          <w:color w:val="F2F2F2" w:themeColor="background1" w:themeShade="F2"/>
          <w:sz w:val="21"/>
          <w:szCs w:val="21"/>
        </w:rPr>
        <w:t xml:space="preserve"> — for their outstanding work and thank everyone</w:t>
      </w:r>
      <w:r w:rsidR="00EC05FF">
        <w:rPr>
          <w:color w:val="F2F2F2" w:themeColor="background1" w:themeShade="F2"/>
          <w:sz w:val="21"/>
          <w:szCs w:val="21"/>
        </w:rPr>
        <w:t xml:space="preserve"> </w:t>
      </w:r>
      <w:r w:rsidR="001477F8" w:rsidRPr="008F6D6C">
        <w:rPr>
          <w:color w:val="F2F2F2" w:themeColor="background1" w:themeShade="F2"/>
          <w:sz w:val="21"/>
          <w:szCs w:val="21"/>
        </w:rPr>
        <w:t>wh</w:t>
      </w:r>
      <w:r w:rsidR="006F2AAC">
        <w:rPr>
          <w:color w:val="F2F2F2" w:themeColor="background1" w:themeShade="F2"/>
          <w:sz w:val="21"/>
          <w:szCs w:val="21"/>
        </w:rPr>
        <w:t>o</w:t>
      </w:r>
      <w:r w:rsidR="001477F8" w:rsidRPr="008F6D6C">
        <w:rPr>
          <w:color w:val="F2F2F2" w:themeColor="background1" w:themeShade="F2"/>
          <w:sz w:val="21"/>
          <w:szCs w:val="21"/>
        </w:rPr>
        <w:t xml:space="preserve"> </w:t>
      </w:r>
      <w:r w:rsidR="00EC05FF">
        <w:rPr>
          <w:color w:val="F2F2F2" w:themeColor="background1" w:themeShade="F2"/>
          <w:sz w:val="21"/>
          <w:szCs w:val="21"/>
        </w:rPr>
        <w:t>made submissions</w:t>
      </w:r>
      <w:r w:rsidRPr="008F6D6C">
        <w:rPr>
          <w:color w:val="F2F2F2" w:themeColor="background1" w:themeShade="F2"/>
          <w:sz w:val="21"/>
          <w:szCs w:val="21"/>
        </w:rPr>
        <w:t>. The Government is taking clear and decisive action thanks to the panel’s thorough review and comprehensive report.</w:t>
      </w:r>
    </w:p>
    <w:p w14:paraId="25E6658A" w14:textId="6C7D21EE" w:rsidR="003A5753" w:rsidRPr="008F6D6C" w:rsidRDefault="00C23A2E" w:rsidP="00C23A2E">
      <w:pPr>
        <w:rPr>
          <w:color w:val="F2F2F2" w:themeColor="background1" w:themeShade="F2"/>
          <w:sz w:val="21"/>
          <w:szCs w:val="21"/>
        </w:rPr>
      </w:pPr>
      <w:r w:rsidRPr="008F6D6C">
        <w:rPr>
          <w:color w:val="F2F2F2" w:themeColor="background1" w:themeShade="F2"/>
          <w:sz w:val="21"/>
          <w:szCs w:val="21"/>
        </w:rPr>
        <w:t xml:space="preserve">A vibrant charities sector is important to all Australians, and as evident in this response, the Government will continue to </w:t>
      </w:r>
      <w:r w:rsidR="00A05C81">
        <w:rPr>
          <w:color w:val="F2F2F2" w:themeColor="background1" w:themeShade="F2"/>
          <w:sz w:val="21"/>
          <w:szCs w:val="21"/>
        </w:rPr>
        <w:t xml:space="preserve">strongly </w:t>
      </w:r>
      <w:r w:rsidRPr="008F6D6C">
        <w:rPr>
          <w:color w:val="F2F2F2" w:themeColor="background1" w:themeShade="F2"/>
          <w:sz w:val="21"/>
          <w:szCs w:val="21"/>
        </w:rPr>
        <w:t>support it.</w:t>
      </w:r>
    </w:p>
    <w:p w14:paraId="0AB3F73C" w14:textId="77777777" w:rsidR="00C23A2E" w:rsidRPr="008F6D6C" w:rsidRDefault="00C23A2E" w:rsidP="00C23A2E">
      <w:pPr>
        <w:rPr>
          <w:b/>
          <w:color w:val="F2F2F2" w:themeColor="background1" w:themeShade="F2"/>
          <w:sz w:val="21"/>
          <w:szCs w:val="21"/>
        </w:rPr>
      </w:pPr>
      <w:r w:rsidRPr="008F6D6C">
        <w:rPr>
          <w:b/>
          <w:color w:val="F2F2F2" w:themeColor="background1" w:themeShade="F2"/>
          <w:sz w:val="21"/>
          <w:szCs w:val="21"/>
        </w:rPr>
        <w:t xml:space="preserve">Senator the Hon Zed </w:t>
      </w:r>
      <w:proofErr w:type="spellStart"/>
      <w:r w:rsidRPr="008F6D6C">
        <w:rPr>
          <w:b/>
          <w:color w:val="F2F2F2" w:themeColor="background1" w:themeShade="F2"/>
          <w:sz w:val="21"/>
          <w:szCs w:val="21"/>
        </w:rPr>
        <w:t>Seselja</w:t>
      </w:r>
      <w:proofErr w:type="spellEnd"/>
    </w:p>
    <w:p w14:paraId="5C96FC9E" w14:textId="178B91C9" w:rsidR="00946E41" w:rsidRPr="008F6D6C" w:rsidRDefault="00C23A2E" w:rsidP="00C059EA">
      <w:pPr>
        <w:rPr>
          <w:color w:val="F2F2F2" w:themeColor="background1" w:themeShade="F2"/>
          <w:sz w:val="21"/>
          <w:szCs w:val="21"/>
        </w:rPr>
      </w:pPr>
      <w:r w:rsidRPr="008F6D6C">
        <w:rPr>
          <w:b/>
          <w:color w:val="F2F2F2" w:themeColor="background1" w:themeShade="F2"/>
          <w:sz w:val="21"/>
          <w:szCs w:val="21"/>
        </w:rPr>
        <w:t>Assistant Minister for Finance</w:t>
      </w:r>
      <w:r w:rsidR="00B31A2B">
        <w:rPr>
          <w:b/>
          <w:color w:val="F2F2F2" w:themeColor="background1" w:themeShade="F2"/>
          <w:sz w:val="21"/>
          <w:szCs w:val="21"/>
        </w:rPr>
        <w:t>, Charities and Electoral Matters</w:t>
      </w:r>
    </w:p>
    <w:p w14:paraId="6B3EA644" w14:textId="77777777" w:rsidR="00C23A2E" w:rsidRDefault="00C23A2E">
      <w:pPr>
        <w:sectPr w:rsidR="00C23A2E" w:rsidSect="00C15F7A">
          <w:type w:val="continuous"/>
          <w:pgSz w:w="11906" w:h="16838" w:code="9"/>
          <w:pgMar w:top="4931" w:right="1134" w:bottom="993" w:left="1134" w:header="709" w:footer="709" w:gutter="0"/>
          <w:cols w:num="2" w:space="340"/>
          <w:docGrid w:linePitch="360"/>
        </w:sectPr>
      </w:pPr>
    </w:p>
    <w:p w14:paraId="28A2EF3D" w14:textId="77777777" w:rsidR="007F5B01" w:rsidRDefault="0087211C" w:rsidP="0046140F">
      <w:pPr>
        <w:pStyle w:val="Heading1"/>
      </w:pPr>
      <w:bookmarkStart w:id="6" w:name="_Toc535239122"/>
      <w:r>
        <w:lastRenderedPageBreak/>
        <w:t>Overview</w:t>
      </w:r>
      <w:bookmarkEnd w:id="6"/>
    </w:p>
    <w:p w14:paraId="052F7113" w14:textId="249BA6F6" w:rsidR="000C19EB" w:rsidRDefault="000C19EB" w:rsidP="00D017C1">
      <w:pPr>
        <w:pStyle w:val="Heading2"/>
      </w:pPr>
      <w:r w:rsidRPr="000C19EB">
        <w:t>The Government response</w:t>
      </w:r>
    </w:p>
    <w:p w14:paraId="38C10085" w14:textId="30A7A51F" w:rsidR="003A1666" w:rsidRDefault="003A1666" w:rsidP="000C19EB">
      <w:pPr>
        <w:rPr>
          <w:rFonts w:ascii="Calibri Light" w:hAnsi="Calibri Light"/>
          <w:sz w:val="28"/>
        </w:rPr>
      </w:pPr>
      <w:r w:rsidRPr="003A1666">
        <w:rPr>
          <w:rFonts w:ascii="Calibri Light" w:hAnsi="Calibri Light"/>
          <w:sz w:val="28"/>
        </w:rPr>
        <w:t xml:space="preserve">The Australian Government is committed to a regulatory regime for charities that fosters a vibrant and innovative sector. We support a steadfast, independent and effective regulator. Our response also aims to ensure the sector meets </w:t>
      </w:r>
      <w:r w:rsidR="00720766">
        <w:rPr>
          <w:rFonts w:ascii="Calibri Light" w:hAnsi="Calibri Light"/>
          <w:sz w:val="28"/>
        </w:rPr>
        <w:t xml:space="preserve">community </w:t>
      </w:r>
      <w:r w:rsidRPr="003A1666">
        <w:rPr>
          <w:rFonts w:ascii="Calibri Light" w:hAnsi="Calibri Light"/>
          <w:sz w:val="28"/>
        </w:rPr>
        <w:t>expectations when it comes to transparency, accountability and good governance.</w:t>
      </w:r>
    </w:p>
    <w:p w14:paraId="569511BC" w14:textId="77777777" w:rsidR="00854E9C" w:rsidRPr="00854E9C" w:rsidRDefault="00854E9C" w:rsidP="00854E9C"/>
    <w:p w14:paraId="5DD5845E" w14:textId="77777777" w:rsidR="00EB457C" w:rsidRPr="00854E9C" w:rsidRDefault="00EB457C" w:rsidP="00854E9C">
      <w:pPr>
        <w:sectPr w:rsidR="00EB457C" w:rsidRPr="00854E9C" w:rsidSect="00354CA7">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418" w:left="1134" w:header="709" w:footer="709" w:gutter="0"/>
          <w:cols w:space="708"/>
          <w:docGrid w:linePitch="360"/>
        </w:sectPr>
      </w:pPr>
    </w:p>
    <w:p w14:paraId="4FE5BDC3" w14:textId="143EA602" w:rsidR="00EB457C" w:rsidRPr="00A05C81" w:rsidRDefault="003A1666" w:rsidP="00EB457C">
      <w:pPr>
        <w:pStyle w:val="Heading3"/>
        <w:spacing w:before="120"/>
        <w:rPr>
          <w:b/>
          <w:color w:val="007635"/>
        </w:rPr>
      </w:pPr>
      <w:r w:rsidRPr="00A05C81">
        <w:rPr>
          <w:b/>
          <w:color w:val="007635"/>
        </w:rPr>
        <w:t>Reducing red tape</w:t>
      </w:r>
    </w:p>
    <w:p w14:paraId="3BADD202" w14:textId="3B3D409B" w:rsidR="00EB457C" w:rsidRDefault="003A1666" w:rsidP="00EB457C">
      <w:r w:rsidRPr="003A1666">
        <w:t xml:space="preserve">Ensuring charities face minimal red tape — freeing them to focus on serving the community — remains a priority for the Government. Although charities will always have to provide information and work with their regulator, the Government supports opportunities to reduce </w:t>
      </w:r>
      <w:r w:rsidR="001477F8">
        <w:t xml:space="preserve">the </w:t>
      </w:r>
      <w:r w:rsidRPr="003A1666">
        <w:t>complexity</w:t>
      </w:r>
      <w:r w:rsidR="001477F8">
        <w:t xml:space="preserve"> of requirements</w:t>
      </w:r>
      <w:r w:rsidRPr="003A1666">
        <w:t xml:space="preserve"> and </w:t>
      </w:r>
      <w:r w:rsidR="001477F8" w:rsidRPr="003A1666">
        <w:t>inefficienc</w:t>
      </w:r>
      <w:r w:rsidR="001477F8">
        <w:t>ies</w:t>
      </w:r>
      <w:r w:rsidR="001477F8" w:rsidRPr="003A1666">
        <w:t xml:space="preserve"> </w:t>
      </w:r>
      <w:r w:rsidRPr="003A1666">
        <w:t>for charities when engaging with the ACNC and other government agencies.</w:t>
      </w:r>
    </w:p>
    <w:p w14:paraId="165E6D59" w14:textId="6EBE9B30" w:rsidR="00EB457C" w:rsidRPr="00A05C81" w:rsidRDefault="00EB457C" w:rsidP="00EB457C">
      <w:pPr>
        <w:pStyle w:val="Heading3"/>
        <w:spacing w:before="120"/>
        <w:rPr>
          <w:b/>
          <w:color w:val="007635"/>
        </w:rPr>
      </w:pPr>
      <w:r>
        <w:t xml:space="preserve"> </w:t>
      </w:r>
      <w:r>
        <w:br w:type="column"/>
      </w:r>
      <w:r w:rsidR="00661140">
        <w:rPr>
          <w:b/>
          <w:color w:val="007635"/>
        </w:rPr>
        <w:t>Strengthen</w:t>
      </w:r>
      <w:r w:rsidR="003A1666" w:rsidRPr="00A05C81">
        <w:rPr>
          <w:b/>
          <w:color w:val="007635"/>
        </w:rPr>
        <w:t>ing trust</w:t>
      </w:r>
    </w:p>
    <w:p w14:paraId="3F95A1E9" w14:textId="10C09A6D" w:rsidR="00EB457C" w:rsidRDefault="00661140" w:rsidP="00EB457C">
      <w:r>
        <w:t>Strengthening</w:t>
      </w:r>
      <w:r w:rsidRPr="003A1666">
        <w:t xml:space="preserve"> </w:t>
      </w:r>
      <w:r w:rsidR="003A1666" w:rsidRPr="003A1666">
        <w:t xml:space="preserve">trust and confidence in the charities sector is critical not only to its success, but its very existence. While the incidence of misconduct and misappropriation is very limited, it </w:t>
      </w:r>
      <w:r w:rsidR="00AB5159">
        <w:t xml:space="preserve">has </w:t>
      </w:r>
      <w:r w:rsidR="003A1666" w:rsidRPr="003A1666">
        <w:t>the potential to undermine the commendable work of the sector. Measures to enhance transparency</w:t>
      </w:r>
      <w:r w:rsidR="00B167FF">
        <w:t xml:space="preserve">, clarify </w:t>
      </w:r>
      <w:r w:rsidR="001F58F2">
        <w:t xml:space="preserve">permissible </w:t>
      </w:r>
      <w:r w:rsidR="00B167FF">
        <w:t>advocacy</w:t>
      </w:r>
      <w:r w:rsidR="003A1666" w:rsidRPr="003A1666">
        <w:t xml:space="preserve"> and share information with the public go a </w:t>
      </w:r>
      <w:r w:rsidR="003A5753">
        <w:t xml:space="preserve">long way towards </w:t>
      </w:r>
      <w:r>
        <w:t>strengthen</w:t>
      </w:r>
      <w:r w:rsidR="003A1666" w:rsidRPr="003A1666">
        <w:t>ing the trust and confidence the sector needs.</w:t>
      </w:r>
    </w:p>
    <w:p w14:paraId="6A71326C" w14:textId="1DB94279" w:rsidR="00EB457C" w:rsidRPr="00A05C81" w:rsidRDefault="00EB457C" w:rsidP="00EB457C">
      <w:pPr>
        <w:pStyle w:val="Heading3"/>
        <w:spacing w:before="120"/>
        <w:rPr>
          <w:b/>
          <w:color w:val="007635"/>
        </w:rPr>
      </w:pPr>
      <w:r>
        <w:br w:type="column"/>
      </w:r>
      <w:r w:rsidR="003A1666" w:rsidRPr="00A05C81">
        <w:rPr>
          <w:b/>
          <w:color w:val="007635"/>
        </w:rPr>
        <w:t>Supporting an effective regulator</w:t>
      </w:r>
    </w:p>
    <w:p w14:paraId="6A7FF274" w14:textId="2F32885E" w:rsidR="00BF6D5C" w:rsidRDefault="003A1666" w:rsidP="00EB457C">
      <w:r w:rsidRPr="003A1666">
        <w:t>The ACNC has been a reliable steward of the charities sector and, in the more than s</w:t>
      </w:r>
      <w:r w:rsidR="007E3609">
        <w:t>even</w:t>
      </w:r>
      <w:r w:rsidRPr="003A1666">
        <w:t xml:space="preserve"> years it has been operating, it has become a highly regarded institution. As the independent national regulator of </w:t>
      </w:r>
      <w:r w:rsidR="00C411DF">
        <w:t>more than</w:t>
      </w:r>
      <w:r w:rsidR="00C411DF" w:rsidRPr="003A1666">
        <w:t xml:space="preserve"> </w:t>
      </w:r>
      <w:r w:rsidRPr="003A1666">
        <w:t>5</w:t>
      </w:r>
      <w:r w:rsidR="007E3609">
        <w:t>7</w:t>
      </w:r>
      <w:r w:rsidRPr="003A1666">
        <w:t>,</w:t>
      </w:r>
      <w:r w:rsidR="00C411DF">
        <w:t>0</w:t>
      </w:r>
      <w:r w:rsidRPr="003A1666">
        <w:t>00 charities, the ACNC has a responsibility to ensure optimal organisational and governance structures are in place. This will ensure it remains the effective and respected reg</w:t>
      </w:r>
      <w:r w:rsidR="00BF6D5C">
        <w:t>ulator for the charities sector.</w:t>
      </w:r>
    </w:p>
    <w:p w14:paraId="6D36D778" w14:textId="77777777" w:rsidR="00BF6D5C" w:rsidRDefault="00BF6D5C" w:rsidP="00EB457C">
      <w:pPr>
        <w:sectPr w:rsidR="00BF6D5C" w:rsidSect="00354CA7">
          <w:type w:val="continuous"/>
          <w:pgSz w:w="11906" w:h="16838" w:code="9"/>
          <w:pgMar w:top="1418" w:right="1134" w:bottom="1418" w:left="1134" w:header="709" w:footer="709" w:gutter="0"/>
          <w:cols w:num="3" w:space="340"/>
          <w:docGrid w:linePitch="360"/>
        </w:sectPr>
      </w:pPr>
    </w:p>
    <w:p w14:paraId="10B2CB80" w14:textId="46A771A6" w:rsidR="0026320B" w:rsidRDefault="0026320B" w:rsidP="0026320B">
      <w:pPr>
        <w:spacing w:before="1080"/>
        <w:jc w:val="center"/>
      </w:pPr>
      <w:r>
        <w:rPr>
          <w:noProof/>
          <w:lang w:eastAsia="en-AU"/>
        </w:rPr>
        <w:drawing>
          <wp:inline distT="0" distB="0" distL="0" distR="0" wp14:anchorId="20BFD588" wp14:editId="24D8A4EF">
            <wp:extent cx="3011175" cy="1804267"/>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 icon.png"/>
                    <pic:cNvPicPr/>
                  </pic:nvPicPr>
                  <pic:blipFill>
                    <a:blip r:embed="rId36">
                      <a:extLst>
                        <a:ext uri="{28A0092B-C50C-407E-A947-70E740481C1C}">
                          <a14:useLocalDpi xmlns:a14="http://schemas.microsoft.com/office/drawing/2010/main" val="0"/>
                        </a:ext>
                      </a:extLst>
                    </a:blip>
                    <a:stretch>
                      <a:fillRect/>
                    </a:stretch>
                  </pic:blipFill>
                  <pic:spPr>
                    <a:xfrm>
                      <a:off x="0" y="0"/>
                      <a:ext cx="3011175" cy="1804267"/>
                    </a:xfrm>
                    <a:prstGeom prst="rect">
                      <a:avLst/>
                    </a:prstGeom>
                  </pic:spPr>
                </pic:pic>
              </a:graphicData>
            </a:graphic>
          </wp:inline>
        </w:drawing>
      </w:r>
    </w:p>
    <w:p w14:paraId="500B9593" w14:textId="77777777" w:rsidR="00D017C1" w:rsidRDefault="00D017C1" w:rsidP="000C19EB">
      <w:pPr>
        <w:sectPr w:rsidR="00D017C1" w:rsidSect="0026320B">
          <w:type w:val="continuous"/>
          <w:pgSz w:w="11906" w:h="16838" w:code="9"/>
          <w:pgMar w:top="1418" w:right="1134" w:bottom="1418" w:left="1134" w:header="709" w:footer="709" w:gutter="0"/>
          <w:cols w:space="340"/>
          <w:docGrid w:linePitch="360"/>
        </w:sectPr>
      </w:pPr>
    </w:p>
    <w:p w14:paraId="50F28344" w14:textId="2E52C9B6" w:rsidR="00BF6D5C" w:rsidRDefault="004B636E" w:rsidP="004B636E">
      <w:pPr>
        <w:pStyle w:val="Heading1"/>
      </w:pPr>
      <w:bookmarkStart w:id="7" w:name="_Toc535239123"/>
      <w:r>
        <w:lastRenderedPageBreak/>
        <w:t>Key</w:t>
      </w:r>
      <w:r w:rsidRPr="002B09B7">
        <w:t xml:space="preserve"> response</w:t>
      </w:r>
      <w:r>
        <w:t>s</w:t>
      </w:r>
      <w:bookmarkEnd w:id="7"/>
    </w:p>
    <w:p w14:paraId="2628523B" w14:textId="776E9A03" w:rsidR="00F66152" w:rsidRPr="00546358" w:rsidRDefault="00F66152" w:rsidP="00F66152"/>
    <w:p w14:paraId="17419A63" w14:textId="77777777" w:rsidR="004B636E" w:rsidRDefault="004B636E" w:rsidP="00D017C1"/>
    <w:p w14:paraId="460E277C" w14:textId="6D33A741" w:rsidR="00BF6D5C" w:rsidRDefault="00402F73" w:rsidP="00D017C1">
      <w:pPr>
        <w:sectPr w:rsidR="00BF6D5C" w:rsidSect="00BF6D5C">
          <w:pgSz w:w="11906" w:h="16838" w:code="9"/>
          <w:pgMar w:top="1418" w:right="1134" w:bottom="1418" w:left="1134" w:header="709" w:footer="709" w:gutter="0"/>
          <w:cols w:space="340"/>
          <w:docGrid w:linePitch="360"/>
        </w:sectPr>
      </w:pPr>
      <w:r>
        <w:rPr>
          <w:noProof/>
          <w:lang w:eastAsia="en-AU"/>
        </w:rPr>
        <w:drawing>
          <wp:inline distT="0" distB="0" distL="0" distR="0" wp14:anchorId="71A46451" wp14:editId="7613C139">
            <wp:extent cx="6120130" cy="70827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1694 Key responses infographic V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130" cy="7082790"/>
                    </a:xfrm>
                    <a:prstGeom prst="rect">
                      <a:avLst/>
                    </a:prstGeom>
                  </pic:spPr>
                </pic:pic>
              </a:graphicData>
            </a:graphic>
          </wp:inline>
        </w:drawing>
      </w:r>
    </w:p>
    <w:p w14:paraId="57BEF8DE" w14:textId="50A1675B" w:rsidR="002B09B7" w:rsidRDefault="009D22DC" w:rsidP="002B09B7">
      <w:pPr>
        <w:pStyle w:val="Heading1"/>
      </w:pPr>
      <w:bookmarkStart w:id="8" w:name="_Toc535239124"/>
      <w:r w:rsidRPr="002B09B7">
        <w:lastRenderedPageBreak/>
        <w:t>Government response</w:t>
      </w:r>
      <w:bookmarkEnd w:id="8"/>
    </w:p>
    <w:p w14:paraId="673188ED" w14:textId="3333B9F6" w:rsidR="002B09B7" w:rsidRPr="00E23D55" w:rsidRDefault="00E23D55" w:rsidP="00E23D55">
      <w:pPr>
        <w:pStyle w:val="Heading2"/>
        <w:spacing w:before="240" w:after="240"/>
        <w:rPr>
          <w:sz w:val="26"/>
          <w:szCs w:val="26"/>
        </w:rPr>
      </w:pPr>
      <w:r w:rsidRPr="00E23D55">
        <w:rPr>
          <w:sz w:val="26"/>
          <w:szCs w:val="26"/>
        </w:rPr>
        <w:t>Government r</w:t>
      </w:r>
      <w:r w:rsidR="002B09B7" w:rsidRPr="00E23D55">
        <w:rPr>
          <w:sz w:val="26"/>
          <w:szCs w:val="26"/>
        </w:rPr>
        <w:t>esponse to the recommendations in the Australian Charities and Not-for-profits Commission Legislation Review 2018</w:t>
      </w:r>
    </w:p>
    <w:tbl>
      <w:tblPr>
        <w:tblStyle w:val="TableGrid"/>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8930"/>
      </w:tblGrid>
      <w:tr w:rsidR="002B09B7" w14:paraId="48539354" w14:textId="77777777" w:rsidTr="009632F2">
        <w:trPr>
          <w:cnfStyle w:val="100000000000" w:firstRow="1" w:lastRow="0" w:firstColumn="0" w:lastColumn="0" w:oddVBand="0" w:evenVBand="0" w:oddHBand="0" w:evenHBand="0" w:firstRowFirstColumn="0" w:firstRowLastColumn="0" w:lastRowFirstColumn="0" w:lastRowLastColumn="0"/>
          <w:cantSplit/>
          <w:tblHeader/>
        </w:trPr>
        <w:tc>
          <w:tcPr>
            <w:tcW w:w="5353" w:type="dxa"/>
            <w:shd w:val="clear" w:color="auto" w:fill="0072BB" w:themeFill="accent3" w:themeFillTint="BF"/>
          </w:tcPr>
          <w:p w14:paraId="0835D0A0" w14:textId="77777777" w:rsidR="002B09B7" w:rsidRPr="00BB0214" w:rsidRDefault="002B09B7" w:rsidP="00021ECE">
            <w:pPr>
              <w:jc w:val="center"/>
              <w:rPr>
                <w:b w:val="0"/>
              </w:rPr>
            </w:pPr>
            <w:r w:rsidRPr="00BB0214">
              <w:t>Recommendation</w:t>
            </w:r>
          </w:p>
        </w:tc>
        <w:tc>
          <w:tcPr>
            <w:tcW w:w="8930" w:type="dxa"/>
            <w:shd w:val="clear" w:color="auto" w:fill="003150" w:themeFill="accent3"/>
          </w:tcPr>
          <w:p w14:paraId="13914D6A" w14:textId="5A1B4F0F" w:rsidR="002B09B7" w:rsidRPr="00BB0214" w:rsidRDefault="0095580B" w:rsidP="00021ECE">
            <w:pPr>
              <w:jc w:val="center"/>
              <w:rPr>
                <w:b w:val="0"/>
              </w:rPr>
            </w:pPr>
            <w:r>
              <w:t>Government r</w:t>
            </w:r>
            <w:r w:rsidR="002B09B7" w:rsidRPr="00BB0214">
              <w:t>esponse</w:t>
            </w:r>
          </w:p>
        </w:tc>
      </w:tr>
      <w:tr w:rsidR="002B09B7" w:rsidRPr="00BC232B" w14:paraId="70821248" w14:textId="77777777" w:rsidTr="009632F2">
        <w:trPr>
          <w:cantSplit/>
        </w:trPr>
        <w:tc>
          <w:tcPr>
            <w:tcW w:w="5353" w:type="dxa"/>
            <w:shd w:val="clear" w:color="auto" w:fill="D6EBF4" w:themeFill="accent5" w:themeFillTint="66"/>
          </w:tcPr>
          <w:p w14:paraId="4947E3B8" w14:textId="77777777" w:rsidR="002B09B7" w:rsidRPr="00BC232B" w:rsidRDefault="002B09B7" w:rsidP="00021ECE">
            <w:pPr>
              <w:rPr>
                <w:b/>
                <w:i/>
                <w:color w:val="002060"/>
              </w:rPr>
            </w:pPr>
            <w:r w:rsidRPr="00BC232B">
              <w:rPr>
                <w:b/>
                <w:i/>
                <w:color w:val="002060"/>
              </w:rPr>
              <w:t>Part A – Objects, Functions and Powers</w:t>
            </w:r>
          </w:p>
        </w:tc>
        <w:tc>
          <w:tcPr>
            <w:tcW w:w="8930" w:type="dxa"/>
            <w:shd w:val="clear" w:color="auto" w:fill="D6EBF4" w:themeFill="accent5" w:themeFillTint="66"/>
          </w:tcPr>
          <w:p w14:paraId="65F7DA64" w14:textId="77777777" w:rsidR="002B09B7" w:rsidRPr="00BC232B" w:rsidRDefault="002B09B7" w:rsidP="00021ECE">
            <w:pPr>
              <w:rPr>
                <w:i/>
              </w:rPr>
            </w:pPr>
          </w:p>
        </w:tc>
      </w:tr>
      <w:tr w:rsidR="002918F9" w14:paraId="5BBE4382" w14:textId="77777777" w:rsidTr="009632F2">
        <w:trPr>
          <w:cantSplit/>
        </w:trPr>
        <w:tc>
          <w:tcPr>
            <w:tcW w:w="5353" w:type="dxa"/>
            <w:tcBorders>
              <w:bottom w:val="single" w:sz="4" w:space="0" w:color="B2B3B5" w:themeColor="accent4" w:themeTint="99"/>
            </w:tcBorders>
          </w:tcPr>
          <w:p w14:paraId="330B1137" w14:textId="7A54F7E6" w:rsidR="002918F9" w:rsidRDefault="002918F9" w:rsidP="00E23D55">
            <w:pPr>
              <w:pStyle w:val="RecommendationHeading"/>
            </w:pPr>
            <w:r>
              <w:t xml:space="preserve">1. The objects in the </w:t>
            </w:r>
            <w:r w:rsidRPr="00A57D9C">
              <w:rPr>
                <w:i/>
              </w:rPr>
              <w:t>Australian Charities and Not</w:t>
            </w:r>
            <w:r w:rsidRPr="00A57D9C">
              <w:rPr>
                <w:i/>
              </w:rPr>
              <w:noBreakHyphen/>
              <w:t>for</w:t>
            </w:r>
            <w:r w:rsidRPr="00A57D9C">
              <w:rPr>
                <w:i/>
              </w:rPr>
              <w:noBreakHyphen/>
              <w:t>profits Commission Act 2012</w:t>
            </w:r>
            <w:r>
              <w:t xml:space="preserve"> (</w:t>
            </w:r>
            <w:proofErr w:type="spellStart"/>
            <w:r>
              <w:t>Cth</w:t>
            </w:r>
            <w:proofErr w:type="spellEnd"/>
            <w:r>
              <w:t>) (ACNC Act) should not be changed.</w:t>
            </w:r>
          </w:p>
          <w:p w14:paraId="422B8CF3" w14:textId="78C16E33" w:rsidR="002918F9" w:rsidRPr="00A57D9C" w:rsidRDefault="002918F9" w:rsidP="00A57D9C">
            <w:pPr>
              <w:pStyle w:val="Contact"/>
              <w:rPr>
                <w:b w:val="0"/>
                <w:szCs w:val="22"/>
              </w:rPr>
            </w:pPr>
            <w:r w:rsidRPr="003922EE">
              <w:rPr>
                <w:b w:val="0"/>
                <w:szCs w:val="22"/>
              </w:rPr>
              <w:t>The panel found no evidence the current objec</w:t>
            </w:r>
            <w:r>
              <w:rPr>
                <w:b w:val="0"/>
                <w:szCs w:val="22"/>
              </w:rPr>
              <w:t>ts are ineffective or deficient</w:t>
            </w:r>
            <w:r w:rsidR="004E382D">
              <w:rPr>
                <w:b w:val="0"/>
                <w:szCs w:val="22"/>
              </w:rPr>
              <w:t xml:space="preserve"> and concluded that no</w:t>
            </w:r>
            <w:r w:rsidRPr="003922EE">
              <w:rPr>
                <w:b w:val="0"/>
                <w:szCs w:val="22"/>
              </w:rPr>
              <w:t xml:space="preserve"> additions to the current ACNC objects are warranted.</w:t>
            </w:r>
          </w:p>
        </w:tc>
        <w:tc>
          <w:tcPr>
            <w:tcW w:w="8930" w:type="dxa"/>
            <w:tcBorders>
              <w:bottom w:val="single" w:sz="4" w:space="0" w:color="B2B3B5" w:themeColor="accent4" w:themeTint="99"/>
            </w:tcBorders>
          </w:tcPr>
          <w:p w14:paraId="54F83BE6" w14:textId="5439C0BE" w:rsidR="002918F9" w:rsidRPr="00B35FBA" w:rsidRDefault="002918F9" w:rsidP="002918F9">
            <w:pPr>
              <w:pStyle w:val="Contact"/>
              <w:spacing w:before="240"/>
              <w:rPr>
                <w:b w:val="0"/>
                <w:color w:val="002060"/>
                <w:szCs w:val="22"/>
              </w:rPr>
            </w:pPr>
            <w:r w:rsidRPr="00B35FBA">
              <w:rPr>
                <w:b w:val="0"/>
                <w:color w:val="002060"/>
                <w:szCs w:val="22"/>
              </w:rPr>
              <w:t xml:space="preserve">The Government </w:t>
            </w:r>
            <w:r w:rsidRPr="00681AF4">
              <w:rPr>
                <w:b w:val="0"/>
                <w:color w:val="002060"/>
              </w:rPr>
              <w:t>supports</w:t>
            </w:r>
            <w:r w:rsidRPr="00B35FBA">
              <w:rPr>
                <w:b w:val="0"/>
                <w:color w:val="002060"/>
                <w:szCs w:val="22"/>
              </w:rPr>
              <w:t xml:space="preserve"> the recommendation.</w:t>
            </w:r>
          </w:p>
          <w:p w14:paraId="1BCB27B0" w14:textId="521ECFC1" w:rsidR="002918F9" w:rsidRPr="00B35FBA" w:rsidRDefault="002918F9" w:rsidP="002918F9">
            <w:pPr>
              <w:spacing w:before="240"/>
              <w:rPr>
                <w:color w:val="002060"/>
              </w:rPr>
            </w:pPr>
            <w:r w:rsidRPr="00B35FBA">
              <w:rPr>
                <w:color w:val="002060"/>
              </w:rPr>
              <w:t>No change to the current objects of the ACNC is necessary as the objects remain relevant and contemporary.</w:t>
            </w:r>
          </w:p>
        </w:tc>
      </w:tr>
      <w:tr w:rsidR="002918F9" w14:paraId="46BB1E54"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0FA32788" w14:textId="77777777" w:rsidR="002918F9" w:rsidRDefault="002918F9" w:rsidP="00E23D55">
            <w:pPr>
              <w:pStyle w:val="RecommendationHeading"/>
            </w:pPr>
            <w:r>
              <w:t>2. The ACNC Act should be amended to include functions and duties that align with the objects.</w:t>
            </w:r>
          </w:p>
          <w:p w14:paraId="4011F0AA" w14:textId="008B93A1" w:rsidR="002918F9" w:rsidRPr="00A57D9C" w:rsidRDefault="004E382D" w:rsidP="00A57D9C">
            <w:pPr>
              <w:pStyle w:val="Contact"/>
              <w:rPr>
                <w:i/>
                <w:szCs w:val="22"/>
              </w:rPr>
            </w:pPr>
            <w:r>
              <w:rPr>
                <w:b w:val="0"/>
                <w:szCs w:val="22"/>
              </w:rPr>
              <w:t>T</w:t>
            </w:r>
            <w:r w:rsidRPr="004E382D">
              <w:rPr>
                <w:b w:val="0"/>
                <w:szCs w:val="22"/>
              </w:rPr>
              <w:t xml:space="preserve">he panel recommended that the ACNC Act be amended so it conforms </w:t>
            </w:r>
            <w:r w:rsidR="00B92F20" w:rsidRPr="004E382D">
              <w:rPr>
                <w:b w:val="0"/>
                <w:szCs w:val="22"/>
              </w:rPr>
              <w:t>to</w:t>
            </w:r>
            <w:r w:rsidRPr="004E382D">
              <w:rPr>
                <w:b w:val="0"/>
                <w:szCs w:val="22"/>
              </w:rPr>
              <w:t xml:space="preserve"> the legislative model adopted in the UK where the functions and duties of the regulator correspond directly with the objects</w:t>
            </w:r>
            <w:r>
              <w:rPr>
                <w:b w:val="0"/>
                <w:szCs w:val="22"/>
              </w:rPr>
              <w:t>.</w:t>
            </w:r>
          </w:p>
        </w:tc>
        <w:tc>
          <w:tcPr>
            <w:tcW w:w="8930" w:type="dxa"/>
            <w:tcBorders>
              <w:top w:val="single" w:sz="4" w:space="0" w:color="B2B3B5" w:themeColor="accent4" w:themeTint="99"/>
              <w:bottom w:val="single" w:sz="4" w:space="0" w:color="B2B3B5" w:themeColor="accent4" w:themeTint="99"/>
            </w:tcBorders>
          </w:tcPr>
          <w:p w14:paraId="4474B387" w14:textId="77777777" w:rsidR="00D20783" w:rsidRPr="00D20783" w:rsidRDefault="00D20783" w:rsidP="00D20783">
            <w:pPr>
              <w:pStyle w:val="Contact"/>
              <w:spacing w:before="240"/>
              <w:rPr>
                <w:b w:val="0"/>
                <w:color w:val="002060"/>
                <w:szCs w:val="22"/>
              </w:rPr>
            </w:pPr>
            <w:r w:rsidRPr="00D20783">
              <w:rPr>
                <w:b w:val="0"/>
                <w:color w:val="002060"/>
                <w:szCs w:val="22"/>
              </w:rPr>
              <w:t xml:space="preserve">The Government does not support the recommendation.  </w:t>
            </w:r>
          </w:p>
          <w:p w14:paraId="0B4A9176" w14:textId="532947D3" w:rsidR="002918F9" w:rsidRPr="00B35FBA" w:rsidRDefault="00D20783" w:rsidP="00D20783">
            <w:pPr>
              <w:spacing w:before="240"/>
              <w:rPr>
                <w:color w:val="002060"/>
              </w:rPr>
            </w:pPr>
            <w:r w:rsidRPr="00D20783">
              <w:rPr>
                <w:color w:val="002060"/>
                <w:szCs w:val="22"/>
              </w:rPr>
              <w:t>The Government does not consider these amendments will enhance the ACNC’s effectiveness as a regulator.</w:t>
            </w:r>
          </w:p>
        </w:tc>
      </w:tr>
      <w:tr w:rsidR="002918F9" w14:paraId="26E07F5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046AB2F" w14:textId="77777777" w:rsidR="002918F9" w:rsidRDefault="002918F9" w:rsidP="00E23D55">
            <w:pPr>
              <w:pStyle w:val="RecommendationHeading"/>
            </w:pPr>
            <w:r>
              <w:lastRenderedPageBreak/>
              <w:t>3. The ACNC should continue to prioritise its education and research functions, including the use of behavioural insights and incentives.</w:t>
            </w:r>
          </w:p>
          <w:p w14:paraId="4AB24B1A" w14:textId="0DCB6473" w:rsidR="002918F9" w:rsidRPr="00A57D9C" w:rsidRDefault="002918F9" w:rsidP="00A57D9C">
            <w:pPr>
              <w:pStyle w:val="Contact"/>
              <w:rPr>
                <w:b w:val="0"/>
                <w:szCs w:val="22"/>
              </w:rPr>
            </w:pPr>
            <w:r w:rsidRPr="003922EE">
              <w:rPr>
                <w:b w:val="0"/>
                <w:szCs w:val="22"/>
              </w:rPr>
              <w:t xml:space="preserve">The </w:t>
            </w:r>
            <w:r>
              <w:rPr>
                <w:b w:val="0"/>
                <w:szCs w:val="22"/>
              </w:rPr>
              <w:t xml:space="preserve">panel found the </w:t>
            </w:r>
            <w:r w:rsidRPr="003922EE">
              <w:rPr>
                <w:b w:val="0"/>
                <w:szCs w:val="22"/>
              </w:rPr>
              <w:t xml:space="preserve">ACNC’s focus on research, guidance and education </w:t>
            </w:r>
            <w:r w:rsidR="004E382D" w:rsidRPr="004E382D">
              <w:rPr>
                <w:b w:val="0"/>
              </w:rPr>
              <w:t xml:space="preserve">has been effective as a form of ‘behavioural nudging’ to the charity sector. </w:t>
            </w:r>
            <w:r w:rsidRPr="003922EE">
              <w:rPr>
                <w:b w:val="0"/>
                <w:szCs w:val="22"/>
              </w:rPr>
              <w:t xml:space="preserve">The </w:t>
            </w:r>
            <w:r>
              <w:rPr>
                <w:b w:val="0"/>
                <w:szCs w:val="22"/>
              </w:rPr>
              <w:t xml:space="preserve">panel </w:t>
            </w:r>
            <w:r w:rsidR="004E382D">
              <w:rPr>
                <w:b w:val="0"/>
                <w:szCs w:val="22"/>
              </w:rPr>
              <w:t xml:space="preserve">believes this </w:t>
            </w:r>
            <w:r w:rsidRPr="003922EE">
              <w:rPr>
                <w:b w:val="0"/>
                <w:szCs w:val="22"/>
              </w:rPr>
              <w:t>focus should continue.</w:t>
            </w:r>
          </w:p>
        </w:tc>
        <w:tc>
          <w:tcPr>
            <w:tcW w:w="8930" w:type="dxa"/>
            <w:tcBorders>
              <w:top w:val="single" w:sz="4" w:space="0" w:color="B2B3B5" w:themeColor="accent4" w:themeTint="99"/>
              <w:bottom w:val="single" w:sz="4" w:space="0" w:color="B2B3B5" w:themeColor="accent4" w:themeTint="99"/>
            </w:tcBorders>
          </w:tcPr>
          <w:p w14:paraId="0366C82E" w14:textId="6DA37AE6" w:rsidR="002918F9" w:rsidRPr="00B35FBA" w:rsidRDefault="002918F9" w:rsidP="002918F9">
            <w:pPr>
              <w:pStyle w:val="Contact"/>
              <w:spacing w:before="240"/>
              <w:rPr>
                <w:b w:val="0"/>
                <w:color w:val="002060"/>
                <w:szCs w:val="22"/>
              </w:rPr>
            </w:pPr>
            <w:r w:rsidRPr="00B35FBA">
              <w:rPr>
                <w:b w:val="0"/>
                <w:color w:val="002060"/>
                <w:szCs w:val="22"/>
              </w:rPr>
              <w:t xml:space="preserve">The Government </w:t>
            </w:r>
            <w:r w:rsidRPr="00681AF4">
              <w:rPr>
                <w:b w:val="0"/>
                <w:color w:val="002060"/>
              </w:rPr>
              <w:t xml:space="preserve">supports </w:t>
            </w:r>
            <w:r w:rsidRPr="00B35FBA">
              <w:rPr>
                <w:b w:val="0"/>
                <w:color w:val="002060"/>
                <w:szCs w:val="22"/>
              </w:rPr>
              <w:t>the recommendation.</w:t>
            </w:r>
          </w:p>
          <w:p w14:paraId="191A46C8" w14:textId="77777777" w:rsidR="002918F9" w:rsidRPr="00B35FBA" w:rsidRDefault="002918F9" w:rsidP="002918F9">
            <w:pPr>
              <w:pStyle w:val="Contact"/>
              <w:spacing w:before="240"/>
              <w:rPr>
                <w:b w:val="0"/>
                <w:color w:val="002060"/>
                <w:szCs w:val="22"/>
              </w:rPr>
            </w:pPr>
            <w:r w:rsidRPr="00B35FBA">
              <w:rPr>
                <w:b w:val="0"/>
                <w:color w:val="002060"/>
                <w:szCs w:val="22"/>
              </w:rPr>
              <w:t>The ACNC will continue to put a strong focus on education and research.</w:t>
            </w:r>
          </w:p>
          <w:p w14:paraId="34F7F0E0" w14:textId="601A4AA0" w:rsidR="002918F9" w:rsidRPr="00B35FBA" w:rsidRDefault="002918F9" w:rsidP="002918F9">
            <w:pPr>
              <w:spacing w:before="240"/>
              <w:rPr>
                <w:color w:val="002060"/>
              </w:rPr>
            </w:pPr>
          </w:p>
        </w:tc>
      </w:tr>
      <w:tr w:rsidR="002918F9" w14:paraId="4943B03F"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7A494E6" w14:textId="77777777" w:rsidR="002918F9" w:rsidRDefault="002918F9" w:rsidP="000242D6">
            <w:pPr>
              <w:pStyle w:val="RecommendationHeading"/>
            </w:pPr>
            <w:r>
              <w:t>4. The ACNC Act should be amended to replace the term ‘responsible entity’ with ‘responsible person’.</w:t>
            </w:r>
          </w:p>
          <w:p w14:paraId="0D820EC4" w14:textId="09B20531" w:rsidR="002918F9" w:rsidRDefault="00681AF4" w:rsidP="00A57D9C">
            <w:r>
              <w:t xml:space="preserve">The </w:t>
            </w:r>
            <w:r w:rsidR="002918F9">
              <w:t xml:space="preserve">term </w:t>
            </w:r>
            <w:r w:rsidR="004E382D">
              <w:t>‘responsible person’ is used by the ACNC in its guidance material to describe those responsible for governance of charities.</w:t>
            </w:r>
            <w:r w:rsidR="00C15F7A">
              <w:t xml:space="preserve"> </w:t>
            </w:r>
            <w:r w:rsidR="004E382D">
              <w:t xml:space="preserve">The term used </w:t>
            </w:r>
            <w:r w:rsidR="002918F9">
              <w:t xml:space="preserve">in the </w:t>
            </w:r>
            <w:r w:rsidR="002918F9" w:rsidRPr="003922EE">
              <w:t xml:space="preserve">ACNC Act </w:t>
            </w:r>
            <w:r w:rsidR="004E382D">
              <w:t xml:space="preserve">is ‘responsible entity’. </w:t>
            </w:r>
            <w:r w:rsidR="002918F9" w:rsidRPr="003922EE">
              <w:t xml:space="preserve">The </w:t>
            </w:r>
            <w:r w:rsidR="002918F9">
              <w:t xml:space="preserve">panel found the </w:t>
            </w:r>
            <w:r w:rsidR="004E382D">
              <w:t xml:space="preserve">misalignment between </w:t>
            </w:r>
            <w:r w:rsidR="002918F9">
              <w:t xml:space="preserve">the </w:t>
            </w:r>
            <w:r w:rsidR="002918F9" w:rsidRPr="003922EE">
              <w:t>ACNC Act and the ACNC guidance</w:t>
            </w:r>
            <w:r w:rsidR="00694CCA">
              <w:t xml:space="preserve"> material</w:t>
            </w:r>
            <w:r w:rsidR="002918F9" w:rsidRPr="003922EE">
              <w:t xml:space="preserve"> </w:t>
            </w:r>
            <w:r w:rsidR="004E382D">
              <w:t>could create</w:t>
            </w:r>
            <w:r w:rsidR="002918F9" w:rsidRPr="003922EE">
              <w:t xml:space="preserve"> confusion.</w:t>
            </w:r>
          </w:p>
        </w:tc>
        <w:tc>
          <w:tcPr>
            <w:tcW w:w="8930" w:type="dxa"/>
            <w:tcBorders>
              <w:top w:val="single" w:sz="4" w:space="0" w:color="B2B3B5" w:themeColor="accent4" w:themeTint="99"/>
              <w:bottom w:val="single" w:sz="4" w:space="0" w:color="B2B3B5" w:themeColor="accent4" w:themeTint="99"/>
            </w:tcBorders>
          </w:tcPr>
          <w:p w14:paraId="49589B6C" w14:textId="77777777" w:rsidR="00D20783" w:rsidRPr="00D20783" w:rsidRDefault="00D20783" w:rsidP="00D20783">
            <w:pPr>
              <w:pStyle w:val="Contact"/>
              <w:spacing w:before="240"/>
              <w:rPr>
                <w:b w:val="0"/>
                <w:color w:val="002060"/>
                <w:szCs w:val="22"/>
              </w:rPr>
            </w:pPr>
            <w:r w:rsidRPr="00D20783">
              <w:rPr>
                <w:b w:val="0"/>
                <w:color w:val="002060"/>
                <w:szCs w:val="22"/>
              </w:rPr>
              <w:t xml:space="preserve">The Government does not support the recommendation.  </w:t>
            </w:r>
          </w:p>
          <w:p w14:paraId="517D26BB" w14:textId="6A5A1DEB" w:rsidR="002918F9" w:rsidRPr="00B35FBA" w:rsidRDefault="00D20783" w:rsidP="00D20783">
            <w:pPr>
              <w:spacing w:before="240"/>
              <w:rPr>
                <w:color w:val="002060"/>
              </w:rPr>
            </w:pPr>
            <w:r w:rsidRPr="00D20783">
              <w:rPr>
                <w:color w:val="002060"/>
                <w:szCs w:val="22"/>
              </w:rPr>
              <w:t>The amendment would create a new opportunity for legal uncertainty because the definition of ‘responsible person’ in the ACNC Act would be different to the meaning of the term used in tax law.</w:t>
            </w:r>
          </w:p>
        </w:tc>
      </w:tr>
      <w:tr w:rsidR="002918F9" w14:paraId="2B5BB25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194E76CC" w14:textId="77777777" w:rsidR="002918F9" w:rsidRDefault="002918F9" w:rsidP="001F4C64">
            <w:pPr>
              <w:pStyle w:val="RecommendationHeading"/>
            </w:pPr>
            <w:r>
              <w:lastRenderedPageBreak/>
              <w:t>5. The powers of the Commissioner to replace a responsible person should be removed.</w:t>
            </w:r>
          </w:p>
          <w:p w14:paraId="7A7F20C4" w14:textId="02CFA543" w:rsidR="002918F9" w:rsidRPr="00A57D9C" w:rsidRDefault="002918F9" w:rsidP="00A57D9C">
            <w:pPr>
              <w:pStyle w:val="Contact"/>
              <w:rPr>
                <w:b w:val="0"/>
                <w:szCs w:val="22"/>
              </w:rPr>
            </w:pPr>
            <w:r w:rsidRPr="003922EE">
              <w:rPr>
                <w:b w:val="0"/>
                <w:szCs w:val="22"/>
              </w:rPr>
              <w:t>The</w:t>
            </w:r>
            <w:r>
              <w:rPr>
                <w:b w:val="0"/>
                <w:szCs w:val="22"/>
              </w:rPr>
              <w:t xml:space="preserve"> panel found the ACNC </w:t>
            </w:r>
            <w:r w:rsidRPr="003922EE">
              <w:rPr>
                <w:b w:val="0"/>
                <w:szCs w:val="22"/>
              </w:rPr>
              <w:t>Commissioner’s powers</w:t>
            </w:r>
            <w:r>
              <w:rPr>
                <w:b w:val="0"/>
                <w:szCs w:val="22"/>
              </w:rPr>
              <w:t xml:space="preserve"> in relation to responsible persons</w:t>
            </w:r>
            <w:r w:rsidRPr="003922EE">
              <w:rPr>
                <w:b w:val="0"/>
                <w:szCs w:val="22"/>
              </w:rPr>
              <w:t xml:space="preserve"> are broad and subject to less scrutiny than comparable regulators. </w:t>
            </w:r>
          </w:p>
        </w:tc>
        <w:tc>
          <w:tcPr>
            <w:tcW w:w="8930" w:type="dxa"/>
            <w:tcBorders>
              <w:top w:val="single" w:sz="4" w:space="0" w:color="B2B3B5" w:themeColor="accent4" w:themeTint="99"/>
              <w:bottom w:val="single" w:sz="4" w:space="0" w:color="B2B3B5" w:themeColor="accent4" w:themeTint="99"/>
            </w:tcBorders>
          </w:tcPr>
          <w:p w14:paraId="14D378EB" w14:textId="77777777" w:rsidR="00010BCC" w:rsidRPr="00010BCC" w:rsidRDefault="00010BCC" w:rsidP="00010BCC">
            <w:pPr>
              <w:pStyle w:val="Contact"/>
              <w:spacing w:before="240"/>
              <w:rPr>
                <w:b w:val="0"/>
                <w:color w:val="002060"/>
                <w:szCs w:val="22"/>
              </w:rPr>
            </w:pPr>
            <w:r w:rsidRPr="00010BCC">
              <w:rPr>
                <w:b w:val="0"/>
                <w:color w:val="002060"/>
                <w:szCs w:val="22"/>
              </w:rPr>
              <w:t xml:space="preserve">The Government does not support the removal of the Commissioner’s power to remove or replace a responsible person.  </w:t>
            </w:r>
          </w:p>
          <w:p w14:paraId="19E15148" w14:textId="77777777" w:rsidR="00010BCC" w:rsidRPr="00010BCC" w:rsidRDefault="00010BCC" w:rsidP="00010BCC">
            <w:pPr>
              <w:pStyle w:val="Contact"/>
              <w:spacing w:before="240"/>
              <w:rPr>
                <w:b w:val="0"/>
                <w:color w:val="002060"/>
                <w:szCs w:val="22"/>
              </w:rPr>
            </w:pPr>
            <w:r w:rsidRPr="00010BCC">
              <w:rPr>
                <w:b w:val="0"/>
                <w:color w:val="002060"/>
                <w:szCs w:val="22"/>
              </w:rPr>
              <w:t>This power is important as it allows the ACNC Commissioner to act quickly and may prevent the misuse of charitable assets.</w:t>
            </w:r>
          </w:p>
          <w:p w14:paraId="0C9470A0" w14:textId="5EFF7BDA" w:rsidR="00010BCC" w:rsidRPr="00010BCC" w:rsidRDefault="00010BCC" w:rsidP="00010BCC">
            <w:pPr>
              <w:pStyle w:val="Contact"/>
              <w:spacing w:before="240"/>
              <w:rPr>
                <w:b w:val="0"/>
                <w:color w:val="002060"/>
                <w:szCs w:val="22"/>
              </w:rPr>
            </w:pPr>
            <w:r w:rsidRPr="00010BCC">
              <w:rPr>
                <w:b w:val="0"/>
                <w:color w:val="002060"/>
                <w:szCs w:val="22"/>
              </w:rPr>
              <w:t xml:space="preserve">However, the Government will mandate additional criteria that the Commissioner will be required to consider when making a decision to remove or replace a responsible person. </w:t>
            </w:r>
          </w:p>
          <w:p w14:paraId="7174A233" w14:textId="77777777" w:rsidR="00010BCC" w:rsidRPr="00010BCC" w:rsidRDefault="00010BCC" w:rsidP="00010BCC">
            <w:pPr>
              <w:pStyle w:val="Contact"/>
              <w:spacing w:before="240"/>
              <w:rPr>
                <w:b w:val="0"/>
                <w:color w:val="002060"/>
                <w:szCs w:val="22"/>
              </w:rPr>
            </w:pPr>
            <w:r w:rsidRPr="00010BCC">
              <w:rPr>
                <w:b w:val="0"/>
                <w:color w:val="002060"/>
                <w:szCs w:val="22"/>
              </w:rPr>
              <w:t xml:space="preserve">The Government will also broaden the power of appeal to allow both the ACNC registered charity and the responsible person the right to appeal a decision relating to a Commissioner’s decision to remove or replace a responsible person.  </w:t>
            </w:r>
          </w:p>
          <w:p w14:paraId="0E507327" w14:textId="77777777" w:rsidR="00010BCC" w:rsidRPr="00010BCC" w:rsidRDefault="00010BCC" w:rsidP="00010BCC">
            <w:pPr>
              <w:pStyle w:val="Contact"/>
              <w:spacing w:before="240"/>
              <w:rPr>
                <w:b w:val="0"/>
                <w:color w:val="002060"/>
                <w:szCs w:val="22"/>
              </w:rPr>
            </w:pPr>
            <w:r w:rsidRPr="00010BCC">
              <w:rPr>
                <w:b w:val="0"/>
                <w:color w:val="002060"/>
                <w:szCs w:val="22"/>
              </w:rPr>
              <w:t>The additional safeguards and appeal rights will enhance the protections for those responsible persons affected by a decision of the ACNC Commissioner.</w:t>
            </w:r>
          </w:p>
          <w:p w14:paraId="7A18FAD5" w14:textId="2098357C" w:rsidR="002918F9" w:rsidRPr="00E31AC2" w:rsidRDefault="00010BCC" w:rsidP="00010BCC">
            <w:pPr>
              <w:pStyle w:val="Contact"/>
              <w:spacing w:before="240"/>
              <w:rPr>
                <w:b w:val="0"/>
                <w:color w:val="002060"/>
              </w:rPr>
            </w:pPr>
            <w:r w:rsidRPr="00010BCC">
              <w:rPr>
                <w:b w:val="0"/>
                <w:color w:val="002060"/>
                <w:szCs w:val="22"/>
              </w:rPr>
              <w:t>The Government will consult on the detail of the changes.</w:t>
            </w:r>
          </w:p>
        </w:tc>
      </w:tr>
      <w:tr w:rsidR="002918F9" w14:paraId="5F5D2351"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EB7327D" w14:textId="77777777" w:rsidR="002918F9" w:rsidRDefault="002918F9" w:rsidP="001F4C64">
            <w:pPr>
              <w:pStyle w:val="RecommendationHeading"/>
            </w:pPr>
            <w:r>
              <w:t>6. An Executive Committee comprising the Commissioner and the Assistant Commissioners should be established, and be responsible for the strategic direction and performance of the ACNC.</w:t>
            </w:r>
          </w:p>
          <w:p w14:paraId="2B7F875A" w14:textId="6C2D2316" w:rsidR="002918F9" w:rsidRDefault="002918F9" w:rsidP="00DC7231">
            <w:r>
              <w:t xml:space="preserve">The panel found the ACNC should have an </w:t>
            </w:r>
            <w:r w:rsidDel="00370071">
              <w:t xml:space="preserve">Executive </w:t>
            </w:r>
            <w:r w:rsidR="00DC7231">
              <w:t>C</w:t>
            </w:r>
            <w:r w:rsidR="00370071" w:rsidRPr="002077C4">
              <w:t xml:space="preserve">ommittee </w:t>
            </w:r>
            <w:r w:rsidRPr="002077C4">
              <w:t xml:space="preserve">structure similar to other </w:t>
            </w:r>
            <w:r>
              <w:t xml:space="preserve">comparable </w:t>
            </w:r>
            <w:r w:rsidRPr="002077C4">
              <w:t>statutory organisations.</w:t>
            </w:r>
          </w:p>
        </w:tc>
        <w:tc>
          <w:tcPr>
            <w:tcW w:w="8930" w:type="dxa"/>
            <w:tcBorders>
              <w:top w:val="single" w:sz="4" w:space="0" w:color="B2B3B5" w:themeColor="accent4" w:themeTint="99"/>
              <w:bottom w:val="single" w:sz="4" w:space="0" w:color="B2B3B5" w:themeColor="accent4" w:themeTint="99"/>
            </w:tcBorders>
          </w:tcPr>
          <w:p w14:paraId="2C34D01D" w14:textId="626B8BD9" w:rsidR="002918F9" w:rsidRPr="00B35FBA" w:rsidRDefault="00010BCC" w:rsidP="002918F9">
            <w:pPr>
              <w:spacing w:before="240"/>
              <w:rPr>
                <w:b/>
                <w:color w:val="002060"/>
                <w:sz w:val="20"/>
              </w:rPr>
            </w:pPr>
            <w:r w:rsidRPr="00010BCC">
              <w:rPr>
                <w:color w:val="002060"/>
              </w:rPr>
              <w:t>The Government agrees it is good practice for a regulator to establish an executive committee to manage the strategic direction and performance of the organisation</w:t>
            </w:r>
            <w:r w:rsidR="00CF24FE">
              <w:rPr>
                <w:color w:val="002060"/>
              </w:rPr>
              <w:t>, and notes that the ACNC has an Executive Committee</w:t>
            </w:r>
            <w:r w:rsidRPr="00010BCC">
              <w:rPr>
                <w:color w:val="002060"/>
              </w:rPr>
              <w:t>.</w:t>
            </w:r>
          </w:p>
          <w:p w14:paraId="56784788" w14:textId="38CA4678" w:rsidR="002918F9" w:rsidRPr="00B35FBA" w:rsidRDefault="002918F9" w:rsidP="002918F9">
            <w:pPr>
              <w:spacing w:before="240"/>
              <w:rPr>
                <w:color w:val="002060"/>
              </w:rPr>
            </w:pPr>
          </w:p>
        </w:tc>
      </w:tr>
      <w:tr w:rsidR="002918F9" w14:paraId="4A07A1A1"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5FFFB94B" w14:textId="77777777" w:rsidR="002918F9" w:rsidRDefault="002918F9" w:rsidP="001F4C64">
            <w:pPr>
              <w:pStyle w:val="RecommendationHeading"/>
            </w:pPr>
            <w:r>
              <w:lastRenderedPageBreak/>
              <w:t>7. The ACNC Act should be amended to give the Commissioner broader powers to delegate functions or powers to staff.</w:t>
            </w:r>
          </w:p>
          <w:p w14:paraId="6FE0691A" w14:textId="37C64A3D" w:rsidR="002918F9" w:rsidRPr="00A57D9C" w:rsidRDefault="002918F9" w:rsidP="00A57D9C">
            <w:pPr>
              <w:pStyle w:val="Contact"/>
              <w:rPr>
                <w:rFonts w:eastAsiaTheme="minorHAnsi" w:cstheme="minorBidi"/>
                <w:b w:val="0"/>
                <w:szCs w:val="22"/>
                <w:lang w:eastAsia="en-US"/>
              </w:rPr>
            </w:pPr>
            <w:r w:rsidRPr="002077C4">
              <w:rPr>
                <w:rFonts w:eastAsiaTheme="minorHAnsi" w:cstheme="minorBidi"/>
                <w:b w:val="0"/>
                <w:szCs w:val="22"/>
                <w:lang w:eastAsia="en-US"/>
              </w:rPr>
              <w:t xml:space="preserve">The panel found the expansion of the </w:t>
            </w:r>
            <w:r>
              <w:rPr>
                <w:rFonts w:eastAsiaTheme="minorHAnsi" w:cstheme="minorBidi"/>
                <w:b w:val="0"/>
                <w:szCs w:val="22"/>
                <w:lang w:eastAsia="en-US"/>
              </w:rPr>
              <w:t xml:space="preserve">ACNC </w:t>
            </w:r>
            <w:r w:rsidRPr="002077C4">
              <w:rPr>
                <w:rFonts w:eastAsiaTheme="minorHAnsi" w:cstheme="minorBidi"/>
                <w:b w:val="0"/>
                <w:szCs w:val="22"/>
                <w:lang w:eastAsia="en-US"/>
              </w:rPr>
              <w:t xml:space="preserve">Commissioner’s delegation powers would facilitate more efficient decision making. </w:t>
            </w:r>
          </w:p>
        </w:tc>
        <w:tc>
          <w:tcPr>
            <w:tcW w:w="8930" w:type="dxa"/>
            <w:tcBorders>
              <w:top w:val="single" w:sz="4" w:space="0" w:color="B2B3B5" w:themeColor="accent4" w:themeTint="99"/>
              <w:bottom w:val="single" w:sz="4" w:space="0" w:color="B2B3B5" w:themeColor="accent4" w:themeTint="99"/>
            </w:tcBorders>
          </w:tcPr>
          <w:p w14:paraId="15B2A866" w14:textId="77777777" w:rsidR="00010BCC" w:rsidRPr="00010BCC" w:rsidRDefault="00010BCC" w:rsidP="00010BCC">
            <w:pPr>
              <w:spacing w:before="240"/>
              <w:rPr>
                <w:color w:val="002060"/>
              </w:rPr>
            </w:pPr>
            <w:r w:rsidRPr="00010BCC">
              <w:rPr>
                <w:color w:val="002060"/>
              </w:rPr>
              <w:t>The Government supports the recommendation to allow the Commissioner to delegate functions or powers to staff if satisfied the person performing the delegated functions has an appropriate level of expertise.</w:t>
            </w:r>
          </w:p>
          <w:p w14:paraId="638E80BD" w14:textId="77777777" w:rsidR="00010BCC" w:rsidRPr="00010BCC" w:rsidRDefault="00010BCC" w:rsidP="00010BCC">
            <w:pPr>
              <w:spacing w:before="240"/>
              <w:rPr>
                <w:color w:val="002060"/>
              </w:rPr>
            </w:pPr>
            <w:r w:rsidRPr="00010BCC">
              <w:rPr>
                <w:color w:val="002060"/>
              </w:rPr>
              <w:t>The change will enhance the efficiency and quality of the ACNC’s administrative decision-making process.</w:t>
            </w:r>
          </w:p>
          <w:p w14:paraId="0F2CF034" w14:textId="792A0331" w:rsidR="002918F9" w:rsidRPr="00B35FBA" w:rsidRDefault="00010BCC" w:rsidP="00010BCC">
            <w:pPr>
              <w:spacing w:before="240"/>
              <w:rPr>
                <w:color w:val="002060"/>
              </w:rPr>
            </w:pPr>
            <w:r w:rsidRPr="00010BCC">
              <w:rPr>
                <w:color w:val="002060"/>
              </w:rPr>
              <w:t>The Government will implement this recommendation by changes to legislation.</w:t>
            </w:r>
          </w:p>
        </w:tc>
      </w:tr>
      <w:tr w:rsidR="002918F9" w14:paraId="2FF7A831"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23F826C2" w14:textId="2F0495F0" w:rsidR="002918F9" w:rsidRDefault="002918F9" w:rsidP="001F4C64">
            <w:pPr>
              <w:pStyle w:val="RecommendationHeading"/>
            </w:pPr>
            <w:r>
              <w:t xml:space="preserve">8. The </w:t>
            </w:r>
            <w:r w:rsidR="00A05C81">
              <w:t xml:space="preserve">[ACNC] </w:t>
            </w:r>
            <w:r>
              <w:t>Advisory Board should be empowered to provide advice to the Minister or the Commissioner on its own initiative, and engage directly with the sector.</w:t>
            </w:r>
          </w:p>
          <w:p w14:paraId="5880FBEF" w14:textId="6854CBC4" w:rsidR="002918F9" w:rsidRPr="00A57D9C" w:rsidRDefault="002918F9" w:rsidP="00A57D9C">
            <w:pPr>
              <w:pStyle w:val="Contact"/>
              <w:rPr>
                <w:rFonts w:eastAsiaTheme="minorHAnsi" w:cstheme="minorBidi"/>
                <w:b w:val="0"/>
                <w:szCs w:val="22"/>
                <w:lang w:eastAsia="en-US"/>
              </w:rPr>
            </w:pPr>
            <w:r w:rsidRPr="002077C4">
              <w:rPr>
                <w:rFonts w:eastAsiaTheme="minorHAnsi" w:cstheme="minorBidi"/>
                <w:b w:val="0"/>
                <w:szCs w:val="22"/>
                <w:lang w:eastAsia="en-US"/>
              </w:rPr>
              <w:t xml:space="preserve">The panel </w:t>
            </w:r>
            <w:r>
              <w:rPr>
                <w:rFonts w:eastAsiaTheme="minorHAnsi" w:cstheme="minorBidi"/>
                <w:b w:val="0"/>
                <w:szCs w:val="22"/>
                <w:lang w:eastAsia="en-US"/>
              </w:rPr>
              <w:t>found</w:t>
            </w:r>
            <w:r w:rsidRPr="002077C4">
              <w:rPr>
                <w:rFonts w:eastAsiaTheme="minorHAnsi" w:cstheme="minorBidi"/>
                <w:b w:val="0"/>
                <w:szCs w:val="22"/>
                <w:lang w:eastAsia="en-US"/>
              </w:rPr>
              <w:t xml:space="preserve"> the Advisory Board</w:t>
            </w:r>
            <w:r>
              <w:rPr>
                <w:rFonts w:eastAsiaTheme="minorHAnsi" w:cstheme="minorBidi"/>
                <w:b w:val="0"/>
                <w:szCs w:val="22"/>
                <w:lang w:eastAsia="en-US"/>
              </w:rPr>
              <w:t xml:space="preserve"> </w:t>
            </w:r>
            <w:r w:rsidRPr="002077C4">
              <w:rPr>
                <w:rFonts w:eastAsiaTheme="minorHAnsi" w:cstheme="minorBidi"/>
                <w:b w:val="0"/>
                <w:szCs w:val="22"/>
                <w:lang w:eastAsia="en-US"/>
              </w:rPr>
              <w:t>could play a greater role</w:t>
            </w:r>
            <w:r>
              <w:rPr>
                <w:rFonts w:eastAsiaTheme="minorHAnsi" w:cstheme="minorBidi"/>
                <w:b w:val="0"/>
                <w:szCs w:val="22"/>
                <w:lang w:eastAsia="en-US"/>
              </w:rPr>
              <w:t>, given its expertise</w:t>
            </w:r>
            <w:r w:rsidRPr="002077C4">
              <w:rPr>
                <w:rFonts w:eastAsiaTheme="minorHAnsi" w:cstheme="minorBidi"/>
                <w:b w:val="0"/>
                <w:szCs w:val="22"/>
                <w:lang w:eastAsia="en-US"/>
              </w:rPr>
              <w:t xml:space="preserve">. </w:t>
            </w:r>
          </w:p>
        </w:tc>
        <w:tc>
          <w:tcPr>
            <w:tcW w:w="8930" w:type="dxa"/>
            <w:tcBorders>
              <w:top w:val="single" w:sz="4" w:space="0" w:color="B2B3B5" w:themeColor="accent4" w:themeTint="99"/>
              <w:bottom w:val="single" w:sz="4" w:space="0" w:color="B2B3B5" w:themeColor="accent4" w:themeTint="99"/>
            </w:tcBorders>
          </w:tcPr>
          <w:p w14:paraId="3DB4D118" w14:textId="77777777" w:rsidR="002918F9" w:rsidRDefault="00010BCC" w:rsidP="002918F9">
            <w:pPr>
              <w:spacing w:before="240"/>
              <w:rPr>
                <w:color w:val="002060"/>
              </w:rPr>
            </w:pPr>
            <w:r w:rsidRPr="00010BCC">
              <w:rPr>
                <w:color w:val="002060"/>
              </w:rPr>
              <w:t>The Government supports the Advisory Board proactively reviewing issues of importance to the sector and providing advice to the Commissioner.</w:t>
            </w:r>
          </w:p>
          <w:p w14:paraId="674DD52A" w14:textId="50729B1F" w:rsidR="00BB7A98" w:rsidRPr="00B35FBA" w:rsidRDefault="00BB7A98" w:rsidP="002918F9">
            <w:pPr>
              <w:spacing w:before="240"/>
              <w:rPr>
                <w:color w:val="002060"/>
              </w:rPr>
            </w:pPr>
            <w:r w:rsidRPr="00BB7A98">
              <w:rPr>
                <w:color w:val="002060"/>
              </w:rPr>
              <w:t>There is no legal barrier to the Advisory Board meeting with the Minister.</w:t>
            </w:r>
          </w:p>
        </w:tc>
      </w:tr>
      <w:tr w:rsidR="002918F9" w:rsidRPr="00BC232B" w14:paraId="15AA04D1" w14:textId="77777777" w:rsidTr="00C804E1">
        <w:trPr>
          <w:cantSplit/>
        </w:trPr>
        <w:tc>
          <w:tcPr>
            <w:tcW w:w="5353" w:type="dxa"/>
            <w:tcBorders>
              <w:top w:val="single" w:sz="4" w:space="0" w:color="B2B3B5" w:themeColor="accent4" w:themeTint="99"/>
            </w:tcBorders>
            <w:shd w:val="clear" w:color="auto" w:fill="D6EBF4" w:themeFill="accent5" w:themeFillTint="66"/>
          </w:tcPr>
          <w:p w14:paraId="3E63DDCF" w14:textId="75B34379" w:rsidR="002918F9" w:rsidRPr="00BC232B" w:rsidRDefault="002918F9" w:rsidP="0039292C">
            <w:pPr>
              <w:keepNext/>
              <w:rPr>
                <w:b/>
                <w:i/>
                <w:color w:val="002060"/>
              </w:rPr>
            </w:pPr>
            <w:r w:rsidRPr="009F19F2">
              <w:rPr>
                <w:b/>
                <w:i/>
                <w:color w:val="002060"/>
              </w:rPr>
              <w:lastRenderedPageBreak/>
              <w:t>Part B – Regulatory Framework</w:t>
            </w:r>
          </w:p>
        </w:tc>
        <w:tc>
          <w:tcPr>
            <w:tcW w:w="8930" w:type="dxa"/>
            <w:tcBorders>
              <w:top w:val="single" w:sz="4" w:space="0" w:color="B2B3B5" w:themeColor="accent4" w:themeTint="99"/>
            </w:tcBorders>
            <w:shd w:val="clear" w:color="auto" w:fill="D6EBF4" w:themeFill="accent5" w:themeFillTint="66"/>
          </w:tcPr>
          <w:p w14:paraId="1841215F" w14:textId="752C0A1C" w:rsidR="002918F9" w:rsidRPr="00B35FBA" w:rsidRDefault="002918F9" w:rsidP="002918F9">
            <w:pPr>
              <w:keepNext/>
              <w:spacing w:before="240"/>
              <w:rPr>
                <w:i/>
                <w:color w:val="002060"/>
              </w:rPr>
            </w:pPr>
          </w:p>
        </w:tc>
      </w:tr>
      <w:tr w:rsidR="002918F9" w14:paraId="29BF3976" w14:textId="77777777" w:rsidTr="0039292C">
        <w:trPr>
          <w:cantSplit/>
        </w:trPr>
        <w:tc>
          <w:tcPr>
            <w:tcW w:w="5353" w:type="dxa"/>
            <w:tcBorders>
              <w:bottom w:val="single" w:sz="4" w:space="0" w:color="B2B3B5" w:themeColor="accent4" w:themeTint="99"/>
            </w:tcBorders>
          </w:tcPr>
          <w:p w14:paraId="3CA80380" w14:textId="77777777" w:rsidR="002918F9" w:rsidRDefault="002918F9" w:rsidP="0039292C">
            <w:pPr>
              <w:pStyle w:val="RecommendationHeading"/>
              <w:keepNext/>
            </w:pPr>
            <w:r>
              <w:t xml:space="preserve">9. ACNC governance standard 3 should be repealed and ACNC governance standard 5 should be amended to remove the word ‘perceived’ with a view to consistency with the </w:t>
            </w:r>
            <w:r w:rsidRPr="00A57D9C">
              <w:rPr>
                <w:i/>
              </w:rPr>
              <w:t>Corporations Act 2001</w:t>
            </w:r>
            <w:r>
              <w:t xml:space="preserve"> (</w:t>
            </w:r>
            <w:proofErr w:type="spellStart"/>
            <w:r>
              <w:t>Cth</w:t>
            </w:r>
            <w:proofErr w:type="spellEnd"/>
            <w:r>
              <w:t>).</w:t>
            </w:r>
          </w:p>
          <w:p w14:paraId="03A5760D" w14:textId="69410ACB" w:rsidR="002918F9" w:rsidRPr="00A57D9C" w:rsidRDefault="002918F9" w:rsidP="00A57D9C">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panel found governance standard 3, stipulating that a charity must not commit a serious offence under Australian laws, is not appropriate for the ACNC to enforce. The panel also found that the concept of ‘perceived conflicts’ in governance standard 5 is not clearly defined in law.  </w:t>
            </w:r>
          </w:p>
        </w:tc>
        <w:tc>
          <w:tcPr>
            <w:tcW w:w="8930" w:type="dxa"/>
            <w:tcBorders>
              <w:bottom w:val="single" w:sz="4" w:space="0" w:color="B2B3B5" w:themeColor="accent4" w:themeTint="99"/>
            </w:tcBorders>
          </w:tcPr>
          <w:p w14:paraId="338F6205" w14:textId="77777777" w:rsidR="00D20783" w:rsidRPr="00D20783" w:rsidRDefault="00D20783" w:rsidP="00D20783">
            <w:pPr>
              <w:spacing w:before="240"/>
              <w:rPr>
                <w:color w:val="002060"/>
              </w:rPr>
            </w:pPr>
            <w:r w:rsidRPr="00D20783">
              <w:rPr>
                <w:color w:val="002060"/>
              </w:rPr>
              <w:t>The Government does not support the recommendation.</w:t>
            </w:r>
          </w:p>
          <w:p w14:paraId="65F1A5C6" w14:textId="77777777" w:rsidR="00D20783" w:rsidRPr="00D20783" w:rsidRDefault="00D20783" w:rsidP="00D20783">
            <w:pPr>
              <w:spacing w:before="240"/>
              <w:rPr>
                <w:color w:val="002060"/>
              </w:rPr>
            </w:pPr>
            <w:r w:rsidRPr="00D20783">
              <w:rPr>
                <w:color w:val="002060"/>
              </w:rPr>
              <w:t>The Government supports the ACNC having the power to take action to deregister an entity where serious offences have been committed and therefore supports the retention of governance standard 3.</w:t>
            </w:r>
          </w:p>
          <w:p w14:paraId="7DAE7B5A" w14:textId="5983CB98" w:rsidR="002918F9" w:rsidRPr="00B35FBA" w:rsidRDefault="00D20783" w:rsidP="00D20783">
            <w:pPr>
              <w:keepNext/>
              <w:spacing w:before="240"/>
              <w:rPr>
                <w:color w:val="002060"/>
              </w:rPr>
            </w:pPr>
            <w:r w:rsidRPr="00D20783">
              <w:rPr>
                <w:color w:val="002060"/>
              </w:rPr>
              <w:t>The Government considers the requirement for registered entities to disclose perceived conflicts of interest enhances transparency and mitigates the risk of poor behaviour. For these reasons, the Government does not support removing the word ‘perceived’ from governance standard 5.</w:t>
            </w:r>
          </w:p>
        </w:tc>
      </w:tr>
      <w:tr w:rsidR="002918F9" w14:paraId="25451609"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76165666" w14:textId="77777777" w:rsidR="002918F9" w:rsidRDefault="002918F9" w:rsidP="0039292C">
            <w:pPr>
              <w:pStyle w:val="RecommendationHeading"/>
              <w:keepNext/>
            </w:pPr>
            <w:r>
              <w:t>10. A registered entity should be presumed to comply with the ACNC governance standards if it already complies with other comparable governance requirements.</w:t>
            </w:r>
          </w:p>
          <w:p w14:paraId="675ABADA" w14:textId="20DFF6FA" w:rsidR="002918F9" w:rsidRPr="00A57D9C" w:rsidRDefault="00D00728" w:rsidP="00DD4700">
            <w:pPr>
              <w:pStyle w:val="Contact"/>
              <w:rPr>
                <w:rFonts w:eastAsiaTheme="minorHAnsi" w:cstheme="minorBidi"/>
                <w:b w:val="0"/>
                <w:szCs w:val="22"/>
                <w:lang w:eastAsia="en-US"/>
              </w:rPr>
            </w:pPr>
            <w:r>
              <w:rPr>
                <w:rFonts w:eastAsiaTheme="minorHAnsi" w:cstheme="minorBidi"/>
                <w:b w:val="0"/>
                <w:szCs w:val="22"/>
                <w:lang w:eastAsia="en-US"/>
              </w:rPr>
              <w:t xml:space="preserve">The panel found a </w:t>
            </w:r>
            <w:r w:rsidRPr="00D00728">
              <w:rPr>
                <w:rFonts w:eastAsiaTheme="minorHAnsi" w:cstheme="minorBidi"/>
                <w:b w:val="0"/>
                <w:szCs w:val="22"/>
                <w:lang w:eastAsia="en-US"/>
              </w:rPr>
              <w:t>registered entity should</w:t>
            </w:r>
            <w:r>
              <w:rPr>
                <w:rFonts w:eastAsiaTheme="minorHAnsi" w:cstheme="minorBidi"/>
                <w:b w:val="0"/>
                <w:szCs w:val="22"/>
                <w:lang w:eastAsia="en-US"/>
              </w:rPr>
              <w:t xml:space="preserve"> be presumed compliant with </w:t>
            </w:r>
            <w:r w:rsidRPr="00D00728">
              <w:rPr>
                <w:rFonts w:eastAsiaTheme="minorHAnsi" w:cstheme="minorBidi"/>
                <w:b w:val="0"/>
                <w:szCs w:val="22"/>
                <w:lang w:eastAsia="en-US"/>
              </w:rPr>
              <w:t xml:space="preserve">ACNC </w:t>
            </w:r>
            <w:r w:rsidR="00A05C81">
              <w:rPr>
                <w:rFonts w:eastAsiaTheme="minorHAnsi" w:cstheme="minorBidi"/>
                <w:b w:val="0"/>
                <w:szCs w:val="22"/>
                <w:lang w:eastAsia="en-US"/>
              </w:rPr>
              <w:t>governance standards if it self</w:t>
            </w:r>
            <w:r w:rsidR="00A05C81">
              <w:rPr>
                <w:rFonts w:eastAsiaTheme="minorHAnsi" w:cstheme="minorBidi"/>
                <w:b w:val="0"/>
                <w:szCs w:val="22"/>
                <w:lang w:eastAsia="en-US"/>
              </w:rPr>
              <w:noBreakHyphen/>
            </w:r>
            <w:r w:rsidRPr="00D00728">
              <w:rPr>
                <w:rFonts w:eastAsiaTheme="minorHAnsi" w:cstheme="minorBidi"/>
                <w:b w:val="0"/>
                <w:szCs w:val="22"/>
                <w:lang w:eastAsia="en-US"/>
              </w:rPr>
              <w:t xml:space="preserve">assesses that it has complied with comparable governance requirements and makes a declaration to that effect in the Annual Information Statement.   </w:t>
            </w:r>
          </w:p>
        </w:tc>
        <w:tc>
          <w:tcPr>
            <w:tcW w:w="8930" w:type="dxa"/>
            <w:tcBorders>
              <w:top w:val="single" w:sz="4" w:space="0" w:color="B2B3B5" w:themeColor="accent4" w:themeTint="99"/>
              <w:bottom w:val="single" w:sz="4" w:space="0" w:color="B2B3B5" w:themeColor="accent4" w:themeTint="99"/>
            </w:tcBorders>
          </w:tcPr>
          <w:p w14:paraId="5A578368" w14:textId="0CDCEB45" w:rsidR="002918F9" w:rsidRPr="00B35FBA" w:rsidRDefault="002918F9" w:rsidP="002918F9">
            <w:pPr>
              <w:spacing w:before="240"/>
              <w:rPr>
                <w:color w:val="002060"/>
                <w:sz w:val="20"/>
              </w:rPr>
            </w:pPr>
            <w:r w:rsidRPr="00B35FBA">
              <w:rPr>
                <w:color w:val="002060"/>
              </w:rPr>
              <w:t xml:space="preserve">The Government </w:t>
            </w:r>
            <w:r w:rsidRPr="00D00728">
              <w:rPr>
                <w:color w:val="002060"/>
              </w:rPr>
              <w:t>supports</w:t>
            </w:r>
            <w:r w:rsidRPr="00B35FBA">
              <w:rPr>
                <w:color w:val="002060"/>
              </w:rPr>
              <w:t xml:space="preserve"> the ACNC</w:t>
            </w:r>
            <w:r w:rsidR="0008640A">
              <w:rPr>
                <w:color w:val="002060"/>
              </w:rPr>
              <w:t>’s existing approach of</w:t>
            </w:r>
            <w:r w:rsidRPr="00B35FBA">
              <w:rPr>
                <w:color w:val="002060"/>
              </w:rPr>
              <w:t xml:space="preserve"> reducing regulatory burden for the charity sector by publishing information on whether particular codes of conduct, as enforced by peak bodies, are consistent with the ACNC governance standards.</w:t>
            </w:r>
            <w:r w:rsidRPr="00B35FBA">
              <w:rPr>
                <w:color w:val="002060"/>
                <w:sz w:val="20"/>
              </w:rPr>
              <w:t xml:space="preserve">  </w:t>
            </w:r>
          </w:p>
          <w:p w14:paraId="1EBF2041" w14:textId="004849BF" w:rsidR="002918F9" w:rsidRPr="00B35FBA" w:rsidRDefault="002918F9" w:rsidP="00A05C81">
            <w:pPr>
              <w:keepNext/>
              <w:spacing w:before="240"/>
              <w:rPr>
                <w:color w:val="002060"/>
              </w:rPr>
            </w:pPr>
            <w:r w:rsidRPr="00B35FBA">
              <w:rPr>
                <w:color w:val="002060"/>
              </w:rPr>
              <w:t xml:space="preserve">The ACNC will retain the capacity to monitor and assess an entity’s compliance with the ACNC’s governance standards and retain the power to deregister a charity if it is found </w:t>
            </w:r>
            <w:r w:rsidR="00A05C81">
              <w:rPr>
                <w:color w:val="002060"/>
              </w:rPr>
              <w:t>non</w:t>
            </w:r>
            <w:r w:rsidR="00A05C81">
              <w:rPr>
                <w:color w:val="002060"/>
              </w:rPr>
              <w:noBreakHyphen/>
              <w:t>compliant</w:t>
            </w:r>
            <w:r w:rsidRPr="00B35FBA">
              <w:rPr>
                <w:color w:val="002060"/>
              </w:rPr>
              <w:t xml:space="preserve"> with the governance standards.</w:t>
            </w:r>
          </w:p>
        </w:tc>
      </w:tr>
      <w:tr w:rsidR="002918F9" w14:paraId="09823670"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65C7703" w14:textId="77777777" w:rsidR="002918F9" w:rsidRDefault="002918F9" w:rsidP="001F4C64">
            <w:pPr>
              <w:pStyle w:val="RecommendationHeading"/>
            </w:pPr>
            <w:r>
              <w:lastRenderedPageBreak/>
              <w:t xml:space="preserve">11. The </w:t>
            </w:r>
            <w:r w:rsidRPr="00A57D9C">
              <w:rPr>
                <w:i/>
              </w:rPr>
              <w:t>Corporations Act 2001</w:t>
            </w:r>
            <w:r w:rsidRPr="00F15362">
              <w:t xml:space="preserve"> (</w:t>
            </w:r>
            <w:proofErr w:type="spellStart"/>
            <w:r w:rsidRPr="00F15362">
              <w:t>Cth</w:t>
            </w:r>
            <w:proofErr w:type="spellEnd"/>
            <w:r w:rsidRPr="00F15362">
              <w:t>)</w:t>
            </w:r>
            <w:r>
              <w:t xml:space="preserve"> should be amended to ‘turn on’ the duties and other provisions previously ‘turned off’.</w:t>
            </w:r>
          </w:p>
          <w:p w14:paraId="666B287D" w14:textId="4D76BD3C" w:rsidR="002918F9" w:rsidRPr="00A57D9C" w:rsidRDefault="002918F9" w:rsidP="00A57D9C">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panel found an amendment to the </w:t>
            </w:r>
            <w:r w:rsidRPr="00AF7B02">
              <w:rPr>
                <w:rFonts w:eastAsiaTheme="minorHAnsi"/>
                <w:b w:val="0"/>
              </w:rPr>
              <w:t>Corporations Act</w:t>
            </w:r>
            <w:r w:rsidRPr="004D1398">
              <w:rPr>
                <w:rFonts w:eastAsiaTheme="minorHAnsi" w:cstheme="minorBidi"/>
                <w:b w:val="0"/>
                <w:szCs w:val="22"/>
                <w:lang w:eastAsia="en-US"/>
              </w:rPr>
              <w:t xml:space="preserve"> would reduce the ambiguity about whether directors’ duties for charitable companies applied and strengthen the rights of members to take action against directors in the case of a breach of duties.  </w:t>
            </w:r>
          </w:p>
        </w:tc>
        <w:tc>
          <w:tcPr>
            <w:tcW w:w="8930" w:type="dxa"/>
            <w:tcBorders>
              <w:top w:val="single" w:sz="4" w:space="0" w:color="B2B3B5" w:themeColor="accent4" w:themeTint="99"/>
              <w:bottom w:val="single" w:sz="4" w:space="0" w:color="B2B3B5" w:themeColor="accent4" w:themeTint="99"/>
            </w:tcBorders>
          </w:tcPr>
          <w:p w14:paraId="14BD5F5D" w14:textId="7BF97520" w:rsidR="002918F9" w:rsidRPr="00B35FBA" w:rsidRDefault="002918F9" w:rsidP="002918F9">
            <w:pPr>
              <w:spacing w:before="240"/>
              <w:rPr>
                <w:color w:val="002060"/>
              </w:rPr>
            </w:pPr>
            <w:r w:rsidRPr="00B35FBA">
              <w:rPr>
                <w:color w:val="002060"/>
              </w:rPr>
              <w:t xml:space="preserve">The Government </w:t>
            </w:r>
            <w:r w:rsidRPr="00D00728">
              <w:rPr>
                <w:color w:val="002060"/>
              </w:rPr>
              <w:t>notes</w:t>
            </w:r>
            <w:r w:rsidRPr="00B35FBA">
              <w:rPr>
                <w:color w:val="002060"/>
              </w:rPr>
              <w:t xml:space="preserve"> the recommendation. </w:t>
            </w:r>
          </w:p>
          <w:p w14:paraId="40003ADE" w14:textId="0BB5CB43" w:rsidR="002918F9" w:rsidRPr="00B35FBA" w:rsidRDefault="002918F9" w:rsidP="002918F9">
            <w:pPr>
              <w:spacing w:before="240"/>
              <w:rPr>
                <w:color w:val="002060"/>
              </w:rPr>
            </w:pPr>
            <w:r w:rsidRPr="00B35FBA">
              <w:rPr>
                <w:color w:val="002060"/>
              </w:rPr>
              <w:t xml:space="preserve">The Government will release a consultation paper </w:t>
            </w:r>
            <w:r w:rsidR="001D4037">
              <w:rPr>
                <w:color w:val="002060"/>
              </w:rPr>
              <w:t xml:space="preserve">seeking the views of the sector </w:t>
            </w:r>
            <w:r w:rsidRPr="00B35FBA">
              <w:rPr>
                <w:color w:val="002060"/>
              </w:rPr>
              <w:t xml:space="preserve">on the merits and risks of “turning on” the directors’ duties under the </w:t>
            </w:r>
            <w:r w:rsidRPr="00AF7B02">
              <w:rPr>
                <w:color w:val="002060"/>
              </w:rPr>
              <w:t>Corporations Act</w:t>
            </w:r>
            <w:r w:rsidRPr="00B35FBA">
              <w:rPr>
                <w:color w:val="002060"/>
              </w:rPr>
              <w:t xml:space="preserve"> for charitable companies</w:t>
            </w:r>
            <w:r w:rsidR="00694CCA">
              <w:rPr>
                <w:color w:val="002060"/>
              </w:rPr>
              <w:t>.</w:t>
            </w:r>
          </w:p>
          <w:p w14:paraId="37FD3FB8" w14:textId="76BB7846" w:rsidR="002918F9" w:rsidRPr="00B35FBA" w:rsidRDefault="002918F9" w:rsidP="002918F9">
            <w:pPr>
              <w:spacing w:before="240"/>
              <w:rPr>
                <w:color w:val="002060"/>
              </w:rPr>
            </w:pPr>
          </w:p>
        </w:tc>
      </w:tr>
      <w:tr w:rsidR="002918F9" w14:paraId="5DC0EDAF"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34D54E41" w14:textId="77777777" w:rsidR="002918F9" w:rsidRDefault="002918F9" w:rsidP="001F4C64">
            <w:pPr>
              <w:pStyle w:val="RecommendationHeading"/>
            </w:pPr>
            <w:r>
              <w:t>12. Registered entities should be required to report based on size, determined on rolling three-year revenue, with thresholds of less than $1 million for a small entity, from $1 million to less than $5 million for a medium entity, and $5 million or more for a large entity.</w:t>
            </w:r>
          </w:p>
          <w:p w14:paraId="636F09D4" w14:textId="2C59FD12" w:rsidR="002918F9" w:rsidRPr="00A57D9C" w:rsidRDefault="002918F9" w:rsidP="00A57D9C">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panel found that current revenue thresholds for determining minimum reporting requirements </w:t>
            </w:r>
            <w:r w:rsidR="00AF7B02" w:rsidRPr="00AF7B02">
              <w:rPr>
                <w:rFonts w:eastAsiaTheme="minorHAnsi" w:cstheme="minorBidi"/>
                <w:b w:val="0"/>
                <w:szCs w:val="22"/>
                <w:lang w:eastAsia="en-US"/>
              </w:rPr>
              <w:t>are</w:t>
            </w:r>
            <w:r>
              <w:rPr>
                <w:rFonts w:eastAsiaTheme="minorHAnsi" w:cstheme="minorBidi"/>
                <w:b w:val="0"/>
                <w:szCs w:val="22"/>
                <w:lang w:eastAsia="en-US"/>
              </w:rPr>
              <w:t xml:space="preserve"> too </w:t>
            </w:r>
            <w:r w:rsidR="00AF7B02" w:rsidRPr="00AF7B02">
              <w:rPr>
                <w:rFonts w:eastAsiaTheme="minorHAnsi" w:cstheme="minorBidi"/>
                <w:b w:val="0"/>
                <w:szCs w:val="22"/>
                <w:lang w:eastAsia="en-US"/>
              </w:rPr>
              <w:t>low.</w:t>
            </w:r>
            <w:r w:rsidR="00C15F7A">
              <w:rPr>
                <w:rFonts w:eastAsiaTheme="minorHAnsi" w:cstheme="minorBidi"/>
                <w:b w:val="0"/>
                <w:szCs w:val="22"/>
                <w:lang w:eastAsia="en-US"/>
              </w:rPr>
              <w:t xml:space="preserve"> </w:t>
            </w:r>
            <w:r w:rsidR="00AF7B02" w:rsidRPr="00AF7B02">
              <w:rPr>
                <w:rFonts w:eastAsiaTheme="minorHAnsi" w:cstheme="minorBidi"/>
                <w:b w:val="0"/>
                <w:szCs w:val="22"/>
                <w:lang w:eastAsia="en-US"/>
              </w:rPr>
              <w:t>Adjusting the thresholds, so fewer charities are required to provide financial reports, would reduce the</w:t>
            </w:r>
            <w:r w:rsidRPr="004D1398">
              <w:rPr>
                <w:rFonts w:eastAsiaTheme="minorHAnsi" w:cstheme="minorBidi"/>
                <w:b w:val="0"/>
                <w:szCs w:val="22"/>
                <w:lang w:eastAsia="en-US"/>
              </w:rPr>
              <w:t xml:space="preserve"> compliance burden </w:t>
            </w:r>
            <w:r w:rsidR="00AF7B02" w:rsidRPr="00AF7B02">
              <w:rPr>
                <w:rFonts w:eastAsiaTheme="minorHAnsi" w:cstheme="minorBidi"/>
                <w:b w:val="0"/>
                <w:szCs w:val="22"/>
                <w:lang w:eastAsia="en-US"/>
              </w:rPr>
              <w:t>of</w:t>
            </w:r>
            <w:r w:rsidRPr="004D1398">
              <w:rPr>
                <w:rFonts w:eastAsiaTheme="minorHAnsi" w:cstheme="minorBidi"/>
                <w:b w:val="0"/>
                <w:szCs w:val="22"/>
                <w:lang w:eastAsia="en-US"/>
              </w:rPr>
              <w:t xml:space="preserve"> registered entities</w:t>
            </w:r>
            <w:r w:rsidR="00AF7B02" w:rsidRPr="00AF7B02">
              <w:rPr>
                <w:rFonts w:eastAsiaTheme="minorHAnsi" w:cstheme="minorBidi"/>
                <w:b w:val="0"/>
                <w:szCs w:val="22"/>
                <w:lang w:eastAsia="en-US"/>
              </w:rPr>
              <w:t>.</w:t>
            </w:r>
          </w:p>
        </w:tc>
        <w:tc>
          <w:tcPr>
            <w:tcW w:w="8930" w:type="dxa"/>
            <w:tcBorders>
              <w:top w:val="single" w:sz="4" w:space="0" w:color="B2B3B5" w:themeColor="accent4" w:themeTint="99"/>
              <w:bottom w:val="single" w:sz="4" w:space="0" w:color="B2B3B5" w:themeColor="accent4" w:themeTint="99"/>
            </w:tcBorders>
          </w:tcPr>
          <w:p w14:paraId="4C0ABC61" w14:textId="77777777" w:rsidR="0033473E" w:rsidRPr="0033473E" w:rsidRDefault="0033473E" w:rsidP="0033473E">
            <w:pPr>
              <w:spacing w:before="240"/>
              <w:rPr>
                <w:color w:val="002060"/>
              </w:rPr>
            </w:pPr>
            <w:r w:rsidRPr="0033473E">
              <w:rPr>
                <w:color w:val="002060"/>
              </w:rPr>
              <w:t>The Government supports the recommendation, balancing red tape reduction for charities with transparency.</w:t>
            </w:r>
          </w:p>
          <w:p w14:paraId="35D8EB20" w14:textId="3C164A20" w:rsidR="00316BDD" w:rsidRPr="00B35FBA" w:rsidRDefault="0033473E" w:rsidP="0033473E">
            <w:pPr>
              <w:spacing w:before="240"/>
              <w:rPr>
                <w:color w:val="002060"/>
              </w:rPr>
            </w:pPr>
            <w:r w:rsidRPr="0033473E">
              <w:rPr>
                <w:color w:val="002060"/>
              </w:rPr>
              <w:t>To avoid unintended consequences for charities, the Government is consulting with states and territories on the appropriate level of revenue thresholds for minimum reporting requirements, before pro</w:t>
            </w:r>
            <w:r>
              <w:rPr>
                <w:color w:val="002060"/>
              </w:rPr>
              <w:t>ceeding with legislative change</w:t>
            </w:r>
            <w:r w:rsidR="00FD0838" w:rsidRPr="00FD0838">
              <w:rPr>
                <w:color w:val="002060"/>
              </w:rPr>
              <w:t>.</w:t>
            </w:r>
          </w:p>
        </w:tc>
      </w:tr>
      <w:tr w:rsidR="002918F9" w14:paraId="4DE50C4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7BE902E0" w14:textId="77777777" w:rsidR="002918F9" w:rsidRDefault="002918F9" w:rsidP="001F4C64">
            <w:pPr>
              <w:pStyle w:val="RecommendationHeading"/>
            </w:pPr>
            <w:r>
              <w:lastRenderedPageBreak/>
              <w:t>13. Minimum reporting requirements for small registered entities should be amended to allow in an Annual Information Statement an option to provide a simplified balance sheet or a statement of resources.</w:t>
            </w:r>
          </w:p>
          <w:p w14:paraId="08423044" w14:textId="77777777" w:rsidR="00FA13F4" w:rsidRPr="00FA13F4" w:rsidRDefault="00FA13F4" w:rsidP="00FA13F4">
            <w:pPr>
              <w:pStyle w:val="Contact"/>
              <w:spacing w:before="40" w:after="40"/>
              <w:rPr>
                <w:rFonts w:eastAsiaTheme="minorHAnsi" w:cstheme="minorBidi"/>
                <w:b w:val="0"/>
                <w:szCs w:val="22"/>
                <w:lang w:eastAsia="en-US"/>
              </w:rPr>
            </w:pPr>
            <w:r w:rsidRPr="0051718C">
              <w:rPr>
                <w:rFonts w:eastAsiaTheme="minorHAnsi" w:cstheme="minorBidi"/>
                <w:b w:val="0"/>
                <w:szCs w:val="22"/>
                <w:lang w:eastAsia="en-US"/>
              </w:rPr>
              <w:t xml:space="preserve">The panel found the ACNC balance sheet reporting requirement in the Annual Information Statement to be inconsistent with the option for small registered entities to report using cash accounting. The panel’s proposed statement of resources would require a description of the assets used by the small registered entity to be provided in the Annual Information Statement.  Asset valuations would only be required if practicable to obtain.  </w:t>
            </w:r>
          </w:p>
          <w:p w14:paraId="4D6B4238" w14:textId="09EDF0F9" w:rsidR="002918F9" w:rsidRPr="00A57D9C" w:rsidRDefault="002918F9" w:rsidP="00316BDD">
            <w:pPr>
              <w:pStyle w:val="Contact"/>
              <w:rPr>
                <w:rFonts w:eastAsiaTheme="minorHAnsi" w:cstheme="minorBidi"/>
                <w:b w:val="0"/>
                <w:szCs w:val="22"/>
                <w:lang w:eastAsia="en-US"/>
              </w:rPr>
            </w:pPr>
          </w:p>
        </w:tc>
        <w:tc>
          <w:tcPr>
            <w:tcW w:w="8930" w:type="dxa"/>
            <w:tcBorders>
              <w:top w:val="single" w:sz="4" w:space="0" w:color="B2B3B5" w:themeColor="accent4" w:themeTint="99"/>
              <w:bottom w:val="single" w:sz="4" w:space="0" w:color="B2B3B5" w:themeColor="accent4" w:themeTint="99"/>
            </w:tcBorders>
          </w:tcPr>
          <w:p w14:paraId="7443524C" w14:textId="246F0B3D" w:rsidR="002918F9" w:rsidRPr="00B35FBA" w:rsidRDefault="002918F9" w:rsidP="002918F9">
            <w:pPr>
              <w:spacing w:before="240"/>
              <w:rPr>
                <w:color w:val="002060"/>
              </w:rPr>
            </w:pPr>
            <w:r w:rsidRPr="00B35FBA">
              <w:rPr>
                <w:color w:val="002060"/>
              </w:rPr>
              <w:t>The Government</w:t>
            </w:r>
            <w:r w:rsidRPr="00B35FBA">
              <w:rPr>
                <w:b/>
                <w:color w:val="002060"/>
              </w:rPr>
              <w:t xml:space="preserve"> </w:t>
            </w:r>
            <w:r w:rsidRPr="00454128">
              <w:rPr>
                <w:color w:val="002060"/>
              </w:rPr>
              <w:t>supports</w:t>
            </w:r>
            <w:r w:rsidRPr="00B35FBA">
              <w:rPr>
                <w:b/>
                <w:color w:val="002060"/>
              </w:rPr>
              <w:t xml:space="preserve"> </w:t>
            </w:r>
            <w:r w:rsidRPr="00B35FBA">
              <w:rPr>
                <w:color w:val="002060"/>
              </w:rPr>
              <w:t>the recommendation.</w:t>
            </w:r>
          </w:p>
          <w:p w14:paraId="317A335A" w14:textId="6867436B" w:rsidR="007D4A04" w:rsidRDefault="00153AA4" w:rsidP="002918F9">
            <w:pPr>
              <w:spacing w:before="240"/>
              <w:rPr>
                <w:color w:val="002060"/>
              </w:rPr>
            </w:pPr>
            <w:r>
              <w:rPr>
                <w:color w:val="002060"/>
              </w:rPr>
              <w:t>O</w:t>
            </w:r>
            <w:r w:rsidR="007D4A04">
              <w:rPr>
                <w:color w:val="002060"/>
              </w:rPr>
              <w:t xml:space="preserve">ver 18,000 charities </w:t>
            </w:r>
            <w:r>
              <w:rPr>
                <w:color w:val="002060"/>
              </w:rPr>
              <w:t xml:space="preserve">which currently </w:t>
            </w:r>
            <w:r w:rsidR="00DD4700">
              <w:rPr>
                <w:color w:val="002060"/>
              </w:rPr>
              <w:t>us</w:t>
            </w:r>
            <w:r>
              <w:rPr>
                <w:color w:val="002060"/>
              </w:rPr>
              <w:t>e</w:t>
            </w:r>
            <w:r w:rsidR="00745A8F">
              <w:rPr>
                <w:color w:val="002060"/>
              </w:rPr>
              <w:t xml:space="preserve"> cash accounting </w:t>
            </w:r>
            <w:r w:rsidR="007D4A04">
              <w:rPr>
                <w:color w:val="002060"/>
              </w:rPr>
              <w:t>will</w:t>
            </w:r>
            <w:r w:rsidR="00DD4700">
              <w:rPr>
                <w:color w:val="002060"/>
              </w:rPr>
              <w:t xml:space="preserve"> now</w:t>
            </w:r>
            <w:r w:rsidR="007D4A04">
              <w:rPr>
                <w:color w:val="002060"/>
              </w:rPr>
              <w:t xml:space="preserve"> have the flexibility to provide a statement of resources to the ACNC</w:t>
            </w:r>
            <w:r w:rsidR="00745A8F">
              <w:rPr>
                <w:color w:val="002060"/>
              </w:rPr>
              <w:t>.</w:t>
            </w:r>
            <w:r w:rsidR="00C15F7A">
              <w:rPr>
                <w:color w:val="002060"/>
              </w:rPr>
              <w:t xml:space="preserve"> </w:t>
            </w:r>
            <w:r w:rsidR="00745A8F">
              <w:rPr>
                <w:color w:val="002060"/>
              </w:rPr>
              <w:t>This will reduce regulatory burden</w:t>
            </w:r>
            <w:r w:rsidR="00454128">
              <w:rPr>
                <w:color w:val="002060"/>
              </w:rPr>
              <w:t xml:space="preserve"> for small charities</w:t>
            </w:r>
            <w:r w:rsidR="00745A8F">
              <w:rPr>
                <w:color w:val="002060"/>
              </w:rPr>
              <w:t>.</w:t>
            </w:r>
          </w:p>
          <w:p w14:paraId="26D82A8C" w14:textId="05366D1D" w:rsidR="002918F9" w:rsidRPr="00B35FBA" w:rsidRDefault="002918F9" w:rsidP="00DD4700">
            <w:pPr>
              <w:spacing w:before="240"/>
              <w:rPr>
                <w:color w:val="002060"/>
              </w:rPr>
            </w:pPr>
            <w:r w:rsidRPr="00B35FBA">
              <w:rPr>
                <w:color w:val="002060"/>
              </w:rPr>
              <w:t>The ACNC will make changes to the Annual Information Statement requirements</w:t>
            </w:r>
            <w:r w:rsidR="00DD4700">
              <w:rPr>
                <w:color w:val="002060"/>
              </w:rPr>
              <w:t xml:space="preserve"> for small charities</w:t>
            </w:r>
            <w:r w:rsidRPr="00B35FBA">
              <w:rPr>
                <w:color w:val="002060"/>
              </w:rPr>
              <w:t>.</w:t>
            </w:r>
          </w:p>
        </w:tc>
      </w:tr>
      <w:tr w:rsidR="002918F9" w14:paraId="247BF8EA"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11ED6B70" w14:textId="77777777" w:rsidR="002918F9" w:rsidRDefault="002918F9" w:rsidP="001F4C64">
            <w:pPr>
              <w:pStyle w:val="RecommendationHeading"/>
            </w:pPr>
            <w:r>
              <w:t xml:space="preserve">14. Registered entities should be required to disclose related party transactions. </w:t>
            </w:r>
          </w:p>
          <w:p w14:paraId="671514AC" w14:textId="103187A4" w:rsidR="002918F9" w:rsidRPr="00A57D9C" w:rsidRDefault="002918F9" w:rsidP="00316BDD">
            <w:pPr>
              <w:pStyle w:val="Contact"/>
              <w:rPr>
                <w:rFonts w:eastAsiaTheme="minorHAnsi" w:cstheme="minorBidi"/>
                <w:b w:val="0"/>
                <w:szCs w:val="22"/>
                <w:lang w:eastAsia="en-US"/>
              </w:rPr>
            </w:pPr>
            <w:r w:rsidRPr="004D1398">
              <w:rPr>
                <w:rFonts w:eastAsiaTheme="minorHAnsi" w:cstheme="minorBidi"/>
                <w:b w:val="0"/>
                <w:szCs w:val="22"/>
                <w:lang w:eastAsia="en-US"/>
              </w:rPr>
              <w:t>The panel found that charities should disclose related party transactions as part of their financial disclosures.</w:t>
            </w:r>
            <w:r w:rsidR="00316BDD">
              <w:rPr>
                <w:rFonts w:eastAsiaTheme="minorHAnsi" w:cstheme="minorBidi"/>
                <w:b w:val="0"/>
                <w:szCs w:val="22"/>
                <w:lang w:eastAsia="en-US"/>
              </w:rPr>
              <w:t xml:space="preserve"> Related parties include persons or organisations that are connected to the charity, such as family members of responsible persons or subsidiaries of the charity.</w:t>
            </w:r>
            <w:r w:rsidRPr="004D1398">
              <w:rPr>
                <w:rFonts w:eastAsiaTheme="minorHAnsi" w:cstheme="minorBidi"/>
                <w:b w:val="0"/>
                <w:szCs w:val="22"/>
                <w:lang w:eastAsia="en-US"/>
              </w:rPr>
              <w:t xml:space="preserve"> </w:t>
            </w:r>
            <w:r w:rsidR="00454128" w:rsidRPr="00454128">
              <w:rPr>
                <w:rFonts w:eastAsiaTheme="minorHAnsi" w:cstheme="minorBidi"/>
                <w:b w:val="0"/>
                <w:szCs w:val="22"/>
                <w:lang w:eastAsia="en-US"/>
              </w:rPr>
              <w:t>The recommendation is intended to increase transparency of transactions that pose a higher risk to charitable assets being used for private benefit.</w:t>
            </w:r>
          </w:p>
        </w:tc>
        <w:tc>
          <w:tcPr>
            <w:tcW w:w="8930" w:type="dxa"/>
            <w:tcBorders>
              <w:top w:val="single" w:sz="4" w:space="0" w:color="B2B3B5" w:themeColor="accent4" w:themeTint="99"/>
              <w:bottom w:val="single" w:sz="4" w:space="0" w:color="B2B3B5" w:themeColor="accent4" w:themeTint="99"/>
            </w:tcBorders>
          </w:tcPr>
          <w:p w14:paraId="01589D87" w14:textId="77777777" w:rsidR="00FD0838" w:rsidRPr="00FD0838" w:rsidRDefault="00FD0838" w:rsidP="00FD0838">
            <w:pPr>
              <w:spacing w:before="240"/>
              <w:rPr>
                <w:color w:val="002060"/>
              </w:rPr>
            </w:pPr>
            <w:r w:rsidRPr="00FD0838">
              <w:rPr>
                <w:color w:val="002060"/>
              </w:rPr>
              <w:t xml:space="preserve">The Government supports all registered entities being required to disclose related party transactions. </w:t>
            </w:r>
          </w:p>
          <w:p w14:paraId="773DB71B" w14:textId="77777777" w:rsidR="00FD0838" w:rsidRPr="00FD0838" w:rsidRDefault="00FD0838" w:rsidP="00FD0838">
            <w:pPr>
              <w:spacing w:before="240"/>
              <w:rPr>
                <w:color w:val="002060"/>
              </w:rPr>
            </w:pPr>
            <w:r w:rsidRPr="00FD0838">
              <w:rPr>
                <w:color w:val="002060"/>
              </w:rPr>
              <w:t>To minimise the compliance burden on small charities, the Government will require small registered entities to make a simplified disclosure involving a brief description of a related party transaction.</w:t>
            </w:r>
          </w:p>
          <w:p w14:paraId="2EC7079E" w14:textId="30F52B7F" w:rsidR="0008640A" w:rsidRPr="00B35FBA" w:rsidRDefault="00FD0838" w:rsidP="00FD0838">
            <w:pPr>
              <w:spacing w:before="240"/>
              <w:rPr>
                <w:color w:val="002060"/>
              </w:rPr>
            </w:pPr>
            <w:r w:rsidRPr="00FD0838">
              <w:rPr>
                <w:color w:val="002060"/>
              </w:rPr>
              <w:t>The Government will implement this recommendation by changes to regulations. The start date for this measure will align with any change to the revenue thresholds for financial reporting requirements.</w:t>
            </w:r>
          </w:p>
        </w:tc>
      </w:tr>
      <w:tr w:rsidR="002918F9" w14:paraId="045E5A43"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595C2C28" w14:textId="77777777" w:rsidR="002918F9" w:rsidRDefault="002918F9" w:rsidP="001F4C64">
            <w:pPr>
              <w:pStyle w:val="RecommendationHeading"/>
            </w:pPr>
            <w:r>
              <w:lastRenderedPageBreak/>
              <w:t>15. Large registered entities should be required to disclose the remuneration paid to responsible persons and senior executives on an aggregated basis.</w:t>
            </w:r>
          </w:p>
          <w:p w14:paraId="4308EB8B" w14:textId="24DE7988" w:rsidR="002918F9" w:rsidRPr="00A57D9C" w:rsidRDefault="002918F9" w:rsidP="00316BDD">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panel found that </w:t>
            </w:r>
            <w:r>
              <w:rPr>
                <w:rFonts w:eastAsiaTheme="minorHAnsi" w:cstheme="minorBidi"/>
                <w:b w:val="0"/>
                <w:szCs w:val="22"/>
                <w:lang w:eastAsia="en-US"/>
              </w:rPr>
              <w:t xml:space="preserve">all </w:t>
            </w:r>
            <w:r w:rsidRPr="004D1398">
              <w:rPr>
                <w:rFonts w:eastAsiaTheme="minorHAnsi" w:cstheme="minorBidi"/>
                <w:b w:val="0"/>
                <w:szCs w:val="22"/>
                <w:lang w:eastAsia="en-US"/>
              </w:rPr>
              <w:t>large registered entities should disclose the remuneration of responsible persons</w:t>
            </w:r>
            <w:r w:rsidR="00DF3C33">
              <w:rPr>
                <w:rFonts w:eastAsiaTheme="minorHAnsi" w:cstheme="minorBidi"/>
                <w:b w:val="0"/>
                <w:szCs w:val="22"/>
                <w:lang w:eastAsia="en-US"/>
              </w:rPr>
              <w:t xml:space="preserve"> and senior executives </w:t>
            </w:r>
            <w:r w:rsidR="00A1531E">
              <w:rPr>
                <w:rFonts w:eastAsiaTheme="minorHAnsi" w:cstheme="minorBidi"/>
                <w:b w:val="0"/>
                <w:szCs w:val="22"/>
                <w:lang w:eastAsia="en-US"/>
              </w:rPr>
              <w:t>to align</w:t>
            </w:r>
            <w:r w:rsidR="00316BDD">
              <w:rPr>
                <w:rFonts w:eastAsiaTheme="minorHAnsi" w:cstheme="minorBidi"/>
                <w:b w:val="0"/>
                <w:szCs w:val="22"/>
                <w:lang w:eastAsia="en-US"/>
              </w:rPr>
              <w:t xml:space="preserve"> ACNC reporting requirements</w:t>
            </w:r>
            <w:r w:rsidR="00DF3C33">
              <w:rPr>
                <w:rFonts w:eastAsiaTheme="minorHAnsi" w:cstheme="minorBidi"/>
                <w:b w:val="0"/>
                <w:szCs w:val="22"/>
                <w:lang w:eastAsia="en-US"/>
              </w:rPr>
              <w:t xml:space="preserve"> with </w:t>
            </w:r>
            <w:r w:rsidR="00A1531E">
              <w:rPr>
                <w:rFonts w:eastAsiaTheme="minorHAnsi" w:cstheme="minorBidi"/>
                <w:b w:val="0"/>
                <w:szCs w:val="22"/>
                <w:lang w:eastAsia="en-US"/>
              </w:rPr>
              <w:t>Australian Accounting Standards Board requirements</w:t>
            </w:r>
            <w:r w:rsidRPr="004D1398">
              <w:rPr>
                <w:rFonts w:eastAsiaTheme="minorHAnsi" w:cstheme="minorBidi"/>
                <w:b w:val="0"/>
                <w:szCs w:val="22"/>
                <w:lang w:eastAsia="en-US"/>
              </w:rPr>
              <w:t xml:space="preserve">. </w:t>
            </w:r>
            <w:r w:rsidR="00DF3C33" w:rsidRPr="00DF3C33">
              <w:rPr>
                <w:rFonts w:eastAsiaTheme="minorHAnsi" w:cstheme="minorBidi"/>
                <w:b w:val="0"/>
                <w:szCs w:val="22"/>
                <w:lang w:eastAsia="en-US"/>
              </w:rPr>
              <w:t>This recommendation is aimed at providing greater accountability to donors, beneficiaries and the public by requiring charities to be transparent about remuneration of key management personnel.</w:t>
            </w:r>
          </w:p>
        </w:tc>
        <w:tc>
          <w:tcPr>
            <w:tcW w:w="8930" w:type="dxa"/>
            <w:tcBorders>
              <w:top w:val="single" w:sz="4" w:space="0" w:color="B2B3B5" w:themeColor="accent4" w:themeTint="99"/>
              <w:bottom w:val="single" w:sz="4" w:space="0" w:color="B2B3B5" w:themeColor="accent4" w:themeTint="99"/>
            </w:tcBorders>
          </w:tcPr>
          <w:p w14:paraId="33CCF8F0" w14:textId="77777777" w:rsidR="00FD0838" w:rsidRPr="00FD0838" w:rsidRDefault="00FD0838" w:rsidP="00FD0838">
            <w:pPr>
              <w:pStyle w:val="Contact"/>
              <w:spacing w:before="240"/>
              <w:rPr>
                <w:b w:val="0"/>
                <w:color w:val="002060"/>
                <w:szCs w:val="22"/>
              </w:rPr>
            </w:pPr>
            <w:r w:rsidRPr="00FD0838">
              <w:rPr>
                <w:b w:val="0"/>
                <w:color w:val="002060"/>
                <w:szCs w:val="22"/>
              </w:rPr>
              <w:t xml:space="preserve">The Government supports the recommendation.  </w:t>
            </w:r>
          </w:p>
          <w:p w14:paraId="5976ECEC" w14:textId="77777777" w:rsidR="00FD0838" w:rsidRPr="00FD0838" w:rsidRDefault="00FD0838" w:rsidP="00FD0838">
            <w:pPr>
              <w:pStyle w:val="Contact"/>
              <w:spacing w:before="240"/>
              <w:rPr>
                <w:b w:val="0"/>
                <w:color w:val="002060"/>
                <w:szCs w:val="22"/>
              </w:rPr>
            </w:pPr>
            <w:r w:rsidRPr="00FD0838">
              <w:rPr>
                <w:b w:val="0"/>
                <w:color w:val="002060"/>
                <w:szCs w:val="22"/>
              </w:rPr>
              <w:t xml:space="preserve">Large registered entities will be required to disclose remuneration paid to responsible persons and senior executives on an aggregated basis. </w:t>
            </w:r>
          </w:p>
          <w:p w14:paraId="426BFC7D" w14:textId="77777777" w:rsidR="00FD0838" w:rsidRPr="00FD0838" w:rsidRDefault="00FD0838" w:rsidP="00FD0838">
            <w:pPr>
              <w:pStyle w:val="Contact"/>
              <w:spacing w:before="240"/>
              <w:rPr>
                <w:b w:val="0"/>
                <w:color w:val="002060"/>
                <w:szCs w:val="22"/>
              </w:rPr>
            </w:pPr>
            <w:r w:rsidRPr="00FD0838">
              <w:rPr>
                <w:b w:val="0"/>
                <w:color w:val="002060"/>
                <w:szCs w:val="22"/>
              </w:rPr>
              <w:t>This disclosure will only be required from entities with two or more key management personnel to accommodate privacy concerns.</w:t>
            </w:r>
          </w:p>
          <w:p w14:paraId="0121D69D" w14:textId="0BD28B49" w:rsidR="00CF457A" w:rsidRPr="00B35FBA" w:rsidRDefault="00FD0838" w:rsidP="00FD0838">
            <w:pPr>
              <w:pStyle w:val="Contact"/>
              <w:spacing w:before="240"/>
              <w:rPr>
                <w:b w:val="0"/>
                <w:color w:val="002060"/>
                <w:szCs w:val="22"/>
              </w:rPr>
            </w:pPr>
            <w:r w:rsidRPr="00FD0838">
              <w:rPr>
                <w:b w:val="0"/>
                <w:color w:val="002060"/>
                <w:szCs w:val="22"/>
              </w:rPr>
              <w:t>The start date will align with any change to the revenue thresholds for minimum reporting requirements.</w:t>
            </w:r>
          </w:p>
          <w:p w14:paraId="484118B9" w14:textId="0E979C8A" w:rsidR="002918F9" w:rsidRPr="00B35FBA" w:rsidRDefault="002918F9" w:rsidP="002918F9">
            <w:pPr>
              <w:spacing w:before="240"/>
              <w:rPr>
                <w:color w:val="002060"/>
              </w:rPr>
            </w:pPr>
          </w:p>
        </w:tc>
      </w:tr>
      <w:tr w:rsidR="002918F9" w14:paraId="2B9210F1"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004A9FF1" w14:textId="77777777" w:rsidR="002918F9" w:rsidRDefault="002918F9" w:rsidP="001F4C64">
            <w:pPr>
              <w:pStyle w:val="RecommendationHeading"/>
            </w:pPr>
            <w:r>
              <w:t>16. If recommendations 12 and 13 are adopted, the necessity for the exemption from financial reporting for basic religious charities should be reviewed, and if recommendations 5 and 10 are also adopted, all exemptions for basic religious charities should be reviewed.</w:t>
            </w:r>
          </w:p>
          <w:p w14:paraId="7AAB1D01" w14:textId="79582DA9" w:rsidR="002918F9" w:rsidRPr="00A57D9C" w:rsidRDefault="002918F9" w:rsidP="00A05C72">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panel </w:t>
            </w:r>
            <w:r w:rsidR="00C102C5">
              <w:rPr>
                <w:rFonts w:eastAsiaTheme="minorHAnsi" w:cstheme="minorBidi"/>
                <w:b w:val="0"/>
                <w:szCs w:val="22"/>
                <w:lang w:eastAsia="en-US"/>
              </w:rPr>
              <w:t xml:space="preserve">supports a review of </w:t>
            </w:r>
            <w:r w:rsidR="00A05C72">
              <w:rPr>
                <w:rFonts w:eastAsiaTheme="minorHAnsi" w:cstheme="minorBidi"/>
                <w:b w:val="0"/>
                <w:szCs w:val="22"/>
                <w:lang w:eastAsia="en-US"/>
              </w:rPr>
              <w:t>basic r</w:t>
            </w:r>
            <w:r w:rsidR="00C102C5">
              <w:rPr>
                <w:rFonts w:eastAsiaTheme="minorHAnsi" w:cstheme="minorBidi"/>
                <w:b w:val="0"/>
                <w:szCs w:val="22"/>
                <w:lang w:eastAsia="en-US"/>
              </w:rPr>
              <w:t xml:space="preserve">eligious </w:t>
            </w:r>
            <w:r w:rsidR="00A05C72">
              <w:rPr>
                <w:rFonts w:eastAsiaTheme="minorHAnsi" w:cstheme="minorBidi"/>
                <w:b w:val="0"/>
                <w:szCs w:val="22"/>
                <w:lang w:eastAsia="en-US"/>
              </w:rPr>
              <w:t>c</w:t>
            </w:r>
            <w:r w:rsidR="00C102C5">
              <w:rPr>
                <w:rFonts w:eastAsiaTheme="minorHAnsi" w:cstheme="minorBidi"/>
                <w:b w:val="0"/>
                <w:szCs w:val="22"/>
                <w:lang w:eastAsia="en-US"/>
              </w:rPr>
              <w:t>harity exemptions on condition that the Government implements four recommendations aimed at reducing reporting obligations for small charities, streamlining compliance with governance standards, and removing the ACNC’s power to replace responsible persons.</w:t>
            </w:r>
          </w:p>
        </w:tc>
        <w:tc>
          <w:tcPr>
            <w:tcW w:w="8930" w:type="dxa"/>
            <w:tcBorders>
              <w:top w:val="single" w:sz="4" w:space="0" w:color="B2B3B5" w:themeColor="accent4" w:themeTint="99"/>
              <w:bottom w:val="single" w:sz="4" w:space="0" w:color="B2B3B5" w:themeColor="accent4" w:themeTint="99"/>
            </w:tcBorders>
          </w:tcPr>
          <w:p w14:paraId="1184B7F6" w14:textId="415DC26D" w:rsidR="002918F9" w:rsidRPr="00B35FBA" w:rsidRDefault="002918F9" w:rsidP="00E87A39">
            <w:pPr>
              <w:spacing w:before="240"/>
              <w:rPr>
                <w:color w:val="002060"/>
              </w:rPr>
            </w:pPr>
            <w:r w:rsidRPr="00B35FBA">
              <w:rPr>
                <w:color w:val="002060"/>
              </w:rPr>
              <w:t xml:space="preserve">The Government has no plans </w:t>
            </w:r>
            <w:r w:rsidR="00C102C5">
              <w:rPr>
                <w:color w:val="002060"/>
              </w:rPr>
              <w:t xml:space="preserve">to review the exemptions for </w:t>
            </w:r>
            <w:r w:rsidR="00A05C72">
              <w:rPr>
                <w:color w:val="002060"/>
              </w:rPr>
              <w:t>b</w:t>
            </w:r>
            <w:r w:rsidR="00C102C5">
              <w:rPr>
                <w:color w:val="002060"/>
              </w:rPr>
              <w:t xml:space="preserve">asic </w:t>
            </w:r>
            <w:r w:rsidR="00A05C72">
              <w:rPr>
                <w:color w:val="002060"/>
              </w:rPr>
              <w:t>religious c</w:t>
            </w:r>
            <w:r w:rsidR="00C102C5">
              <w:rPr>
                <w:color w:val="002060"/>
              </w:rPr>
              <w:t>harities</w:t>
            </w:r>
            <w:r w:rsidR="00275D21">
              <w:rPr>
                <w:color w:val="002060"/>
              </w:rPr>
              <w:t>.</w:t>
            </w:r>
          </w:p>
        </w:tc>
      </w:tr>
      <w:tr w:rsidR="002918F9" w14:paraId="0C95849C"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3FCC339" w14:textId="77777777" w:rsidR="002918F9" w:rsidRDefault="002918F9" w:rsidP="001F4C64">
            <w:pPr>
              <w:pStyle w:val="RecommendationHeading"/>
            </w:pPr>
            <w:r>
              <w:lastRenderedPageBreak/>
              <w:t>17. The Commissioner should be given a discretion to disclose information about regulatory activities (including investigations) when it is necessary to protect public trust and confidence in the sector.</w:t>
            </w:r>
          </w:p>
          <w:p w14:paraId="6EF717F2" w14:textId="04950156" w:rsidR="00CB5338" w:rsidRPr="00CB5338" w:rsidRDefault="002918F9" w:rsidP="00CB5338">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secrecy </w:t>
            </w:r>
            <w:r w:rsidR="00CB5338">
              <w:rPr>
                <w:rFonts w:eastAsiaTheme="minorHAnsi" w:cstheme="minorBidi"/>
                <w:b w:val="0"/>
                <w:szCs w:val="22"/>
                <w:lang w:eastAsia="en-US"/>
              </w:rPr>
              <w:t>provisions of the ACNC Act prevent</w:t>
            </w:r>
            <w:r w:rsidRPr="004D1398">
              <w:rPr>
                <w:rFonts w:eastAsiaTheme="minorHAnsi" w:cstheme="minorBidi"/>
                <w:b w:val="0"/>
                <w:szCs w:val="22"/>
                <w:lang w:eastAsia="en-US"/>
              </w:rPr>
              <w:t xml:space="preserve"> the Commissioner from making information public about </w:t>
            </w:r>
            <w:r w:rsidR="00CB5338">
              <w:rPr>
                <w:rFonts w:eastAsiaTheme="minorHAnsi" w:cstheme="minorBidi"/>
                <w:b w:val="0"/>
                <w:szCs w:val="22"/>
                <w:lang w:eastAsia="en-US"/>
              </w:rPr>
              <w:t xml:space="preserve">the ACNC’s </w:t>
            </w:r>
            <w:r w:rsidRPr="004D1398">
              <w:rPr>
                <w:rFonts w:eastAsiaTheme="minorHAnsi" w:cstheme="minorBidi"/>
                <w:b w:val="0"/>
                <w:szCs w:val="22"/>
                <w:lang w:eastAsia="en-US"/>
              </w:rPr>
              <w:t xml:space="preserve">regulatory activities except to respond to or clarify issues that have already been raised in the public domain by </w:t>
            </w:r>
            <w:r w:rsidR="00CB5338">
              <w:rPr>
                <w:rFonts w:eastAsiaTheme="minorHAnsi" w:cstheme="minorBidi"/>
                <w:b w:val="0"/>
                <w:szCs w:val="22"/>
                <w:lang w:eastAsia="en-US"/>
              </w:rPr>
              <w:t>a</w:t>
            </w:r>
            <w:r w:rsidRPr="004D1398">
              <w:rPr>
                <w:rFonts w:eastAsiaTheme="minorHAnsi" w:cstheme="minorBidi"/>
                <w:b w:val="0"/>
                <w:szCs w:val="22"/>
                <w:lang w:eastAsia="en-US"/>
              </w:rPr>
              <w:t xml:space="preserve"> charity.</w:t>
            </w:r>
          </w:p>
          <w:p w14:paraId="083975FB" w14:textId="1AFC79CD" w:rsidR="00CB5338" w:rsidRPr="00CB5338" w:rsidRDefault="00CB5338" w:rsidP="00CB5338">
            <w:r w:rsidRPr="00CB5338">
              <w:t>The panel found an expansion of the powers to disclose information would increase public confidence that the regulator is</w:t>
            </w:r>
            <w:r>
              <w:t xml:space="preserve"> actively pursuing misconduct. </w:t>
            </w:r>
            <w:r w:rsidRPr="00CB5338">
              <w:t xml:space="preserve">It will also provide salutary guidance to other charities about poor behaviour.  </w:t>
            </w:r>
          </w:p>
          <w:p w14:paraId="1DA0A659" w14:textId="2E9B2394" w:rsidR="002918F9" w:rsidRPr="00A57D9C" w:rsidRDefault="002918F9" w:rsidP="00A57D9C">
            <w:pPr>
              <w:pStyle w:val="Contact"/>
              <w:rPr>
                <w:rFonts w:eastAsiaTheme="minorHAnsi" w:cstheme="minorBidi"/>
                <w:b w:val="0"/>
                <w:szCs w:val="22"/>
                <w:lang w:eastAsia="en-US"/>
              </w:rPr>
            </w:pPr>
          </w:p>
        </w:tc>
        <w:tc>
          <w:tcPr>
            <w:tcW w:w="8930" w:type="dxa"/>
            <w:tcBorders>
              <w:top w:val="single" w:sz="4" w:space="0" w:color="B2B3B5" w:themeColor="accent4" w:themeTint="99"/>
              <w:bottom w:val="single" w:sz="4" w:space="0" w:color="B2B3B5" w:themeColor="accent4" w:themeTint="99"/>
            </w:tcBorders>
          </w:tcPr>
          <w:p w14:paraId="2790CFD2" w14:textId="77777777"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 xml:space="preserve">The Government supports the recommendation.  </w:t>
            </w:r>
          </w:p>
          <w:p w14:paraId="798185CD" w14:textId="5770C605"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 xml:space="preserve">The change will allow the Commissioner to release information about ACNC regulatory activities in the public interest. It will </w:t>
            </w:r>
            <w:r w:rsidR="0016214C">
              <w:rPr>
                <w:rFonts w:eastAsiaTheme="minorHAnsi" w:cstheme="minorBidi"/>
                <w:b w:val="0"/>
                <w:color w:val="002060"/>
                <w:szCs w:val="22"/>
                <w:lang w:eastAsia="en-US"/>
              </w:rPr>
              <w:t>strengthen</w:t>
            </w:r>
            <w:r w:rsidR="0016214C" w:rsidRPr="00010BCC">
              <w:rPr>
                <w:rFonts w:eastAsiaTheme="minorHAnsi" w:cstheme="minorBidi"/>
                <w:b w:val="0"/>
                <w:color w:val="002060"/>
                <w:szCs w:val="22"/>
                <w:lang w:eastAsia="en-US"/>
              </w:rPr>
              <w:t xml:space="preserve"> </w:t>
            </w:r>
            <w:r w:rsidRPr="00010BCC">
              <w:rPr>
                <w:rFonts w:eastAsiaTheme="minorHAnsi" w:cstheme="minorBidi"/>
                <w:b w:val="0"/>
                <w:color w:val="002060"/>
                <w:szCs w:val="22"/>
                <w:lang w:eastAsia="en-US"/>
              </w:rPr>
              <w:t>public trust and confidence in both the sector and the regulator.</w:t>
            </w:r>
          </w:p>
          <w:p w14:paraId="34E829E0" w14:textId="77777777"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The Government will consult on the detail of the change, including the triggers for and bounds of the Commissioner’s discretion.</w:t>
            </w:r>
          </w:p>
          <w:p w14:paraId="7AD32E8E" w14:textId="663321B8" w:rsidR="002918F9" w:rsidRPr="00B35FBA"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The Government will implement this recommendation by changes to legislation.</w:t>
            </w:r>
          </w:p>
          <w:p w14:paraId="371A7209" w14:textId="3971EBBE" w:rsidR="002918F9" w:rsidRPr="00B35FBA" w:rsidRDefault="002918F9" w:rsidP="002918F9">
            <w:pPr>
              <w:spacing w:before="240"/>
              <w:rPr>
                <w:color w:val="002060"/>
              </w:rPr>
            </w:pPr>
          </w:p>
        </w:tc>
      </w:tr>
      <w:tr w:rsidR="002918F9" w14:paraId="0F70BAD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3CE6C5E" w14:textId="77777777" w:rsidR="002918F9" w:rsidRDefault="002918F9" w:rsidP="001F4C64">
            <w:pPr>
              <w:pStyle w:val="RecommendationHeading"/>
            </w:pPr>
            <w:r>
              <w:t>18. The Commissioner should be authorised to collect the personal details of responsible persons involved in unlawful activity.</w:t>
            </w:r>
          </w:p>
          <w:p w14:paraId="5F0D1722" w14:textId="4C5394F7" w:rsidR="002918F9" w:rsidRPr="00A57D9C" w:rsidRDefault="002918F9" w:rsidP="00A57D9C">
            <w:pPr>
              <w:pStyle w:val="Contact"/>
              <w:rPr>
                <w:rFonts w:eastAsiaTheme="minorHAnsi" w:cstheme="minorBidi"/>
                <w:b w:val="0"/>
                <w:szCs w:val="22"/>
                <w:lang w:eastAsia="en-US"/>
              </w:rPr>
            </w:pPr>
            <w:r w:rsidRPr="004D1398">
              <w:rPr>
                <w:rFonts w:eastAsiaTheme="minorHAnsi" w:cstheme="minorBidi"/>
                <w:b w:val="0"/>
                <w:szCs w:val="22"/>
                <w:lang w:eastAsia="en-US"/>
              </w:rPr>
              <w:t>The panel found that the ACNC should be able to request details on the criminal records of responsible persons to allow it to detect unlawful behaviour and contraventions of the ACNC Act.</w:t>
            </w:r>
          </w:p>
        </w:tc>
        <w:tc>
          <w:tcPr>
            <w:tcW w:w="8930" w:type="dxa"/>
            <w:tcBorders>
              <w:top w:val="single" w:sz="4" w:space="0" w:color="B2B3B5" w:themeColor="accent4" w:themeTint="99"/>
              <w:bottom w:val="single" w:sz="4" w:space="0" w:color="B2B3B5" w:themeColor="accent4" w:themeTint="99"/>
            </w:tcBorders>
          </w:tcPr>
          <w:p w14:paraId="3D003867" w14:textId="77777777"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 xml:space="preserve">The Government supports the recommendation as it will enhance the ACNC’s capacity to detect breaches of its governance standards and external conduct standards.  </w:t>
            </w:r>
          </w:p>
          <w:p w14:paraId="143D519D" w14:textId="5993B356" w:rsidR="002918F9" w:rsidRPr="00B35FBA" w:rsidRDefault="00010BCC" w:rsidP="00010BCC">
            <w:pPr>
              <w:spacing w:before="240"/>
              <w:rPr>
                <w:color w:val="002060"/>
              </w:rPr>
            </w:pPr>
            <w:r w:rsidRPr="00010BCC">
              <w:rPr>
                <w:rFonts w:eastAsiaTheme="minorHAnsi" w:cstheme="minorBidi"/>
                <w:color w:val="002060"/>
                <w:szCs w:val="22"/>
                <w:lang w:eastAsia="en-US"/>
              </w:rPr>
              <w:t xml:space="preserve">  </w:t>
            </w:r>
          </w:p>
        </w:tc>
      </w:tr>
      <w:tr w:rsidR="002918F9" w14:paraId="2E20AD8C"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1B3CD533" w14:textId="4F5BD892" w:rsidR="002918F9" w:rsidRDefault="002918F9" w:rsidP="001F4C64">
            <w:pPr>
              <w:pStyle w:val="RecommendationHeading"/>
            </w:pPr>
            <w:r>
              <w:lastRenderedPageBreak/>
              <w:t xml:space="preserve">19. The ACNC should be resourced to enable the Commissioner to enforce and develop the law where registered entities engage in disqualifying purposes (within the meaning of the </w:t>
            </w:r>
            <w:r w:rsidRPr="00A57D9C">
              <w:rPr>
                <w:i/>
              </w:rPr>
              <w:t>Charities Act 2013</w:t>
            </w:r>
            <w:r>
              <w:t xml:space="preserve"> (</w:t>
            </w:r>
            <w:proofErr w:type="spellStart"/>
            <w:r>
              <w:t>Cth</w:t>
            </w:r>
            <w:proofErr w:type="spellEnd"/>
            <w:r>
              <w:t>)</w:t>
            </w:r>
            <w:r w:rsidR="00177E1F">
              <w:t>)</w:t>
            </w:r>
            <w:r>
              <w:t>.</w:t>
            </w:r>
          </w:p>
          <w:p w14:paraId="72BCBCE5" w14:textId="50D606DF" w:rsidR="002918F9" w:rsidRPr="00A57D9C" w:rsidRDefault="002918F9" w:rsidP="00A57D9C">
            <w:pPr>
              <w:pStyle w:val="Contact"/>
              <w:rPr>
                <w:rFonts w:eastAsiaTheme="minorHAnsi" w:cstheme="minorBidi"/>
                <w:b w:val="0"/>
                <w:szCs w:val="22"/>
                <w:lang w:eastAsia="en-US"/>
              </w:rPr>
            </w:pPr>
            <w:r w:rsidRPr="004D1398">
              <w:rPr>
                <w:rFonts w:eastAsiaTheme="minorHAnsi" w:cstheme="minorBidi"/>
                <w:b w:val="0"/>
                <w:szCs w:val="22"/>
                <w:lang w:eastAsia="en-US"/>
              </w:rPr>
              <w:t>The panel found the ACNC must be well resourced so that it can enforce the law and prevent the misapplication of charitable assets. The panel also considered there to be benefit in further case law on entities engaging in disqualifying purposes.</w:t>
            </w:r>
          </w:p>
        </w:tc>
        <w:tc>
          <w:tcPr>
            <w:tcW w:w="8930" w:type="dxa"/>
            <w:tcBorders>
              <w:top w:val="single" w:sz="4" w:space="0" w:color="B2B3B5" w:themeColor="accent4" w:themeTint="99"/>
              <w:bottom w:val="single" w:sz="4" w:space="0" w:color="B2B3B5" w:themeColor="accent4" w:themeTint="99"/>
            </w:tcBorders>
          </w:tcPr>
          <w:p w14:paraId="73918034" w14:textId="5BBB74F5" w:rsidR="002918F9" w:rsidRPr="00B35FBA" w:rsidRDefault="002918F9" w:rsidP="002918F9">
            <w:pPr>
              <w:pStyle w:val="Contact"/>
              <w:spacing w:before="240"/>
              <w:rPr>
                <w:rFonts w:eastAsiaTheme="minorHAnsi" w:cstheme="minorBidi"/>
                <w:b w:val="0"/>
                <w:color w:val="002060"/>
                <w:szCs w:val="22"/>
                <w:lang w:eastAsia="en-US"/>
              </w:rPr>
            </w:pPr>
            <w:r w:rsidRPr="00B35FBA">
              <w:rPr>
                <w:rFonts w:eastAsiaTheme="minorHAnsi" w:cstheme="minorBidi"/>
                <w:b w:val="0"/>
                <w:color w:val="002060"/>
                <w:szCs w:val="22"/>
                <w:lang w:eastAsia="en-US"/>
              </w:rPr>
              <w:t xml:space="preserve">The Government </w:t>
            </w:r>
            <w:r w:rsidRPr="00CB5338">
              <w:rPr>
                <w:rFonts w:eastAsiaTheme="minorHAnsi"/>
                <w:b w:val="0"/>
                <w:color w:val="002060"/>
                <w:lang w:eastAsia="en-US"/>
              </w:rPr>
              <w:t>supports</w:t>
            </w:r>
            <w:r w:rsidRPr="00B35FBA">
              <w:rPr>
                <w:rFonts w:eastAsiaTheme="minorHAnsi" w:cstheme="minorBidi"/>
                <w:b w:val="0"/>
                <w:color w:val="002060"/>
                <w:szCs w:val="22"/>
                <w:lang w:eastAsia="en-US"/>
              </w:rPr>
              <w:t xml:space="preserve"> the recommendation.  </w:t>
            </w:r>
          </w:p>
          <w:p w14:paraId="4DA78185" w14:textId="1FE88984" w:rsidR="003579B5" w:rsidRPr="00B35FBA" w:rsidRDefault="002918F9" w:rsidP="003579B5">
            <w:pPr>
              <w:spacing w:before="240"/>
              <w:rPr>
                <w:color w:val="002060"/>
              </w:rPr>
            </w:pPr>
            <w:r w:rsidRPr="00B35FBA">
              <w:rPr>
                <w:color w:val="002060"/>
              </w:rPr>
              <w:t>The Government provided the ACNC with $1 million of additional litigation funding in the 2018</w:t>
            </w:r>
            <w:r w:rsidRPr="00B35FBA">
              <w:rPr>
                <w:color w:val="002060"/>
              </w:rPr>
              <w:noBreakHyphen/>
              <w:t>19 Budget.</w:t>
            </w:r>
            <w:r w:rsidR="00CB5338">
              <w:rPr>
                <w:color w:val="002060"/>
              </w:rPr>
              <w:t xml:space="preserve"> </w:t>
            </w:r>
            <w:r w:rsidR="003579B5">
              <w:rPr>
                <w:color w:val="002060"/>
              </w:rPr>
              <w:t>This funding will enable the Commissioner to enforce and develop the law where ambiguity exists.</w:t>
            </w:r>
          </w:p>
        </w:tc>
      </w:tr>
      <w:tr w:rsidR="002918F9" w14:paraId="2F32CC18"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54C1CA93" w14:textId="77777777" w:rsidR="002918F9" w:rsidRDefault="002918F9" w:rsidP="001F4C64">
            <w:pPr>
              <w:pStyle w:val="RecommendationHeading"/>
            </w:pPr>
            <w:r>
              <w:t>20. Test case funding should be made available to develop the law in matters of public interest, including disqualifying purposes.</w:t>
            </w:r>
          </w:p>
          <w:p w14:paraId="36AEB2B8" w14:textId="1051CA4B" w:rsidR="002918F9" w:rsidRPr="00A57D9C" w:rsidRDefault="002918F9" w:rsidP="00316BDD">
            <w:pPr>
              <w:pStyle w:val="Contact"/>
              <w:rPr>
                <w:rFonts w:eastAsiaTheme="minorHAnsi" w:cstheme="minorBidi"/>
                <w:b w:val="0"/>
                <w:szCs w:val="22"/>
                <w:lang w:eastAsia="en-US"/>
              </w:rPr>
            </w:pPr>
            <w:r w:rsidRPr="004D1398">
              <w:rPr>
                <w:rFonts w:eastAsiaTheme="minorHAnsi" w:cstheme="minorBidi"/>
                <w:b w:val="0"/>
                <w:szCs w:val="22"/>
                <w:lang w:eastAsia="en-US"/>
              </w:rPr>
              <w:t xml:space="preserve">The panel found </w:t>
            </w:r>
            <w:r w:rsidR="00316BDD">
              <w:rPr>
                <w:rFonts w:eastAsiaTheme="minorHAnsi" w:cstheme="minorBidi"/>
                <w:b w:val="0"/>
                <w:szCs w:val="22"/>
                <w:lang w:eastAsia="en-US"/>
              </w:rPr>
              <w:t xml:space="preserve">the ACNC should be given test case litigation funding (similar to the ATO model). This would provide </w:t>
            </w:r>
            <w:r>
              <w:rPr>
                <w:rFonts w:eastAsiaTheme="minorHAnsi" w:cstheme="minorBidi"/>
                <w:b w:val="0"/>
                <w:szCs w:val="22"/>
                <w:lang w:eastAsia="en-US"/>
              </w:rPr>
              <w:t xml:space="preserve">registered entities </w:t>
            </w:r>
            <w:r w:rsidR="00316BDD">
              <w:rPr>
                <w:rFonts w:eastAsiaTheme="minorHAnsi" w:cstheme="minorBidi"/>
                <w:b w:val="0"/>
                <w:szCs w:val="22"/>
                <w:lang w:eastAsia="en-US"/>
              </w:rPr>
              <w:t xml:space="preserve">with </w:t>
            </w:r>
            <w:r>
              <w:rPr>
                <w:rFonts w:eastAsiaTheme="minorHAnsi" w:cstheme="minorBidi"/>
                <w:b w:val="0"/>
                <w:szCs w:val="22"/>
                <w:lang w:eastAsia="en-US"/>
              </w:rPr>
              <w:t>financial assistance</w:t>
            </w:r>
            <w:r w:rsidRPr="004D1398">
              <w:rPr>
                <w:rFonts w:eastAsiaTheme="minorHAnsi" w:cstheme="minorBidi"/>
                <w:b w:val="0"/>
                <w:szCs w:val="22"/>
                <w:lang w:eastAsia="en-US"/>
              </w:rPr>
              <w:t xml:space="preserve"> to take matters</w:t>
            </w:r>
            <w:r>
              <w:rPr>
                <w:rFonts w:eastAsiaTheme="minorHAnsi" w:cstheme="minorBidi"/>
                <w:b w:val="0"/>
                <w:szCs w:val="22"/>
                <w:lang w:eastAsia="en-US"/>
              </w:rPr>
              <w:t xml:space="preserve"> with</w:t>
            </w:r>
            <w:r w:rsidRPr="004D1398">
              <w:rPr>
                <w:rFonts w:eastAsiaTheme="minorHAnsi" w:cstheme="minorBidi"/>
                <w:b w:val="0"/>
                <w:szCs w:val="22"/>
                <w:lang w:eastAsia="en-US"/>
              </w:rPr>
              <w:t xml:space="preserve"> broad implications </w:t>
            </w:r>
            <w:r>
              <w:rPr>
                <w:rFonts w:eastAsiaTheme="minorHAnsi" w:cstheme="minorBidi"/>
                <w:b w:val="0"/>
                <w:szCs w:val="22"/>
                <w:lang w:eastAsia="en-US"/>
              </w:rPr>
              <w:t xml:space="preserve">to </w:t>
            </w:r>
            <w:r w:rsidRPr="004D1398">
              <w:rPr>
                <w:rFonts w:eastAsiaTheme="minorHAnsi" w:cstheme="minorBidi"/>
                <w:b w:val="0"/>
                <w:szCs w:val="22"/>
                <w:lang w:eastAsia="en-US"/>
              </w:rPr>
              <w:t>court</w:t>
            </w:r>
            <w:r w:rsidR="007219FC">
              <w:rPr>
                <w:rFonts w:eastAsiaTheme="minorHAnsi" w:cstheme="minorBidi"/>
                <w:b w:val="0"/>
                <w:szCs w:val="22"/>
                <w:lang w:eastAsia="en-US"/>
              </w:rPr>
              <w:t xml:space="preserve"> with the objective of clarifying contentious areas of law</w:t>
            </w:r>
            <w:r w:rsidRPr="004D1398">
              <w:rPr>
                <w:rFonts w:eastAsiaTheme="minorHAnsi" w:cstheme="minorBidi"/>
                <w:b w:val="0"/>
                <w:szCs w:val="22"/>
                <w:lang w:eastAsia="en-US"/>
              </w:rPr>
              <w:t>.</w:t>
            </w:r>
          </w:p>
        </w:tc>
        <w:tc>
          <w:tcPr>
            <w:tcW w:w="8930" w:type="dxa"/>
            <w:tcBorders>
              <w:top w:val="single" w:sz="4" w:space="0" w:color="B2B3B5" w:themeColor="accent4" w:themeTint="99"/>
              <w:bottom w:val="single" w:sz="4" w:space="0" w:color="B2B3B5" w:themeColor="accent4" w:themeTint="99"/>
            </w:tcBorders>
          </w:tcPr>
          <w:p w14:paraId="670B1508" w14:textId="07397EB2" w:rsidR="002918F9" w:rsidRPr="00B35FBA" w:rsidRDefault="00010BCC" w:rsidP="007E4739">
            <w:pPr>
              <w:pStyle w:val="Contact"/>
              <w:spacing w:before="240"/>
              <w:rPr>
                <w:color w:val="002060"/>
              </w:rPr>
            </w:pPr>
            <w:r w:rsidRPr="00010BCC">
              <w:rPr>
                <w:rFonts w:eastAsiaTheme="minorHAnsi" w:cstheme="minorBidi"/>
                <w:b w:val="0"/>
                <w:color w:val="002060"/>
                <w:szCs w:val="22"/>
                <w:lang w:eastAsia="en-US"/>
              </w:rPr>
              <w:t>The Government does n</w:t>
            </w:r>
            <w:r w:rsidR="00DE11B9">
              <w:rPr>
                <w:rFonts w:eastAsiaTheme="minorHAnsi" w:cstheme="minorBidi"/>
                <w:b w:val="0"/>
                <w:color w:val="002060"/>
                <w:szCs w:val="22"/>
                <w:lang w:eastAsia="en-US"/>
              </w:rPr>
              <w:t xml:space="preserve">ot support the recommendation. </w:t>
            </w:r>
            <w:r w:rsidRPr="00010BCC">
              <w:rPr>
                <w:rFonts w:eastAsiaTheme="minorHAnsi" w:cstheme="minorBidi"/>
                <w:b w:val="0"/>
                <w:color w:val="002060"/>
                <w:szCs w:val="22"/>
                <w:lang w:eastAsia="en-US"/>
              </w:rPr>
              <w:t>The Government will explore legislative options to address uncertainty in the law.</w:t>
            </w:r>
          </w:p>
        </w:tc>
      </w:tr>
      <w:tr w:rsidR="002918F9" w14:paraId="3A0FBA74"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5A594858" w14:textId="77777777" w:rsidR="002918F9" w:rsidRDefault="002918F9" w:rsidP="001F4C64">
            <w:pPr>
              <w:pStyle w:val="RecommendationHeading"/>
            </w:pPr>
            <w:r>
              <w:lastRenderedPageBreak/>
              <w:t>21. The ACNC’s regulatory approach to high</w:t>
            </w:r>
            <w:r>
              <w:noBreakHyphen/>
              <w:t>risk registered entities should be further developed in partnership with the Australian Criminal Intelligence Commission (ACIC), the Australian Transactions Reports and Analysis Centre (AUSTRAC) and other Commonwealth departments and agencies.</w:t>
            </w:r>
          </w:p>
          <w:p w14:paraId="4ACC75AE" w14:textId="053D612D" w:rsidR="002918F9" w:rsidRDefault="002918F9" w:rsidP="00A57D9C">
            <w:r w:rsidRPr="00FB6100">
              <w:t xml:space="preserve">The </w:t>
            </w:r>
            <w:r>
              <w:t xml:space="preserve">panel found the </w:t>
            </w:r>
            <w:r w:rsidRPr="00FB6100">
              <w:t>ACNC should work with other government agencies to develop a regulatory model for high-risk charities</w:t>
            </w:r>
            <w:r w:rsidR="007219FC">
              <w:t xml:space="preserve"> to ensure proper monitoring and compliance</w:t>
            </w:r>
            <w:r w:rsidRPr="00FB6100">
              <w:t>.</w:t>
            </w:r>
          </w:p>
        </w:tc>
        <w:tc>
          <w:tcPr>
            <w:tcW w:w="8930" w:type="dxa"/>
            <w:tcBorders>
              <w:top w:val="single" w:sz="4" w:space="0" w:color="B2B3B5" w:themeColor="accent4" w:themeTint="99"/>
              <w:bottom w:val="single" w:sz="4" w:space="0" w:color="B2B3B5" w:themeColor="accent4" w:themeTint="99"/>
            </w:tcBorders>
          </w:tcPr>
          <w:p w14:paraId="6666041A" w14:textId="4C711804" w:rsidR="002918F9" w:rsidRPr="00B35FBA" w:rsidRDefault="002918F9" w:rsidP="002918F9">
            <w:pPr>
              <w:pStyle w:val="Contact"/>
              <w:spacing w:before="240"/>
              <w:rPr>
                <w:rFonts w:eastAsiaTheme="minorHAnsi" w:cstheme="minorBidi"/>
                <w:b w:val="0"/>
                <w:color w:val="002060"/>
                <w:szCs w:val="22"/>
                <w:lang w:eastAsia="en-US"/>
              </w:rPr>
            </w:pPr>
            <w:r w:rsidRPr="00B35FBA">
              <w:rPr>
                <w:rFonts w:eastAsiaTheme="minorHAnsi" w:cstheme="minorBidi"/>
                <w:b w:val="0"/>
                <w:color w:val="002060"/>
                <w:szCs w:val="22"/>
                <w:lang w:eastAsia="en-US"/>
              </w:rPr>
              <w:t xml:space="preserve">The Government </w:t>
            </w:r>
            <w:r w:rsidRPr="007219FC">
              <w:rPr>
                <w:rFonts w:eastAsiaTheme="minorHAnsi"/>
                <w:b w:val="0"/>
                <w:color w:val="002060"/>
                <w:lang w:eastAsia="en-US"/>
              </w:rPr>
              <w:t xml:space="preserve">supports </w:t>
            </w:r>
            <w:r w:rsidRPr="00B35FBA">
              <w:rPr>
                <w:rFonts w:eastAsiaTheme="minorHAnsi" w:cstheme="minorBidi"/>
                <w:b w:val="0"/>
                <w:color w:val="002060"/>
                <w:szCs w:val="22"/>
                <w:lang w:eastAsia="en-US"/>
              </w:rPr>
              <w:t xml:space="preserve">the recommendation.  </w:t>
            </w:r>
          </w:p>
          <w:p w14:paraId="22FE21E1" w14:textId="06A393FD" w:rsidR="002918F9" w:rsidRPr="00B35FBA" w:rsidRDefault="002918F9" w:rsidP="002918F9">
            <w:pPr>
              <w:spacing w:before="240"/>
              <w:rPr>
                <w:color w:val="002060"/>
              </w:rPr>
            </w:pPr>
            <w:r w:rsidRPr="00B35FBA">
              <w:rPr>
                <w:color w:val="002060"/>
              </w:rPr>
              <w:t xml:space="preserve">The ACNC is actively building its partnership with ACIC and AUSTRAC.  </w:t>
            </w:r>
          </w:p>
          <w:p w14:paraId="20CB808F" w14:textId="0A6674F5" w:rsidR="002918F9" w:rsidRPr="00B35FBA" w:rsidRDefault="002918F9" w:rsidP="002918F9">
            <w:pPr>
              <w:spacing w:before="240"/>
              <w:rPr>
                <w:color w:val="002060"/>
              </w:rPr>
            </w:pPr>
            <w:r w:rsidRPr="00B35FBA">
              <w:rPr>
                <w:color w:val="002060"/>
              </w:rPr>
              <w:t xml:space="preserve">The ACNC was recently listed as a ‘designated agency’ for the purposes of the </w:t>
            </w:r>
            <w:r w:rsidRPr="007E4739">
              <w:rPr>
                <w:i/>
                <w:color w:val="002060"/>
              </w:rPr>
              <w:t>Anti-Money Laundering and Counter-Terrorism Financing Act 2006</w:t>
            </w:r>
            <w:r w:rsidRPr="00B35FBA">
              <w:rPr>
                <w:color w:val="002060"/>
              </w:rPr>
              <w:t xml:space="preserve"> (</w:t>
            </w:r>
            <w:proofErr w:type="spellStart"/>
            <w:r w:rsidRPr="00B35FBA">
              <w:rPr>
                <w:color w:val="002060"/>
              </w:rPr>
              <w:t>Cth</w:t>
            </w:r>
            <w:proofErr w:type="spellEnd"/>
            <w:r w:rsidRPr="00B35FBA">
              <w:rPr>
                <w:color w:val="002060"/>
              </w:rPr>
              <w:t>), which will provide it with direct access to AUSTRAC information.</w:t>
            </w:r>
          </w:p>
        </w:tc>
      </w:tr>
      <w:tr w:rsidR="002918F9" w14:paraId="25002E74"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C333B26" w14:textId="77777777" w:rsidR="002918F9" w:rsidRDefault="002918F9" w:rsidP="001F4C64">
            <w:pPr>
              <w:pStyle w:val="RecommendationHeading"/>
            </w:pPr>
            <w:r>
              <w:t>22. The ACNC should be resourced to enhance its access to criminal intelligence databases, use of secondments and information sharing with the ACIC and other agencies.</w:t>
            </w:r>
          </w:p>
          <w:p w14:paraId="0870B914" w14:textId="3DA5D139" w:rsidR="002918F9" w:rsidRPr="00A57D9C" w:rsidRDefault="002918F9" w:rsidP="00A57D9C">
            <w:pPr>
              <w:pStyle w:val="Contact"/>
              <w:rPr>
                <w:rFonts w:eastAsiaTheme="minorHAnsi" w:cstheme="minorBidi"/>
                <w:b w:val="0"/>
                <w:szCs w:val="22"/>
                <w:lang w:eastAsia="en-US"/>
              </w:rPr>
            </w:pPr>
            <w:r w:rsidRPr="007E72A0">
              <w:rPr>
                <w:rFonts w:eastAsiaTheme="minorHAnsi" w:cstheme="minorBidi"/>
                <w:b w:val="0"/>
                <w:szCs w:val="22"/>
                <w:lang w:eastAsia="en-US"/>
              </w:rPr>
              <w:t xml:space="preserve">The panel found additional resourcing to the ACNC to access databases would enhance the ACNC’s capacity to detect charities with links to criminal behaviour and terrorism. </w:t>
            </w:r>
          </w:p>
        </w:tc>
        <w:tc>
          <w:tcPr>
            <w:tcW w:w="8930" w:type="dxa"/>
            <w:tcBorders>
              <w:top w:val="single" w:sz="4" w:space="0" w:color="B2B3B5" w:themeColor="accent4" w:themeTint="99"/>
              <w:bottom w:val="single" w:sz="4" w:space="0" w:color="B2B3B5" w:themeColor="accent4" w:themeTint="99"/>
            </w:tcBorders>
          </w:tcPr>
          <w:p w14:paraId="359A7F25" w14:textId="253F40BF" w:rsidR="002918F9" w:rsidRPr="00B35FBA" w:rsidRDefault="002918F9" w:rsidP="002918F9">
            <w:pPr>
              <w:spacing w:before="240"/>
              <w:rPr>
                <w:color w:val="002060"/>
              </w:rPr>
            </w:pPr>
            <w:r w:rsidRPr="00B35FBA">
              <w:rPr>
                <w:color w:val="002060"/>
              </w:rPr>
              <w:t xml:space="preserve">The Government </w:t>
            </w:r>
            <w:r w:rsidRPr="007219FC">
              <w:rPr>
                <w:color w:val="002060"/>
              </w:rPr>
              <w:t>supports</w:t>
            </w:r>
            <w:r w:rsidRPr="00B35FBA">
              <w:rPr>
                <w:color w:val="002060"/>
              </w:rPr>
              <w:t xml:space="preserve"> the ACNC engaging with ACIC to enhance cooperation and integration.</w:t>
            </w:r>
          </w:p>
          <w:p w14:paraId="6778EBEF" w14:textId="030C8955" w:rsidR="002918F9" w:rsidRPr="00B35FBA" w:rsidRDefault="002918F9" w:rsidP="002918F9">
            <w:pPr>
              <w:spacing w:before="240"/>
              <w:rPr>
                <w:color w:val="002060"/>
              </w:rPr>
            </w:pPr>
            <w:r w:rsidRPr="00B35FBA">
              <w:rPr>
                <w:color w:val="002060"/>
              </w:rPr>
              <w:t>The ACNC will work with ACIC to consider the merits of developing a memorandum of understanding around the sharing of data.</w:t>
            </w:r>
          </w:p>
        </w:tc>
      </w:tr>
      <w:tr w:rsidR="002918F9" w14:paraId="59360F7A"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206A88E6" w14:textId="77777777" w:rsidR="002918F9" w:rsidRDefault="002918F9" w:rsidP="001F4C64">
            <w:pPr>
              <w:pStyle w:val="RecommendationHeading"/>
            </w:pPr>
            <w:r>
              <w:lastRenderedPageBreak/>
              <w:t xml:space="preserve">23. The </w:t>
            </w:r>
            <w:r w:rsidRPr="00A57D9C">
              <w:rPr>
                <w:i/>
              </w:rPr>
              <w:t>Australian Charities and Not-for-profits Commission Regulation 2013</w:t>
            </w:r>
            <w:r>
              <w:t xml:space="preserve"> should be changed to disqualify a person from being a responsible person if they have a conviction for terrorism, terrorism financing, money laundering, fraud, importation or distribution of illicit drugs or a child sexual offence under Commonwealth, state or territory law.</w:t>
            </w:r>
          </w:p>
          <w:p w14:paraId="1302F0EF" w14:textId="664A9D26" w:rsidR="002918F9" w:rsidRPr="00A57D9C" w:rsidRDefault="002918F9" w:rsidP="00A57D9C">
            <w:pPr>
              <w:pStyle w:val="Contact"/>
              <w:rPr>
                <w:rFonts w:eastAsiaTheme="minorHAnsi" w:cstheme="minorBidi"/>
                <w:b w:val="0"/>
                <w:szCs w:val="22"/>
                <w:lang w:eastAsia="en-US"/>
              </w:rPr>
            </w:pPr>
            <w:r w:rsidRPr="004D1398">
              <w:rPr>
                <w:rFonts w:eastAsiaTheme="minorHAnsi" w:cstheme="minorBidi"/>
                <w:b w:val="0"/>
                <w:szCs w:val="22"/>
                <w:lang w:eastAsia="en-US"/>
              </w:rPr>
              <w:t>The panel found that the current disqualifying criteria for responsible persons is too narrow, limiting the ACNC’s ability to prevent individuals linked to serious criminal activities, including terrorism financing and money laundering, from being responsible persons of charities.</w:t>
            </w:r>
          </w:p>
        </w:tc>
        <w:tc>
          <w:tcPr>
            <w:tcW w:w="8930" w:type="dxa"/>
            <w:tcBorders>
              <w:top w:val="single" w:sz="4" w:space="0" w:color="B2B3B5" w:themeColor="accent4" w:themeTint="99"/>
              <w:bottom w:val="single" w:sz="4" w:space="0" w:color="B2B3B5" w:themeColor="accent4" w:themeTint="99"/>
            </w:tcBorders>
          </w:tcPr>
          <w:p w14:paraId="51F5CA6B" w14:textId="77777777"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 xml:space="preserve">The Government supports the recommendation.  </w:t>
            </w:r>
          </w:p>
          <w:p w14:paraId="46ED8DA8" w14:textId="77777777"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 xml:space="preserve">While proven instances of criminal misconduct in the sector remain low, illicit activity could severely damage public trust and confidence in the sector and harm the communities they are working to assist.  </w:t>
            </w:r>
          </w:p>
          <w:p w14:paraId="6142C266" w14:textId="77777777" w:rsidR="00010BCC" w:rsidRPr="00010BCC" w:rsidRDefault="00010BCC" w:rsidP="00010BCC">
            <w:pPr>
              <w:pStyle w:val="Contact"/>
              <w:spacing w:before="240"/>
              <w:rPr>
                <w:rFonts w:eastAsiaTheme="minorHAnsi" w:cstheme="minorBidi"/>
                <w:b w:val="0"/>
                <w:color w:val="002060"/>
                <w:szCs w:val="22"/>
                <w:lang w:eastAsia="en-US"/>
              </w:rPr>
            </w:pPr>
            <w:r w:rsidRPr="00010BCC">
              <w:rPr>
                <w:rFonts w:eastAsiaTheme="minorHAnsi" w:cstheme="minorBidi"/>
                <w:b w:val="0"/>
                <w:color w:val="002060"/>
                <w:szCs w:val="22"/>
                <w:lang w:eastAsia="en-US"/>
              </w:rPr>
              <w:t>This recommendation will enhance the accountability of responsible persons, thereby reducing the risk of charities becoming involved in serious criminal misconduct.</w:t>
            </w:r>
          </w:p>
          <w:p w14:paraId="72E1BDAA" w14:textId="077F1EB4" w:rsidR="002918F9" w:rsidRPr="00B35FBA" w:rsidRDefault="00010BCC" w:rsidP="00010BCC">
            <w:pPr>
              <w:spacing w:before="240"/>
              <w:rPr>
                <w:color w:val="002060"/>
              </w:rPr>
            </w:pPr>
            <w:r w:rsidRPr="00010BCC">
              <w:rPr>
                <w:rFonts w:eastAsiaTheme="minorHAnsi" w:cstheme="minorBidi"/>
                <w:color w:val="002060"/>
                <w:szCs w:val="22"/>
                <w:lang w:eastAsia="en-US"/>
              </w:rPr>
              <w:t>The Government will implement this recommendation by changes to legislation.</w:t>
            </w:r>
          </w:p>
        </w:tc>
      </w:tr>
      <w:tr w:rsidR="002918F9" w14:paraId="4D130F93"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4A812C41" w14:textId="77777777" w:rsidR="002918F9" w:rsidRDefault="002918F9" w:rsidP="001F4C64">
            <w:pPr>
              <w:pStyle w:val="RecommendationHeading"/>
            </w:pPr>
            <w:r>
              <w:t>24. The ACNC Act should be amended to provide that certain not</w:t>
            </w:r>
            <w:r>
              <w:noBreakHyphen/>
              <w:t>for</w:t>
            </w:r>
            <w:r>
              <w:noBreakHyphen/>
              <w:t>profits with annual revenue of $5 million or more must be registered under the ACNC Act to be exempt from income tax and access Commonwealth tax concessions.</w:t>
            </w:r>
          </w:p>
          <w:p w14:paraId="09FCAABE" w14:textId="1FF3D05D" w:rsidR="00B35FBA" w:rsidRPr="00A57D9C" w:rsidRDefault="002918F9" w:rsidP="00A57D9C">
            <w:pPr>
              <w:pStyle w:val="Contact"/>
              <w:rPr>
                <w:rFonts w:eastAsiaTheme="minorHAnsi" w:cstheme="minorBidi"/>
                <w:b w:val="0"/>
                <w:szCs w:val="22"/>
                <w:lang w:eastAsia="en-US"/>
              </w:rPr>
            </w:pPr>
            <w:r w:rsidRPr="00236DFE">
              <w:rPr>
                <w:rFonts w:eastAsiaTheme="minorHAnsi" w:cstheme="minorBidi"/>
                <w:b w:val="0"/>
                <w:szCs w:val="22"/>
                <w:lang w:eastAsia="en-US"/>
              </w:rPr>
              <w:t>The panel found that the ACNC should be given oversight of not-for-profits with annual revenue of $5 million or more to ensure the largest not-for-profits are complying with their obligations.</w:t>
            </w:r>
            <w:r w:rsidR="00C15F7A">
              <w:rPr>
                <w:rFonts w:eastAsiaTheme="minorHAnsi" w:cstheme="minorBidi"/>
                <w:b w:val="0"/>
                <w:szCs w:val="22"/>
                <w:lang w:eastAsia="en-US"/>
              </w:rPr>
              <w:t xml:space="preserve"> </w:t>
            </w:r>
            <w:r w:rsidRPr="00236DFE">
              <w:rPr>
                <w:rFonts w:eastAsiaTheme="minorHAnsi" w:cstheme="minorBidi"/>
                <w:b w:val="0"/>
                <w:szCs w:val="22"/>
                <w:lang w:eastAsia="en-US"/>
              </w:rPr>
              <w:t>It is estimated there are 580 such entities.</w:t>
            </w:r>
          </w:p>
        </w:tc>
        <w:tc>
          <w:tcPr>
            <w:tcW w:w="8930" w:type="dxa"/>
            <w:tcBorders>
              <w:top w:val="single" w:sz="4" w:space="0" w:color="B2B3B5" w:themeColor="accent4" w:themeTint="99"/>
              <w:bottom w:val="single" w:sz="4" w:space="0" w:color="B2B3B5" w:themeColor="accent4" w:themeTint="99"/>
            </w:tcBorders>
          </w:tcPr>
          <w:p w14:paraId="04BF0CD7" w14:textId="77777777" w:rsidR="00010BCC" w:rsidRPr="00010BCC" w:rsidRDefault="00010BCC" w:rsidP="00010BCC">
            <w:pPr>
              <w:pStyle w:val="Contact"/>
              <w:spacing w:before="240" w:after="0"/>
              <w:rPr>
                <w:b w:val="0"/>
                <w:color w:val="002060"/>
              </w:rPr>
            </w:pPr>
            <w:r w:rsidRPr="00010BCC">
              <w:rPr>
                <w:b w:val="0"/>
                <w:color w:val="002060"/>
              </w:rPr>
              <w:t xml:space="preserve">The Government does not support the recommendation.  </w:t>
            </w:r>
          </w:p>
          <w:p w14:paraId="601EA632" w14:textId="08EC933A" w:rsidR="00010BCC" w:rsidRPr="00010BCC" w:rsidRDefault="00010BCC" w:rsidP="00010BCC">
            <w:pPr>
              <w:pStyle w:val="Contact"/>
              <w:spacing w:before="240" w:after="0"/>
              <w:rPr>
                <w:b w:val="0"/>
                <w:color w:val="002060"/>
              </w:rPr>
            </w:pPr>
            <w:r w:rsidRPr="00010BCC">
              <w:rPr>
                <w:b w:val="0"/>
                <w:color w:val="002060"/>
              </w:rPr>
              <w:t>The Government considers that eligibility for income tax exemptions and other tax concessions for non</w:t>
            </w:r>
            <w:r w:rsidR="00A44577">
              <w:rPr>
                <w:b w:val="0"/>
                <w:color w:val="002060"/>
              </w:rPr>
              <w:t>-</w:t>
            </w:r>
            <w:r w:rsidRPr="00010BCC">
              <w:rPr>
                <w:b w:val="0"/>
                <w:color w:val="002060"/>
              </w:rPr>
              <w:t xml:space="preserve">charitable not-for-profits is best regulated by the ATO. </w:t>
            </w:r>
          </w:p>
          <w:p w14:paraId="3D2EF252" w14:textId="775B9C23" w:rsidR="002918F9" w:rsidRPr="00B35FBA" w:rsidRDefault="00010BCC" w:rsidP="00010BCC">
            <w:pPr>
              <w:pStyle w:val="Contact"/>
              <w:spacing w:before="240"/>
              <w:rPr>
                <w:color w:val="002060"/>
              </w:rPr>
            </w:pPr>
            <w:r w:rsidRPr="00010BCC">
              <w:rPr>
                <w:b w:val="0"/>
                <w:color w:val="002060"/>
              </w:rPr>
              <w:t>The Government will consider options for tightening the ATO’s existing regulatory framework for not-for-profits</w:t>
            </w:r>
            <w:r w:rsidR="00A70E91">
              <w:rPr>
                <w:b w:val="0"/>
                <w:color w:val="002060"/>
              </w:rPr>
              <w:t xml:space="preserve"> and consider any implications for the regulatory scope of the ACNC</w:t>
            </w:r>
            <w:r>
              <w:rPr>
                <w:b w:val="0"/>
                <w:color w:val="002060"/>
              </w:rPr>
              <w:t>.</w:t>
            </w:r>
          </w:p>
        </w:tc>
      </w:tr>
      <w:tr w:rsidR="002918F9" w:rsidRPr="00BC232B" w14:paraId="355D357D" w14:textId="77777777" w:rsidTr="00C804E1">
        <w:trPr>
          <w:cantSplit/>
        </w:trPr>
        <w:tc>
          <w:tcPr>
            <w:tcW w:w="5353" w:type="dxa"/>
            <w:tcBorders>
              <w:top w:val="single" w:sz="4" w:space="0" w:color="B2B3B5" w:themeColor="accent4" w:themeTint="99"/>
            </w:tcBorders>
            <w:shd w:val="clear" w:color="auto" w:fill="D6EBF4" w:themeFill="accent5" w:themeFillTint="66"/>
          </w:tcPr>
          <w:p w14:paraId="3AA57D3E" w14:textId="7A29EBD9" w:rsidR="002918F9" w:rsidRPr="00BC232B" w:rsidRDefault="002918F9" w:rsidP="00047C72">
            <w:pPr>
              <w:keepNext/>
              <w:rPr>
                <w:b/>
                <w:i/>
                <w:color w:val="002060"/>
              </w:rPr>
            </w:pPr>
            <w:r w:rsidRPr="009632F2">
              <w:rPr>
                <w:b/>
                <w:i/>
                <w:color w:val="002060"/>
              </w:rPr>
              <w:lastRenderedPageBreak/>
              <w:t>Part C – Red Tape Reduction</w:t>
            </w:r>
          </w:p>
        </w:tc>
        <w:tc>
          <w:tcPr>
            <w:tcW w:w="8930" w:type="dxa"/>
            <w:tcBorders>
              <w:top w:val="single" w:sz="4" w:space="0" w:color="B2B3B5" w:themeColor="accent4" w:themeTint="99"/>
            </w:tcBorders>
            <w:shd w:val="clear" w:color="auto" w:fill="D6EBF4" w:themeFill="accent5" w:themeFillTint="66"/>
          </w:tcPr>
          <w:p w14:paraId="79C27DB3" w14:textId="24A1FB22" w:rsidR="002918F9" w:rsidRPr="00B35FBA" w:rsidRDefault="002918F9" w:rsidP="00047C72">
            <w:pPr>
              <w:keepNext/>
              <w:spacing w:before="240"/>
              <w:rPr>
                <w:i/>
                <w:color w:val="002060"/>
              </w:rPr>
            </w:pPr>
          </w:p>
        </w:tc>
      </w:tr>
      <w:tr w:rsidR="002918F9" w14:paraId="00156B15" w14:textId="77777777" w:rsidTr="00B35FBA">
        <w:trPr>
          <w:cantSplit/>
        </w:trPr>
        <w:tc>
          <w:tcPr>
            <w:tcW w:w="5353" w:type="dxa"/>
            <w:tcBorders>
              <w:bottom w:val="single" w:sz="4" w:space="0" w:color="B2B3B5" w:themeColor="accent4" w:themeTint="99"/>
            </w:tcBorders>
          </w:tcPr>
          <w:p w14:paraId="54090A38" w14:textId="7A5DA112" w:rsidR="002918F9" w:rsidRDefault="002918F9" w:rsidP="00047C72">
            <w:pPr>
              <w:pStyle w:val="RecommendationHeading"/>
              <w:keepNext/>
            </w:pPr>
            <w:r>
              <w:t>25. The Australian Consumer Law should be amended to clarify its application to charitable and not</w:t>
            </w:r>
            <w:r>
              <w:noBreakHyphen/>
              <w:t>for</w:t>
            </w:r>
            <w:r>
              <w:noBreakHyphen/>
              <w:t xml:space="preserve">profit fundraising and a mandatory Code of Conduct </w:t>
            </w:r>
            <w:r w:rsidR="00611857">
              <w:t xml:space="preserve">for fundraising activities </w:t>
            </w:r>
            <w:r>
              <w:t>be developed.</w:t>
            </w:r>
          </w:p>
          <w:p w14:paraId="0056F5AF" w14:textId="34210F9E" w:rsidR="002918F9" w:rsidRPr="00A57D9C" w:rsidRDefault="002918F9" w:rsidP="00047C72">
            <w:pPr>
              <w:pStyle w:val="Contact"/>
              <w:keepNext/>
              <w:rPr>
                <w:rFonts w:eastAsiaTheme="minorHAnsi" w:cstheme="minorBidi"/>
                <w:b w:val="0"/>
                <w:szCs w:val="22"/>
                <w:lang w:eastAsia="en-US"/>
              </w:rPr>
            </w:pPr>
            <w:r w:rsidRPr="00236DFE">
              <w:rPr>
                <w:rFonts w:eastAsiaTheme="minorHAnsi" w:cstheme="minorBidi"/>
                <w:b w:val="0"/>
                <w:szCs w:val="22"/>
                <w:lang w:eastAsia="en-US"/>
              </w:rPr>
              <w:t>The panel found there are substantial inconsistencies across state and territory licensing and reporting requirements</w:t>
            </w:r>
            <w:r w:rsidR="00DD5D95">
              <w:rPr>
                <w:rFonts w:eastAsiaTheme="minorHAnsi" w:cstheme="minorBidi"/>
                <w:b w:val="0"/>
                <w:szCs w:val="22"/>
                <w:lang w:eastAsia="en-US"/>
              </w:rPr>
              <w:t>,</w:t>
            </w:r>
            <w:r w:rsidRPr="00236DFE">
              <w:rPr>
                <w:rFonts w:eastAsiaTheme="minorHAnsi" w:cstheme="minorBidi"/>
                <w:b w:val="0"/>
                <w:szCs w:val="22"/>
                <w:lang w:eastAsia="en-US"/>
              </w:rPr>
              <w:t xml:space="preserve"> and made a recommendation aimed at reducing red tape for fundraisers. </w:t>
            </w:r>
          </w:p>
        </w:tc>
        <w:tc>
          <w:tcPr>
            <w:tcW w:w="8930" w:type="dxa"/>
            <w:tcBorders>
              <w:bottom w:val="single" w:sz="4" w:space="0" w:color="B2B3B5" w:themeColor="accent4" w:themeTint="99"/>
            </w:tcBorders>
          </w:tcPr>
          <w:p w14:paraId="1ED53414" w14:textId="77777777" w:rsidR="00AE67A0" w:rsidRPr="00AE67A0" w:rsidRDefault="00AE67A0" w:rsidP="00AE67A0">
            <w:pPr>
              <w:keepNext/>
              <w:spacing w:before="240"/>
              <w:rPr>
                <w:color w:val="002060"/>
              </w:rPr>
            </w:pPr>
            <w:r w:rsidRPr="00AE67A0">
              <w:rPr>
                <w:color w:val="002060"/>
              </w:rPr>
              <w:t>The Government does not support the recommendation.</w:t>
            </w:r>
          </w:p>
          <w:p w14:paraId="2DED3EDE" w14:textId="77777777" w:rsidR="00AE67A0" w:rsidRPr="00AE67A0" w:rsidRDefault="00AE67A0" w:rsidP="00AE67A0">
            <w:pPr>
              <w:keepNext/>
              <w:spacing w:before="240"/>
              <w:rPr>
                <w:color w:val="002060"/>
              </w:rPr>
            </w:pPr>
            <w:r w:rsidRPr="00AE67A0">
              <w:rPr>
                <w:color w:val="002060"/>
              </w:rPr>
              <w:t>The Government notes the findings of the Senate Select Committee Report on Charity Fundraising in the 21st Century, which considered, but did not endorse, recommendation 25 as a regulatory reform model.</w:t>
            </w:r>
          </w:p>
          <w:p w14:paraId="5E0892A7" w14:textId="77777777" w:rsidR="00036617" w:rsidRDefault="00AE67A0" w:rsidP="00AE67A0">
            <w:pPr>
              <w:keepNext/>
              <w:spacing w:before="240"/>
              <w:rPr>
                <w:color w:val="002060"/>
              </w:rPr>
            </w:pPr>
            <w:r w:rsidRPr="00AE67A0">
              <w:rPr>
                <w:color w:val="002060"/>
              </w:rPr>
              <w:t>The Government will continue to support efforts by the states and territories to harmonise state and territory fundraising laws.</w:t>
            </w:r>
          </w:p>
          <w:p w14:paraId="3D04199D" w14:textId="0DBB8DB5" w:rsidR="004409EE" w:rsidRDefault="004409EE" w:rsidP="004409EE">
            <w:pPr>
              <w:keepNext/>
              <w:spacing w:before="240"/>
              <w:rPr>
                <w:color w:val="002060"/>
              </w:rPr>
            </w:pPr>
            <w:r w:rsidRPr="004409EE">
              <w:rPr>
                <w:color w:val="002060"/>
              </w:rPr>
              <w:t>The ACL is not an appropriate mechanism to harmonise laws in the NFP sector. The ACL provides broad, economy-wide protections, including against misleading and deceptive conduct. It is not de</w:t>
            </w:r>
            <w:r w:rsidR="00DE11B9">
              <w:rPr>
                <w:color w:val="002060"/>
              </w:rPr>
              <w:t>signed to impose detailed licens</w:t>
            </w:r>
            <w:r w:rsidRPr="004409EE">
              <w:rPr>
                <w:color w:val="002060"/>
              </w:rPr>
              <w:t>ing, reporting and conduct requirements in specified sectors, which in the case of fundraisers includes matters such as hours and location of collections, identification requirements for collectors or the issuing of receipts by collectors. Repealing state fundraising legislation and relying on the ACL’s broad protections could leave regulatory gaps.</w:t>
            </w:r>
          </w:p>
          <w:p w14:paraId="0CC60774" w14:textId="1EBC55A1" w:rsidR="009D31DB" w:rsidRPr="004409EE" w:rsidRDefault="009D31DB" w:rsidP="004409EE">
            <w:pPr>
              <w:keepNext/>
              <w:spacing w:before="240"/>
              <w:rPr>
                <w:color w:val="002060"/>
              </w:rPr>
            </w:pPr>
            <w:r w:rsidRPr="009D31DB">
              <w:rPr>
                <w:color w:val="002060"/>
              </w:rPr>
              <w:t>The ACCC expressed a similar view in its submissions to the Review and to the Senate Select Committee.</w:t>
            </w:r>
          </w:p>
          <w:p w14:paraId="231BE463" w14:textId="06B80EFE" w:rsidR="002918F9" w:rsidRPr="00B35FBA" w:rsidRDefault="004409EE" w:rsidP="004409EE">
            <w:pPr>
              <w:keepNext/>
              <w:spacing w:before="240"/>
              <w:rPr>
                <w:color w:val="002060"/>
              </w:rPr>
            </w:pPr>
            <w:r w:rsidRPr="004409EE">
              <w:rPr>
                <w:color w:val="002060"/>
              </w:rPr>
              <w:t>Additionally, the ACL does not currently provide a mechanism for a code of conduct. Amendin</w:t>
            </w:r>
            <w:r w:rsidR="00A86429">
              <w:rPr>
                <w:color w:val="002060"/>
              </w:rPr>
              <w:t>g the ACL to provide for a code</w:t>
            </w:r>
            <w:r w:rsidRPr="004409EE">
              <w:rPr>
                <w:color w:val="002060"/>
              </w:rPr>
              <w:t xml:space="preserve"> would require the agreement of the states and territories, and significant changes to state and territory legislation. It is unclear how</w:t>
            </w:r>
            <w:r w:rsidR="00DE11B9">
              <w:rPr>
                <w:color w:val="002060"/>
              </w:rPr>
              <w:t xml:space="preserve"> such a</w:t>
            </w:r>
            <w:r>
              <w:rPr>
                <w:color w:val="002060"/>
              </w:rPr>
              <w:t xml:space="preserve"> process would achieve </w:t>
            </w:r>
            <w:r w:rsidRPr="004409EE">
              <w:rPr>
                <w:color w:val="002060"/>
              </w:rPr>
              <w:t>a faster reduction in red tape than harmonisation of state and territory laws.</w:t>
            </w:r>
            <w:r w:rsidR="00AE67A0" w:rsidRPr="00AE67A0">
              <w:rPr>
                <w:color w:val="002060"/>
              </w:rPr>
              <w:t xml:space="preserve">  </w:t>
            </w:r>
          </w:p>
        </w:tc>
      </w:tr>
      <w:tr w:rsidR="002918F9" w14:paraId="64CBD45A"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4B731AD6" w14:textId="77777777" w:rsidR="002918F9" w:rsidRDefault="002918F9" w:rsidP="001F4C64">
            <w:pPr>
              <w:pStyle w:val="RecommendationHeading"/>
            </w:pPr>
            <w:r>
              <w:lastRenderedPageBreak/>
              <w:t>26. The use of the Charity Passport by Commonwealth departments and agencies should be mandated.</w:t>
            </w:r>
          </w:p>
          <w:p w14:paraId="50B9C092" w14:textId="165444C4" w:rsidR="002918F9" w:rsidRPr="00A57D9C" w:rsidRDefault="002918F9" w:rsidP="00A57D9C">
            <w:pPr>
              <w:pStyle w:val="Contact"/>
              <w:rPr>
                <w:rFonts w:eastAsiaTheme="minorHAnsi" w:cstheme="minorBidi"/>
                <w:b w:val="0"/>
                <w:szCs w:val="22"/>
                <w:lang w:eastAsia="en-US"/>
              </w:rPr>
            </w:pPr>
            <w:r w:rsidRPr="00236DFE">
              <w:rPr>
                <w:rFonts w:eastAsiaTheme="minorHAnsi" w:cstheme="minorBidi"/>
                <w:b w:val="0"/>
                <w:szCs w:val="22"/>
                <w:lang w:eastAsia="en-US"/>
              </w:rPr>
              <w:t xml:space="preserve">The panel found that the Charity Passport is underutilised by government agencies. </w:t>
            </w:r>
          </w:p>
        </w:tc>
        <w:tc>
          <w:tcPr>
            <w:tcW w:w="8930" w:type="dxa"/>
            <w:tcBorders>
              <w:top w:val="single" w:sz="4" w:space="0" w:color="B2B3B5" w:themeColor="accent4" w:themeTint="99"/>
              <w:bottom w:val="single" w:sz="4" w:space="0" w:color="B2B3B5" w:themeColor="accent4" w:themeTint="99"/>
            </w:tcBorders>
          </w:tcPr>
          <w:p w14:paraId="68380E84" w14:textId="636B143A" w:rsidR="002918F9" w:rsidRPr="00B35FBA" w:rsidRDefault="002918F9" w:rsidP="002918F9">
            <w:pPr>
              <w:spacing w:before="240"/>
              <w:rPr>
                <w:color w:val="002060"/>
              </w:rPr>
            </w:pPr>
            <w:r w:rsidRPr="00B35FBA">
              <w:rPr>
                <w:color w:val="002060"/>
              </w:rPr>
              <w:t xml:space="preserve">The Government </w:t>
            </w:r>
            <w:r w:rsidRPr="0063234A">
              <w:rPr>
                <w:color w:val="002060"/>
              </w:rPr>
              <w:t>supports</w:t>
            </w:r>
            <w:r w:rsidRPr="00B35FBA">
              <w:rPr>
                <w:color w:val="002060"/>
              </w:rPr>
              <w:t xml:space="preserve"> the ACNC working with Commonwealth agencies to increase the take up of the Charity Passport.</w:t>
            </w:r>
          </w:p>
          <w:p w14:paraId="011D86DF" w14:textId="12CD8141" w:rsidR="002918F9" w:rsidRPr="00B35FBA" w:rsidRDefault="002918F9" w:rsidP="002918F9">
            <w:pPr>
              <w:spacing w:before="240"/>
              <w:rPr>
                <w:color w:val="002060"/>
              </w:rPr>
            </w:pPr>
            <w:r w:rsidRPr="00B35FBA">
              <w:rPr>
                <w:color w:val="002060"/>
              </w:rPr>
              <w:t xml:space="preserve">Increased use of the Charity Passport by </w:t>
            </w:r>
            <w:r w:rsidR="0063234A">
              <w:rPr>
                <w:color w:val="002060"/>
              </w:rPr>
              <w:t>g</w:t>
            </w:r>
            <w:r w:rsidRPr="00B35FBA">
              <w:rPr>
                <w:color w:val="002060"/>
              </w:rPr>
              <w:t>overnment agencies will reduce the need for charities to provide the same information to different government agencies multiple times.</w:t>
            </w:r>
          </w:p>
        </w:tc>
      </w:tr>
      <w:tr w:rsidR="002918F9" w14:paraId="2E09013E"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7BEA0552" w14:textId="77777777" w:rsidR="002918F9" w:rsidRDefault="002918F9" w:rsidP="001F4C64">
            <w:pPr>
              <w:pStyle w:val="RecommendationHeading"/>
            </w:pPr>
            <w:r>
              <w:t>27. Responsibility for the incorporation and all aspects of the regulation of companies which are registered entities should be transferred from the Australian Securities and Investments Commission (ASIC) to the ACNC, except for criminal offences.</w:t>
            </w:r>
          </w:p>
          <w:p w14:paraId="007388EA" w14:textId="52292AB2" w:rsidR="002918F9" w:rsidRPr="00A57D9C" w:rsidRDefault="002918F9" w:rsidP="00A57D9C">
            <w:pPr>
              <w:pStyle w:val="Contact"/>
              <w:rPr>
                <w:rFonts w:eastAsiaTheme="minorHAnsi" w:cstheme="minorBidi"/>
                <w:b w:val="0"/>
                <w:szCs w:val="22"/>
                <w:lang w:eastAsia="en-US"/>
              </w:rPr>
            </w:pPr>
            <w:r w:rsidRPr="00236DFE">
              <w:rPr>
                <w:rFonts w:eastAsiaTheme="minorHAnsi" w:cstheme="minorBidi"/>
                <w:b w:val="0"/>
                <w:szCs w:val="22"/>
                <w:lang w:eastAsia="en-US"/>
              </w:rPr>
              <w:t xml:space="preserve">The panel found registration and regulatory responsibility for companies limited by guarantee registered under the ACNC Act should primarily rest with the ACNC. </w:t>
            </w:r>
          </w:p>
        </w:tc>
        <w:tc>
          <w:tcPr>
            <w:tcW w:w="8930" w:type="dxa"/>
            <w:tcBorders>
              <w:top w:val="single" w:sz="4" w:space="0" w:color="B2B3B5" w:themeColor="accent4" w:themeTint="99"/>
              <w:bottom w:val="single" w:sz="4" w:space="0" w:color="B2B3B5" w:themeColor="accent4" w:themeTint="99"/>
            </w:tcBorders>
          </w:tcPr>
          <w:p w14:paraId="6B581ACC" w14:textId="70F24809" w:rsidR="002918F9" w:rsidRPr="00B35FBA" w:rsidRDefault="00FD0838" w:rsidP="002918F9">
            <w:pPr>
              <w:spacing w:before="240"/>
              <w:rPr>
                <w:color w:val="002060"/>
              </w:rPr>
            </w:pPr>
            <w:r w:rsidRPr="00FD0838">
              <w:rPr>
                <w:rFonts w:eastAsiaTheme="minorHAnsi" w:cstheme="minorBidi"/>
                <w:color w:val="002060"/>
                <w:szCs w:val="22"/>
                <w:lang w:eastAsia="en-US"/>
              </w:rPr>
              <w:t xml:space="preserve">The Government supports the ACNC working with ASIC, through the modernising business registers program, to reduce the practical and administrative challenges for registered entities dealing with both regulators. </w:t>
            </w:r>
          </w:p>
        </w:tc>
      </w:tr>
      <w:tr w:rsidR="002918F9" w14:paraId="64CBAC02" w14:textId="77777777" w:rsidTr="00C804E1">
        <w:trPr>
          <w:cantSplit/>
        </w:trPr>
        <w:tc>
          <w:tcPr>
            <w:tcW w:w="5353" w:type="dxa"/>
            <w:tcBorders>
              <w:top w:val="single" w:sz="4" w:space="0" w:color="B2B3B5" w:themeColor="accent4" w:themeTint="99"/>
              <w:bottom w:val="single" w:sz="4" w:space="0" w:color="B2B3B5" w:themeColor="accent4" w:themeTint="99"/>
            </w:tcBorders>
          </w:tcPr>
          <w:p w14:paraId="31567D6A" w14:textId="77777777" w:rsidR="002918F9" w:rsidRDefault="002918F9" w:rsidP="001F4C64">
            <w:pPr>
              <w:pStyle w:val="RecommendationHeading"/>
            </w:pPr>
            <w:r>
              <w:lastRenderedPageBreak/>
              <w:t>28. A single, national scheme for charities and not</w:t>
            </w:r>
            <w:r>
              <w:noBreakHyphen/>
              <w:t>for</w:t>
            </w:r>
            <w:r>
              <w:noBreakHyphen/>
              <w:t>profits should be developed.</w:t>
            </w:r>
          </w:p>
          <w:p w14:paraId="58BAC2DB" w14:textId="473172F3" w:rsidR="002112B9" w:rsidRDefault="002112B9" w:rsidP="00A57D9C">
            <w:pPr>
              <w:pStyle w:val="Contact"/>
              <w:rPr>
                <w:rFonts w:eastAsiaTheme="minorHAnsi" w:cstheme="minorBidi"/>
                <w:b w:val="0"/>
                <w:szCs w:val="22"/>
                <w:lang w:eastAsia="en-US"/>
              </w:rPr>
            </w:pPr>
            <w:r w:rsidRPr="002112B9">
              <w:rPr>
                <w:rFonts w:eastAsiaTheme="minorHAnsi" w:cstheme="minorBidi"/>
                <w:b w:val="0"/>
                <w:szCs w:val="22"/>
                <w:lang w:eastAsia="en-US"/>
              </w:rPr>
              <w:t>Inconsistencies and complexities in Commonwealth, state and territory regulation impose three key forms of r</w:t>
            </w:r>
            <w:r w:rsidR="00DD199B">
              <w:rPr>
                <w:rFonts w:eastAsiaTheme="minorHAnsi" w:cstheme="minorBidi"/>
                <w:b w:val="0"/>
                <w:szCs w:val="22"/>
                <w:lang w:eastAsia="en-US"/>
              </w:rPr>
              <w:t xml:space="preserve">egulatory burden on charities: </w:t>
            </w:r>
            <w:r w:rsidRPr="002112B9">
              <w:rPr>
                <w:rFonts w:eastAsiaTheme="minorHAnsi" w:cstheme="minorBidi"/>
                <w:b w:val="0"/>
                <w:szCs w:val="22"/>
                <w:lang w:eastAsia="en-US"/>
              </w:rPr>
              <w:t xml:space="preserve">registration and reporting obligations under state and territory incorporated association legislation; licensing, reporting and operational restrictions under fundraising legislation; and eligibility requirements for tax concessions. </w:t>
            </w:r>
          </w:p>
          <w:p w14:paraId="4A8E0B15" w14:textId="55507D19" w:rsidR="002918F9" w:rsidRDefault="002112B9" w:rsidP="00A57D9C">
            <w:pPr>
              <w:pStyle w:val="Contact"/>
              <w:rPr>
                <w:rFonts w:eastAsiaTheme="minorHAnsi" w:cstheme="minorBidi"/>
                <w:b w:val="0"/>
                <w:szCs w:val="22"/>
                <w:lang w:eastAsia="en-US"/>
              </w:rPr>
            </w:pPr>
            <w:r w:rsidRPr="002112B9">
              <w:rPr>
                <w:rFonts w:eastAsiaTheme="minorHAnsi" w:cstheme="minorBidi"/>
                <w:b w:val="0"/>
                <w:szCs w:val="22"/>
                <w:lang w:eastAsia="en-US"/>
              </w:rPr>
              <w:t>Adv</w:t>
            </w:r>
            <w:r w:rsidR="00DD199B">
              <w:rPr>
                <w:rFonts w:eastAsiaTheme="minorHAnsi" w:cstheme="minorBidi"/>
                <w:b w:val="0"/>
                <w:szCs w:val="22"/>
                <w:lang w:eastAsia="en-US"/>
              </w:rPr>
              <w:t>ances in technology (such as on</w:t>
            </w:r>
            <w:r w:rsidRPr="002112B9">
              <w:rPr>
                <w:rFonts w:eastAsiaTheme="minorHAnsi" w:cstheme="minorBidi"/>
                <w:b w:val="0"/>
                <w:szCs w:val="22"/>
                <w:lang w:eastAsia="en-US"/>
              </w:rPr>
              <w:t xml:space="preserve">line fundraising platforms) mean charities are increasingly operating across multiple jurisdictions.  </w:t>
            </w:r>
          </w:p>
          <w:p w14:paraId="2A817394" w14:textId="4FF4C876" w:rsidR="002918F9" w:rsidRPr="00A57D9C" w:rsidRDefault="002112B9" w:rsidP="00A57D9C">
            <w:pPr>
              <w:pStyle w:val="Contact"/>
              <w:rPr>
                <w:rFonts w:eastAsiaTheme="minorHAnsi" w:cstheme="minorBidi"/>
                <w:b w:val="0"/>
                <w:szCs w:val="22"/>
                <w:lang w:eastAsia="en-US"/>
              </w:rPr>
            </w:pPr>
            <w:r w:rsidRPr="002112B9">
              <w:rPr>
                <w:rFonts w:eastAsiaTheme="minorHAnsi" w:cstheme="minorBidi"/>
                <w:b w:val="0"/>
                <w:szCs w:val="22"/>
                <w:lang w:eastAsia="en-US"/>
              </w:rPr>
              <w:t>The panel found</w:t>
            </w:r>
            <w:r w:rsidR="00B0729A">
              <w:rPr>
                <w:rFonts w:eastAsiaTheme="minorHAnsi" w:cstheme="minorBidi"/>
                <w:b w:val="0"/>
                <w:szCs w:val="22"/>
                <w:lang w:eastAsia="en-US"/>
              </w:rPr>
              <w:t xml:space="preserve"> that a single national scheme </w:t>
            </w:r>
            <w:r w:rsidRPr="002112B9">
              <w:rPr>
                <w:rFonts w:eastAsiaTheme="minorHAnsi" w:cstheme="minorBidi"/>
                <w:b w:val="0"/>
                <w:szCs w:val="22"/>
                <w:lang w:eastAsia="en-US"/>
              </w:rPr>
              <w:t>for charities and not-for-profits would alleviate these burdens, improving sector outcomes.</w:t>
            </w:r>
          </w:p>
        </w:tc>
        <w:tc>
          <w:tcPr>
            <w:tcW w:w="8930" w:type="dxa"/>
            <w:tcBorders>
              <w:top w:val="single" w:sz="4" w:space="0" w:color="B2B3B5" w:themeColor="accent4" w:themeTint="99"/>
              <w:bottom w:val="single" w:sz="4" w:space="0" w:color="B2B3B5" w:themeColor="accent4" w:themeTint="99"/>
            </w:tcBorders>
          </w:tcPr>
          <w:p w14:paraId="2D6EDBD4" w14:textId="4029EAE1" w:rsidR="00821EC5" w:rsidRDefault="00821EC5" w:rsidP="00AE67A0">
            <w:pPr>
              <w:pStyle w:val="Contact"/>
              <w:spacing w:before="240"/>
              <w:rPr>
                <w:rFonts w:eastAsiaTheme="minorHAnsi" w:cstheme="minorBidi"/>
                <w:b w:val="0"/>
                <w:color w:val="002060"/>
                <w:szCs w:val="22"/>
                <w:lang w:eastAsia="en-US"/>
              </w:rPr>
            </w:pPr>
            <w:r w:rsidRPr="00821EC5">
              <w:rPr>
                <w:rFonts w:eastAsiaTheme="minorHAnsi" w:cstheme="minorBidi"/>
                <w:b w:val="0"/>
                <w:color w:val="002060"/>
                <w:szCs w:val="22"/>
                <w:lang w:eastAsia="en-US"/>
              </w:rPr>
              <w:t>The Government notes the recommendation.</w:t>
            </w:r>
          </w:p>
          <w:p w14:paraId="262AED31" w14:textId="36ECDA73" w:rsidR="009B1375" w:rsidRPr="00727226" w:rsidRDefault="009B1375" w:rsidP="009B1375">
            <w:pPr>
              <w:rPr>
                <w:rFonts w:eastAsia="Arial" w:cstheme="minorHAnsi"/>
                <w:color w:val="002060"/>
                <w:szCs w:val="22"/>
              </w:rPr>
            </w:pPr>
            <w:r w:rsidRPr="00727226">
              <w:rPr>
                <w:rFonts w:eastAsia="Arial" w:cstheme="minorHAnsi"/>
                <w:color w:val="002060"/>
                <w:szCs w:val="22"/>
              </w:rPr>
              <w:t>The panel’s proposal for a single national scheme involved a referral of powers by the states. Any referral of powers would require agreement of the states.</w:t>
            </w:r>
          </w:p>
          <w:p w14:paraId="618F026D" w14:textId="77777777" w:rsidR="00AE67A0" w:rsidRPr="00AE67A0" w:rsidRDefault="00AE67A0" w:rsidP="00AE67A0">
            <w:pPr>
              <w:pStyle w:val="Contact"/>
              <w:spacing w:before="240"/>
              <w:rPr>
                <w:rFonts w:eastAsiaTheme="minorHAnsi" w:cstheme="minorBidi"/>
                <w:b w:val="0"/>
                <w:color w:val="002060"/>
                <w:szCs w:val="22"/>
                <w:lang w:eastAsia="en-US"/>
              </w:rPr>
            </w:pPr>
            <w:r w:rsidRPr="00AE67A0">
              <w:rPr>
                <w:rFonts w:eastAsiaTheme="minorHAnsi" w:cstheme="minorBidi"/>
                <w:b w:val="0"/>
                <w:color w:val="002060"/>
                <w:szCs w:val="22"/>
                <w:lang w:eastAsia="en-US"/>
              </w:rPr>
              <w:t xml:space="preserve">In light of this hurdle, the Government will continue to work closely with the states and territories (via relevant cross-jurisdictional fora) to streamline and harmonise charities regulation in three important areas.    </w:t>
            </w:r>
          </w:p>
          <w:p w14:paraId="77292BB3" w14:textId="2B961C2D" w:rsidR="00AE67A0" w:rsidRPr="00AE67A0" w:rsidRDefault="00AE67A0" w:rsidP="00AE67A0">
            <w:pPr>
              <w:pStyle w:val="Contact"/>
              <w:spacing w:before="240"/>
              <w:rPr>
                <w:rFonts w:eastAsiaTheme="minorHAnsi" w:cstheme="minorBidi"/>
                <w:b w:val="0"/>
                <w:color w:val="002060"/>
                <w:szCs w:val="22"/>
                <w:lang w:eastAsia="en-US"/>
              </w:rPr>
            </w:pPr>
            <w:r w:rsidRPr="00AE67A0">
              <w:rPr>
                <w:rFonts w:eastAsiaTheme="minorHAnsi" w:cstheme="minorBidi"/>
                <w:b w:val="0"/>
                <w:color w:val="002060"/>
                <w:szCs w:val="22"/>
                <w:lang w:eastAsia="en-US"/>
              </w:rPr>
              <w:t>First, the ACNC has led a cross-jurisdictional process since 2013 which has succeeded in streamlining reporting requirements for charities which are incorporated associations in New South Wales, Victoria, South Australia, Tasmania, the Australian Capital Territory and the Northern Territory.</w:t>
            </w:r>
            <w:r w:rsidR="00C15F7A">
              <w:rPr>
                <w:rFonts w:eastAsiaTheme="minorHAnsi" w:cstheme="minorBidi"/>
                <w:b w:val="0"/>
                <w:color w:val="002060"/>
                <w:szCs w:val="22"/>
                <w:lang w:eastAsia="en-US"/>
              </w:rPr>
              <w:t xml:space="preserve"> </w:t>
            </w:r>
            <w:r w:rsidRPr="00AE67A0">
              <w:rPr>
                <w:rFonts w:eastAsiaTheme="minorHAnsi" w:cstheme="minorBidi"/>
                <w:b w:val="0"/>
                <w:color w:val="002060"/>
                <w:szCs w:val="22"/>
                <w:lang w:eastAsia="en-US"/>
              </w:rPr>
              <w:t xml:space="preserve">These reforms allow registered charities to report financial and governance information to the ACNC alone. Queensland is </w:t>
            </w:r>
            <w:r w:rsidR="00046B0D">
              <w:rPr>
                <w:rFonts w:eastAsiaTheme="minorHAnsi" w:cstheme="minorBidi"/>
                <w:b w:val="0"/>
                <w:color w:val="002060"/>
                <w:szCs w:val="22"/>
                <w:lang w:eastAsia="en-US"/>
              </w:rPr>
              <w:t>moving towards</w:t>
            </w:r>
            <w:r w:rsidR="00046B0D" w:rsidRPr="00AE67A0">
              <w:rPr>
                <w:rFonts w:eastAsiaTheme="minorHAnsi" w:cstheme="minorBidi"/>
                <w:b w:val="0"/>
                <w:color w:val="002060"/>
                <w:szCs w:val="22"/>
                <w:lang w:eastAsia="en-US"/>
              </w:rPr>
              <w:t xml:space="preserve"> </w:t>
            </w:r>
            <w:r w:rsidRPr="00AE67A0">
              <w:rPr>
                <w:rFonts w:eastAsiaTheme="minorHAnsi" w:cstheme="minorBidi"/>
                <w:b w:val="0"/>
                <w:color w:val="002060"/>
                <w:szCs w:val="22"/>
                <w:lang w:eastAsia="en-US"/>
              </w:rPr>
              <w:t xml:space="preserve">similar reforms. </w:t>
            </w:r>
          </w:p>
          <w:p w14:paraId="68FCE9AE" w14:textId="47EF5BC0" w:rsidR="00AE67A0" w:rsidRPr="00AE67A0" w:rsidRDefault="00AE67A0" w:rsidP="00AE67A0">
            <w:pPr>
              <w:pStyle w:val="Contact"/>
              <w:spacing w:before="240"/>
              <w:rPr>
                <w:rFonts w:eastAsiaTheme="minorHAnsi" w:cstheme="minorBidi"/>
                <w:b w:val="0"/>
                <w:color w:val="002060"/>
                <w:szCs w:val="22"/>
                <w:lang w:eastAsia="en-US"/>
              </w:rPr>
            </w:pPr>
            <w:r w:rsidRPr="00AE67A0">
              <w:rPr>
                <w:rFonts w:eastAsiaTheme="minorHAnsi" w:cstheme="minorBidi"/>
                <w:b w:val="0"/>
                <w:color w:val="002060"/>
                <w:szCs w:val="22"/>
                <w:lang w:eastAsia="en-US"/>
              </w:rPr>
              <w:t xml:space="preserve">Second, </w:t>
            </w:r>
            <w:r w:rsidR="00046B0D">
              <w:rPr>
                <w:rFonts w:eastAsiaTheme="minorHAnsi" w:cstheme="minorBidi"/>
                <w:b w:val="0"/>
                <w:color w:val="002060"/>
                <w:szCs w:val="22"/>
                <w:lang w:eastAsia="en-US"/>
              </w:rPr>
              <w:t>s</w:t>
            </w:r>
            <w:r w:rsidR="00046B0D" w:rsidRPr="00046B0D">
              <w:rPr>
                <w:rFonts w:eastAsiaTheme="minorHAnsi" w:cstheme="minorBidi"/>
                <w:b w:val="0"/>
                <w:color w:val="002060"/>
                <w:szCs w:val="22"/>
                <w:lang w:eastAsia="en-US"/>
              </w:rPr>
              <w:t>tate and territory officials are also working with the ACNC to explore options to further reduce the regulatory burden on the sector. This includes considering possible cross-border recognition arrangements for charitable fundraisers.</w:t>
            </w:r>
          </w:p>
          <w:p w14:paraId="433BB641" w14:textId="1F7A6B63" w:rsidR="00745A8F" w:rsidRPr="00B35FBA" w:rsidRDefault="00AE67A0" w:rsidP="009E42BA">
            <w:pPr>
              <w:pStyle w:val="Contact"/>
              <w:spacing w:before="240"/>
              <w:rPr>
                <w:color w:val="002060"/>
              </w:rPr>
            </w:pPr>
            <w:r w:rsidRPr="00AE67A0">
              <w:rPr>
                <w:rFonts w:eastAsiaTheme="minorHAnsi" w:cstheme="minorBidi"/>
                <w:b w:val="0"/>
                <w:color w:val="002060"/>
                <w:szCs w:val="22"/>
                <w:lang w:eastAsia="en-US"/>
              </w:rPr>
              <w:t xml:space="preserve">Finally, the Government </w:t>
            </w:r>
            <w:r w:rsidR="0008020F">
              <w:rPr>
                <w:rFonts w:eastAsiaTheme="minorHAnsi" w:cstheme="minorBidi"/>
                <w:b w:val="0"/>
                <w:color w:val="002060"/>
                <w:szCs w:val="22"/>
                <w:lang w:eastAsia="en-US"/>
              </w:rPr>
              <w:t>is consulting</w:t>
            </w:r>
            <w:r w:rsidRPr="00AE67A0">
              <w:rPr>
                <w:rFonts w:eastAsiaTheme="minorHAnsi" w:cstheme="minorBidi"/>
                <w:b w:val="0"/>
                <w:color w:val="002060"/>
                <w:szCs w:val="22"/>
                <w:lang w:eastAsia="en-US"/>
              </w:rPr>
              <w:t xml:space="preserve"> with states and territories on the development of a common statutory definition of charity across jurisdictions to replace 45 existing definitions.</w:t>
            </w:r>
            <w:r w:rsidR="00C15F7A">
              <w:rPr>
                <w:rFonts w:eastAsiaTheme="minorHAnsi" w:cstheme="minorBidi"/>
                <w:b w:val="0"/>
                <w:color w:val="002060"/>
                <w:szCs w:val="22"/>
                <w:lang w:eastAsia="en-US"/>
              </w:rPr>
              <w:t xml:space="preserve"> </w:t>
            </w:r>
            <w:r w:rsidRPr="00AE67A0">
              <w:rPr>
                <w:rFonts w:eastAsiaTheme="minorHAnsi" w:cstheme="minorBidi"/>
                <w:b w:val="0"/>
                <w:color w:val="002060"/>
                <w:szCs w:val="22"/>
                <w:lang w:eastAsia="en-US"/>
              </w:rPr>
              <w:t>This will reduce complexity and regulatory burden for charities when seeking tax concessions</w:t>
            </w:r>
            <w:r w:rsidR="0008020F">
              <w:rPr>
                <w:rFonts w:eastAsiaTheme="minorHAnsi" w:cstheme="minorBidi"/>
                <w:b w:val="0"/>
                <w:color w:val="002060"/>
                <w:szCs w:val="22"/>
                <w:lang w:eastAsia="en-US"/>
              </w:rPr>
              <w:t>.</w:t>
            </w:r>
          </w:p>
        </w:tc>
      </w:tr>
      <w:tr w:rsidR="002918F9" w:rsidRPr="00BC232B" w14:paraId="3AAF5D6A" w14:textId="77777777" w:rsidTr="00C804E1">
        <w:trPr>
          <w:cantSplit/>
        </w:trPr>
        <w:tc>
          <w:tcPr>
            <w:tcW w:w="5353" w:type="dxa"/>
            <w:tcBorders>
              <w:top w:val="single" w:sz="4" w:space="0" w:color="B2B3B5" w:themeColor="accent4" w:themeTint="99"/>
            </w:tcBorders>
            <w:shd w:val="clear" w:color="auto" w:fill="D6EBF4" w:themeFill="accent5" w:themeFillTint="66"/>
          </w:tcPr>
          <w:p w14:paraId="6620B864" w14:textId="16E6CE7B" w:rsidR="002918F9" w:rsidRPr="00BC232B" w:rsidRDefault="002918F9" w:rsidP="0039292C">
            <w:pPr>
              <w:keepNext/>
              <w:rPr>
                <w:b/>
                <w:i/>
                <w:color w:val="002060"/>
              </w:rPr>
            </w:pPr>
            <w:r w:rsidRPr="009632F2">
              <w:rPr>
                <w:b/>
                <w:i/>
                <w:color w:val="002060"/>
              </w:rPr>
              <w:lastRenderedPageBreak/>
              <w:t>Part D – Additional Amendments</w:t>
            </w:r>
          </w:p>
        </w:tc>
        <w:tc>
          <w:tcPr>
            <w:tcW w:w="8930" w:type="dxa"/>
            <w:tcBorders>
              <w:top w:val="single" w:sz="4" w:space="0" w:color="B2B3B5" w:themeColor="accent4" w:themeTint="99"/>
            </w:tcBorders>
            <w:shd w:val="clear" w:color="auto" w:fill="D6EBF4" w:themeFill="accent5" w:themeFillTint="66"/>
          </w:tcPr>
          <w:p w14:paraId="104ED0DD" w14:textId="27C75203" w:rsidR="002918F9" w:rsidRPr="00B35FBA" w:rsidRDefault="002918F9" w:rsidP="002918F9">
            <w:pPr>
              <w:keepNext/>
              <w:spacing w:before="240"/>
              <w:rPr>
                <w:i/>
                <w:color w:val="002060"/>
              </w:rPr>
            </w:pPr>
          </w:p>
        </w:tc>
      </w:tr>
      <w:tr w:rsidR="002918F9" w14:paraId="2B7FBD51" w14:textId="77777777" w:rsidTr="0039292C">
        <w:trPr>
          <w:cantSplit/>
        </w:trPr>
        <w:tc>
          <w:tcPr>
            <w:tcW w:w="5353" w:type="dxa"/>
            <w:tcBorders>
              <w:bottom w:val="single" w:sz="4" w:space="0" w:color="B2B3B5" w:themeColor="accent4" w:themeTint="99"/>
            </w:tcBorders>
          </w:tcPr>
          <w:p w14:paraId="19EFFAFE" w14:textId="5E0B5AD3" w:rsidR="002918F9" w:rsidRDefault="002918F9" w:rsidP="0039292C">
            <w:pPr>
              <w:pStyle w:val="RecommendationHeading"/>
              <w:keepNext/>
            </w:pPr>
            <w:r>
              <w:t xml:space="preserve">29. Review the interface between the ACNC Act and the </w:t>
            </w:r>
            <w:r w:rsidRPr="00612EDA">
              <w:t>Corporations Act</w:t>
            </w:r>
            <w:r>
              <w:t xml:space="preserve"> and consider the additional amendments set out in Appendix B [of the </w:t>
            </w:r>
            <w:r w:rsidR="00B35FBA">
              <w:t>final report</w:t>
            </w:r>
            <w:r>
              <w:t>].</w:t>
            </w:r>
          </w:p>
          <w:p w14:paraId="65FDFDC7" w14:textId="2A6D8A93" w:rsidR="002918F9" w:rsidRPr="00A57D9C" w:rsidRDefault="002918F9" w:rsidP="00A57D9C">
            <w:pPr>
              <w:pStyle w:val="Contact"/>
              <w:rPr>
                <w:rFonts w:eastAsiaTheme="minorHAnsi" w:cstheme="minorBidi"/>
                <w:b w:val="0"/>
                <w:szCs w:val="22"/>
                <w:lang w:eastAsia="en-US"/>
              </w:rPr>
            </w:pPr>
            <w:r w:rsidRPr="00236DFE">
              <w:rPr>
                <w:rFonts w:eastAsiaTheme="minorHAnsi" w:cstheme="minorBidi"/>
                <w:b w:val="0"/>
                <w:szCs w:val="22"/>
                <w:lang w:eastAsia="en-US"/>
              </w:rPr>
              <w:t xml:space="preserve">The panel has suggested a number of technical amendments to resolve </w:t>
            </w:r>
            <w:r>
              <w:rPr>
                <w:rFonts w:eastAsiaTheme="minorHAnsi" w:cstheme="minorBidi"/>
                <w:b w:val="0"/>
                <w:szCs w:val="22"/>
                <w:lang w:eastAsia="en-US"/>
              </w:rPr>
              <w:t>certain</w:t>
            </w:r>
            <w:r w:rsidRPr="00236DFE">
              <w:rPr>
                <w:rFonts w:eastAsiaTheme="minorHAnsi" w:cstheme="minorBidi"/>
                <w:b w:val="0"/>
                <w:szCs w:val="22"/>
                <w:lang w:eastAsia="en-US"/>
              </w:rPr>
              <w:t xml:space="preserve"> interactions between the ACNC Act and </w:t>
            </w:r>
            <w:r w:rsidRPr="00612EDA">
              <w:rPr>
                <w:rFonts w:eastAsiaTheme="minorHAnsi"/>
                <w:b w:val="0"/>
              </w:rPr>
              <w:t>Corporations Act</w:t>
            </w:r>
            <w:r w:rsidRPr="00236DFE">
              <w:rPr>
                <w:rFonts w:eastAsiaTheme="minorHAnsi" w:cstheme="minorBidi"/>
                <w:b w:val="0"/>
                <w:szCs w:val="22"/>
                <w:lang w:eastAsia="en-US"/>
              </w:rPr>
              <w:t>. This recommendation is aimed at improving administration and simplifying the application of legislation.</w:t>
            </w:r>
          </w:p>
        </w:tc>
        <w:tc>
          <w:tcPr>
            <w:tcW w:w="8930" w:type="dxa"/>
            <w:tcBorders>
              <w:bottom w:val="single" w:sz="4" w:space="0" w:color="B2B3B5" w:themeColor="accent4" w:themeTint="99"/>
            </w:tcBorders>
          </w:tcPr>
          <w:p w14:paraId="5BFD9D13" w14:textId="5D404869" w:rsidR="00B67201" w:rsidRPr="00B35FBA" w:rsidRDefault="00FD0838" w:rsidP="00B67201">
            <w:pPr>
              <w:keepNext/>
              <w:spacing w:before="240"/>
              <w:rPr>
                <w:color w:val="002060"/>
              </w:rPr>
            </w:pPr>
            <w:r w:rsidRPr="00FD0838">
              <w:rPr>
                <w:color w:val="002060"/>
              </w:rPr>
              <w:t>The Government supports in principle removing any ambiguity in the interactions between the ACNC Act and Corporations Act.</w:t>
            </w:r>
            <w:r w:rsidR="00C15F7A">
              <w:rPr>
                <w:color w:val="002060"/>
              </w:rPr>
              <w:t xml:space="preserve"> </w:t>
            </w:r>
            <w:r w:rsidRPr="00FD0838">
              <w:rPr>
                <w:color w:val="002060"/>
              </w:rPr>
              <w:t>However, the priority now is to implement reforms in response to the panel’s other recommendations before considering further reforms.</w:t>
            </w:r>
          </w:p>
        </w:tc>
      </w:tr>
      <w:tr w:rsidR="002918F9" w14:paraId="31FB9A86" w14:textId="77777777" w:rsidTr="009632F2">
        <w:trPr>
          <w:cantSplit/>
        </w:trPr>
        <w:tc>
          <w:tcPr>
            <w:tcW w:w="5353" w:type="dxa"/>
            <w:tcBorders>
              <w:top w:val="single" w:sz="4" w:space="0" w:color="B2B3B5" w:themeColor="accent4" w:themeTint="99"/>
              <w:bottom w:val="single" w:sz="4" w:space="0" w:color="B2B3B5" w:themeColor="accent4" w:themeTint="99"/>
            </w:tcBorders>
          </w:tcPr>
          <w:p w14:paraId="656468AD" w14:textId="77777777" w:rsidR="002918F9" w:rsidRDefault="002918F9" w:rsidP="0039292C">
            <w:pPr>
              <w:pStyle w:val="RecommendationHeading"/>
              <w:keepNext/>
            </w:pPr>
            <w:r>
              <w:t>30. The ACNC Acts should be consolidated and there should be ongoing five year reviews.</w:t>
            </w:r>
          </w:p>
          <w:p w14:paraId="0F10D1BB" w14:textId="43D39BDF" w:rsidR="002918F9" w:rsidRPr="001F4C64" w:rsidRDefault="002918F9" w:rsidP="007F0F39">
            <w:r w:rsidRPr="00236DFE">
              <w:t>The panel found that it would</w:t>
            </w:r>
            <w:r>
              <w:t xml:space="preserve"> be</w:t>
            </w:r>
            <w:r w:rsidRPr="00236DFE">
              <w:t xml:space="preserve"> preferable for all regulatory provisions applying to the sector to be contained in one Act. The panel also found there should be ongoing reviews because the s</w:t>
            </w:r>
            <w:r w:rsidR="007F0F39">
              <w:t>ector is dynamic and evolving.</w:t>
            </w:r>
          </w:p>
        </w:tc>
        <w:tc>
          <w:tcPr>
            <w:tcW w:w="8930" w:type="dxa"/>
            <w:tcBorders>
              <w:top w:val="single" w:sz="4" w:space="0" w:color="B2B3B5" w:themeColor="accent4" w:themeTint="99"/>
              <w:bottom w:val="single" w:sz="4" w:space="0" w:color="B2B3B5" w:themeColor="accent4" w:themeTint="99"/>
            </w:tcBorders>
          </w:tcPr>
          <w:p w14:paraId="068E449D" w14:textId="77777777" w:rsidR="002918F9" w:rsidRDefault="002918F9" w:rsidP="002918F9">
            <w:pPr>
              <w:keepNext/>
              <w:spacing w:before="240"/>
              <w:rPr>
                <w:color w:val="002060"/>
              </w:rPr>
            </w:pPr>
            <w:r w:rsidRPr="00B35FBA">
              <w:rPr>
                <w:color w:val="002060"/>
              </w:rPr>
              <w:t xml:space="preserve">The Government </w:t>
            </w:r>
            <w:r w:rsidRPr="00B0729A">
              <w:rPr>
                <w:color w:val="002060"/>
              </w:rPr>
              <w:t>does not support</w:t>
            </w:r>
            <w:r w:rsidRPr="00B35FBA">
              <w:rPr>
                <w:color w:val="002060"/>
              </w:rPr>
              <w:t xml:space="preserve"> the recommendation.</w:t>
            </w:r>
          </w:p>
          <w:p w14:paraId="1E9E71E5" w14:textId="7C1962F3" w:rsidR="00B0729A" w:rsidRDefault="00B0729A" w:rsidP="002918F9">
            <w:pPr>
              <w:keepNext/>
              <w:spacing w:before="240"/>
              <w:rPr>
                <w:color w:val="002060"/>
              </w:rPr>
            </w:pPr>
            <w:r>
              <w:rPr>
                <w:color w:val="002060"/>
              </w:rPr>
              <w:t>There is no evidence that the ACNC legislation in its cur</w:t>
            </w:r>
            <w:r w:rsidR="00FA0F8B">
              <w:rPr>
                <w:color w:val="002060"/>
              </w:rPr>
              <w:t>rent form is causing problems for the charity sector.</w:t>
            </w:r>
          </w:p>
          <w:p w14:paraId="134AA729" w14:textId="4373F61D" w:rsidR="002918F9" w:rsidRPr="00B35FBA" w:rsidRDefault="00B0729A" w:rsidP="002918F9">
            <w:pPr>
              <w:keepNext/>
              <w:spacing w:before="240"/>
              <w:rPr>
                <w:color w:val="002060"/>
              </w:rPr>
            </w:pPr>
            <w:r w:rsidRPr="00B0729A">
              <w:rPr>
                <w:color w:val="002060"/>
              </w:rPr>
              <w:t>If a review of the sector is warranted in future years, this should be a matte</w:t>
            </w:r>
            <w:r>
              <w:rPr>
                <w:color w:val="002060"/>
              </w:rPr>
              <w:t>r for the government of the day.</w:t>
            </w:r>
          </w:p>
        </w:tc>
      </w:tr>
    </w:tbl>
    <w:p w14:paraId="62ADD1C6" w14:textId="77777777" w:rsidR="002B09B7" w:rsidRPr="002B09B7" w:rsidRDefault="002B09B7" w:rsidP="002B09B7"/>
    <w:sectPr w:rsidR="002B09B7" w:rsidRPr="002B09B7" w:rsidSect="00EB457C">
      <w:headerReference w:type="even" r:id="rId38"/>
      <w:headerReference w:type="default" r:id="rId39"/>
      <w:pgSz w:w="16838" w:h="11906" w:orient="landscape" w:code="9"/>
      <w:pgMar w:top="141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B849" w14:textId="77777777" w:rsidR="00CF24FE" w:rsidRDefault="00CF24FE">
      <w:pPr>
        <w:spacing w:after="0"/>
      </w:pPr>
      <w:r>
        <w:separator/>
      </w:r>
    </w:p>
  </w:endnote>
  <w:endnote w:type="continuationSeparator" w:id="0">
    <w:p w14:paraId="18EB6BDC" w14:textId="77777777" w:rsidR="00CF24FE" w:rsidRDefault="00CF24FE">
      <w:pPr>
        <w:spacing w:after="0"/>
      </w:pPr>
      <w:r>
        <w:continuationSeparator/>
      </w:r>
    </w:p>
  </w:endnote>
  <w:endnote w:type="continuationNotice" w:id="1">
    <w:p w14:paraId="786C3FE2" w14:textId="77777777" w:rsidR="00CF24FE" w:rsidRDefault="00CF24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DB4E" w14:textId="41401C98" w:rsidR="00CF24FE" w:rsidRDefault="00CF24FE" w:rsidP="003C24B4">
    <w:pPr>
      <w:pStyle w:val="FooterEven"/>
    </w:pPr>
    <w:r>
      <w:rPr>
        <w:noProof w:val="0"/>
      </w:rPr>
      <w:fldChar w:fldCharType="begin"/>
    </w:r>
    <w:r>
      <w:instrText xml:space="preserve"> PAGE   \* MERGEFORMAT </w:instrText>
    </w:r>
    <w:r>
      <w:rPr>
        <w:noProof w:val="0"/>
      </w:rP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C336" w14:textId="0F4CE017" w:rsidR="00CF24FE" w:rsidRDefault="00CF24FE" w:rsidP="00316319">
    <w:pPr>
      <w:pStyle w:val="FooterOdd"/>
      <w:rPr>
        <w:noProof/>
        <w:color w:val="FFFFFF" w:themeColor="background1"/>
      </w:rPr>
    </w:pPr>
    <w:r w:rsidRPr="00354CA7">
      <w:rPr>
        <w:color w:val="FFFFFF" w:themeColor="background1"/>
      </w:rPr>
      <w:fldChar w:fldCharType="begin"/>
    </w:r>
    <w:r w:rsidRPr="00354CA7">
      <w:rPr>
        <w:color w:val="FFFFFF" w:themeColor="background1"/>
      </w:rPr>
      <w:instrText xml:space="preserve"> PAGE   \* MERGEFORMAT </w:instrText>
    </w:r>
    <w:r w:rsidRPr="00354CA7">
      <w:rPr>
        <w:color w:val="FFFFFF" w:themeColor="background1"/>
      </w:rPr>
      <w:fldChar w:fldCharType="separate"/>
    </w:r>
    <w:r w:rsidR="00A75538">
      <w:rPr>
        <w:noProof/>
        <w:color w:val="FFFFFF" w:themeColor="background1"/>
      </w:rPr>
      <w:t>4</w:t>
    </w:r>
    <w:r w:rsidRPr="00354CA7">
      <w:rPr>
        <w:noProof/>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DB1B" w14:textId="6DF337B7" w:rsidR="00CF24FE" w:rsidRDefault="00CF24FE" w:rsidP="00EE1447">
    <w:pPr>
      <w:pStyle w:val="FooterEven"/>
      <w:rPr>
        <w:color w:val="FFFFFF" w:themeColor="background1"/>
      </w:rPr>
    </w:pPr>
    <w:r w:rsidRPr="00354CA7">
      <w:rPr>
        <w:color w:val="FFFFFF" w:themeColor="background1"/>
      </w:rPr>
      <w:fldChar w:fldCharType="begin"/>
    </w:r>
    <w:r w:rsidRPr="00354CA7">
      <w:rPr>
        <w:color w:val="FFFFFF" w:themeColor="background1"/>
      </w:rPr>
      <w:instrText xml:space="preserve"> PAGE  \* Arabic  \* MERGEFORMAT </w:instrText>
    </w:r>
    <w:r w:rsidRPr="00354CA7">
      <w:rPr>
        <w:color w:val="FFFFFF" w:themeColor="background1"/>
      </w:rPr>
      <w:fldChar w:fldCharType="separate"/>
    </w:r>
    <w:r>
      <w:rPr>
        <w:color w:val="FFFFFF" w:themeColor="background1"/>
      </w:rPr>
      <w:t>4</w:t>
    </w:r>
    <w:r w:rsidRPr="00354CA7">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8BF4" w14:textId="2A51F422" w:rsidR="00CF24FE" w:rsidRPr="002F71E6" w:rsidRDefault="00CF24FE" w:rsidP="002F7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68FB" w14:textId="7DF1EC01" w:rsidR="00CF24FE" w:rsidRDefault="00CF24FE" w:rsidP="00EE1447">
    <w:pPr>
      <w:pStyle w:val="FooterEven"/>
    </w:pPr>
    <w:r>
      <w:fldChar w:fldCharType="begin"/>
    </w:r>
    <w:r>
      <w:instrText xml:space="preserve"> PAGE  \* Arabic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6D68" w14:textId="2311A4D1" w:rsidR="00CF24FE" w:rsidRDefault="00CF24FE" w:rsidP="006C5B73">
    <w:pPr>
      <w:pStyle w:val="FooterOdd"/>
      <w:rPr>
        <w:noProof/>
      </w:rPr>
    </w:pPr>
    <w:r>
      <w:fldChar w:fldCharType="begin"/>
    </w:r>
    <w:r>
      <w:instrText xml:space="preserve"> PAGE   \* MERGEFORMAT </w:instrText>
    </w:r>
    <w:r>
      <w:fldChar w:fldCharType="separate"/>
    </w:r>
    <w:r w:rsidR="00A75538">
      <w:rPr>
        <w:noProof/>
      </w:rPr>
      <w:t>21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9998" w14:textId="52E470D1" w:rsidR="00CF24FE" w:rsidRPr="002F71E6" w:rsidRDefault="00CF24FE" w:rsidP="002F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DA33" w14:textId="77777777" w:rsidR="00CF24FE" w:rsidRDefault="00CF24FE">
      <w:pPr>
        <w:spacing w:after="0"/>
      </w:pPr>
      <w:r>
        <w:separator/>
      </w:r>
    </w:p>
  </w:footnote>
  <w:footnote w:type="continuationSeparator" w:id="0">
    <w:p w14:paraId="440CD2A6" w14:textId="77777777" w:rsidR="00CF24FE" w:rsidRDefault="00CF24FE">
      <w:pPr>
        <w:spacing w:after="0"/>
      </w:pPr>
      <w:r>
        <w:continuationSeparator/>
      </w:r>
    </w:p>
  </w:footnote>
  <w:footnote w:type="continuationNotice" w:id="1">
    <w:p w14:paraId="22B7A58D" w14:textId="77777777" w:rsidR="00CF24FE" w:rsidRDefault="00CF24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6930" w14:textId="35FD93AA" w:rsidR="00CF24FE" w:rsidRDefault="00CF24FE" w:rsidP="00D8620B">
    <w:pPr>
      <w:pStyle w:val="Header"/>
      <w:spacing w:before="1080"/>
    </w:pPr>
    <w:r>
      <w:rPr>
        <w:noProof/>
        <w:lang w:eastAsia="en-AU"/>
      </w:rPr>
      <w:drawing>
        <wp:inline distT="0" distB="0" distL="0" distR="0" wp14:anchorId="19A21CF6" wp14:editId="7B3DB7BF">
          <wp:extent cx="2203708" cy="53644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3708" cy="536449"/>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1228" w14:textId="3D6CB3A8" w:rsidR="00CF24FE" w:rsidRPr="001F3912" w:rsidRDefault="0017286F" w:rsidP="00316319">
    <w:pPr>
      <w:pStyle w:val="HeaderEven"/>
    </w:pPr>
    <w:fldSimple w:instr=" STYLEREF  &quot;Title&quot;  \* MERGEFORMAT ">
      <w:r w:rsidR="00A75538">
        <w:rPr>
          <w:noProof/>
        </w:rPr>
        <w:t>Government Response to the Australian Charities and Not-for-profits Commission Legislation Review 2018</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607F" w14:textId="361343DE" w:rsidR="00CF24FE" w:rsidRPr="001F3912" w:rsidRDefault="00CF24FE" w:rsidP="00A12F62">
    <w:pPr>
      <w:pStyle w:val="HeaderEven"/>
    </w:pPr>
    <w:r>
      <w:rPr>
        <w:noProof/>
        <w:lang w:eastAsia="en-AU"/>
      </w:rPr>
      <mc:AlternateContent>
        <mc:Choice Requires="wps">
          <w:drawing>
            <wp:anchor distT="0" distB="0" distL="114300" distR="114300" simplePos="0" relativeHeight="251658243" behindDoc="1" locked="0" layoutInCell="1" allowOverlap="1" wp14:anchorId="7C6FE1A8" wp14:editId="12A4A660">
              <wp:simplePos x="0" y="0"/>
              <wp:positionH relativeFrom="page">
                <wp:align>center</wp:align>
              </wp:positionH>
              <wp:positionV relativeFrom="page">
                <wp:posOffset>3096260</wp:posOffset>
              </wp:positionV>
              <wp:extent cx="7200000" cy="7382933"/>
              <wp:effectExtent l="0" t="0" r="1270" b="8890"/>
              <wp:wrapNone/>
              <wp:docPr id="7" name="Rectangle 7"/>
              <wp:cNvGraphicFramePr/>
              <a:graphic xmlns:a="http://schemas.openxmlformats.org/drawingml/2006/main">
                <a:graphicData uri="http://schemas.microsoft.com/office/word/2010/wordprocessingShape">
                  <wps:wsp>
                    <wps:cNvSpPr/>
                    <wps:spPr>
                      <a:xfrm>
                        <a:off x="0" y="0"/>
                        <a:ext cx="7200000" cy="7382933"/>
                      </a:xfrm>
                      <a:prstGeom prst="rect">
                        <a:avLst/>
                      </a:prstGeom>
                      <a:solidFill>
                        <a:schemeClr val="accent3">
                          <a:lumMod val="90000"/>
                          <a:lumOff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104A" id="Rectangle 7" o:spid="_x0000_s1026" style="position:absolute;margin-left:0;margin-top:243.8pt;width:566.95pt;height:581.3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" fillcolor="#004b7b [2902]" stroked="f" strokeweight="2pt">
              <w10:wrap anchorx="page" anchory="page"/>
            </v:rect>
          </w:pict>
        </mc:Fallback>
      </mc:AlternateContent>
    </w:r>
    <w:fldSimple w:instr=" STYLEREF  &quot;Title&quot;  \* MERGEFORMAT ">
      <w:r>
        <w:rPr>
          <w:noProof/>
        </w:rPr>
        <w:t>Government Response to the Australian Charities and Not-for-profits Commission Legislation Review 2018</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4DCDB" w14:textId="2C97595C" w:rsidR="00CF24FE" w:rsidRPr="002F71E6" w:rsidRDefault="00CF24FE" w:rsidP="002F71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2634" w14:textId="71D8A555" w:rsidR="00CF24FE" w:rsidRPr="002F71E6" w:rsidRDefault="00CF24FE" w:rsidP="002F71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467B" w14:textId="3D394656" w:rsidR="00CF24FE" w:rsidRPr="001F3912" w:rsidRDefault="00CF24FE" w:rsidP="00316319">
    <w:pPr>
      <w:pStyle w:val="HeaderEven"/>
    </w:pPr>
    <w:r>
      <w:rPr>
        <w:noProof/>
        <w:lang w:eastAsia="en-AU"/>
      </w:rPr>
      <mc:AlternateContent>
        <mc:Choice Requires="wps">
          <w:drawing>
            <wp:anchor distT="0" distB="0" distL="114300" distR="114300" simplePos="0" relativeHeight="251658240" behindDoc="1" locked="0" layoutInCell="1" allowOverlap="1" wp14:anchorId="0CC09FEF" wp14:editId="3E2FB070">
              <wp:simplePos x="0" y="0"/>
              <wp:positionH relativeFrom="page">
                <wp:align>center</wp:align>
              </wp:positionH>
              <wp:positionV relativeFrom="page">
                <wp:posOffset>3096260</wp:posOffset>
              </wp:positionV>
              <wp:extent cx="7199630" cy="7396843"/>
              <wp:effectExtent l="0" t="0" r="1270" b="0"/>
              <wp:wrapNone/>
              <wp:docPr id="1" name="Rectangle 1"/>
              <wp:cNvGraphicFramePr/>
              <a:graphic xmlns:a="http://schemas.openxmlformats.org/drawingml/2006/main">
                <a:graphicData uri="http://schemas.microsoft.com/office/word/2010/wordprocessingShape">
                  <wps:wsp>
                    <wps:cNvSpPr/>
                    <wps:spPr>
                      <a:xfrm>
                        <a:off x="0" y="0"/>
                        <a:ext cx="7199630" cy="7396843"/>
                      </a:xfrm>
                      <a:prstGeom prst="rect">
                        <a:avLst/>
                      </a:prstGeom>
                      <a:solidFill>
                        <a:schemeClr val="accent3">
                          <a:lumMod val="90000"/>
                          <a:lumOff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6D10" id="Rectangle 1" o:spid="_x0000_s1026" style="position:absolute;margin-left:0;margin-top:243.8pt;width:566.9pt;height:582.4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" fillcolor="#004b7b [2902]" stroked="f" strokeweight="2pt">
              <w10:wrap anchorx="page" anchory="page"/>
            </v:rect>
          </w:pict>
        </mc:Fallback>
      </mc:AlternateContent>
    </w:r>
    <w:fldSimple w:instr=" STYLEREF  &quot;Title&quot;  \* MERGEFORMAT ">
      <w:r w:rsidR="00A75538">
        <w:rPr>
          <w:noProof/>
        </w:rPr>
        <w:t>Government Response to the Australian Charities and Not-for-profits Commission Legislation Review 2018</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4173" w14:textId="79F9CD1B" w:rsidR="00CF24FE" w:rsidRPr="001F3912" w:rsidRDefault="0017286F" w:rsidP="00A12F62">
    <w:pPr>
      <w:pStyle w:val="HeaderEven"/>
    </w:pPr>
    <w:fldSimple w:instr=" STYLEREF  Title  \* MERGEFORMAT ">
      <w:r w:rsidR="00CF24FE">
        <w:rPr>
          <w:noProof/>
        </w:rPr>
        <w:t>Government Response to the Australian Charities and Not-for-profits Commission Legislation Review 2018</w:t>
      </w:r>
    </w:fldSimple>
    <w:r w:rsidR="00CF24FE">
      <w:rPr>
        <w:noProof/>
        <w:lang w:eastAsia="en-AU"/>
      </w:rPr>
      <mc:AlternateContent>
        <mc:Choice Requires="wps">
          <w:drawing>
            <wp:anchor distT="0" distB="0" distL="114300" distR="114300" simplePos="0" relativeHeight="251658241" behindDoc="1" locked="0" layoutInCell="1" allowOverlap="1" wp14:anchorId="4C79A3ED" wp14:editId="2B9F605B">
              <wp:simplePos x="0" y="0"/>
              <wp:positionH relativeFrom="page">
                <wp:align>center</wp:align>
              </wp:positionH>
              <wp:positionV relativeFrom="page">
                <wp:align>center</wp:align>
              </wp:positionV>
              <wp:extent cx="7199640" cy="10331640"/>
              <wp:effectExtent l="0" t="0" r="1270" b="0"/>
              <wp:wrapNone/>
              <wp:docPr id="5" name="Rectangle 5"/>
              <wp:cNvGraphicFramePr/>
              <a:graphic xmlns:a="http://schemas.openxmlformats.org/drawingml/2006/main">
                <a:graphicData uri="http://schemas.microsoft.com/office/word/2010/wordprocessingShape">
                  <wps:wsp>
                    <wps:cNvSpPr/>
                    <wps:spPr>
                      <a:xfrm>
                        <a:off x="0" y="0"/>
                        <a:ext cx="7199640" cy="1033164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652CE" id="Rectangle 5" o:spid="_x0000_s1026" style="position:absolute;margin-left:0;margin-top:0;width:566.9pt;height:813.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" fillcolor="#eaf5f9 [664]" stroked="f" strokeweight="2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FE99" w14:textId="2C09239F" w:rsidR="00CF24FE" w:rsidRPr="001F3912" w:rsidRDefault="00CF24FE" w:rsidP="00316319">
    <w:pPr>
      <w:pStyle w:val="HeaderEven"/>
    </w:pPr>
    <w:r>
      <w:rPr>
        <w:noProof/>
        <w:lang w:eastAsia="en-AU"/>
      </w:rPr>
      <mc:AlternateContent>
        <mc:Choice Requires="wps">
          <w:drawing>
            <wp:anchor distT="0" distB="0" distL="114300" distR="114300" simplePos="0" relativeHeight="251658242" behindDoc="1" locked="0" layoutInCell="1" allowOverlap="1" wp14:anchorId="2361FF62" wp14:editId="73149845">
              <wp:simplePos x="0" y="0"/>
              <wp:positionH relativeFrom="page">
                <wp:align>center</wp:align>
              </wp:positionH>
              <wp:positionV relativeFrom="page">
                <wp:align>center</wp:align>
              </wp:positionV>
              <wp:extent cx="7200000" cy="10332000"/>
              <wp:effectExtent l="0" t="0" r="1270" b="0"/>
              <wp:wrapNone/>
              <wp:docPr id="6" name="Rectangle 6"/>
              <wp:cNvGraphicFramePr/>
              <a:graphic xmlns:a="http://schemas.openxmlformats.org/drawingml/2006/main">
                <a:graphicData uri="http://schemas.microsoft.com/office/word/2010/wordprocessingShape">
                  <wps:wsp>
                    <wps:cNvSpPr/>
                    <wps:spPr>
                      <a:xfrm>
                        <a:off x="0" y="0"/>
                        <a:ext cx="7200000" cy="103320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F3E80" id="Rectangle 6" o:spid="_x0000_s1026" style="position:absolute;margin-left:0;margin-top:0;width:566.95pt;height:813.5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" fillcolor="#eaf5f9 [664]" stroked="f" strokeweight="2pt">
              <w10:wrap anchorx="page" anchory="page"/>
            </v:rect>
          </w:pict>
        </mc:Fallback>
      </mc:AlternateContent>
    </w:r>
    <w:fldSimple w:instr=" STYLEREF  &quot;Title&quot;  \* MERGEFORMAT ">
      <w:r w:rsidR="00A75538">
        <w:rPr>
          <w:noProof/>
        </w:rPr>
        <w:t>Government Response to the Australian Charities and Not-for-profits Commission Legislation Review 2018</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ADA2" w14:textId="0192B7A9" w:rsidR="00CF24FE" w:rsidRPr="002F71E6" w:rsidRDefault="00CF24FE" w:rsidP="002F71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F7DF" w14:textId="77777777" w:rsidR="00CF24FE" w:rsidRDefault="00CF24FE" w:rsidP="002F71E6">
    <w:pPr>
      <w:pStyle w:val="SecurityClassificationHeader"/>
    </w:pPr>
  </w:p>
  <w:p w14:paraId="3CBE0E71" w14:textId="1EF7EE0C" w:rsidR="00CF24FE" w:rsidRPr="001F3912" w:rsidRDefault="0017286F" w:rsidP="00A12F62">
    <w:pPr>
      <w:pStyle w:val="HeaderEven"/>
    </w:pPr>
    <w:fldSimple w:instr=" STYLEREF  Title  \* MERGEFORMAT ">
      <w:r w:rsidR="00CF24FE">
        <w:rPr>
          <w:noProof/>
        </w:rPr>
        <w:t>Government Response to the Australian Charities and Not-for-profits Commission Legislation Review 2018</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8A7F6C"/>
    <w:multiLevelType w:val="multilevel"/>
    <w:tmpl w:val="C8D0919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9A36A5"/>
    <w:multiLevelType w:val="multilevel"/>
    <w:tmpl w:val="8DA2085A"/>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400FCF"/>
    <w:multiLevelType w:val="hybridMultilevel"/>
    <w:tmpl w:val="B470CAF8"/>
    <w:lvl w:ilvl="0" w:tplc="0226D3E4">
      <w:start w:val="1"/>
      <w:numFmt w:val="decimal"/>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87B0D"/>
    <w:multiLevelType w:val="multilevel"/>
    <w:tmpl w:val="B4DCF2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72F8140E"/>
    <w:numStyleLink w:val="OutlineList"/>
  </w:abstractNum>
  <w:abstractNum w:abstractNumId="17"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4534A8"/>
    <w:multiLevelType w:val="hybridMultilevel"/>
    <w:tmpl w:val="AD4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0"/>
  </w:num>
  <w:num w:numId="4">
    <w:abstractNumId w:val="2"/>
  </w:num>
  <w:num w:numId="5">
    <w:abstractNumId w:val="3"/>
  </w:num>
  <w:num w:numId="6">
    <w:abstractNumId w:val="16"/>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7"/>
  </w:num>
  <w:num w:numId="11">
    <w:abstractNumId w:val="21"/>
  </w:num>
  <w:num w:numId="12">
    <w:abstractNumId w:val="16"/>
  </w:num>
  <w:num w:numId="13">
    <w:abstractNumId w:val="22"/>
  </w:num>
  <w:num w:numId="14">
    <w:abstractNumId w:val="15"/>
  </w:num>
  <w:num w:numId="15">
    <w:abstractNumId w:val="6"/>
  </w:num>
  <w:num w:numId="16">
    <w:abstractNumId w:val="18"/>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num>
  <w:num w:numId="21">
    <w:abstractNumId w:val="17"/>
  </w:num>
  <w:num w:numId="22">
    <w:abstractNumId w:val="8"/>
  </w:num>
  <w:num w:numId="23">
    <w:abstractNumId w:val="14"/>
  </w:num>
  <w:num w:numId="24">
    <w:abstractNumId w:val="12"/>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linkStyles/>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C488E"/>
    <w:rsid w:val="000052E6"/>
    <w:rsid w:val="00006609"/>
    <w:rsid w:val="00010BCC"/>
    <w:rsid w:val="00011725"/>
    <w:rsid w:val="00012C62"/>
    <w:rsid w:val="000138B5"/>
    <w:rsid w:val="000153BA"/>
    <w:rsid w:val="00021ECE"/>
    <w:rsid w:val="00022440"/>
    <w:rsid w:val="000242D6"/>
    <w:rsid w:val="00024ECD"/>
    <w:rsid w:val="0002544D"/>
    <w:rsid w:val="00036617"/>
    <w:rsid w:val="0004274D"/>
    <w:rsid w:val="00043348"/>
    <w:rsid w:val="00043EDA"/>
    <w:rsid w:val="0004483F"/>
    <w:rsid w:val="00044C63"/>
    <w:rsid w:val="00046672"/>
    <w:rsid w:val="00046B0D"/>
    <w:rsid w:val="00047C72"/>
    <w:rsid w:val="0005138B"/>
    <w:rsid w:val="000522B7"/>
    <w:rsid w:val="00056880"/>
    <w:rsid w:val="00057304"/>
    <w:rsid w:val="000629F2"/>
    <w:rsid w:val="000675D1"/>
    <w:rsid w:val="00073521"/>
    <w:rsid w:val="000749A6"/>
    <w:rsid w:val="000775DE"/>
    <w:rsid w:val="0008020F"/>
    <w:rsid w:val="0008640A"/>
    <w:rsid w:val="00087FAF"/>
    <w:rsid w:val="00095A5D"/>
    <w:rsid w:val="000A0671"/>
    <w:rsid w:val="000B4FD3"/>
    <w:rsid w:val="000B7C06"/>
    <w:rsid w:val="000C19EB"/>
    <w:rsid w:val="000C32D3"/>
    <w:rsid w:val="000C3E46"/>
    <w:rsid w:val="000C571D"/>
    <w:rsid w:val="000C5F40"/>
    <w:rsid w:val="000D1CC3"/>
    <w:rsid w:val="000D3584"/>
    <w:rsid w:val="000E0B74"/>
    <w:rsid w:val="000E26D4"/>
    <w:rsid w:val="000E465B"/>
    <w:rsid w:val="000E66BA"/>
    <w:rsid w:val="000E7901"/>
    <w:rsid w:val="000F237B"/>
    <w:rsid w:val="000F3477"/>
    <w:rsid w:val="0010193D"/>
    <w:rsid w:val="001219B3"/>
    <w:rsid w:val="001277A6"/>
    <w:rsid w:val="00130FAF"/>
    <w:rsid w:val="00131DC3"/>
    <w:rsid w:val="0013289F"/>
    <w:rsid w:val="00135E4C"/>
    <w:rsid w:val="001373F5"/>
    <w:rsid w:val="0013775A"/>
    <w:rsid w:val="00146BA6"/>
    <w:rsid w:val="001477F8"/>
    <w:rsid w:val="0015108B"/>
    <w:rsid w:val="00153AA4"/>
    <w:rsid w:val="00155C25"/>
    <w:rsid w:val="001606CF"/>
    <w:rsid w:val="0016128D"/>
    <w:rsid w:val="0016214C"/>
    <w:rsid w:val="0017089D"/>
    <w:rsid w:val="0017286F"/>
    <w:rsid w:val="00177E1F"/>
    <w:rsid w:val="0019101A"/>
    <w:rsid w:val="001972D2"/>
    <w:rsid w:val="001A3F60"/>
    <w:rsid w:val="001A479D"/>
    <w:rsid w:val="001C358D"/>
    <w:rsid w:val="001D4037"/>
    <w:rsid w:val="001E3996"/>
    <w:rsid w:val="001F02A4"/>
    <w:rsid w:val="001F1B27"/>
    <w:rsid w:val="001F28D7"/>
    <w:rsid w:val="001F4C64"/>
    <w:rsid w:val="001F58F2"/>
    <w:rsid w:val="002112B9"/>
    <w:rsid w:val="00221EC0"/>
    <w:rsid w:val="00231049"/>
    <w:rsid w:val="002314D2"/>
    <w:rsid w:val="0023305C"/>
    <w:rsid w:val="002372BC"/>
    <w:rsid w:val="002407A3"/>
    <w:rsid w:val="00241881"/>
    <w:rsid w:val="0024294C"/>
    <w:rsid w:val="00254BEC"/>
    <w:rsid w:val="0025652F"/>
    <w:rsid w:val="0026320B"/>
    <w:rsid w:val="00263B6C"/>
    <w:rsid w:val="002700FB"/>
    <w:rsid w:val="00272939"/>
    <w:rsid w:val="0027590B"/>
    <w:rsid w:val="00275D21"/>
    <w:rsid w:val="0028372F"/>
    <w:rsid w:val="0028503D"/>
    <w:rsid w:val="00285969"/>
    <w:rsid w:val="002918F9"/>
    <w:rsid w:val="00292CB2"/>
    <w:rsid w:val="002A2BF5"/>
    <w:rsid w:val="002A513C"/>
    <w:rsid w:val="002A5782"/>
    <w:rsid w:val="002A74EF"/>
    <w:rsid w:val="002B09B7"/>
    <w:rsid w:val="002B3829"/>
    <w:rsid w:val="002C14EB"/>
    <w:rsid w:val="002C15FE"/>
    <w:rsid w:val="002C22EF"/>
    <w:rsid w:val="002D68FC"/>
    <w:rsid w:val="002E4239"/>
    <w:rsid w:val="002E454C"/>
    <w:rsid w:val="002F1FFE"/>
    <w:rsid w:val="002F617F"/>
    <w:rsid w:val="002F71E6"/>
    <w:rsid w:val="002F768D"/>
    <w:rsid w:val="00300109"/>
    <w:rsid w:val="0030300C"/>
    <w:rsid w:val="0030408A"/>
    <w:rsid w:val="00306894"/>
    <w:rsid w:val="003122F4"/>
    <w:rsid w:val="00316104"/>
    <w:rsid w:val="00316319"/>
    <w:rsid w:val="00316BDD"/>
    <w:rsid w:val="003268D5"/>
    <w:rsid w:val="0033100A"/>
    <w:rsid w:val="003310F0"/>
    <w:rsid w:val="0033473E"/>
    <w:rsid w:val="00334D11"/>
    <w:rsid w:val="003448F6"/>
    <w:rsid w:val="00350759"/>
    <w:rsid w:val="00354AFB"/>
    <w:rsid w:val="00354B61"/>
    <w:rsid w:val="00354CA7"/>
    <w:rsid w:val="00354D27"/>
    <w:rsid w:val="00357106"/>
    <w:rsid w:val="0035738A"/>
    <w:rsid w:val="003579B5"/>
    <w:rsid w:val="00365AA5"/>
    <w:rsid w:val="00370071"/>
    <w:rsid w:val="00380498"/>
    <w:rsid w:val="00383180"/>
    <w:rsid w:val="003858A6"/>
    <w:rsid w:val="00387D94"/>
    <w:rsid w:val="0039292C"/>
    <w:rsid w:val="00392DCC"/>
    <w:rsid w:val="003A1666"/>
    <w:rsid w:val="003A5753"/>
    <w:rsid w:val="003A5B36"/>
    <w:rsid w:val="003B1E83"/>
    <w:rsid w:val="003C24B4"/>
    <w:rsid w:val="003E20D6"/>
    <w:rsid w:val="003E4D87"/>
    <w:rsid w:val="003F799E"/>
    <w:rsid w:val="00401082"/>
    <w:rsid w:val="004010AF"/>
    <w:rsid w:val="00402F73"/>
    <w:rsid w:val="004060D1"/>
    <w:rsid w:val="004131CF"/>
    <w:rsid w:val="004158D9"/>
    <w:rsid w:val="00416762"/>
    <w:rsid w:val="00416E55"/>
    <w:rsid w:val="0042518A"/>
    <w:rsid w:val="00427E71"/>
    <w:rsid w:val="004409EE"/>
    <w:rsid w:val="00442FBF"/>
    <w:rsid w:val="00445265"/>
    <w:rsid w:val="00454128"/>
    <w:rsid w:val="0045555C"/>
    <w:rsid w:val="004559CE"/>
    <w:rsid w:val="00456936"/>
    <w:rsid w:val="00457D20"/>
    <w:rsid w:val="00460E1A"/>
    <w:rsid w:val="0046140F"/>
    <w:rsid w:val="00463DF8"/>
    <w:rsid w:val="00467B01"/>
    <w:rsid w:val="00475085"/>
    <w:rsid w:val="00476CF6"/>
    <w:rsid w:val="00477AA8"/>
    <w:rsid w:val="00483FB6"/>
    <w:rsid w:val="0049281C"/>
    <w:rsid w:val="00492FCB"/>
    <w:rsid w:val="00497ABD"/>
    <w:rsid w:val="004A0F11"/>
    <w:rsid w:val="004A1DB1"/>
    <w:rsid w:val="004A3EAA"/>
    <w:rsid w:val="004A7D97"/>
    <w:rsid w:val="004B5133"/>
    <w:rsid w:val="004B5F92"/>
    <w:rsid w:val="004B636E"/>
    <w:rsid w:val="004C41B6"/>
    <w:rsid w:val="004C751C"/>
    <w:rsid w:val="004D4D7E"/>
    <w:rsid w:val="004D6E37"/>
    <w:rsid w:val="004E00EA"/>
    <w:rsid w:val="004E3009"/>
    <w:rsid w:val="004E382D"/>
    <w:rsid w:val="004E3D31"/>
    <w:rsid w:val="004F4B92"/>
    <w:rsid w:val="005134FE"/>
    <w:rsid w:val="00515559"/>
    <w:rsid w:val="00516785"/>
    <w:rsid w:val="0051718C"/>
    <w:rsid w:val="0052419D"/>
    <w:rsid w:val="005301F8"/>
    <w:rsid w:val="005312FC"/>
    <w:rsid w:val="00532BE7"/>
    <w:rsid w:val="0053569E"/>
    <w:rsid w:val="0053603D"/>
    <w:rsid w:val="0053742A"/>
    <w:rsid w:val="00537C85"/>
    <w:rsid w:val="005403C0"/>
    <w:rsid w:val="00541D29"/>
    <w:rsid w:val="0054237E"/>
    <w:rsid w:val="00542CB5"/>
    <w:rsid w:val="0056171D"/>
    <w:rsid w:val="00562F17"/>
    <w:rsid w:val="0056582C"/>
    <w:rsid w:val="00570F4E"/>
    <w:rsid w:val="005868DE"/>
    <w:rsid w:val="00594A99"/>
    <w:rsid w:val="0059607F"/>
    <w:rsid w:val="005966B7"/>
    <w:rsid w:val="005A12B1"/>
    <w:rsid w:val="005A462A"/>
    <w:rsid w:val="005B2168"/>
    <w:rsid w:val="005B28C6"/>
    <w:rsid w:val="005B435E"/>
    <w:rsid w:val="005B5E2A"/>
    <w:rsid w:val="005C00DC"/>
    <w:rsid w:val="005C02A4"/>
    <w:rsid w:val="005C20D2"/>
    <w:rsid w:val="005C32FE"/>
    <w:rsid w:val="005C360C"/>
    <w:rsid w:val="005D024A"/>
    <w:rsid w:val="005D2F63"/>
    <w:rsid w:val="005D4FD4"/>
    <w:rsid w:val="005D66F4"/>
    <w:rsid w:val="005D67FD"/>
    <w:rsid w:val="005D6D64"/>
    <w:rsid w:val="005E126D"/>
    <w:rsid w:val="005E17DC"/>
    <w:rsid w:val="005E51E0"/>
    <w:rsid w:val="00601650"/>
    <w:rsid w:val="00604E87"/>
    <w:rsid w:val="00605AFD"/>
    <w:rsid w:val="00611857"/>
    <w:rsid w:val="006123D4"/>
    <w:rsid w:val="006125B4"/>
    <w:rsid w:val="00612EDA"/>
    <w:rsid w:val="0061445B"/>
    <w:rsid w:val="00621493"/>
    <w:rsid w:val="00624C4B"/>
    <w:rsid w:val="00631902"/>
    <w:rsid w:val="0063234A"/>
    <w:rsid w:val="0065354E"/>
    <w:rsid w:val="00661140"/>
    <w:rsid w:val="00661588"/>
    <w:rsid w:val="00662037"/>
    <w:rsid w:val="0066259D"/>
    <w:rsid w:val="0067071D"/>
    <w:rsid w:val="0067324A"/>
    <w:rsid w:val="0067776C"/>
    <w:rsid w:val="00681AF4"/>
    <w:rsid w:val="00682677"/>
    <w:rsid w:val="00685CF7"/>
    <w:rsid w:val="00686012"/>
    <w:rsid w:val="00686165"/>
    <w:rsid w:val="00686368"/>
    <w:rsid w:val="00691CB5"/>
    <w:rsid w:val="00694CCA"/>
    <w:rsid w:val="006A37F5"/>
    <w:rsid w:val="006A4472"/>
    <w:rsid w:val="006C1892"/>
    <w:rsid w:val="006C5B73"/>
    <w:rsid w:val="006C645D"/>
    <w:rsid w:val="006E3CC3"/>
    <w:rsid w:val="006F2AAC"/>
    <w:rsid w:val="006F36DB"/>
    <w:rsid w:val="0070201A"/>
    <w:rsid w:val="00702E19"/>
    <w:rsid w:val="007042A8"/>
    <w:rsid w:val="00706E86"/>
    <w:rsid w:val="00706E8E"/>
    <w:rsid w:val="007159E5"/>
    <w:rsid w:val="00720766"/>
    <w:rsid w:val="007219FC"/>
    <w:rsid w:val="00722B53"/>
    <w:rsid w:val="00727226"/>
    <w:rsid w:val="00734773"/>
    <w:rsid w:val="00736270"/>
    <w:rsid w:val="00745A8F"/>
    <w:rsid w:val="007509DD"/>
    <w:rsid w:val="007531A5"/>
    <w:rsid w:val="007539CA"/>
    <w:rsid w:val="00763474"/>
    <w:rsid w:val="00766EAF"/>
    <w:rsid w:val="007717A4"/>
    <w:rsid w:val="0077504E"/>
    <w:rsid w:val="00780F39"/>
    <w:rsid w:val="00784C0A"/>
    <w:rsid w:val="00794B40"/>
    <w:rsid w:val="00795528"/>
    <w:rsid w:val="0079735A"/>
    <w:rsid w:val="007A1079"/>
    <w:rsid w:val="007A3927"/>
    <w:rsid w:val="007B76AB"/>
    <w:rsid w:val="007C5091"/>
    <w:rsid w:val="007D0E90"/>
    <w:rsid w:val="007D183D"/>
    <w:rsid w:val="007D4A04"/>
    <w:rsid w:val="007D4BDA"/>
    <w:rsid w:val="007D4E1E"/>
    <w:rsid w:val="007D592B"/>
    <w:rsid w:val="007D5AA6"/>
    <w:rsid w:val="007D5B5F"/>
    <w:rsid w:val="007D7A91"/>
    <w:rsid w:val="007E24FD"/>
    <w:rsid w:val="007E3609"/>
    <w:rsid w:val="007E4739"/>
    <w:rsid w:val="007E5EF3"/>
    <w:rsid w:val="007E6456"/>
    <w:rsid w:val="007F0731"/>
    <w:rsid w:val="007F0F39"/>
    <w:rsid w:val="007F5B01"/>
    <w:rsid w:val="00800BAC"/>
    <w:rsid w:val="00801EB6"/>
    <w:rsid w:val="008031B7"/>
    <w:rsid w:val="00811943"/>
    <w:rsid w:val="00813DF2"/>
    <w:rsid w:val="00821082"/>
    <w:rsid w:val="00821EC5"/>
    <w:rsid w:val="00827DD0"/>
    <w:rsid w:val="008311B8"/>
    <w:rsid w:val="00834243"/>
    <w:rsid w:val="008437F4"/>
    <w:rsid w:val="00843BB9"/>
    <w:rsid w:val="00845912"/>
    <w:rsid w:val="00854E9C"/>
    <w:rsid w:val="00857969"/>
    <w:rsid w:val="0087211C"/>
    <w:rsid w:val="00882CC4"/>
    <w:rsid w:val="00886399"/>
    <w:rsid w:val="0088688B"/>
    <w:rsid w:val="00892155"/>
    <w:rsid w:val="0089347F"/>
    <w:rsid w:val="008B76C6"/>
    <w:rsid w:val="008C0D8B"/>
    <w:rsid w:val="008C1C1A"/>
    <w:rsid w:val="008C3639"/>
    <w:rsid w:val="008C658A"/>
    <w:rsid w:val="008C7F71"/>
    <w:rsid w:val="008D339F"/>
    <w:rsid w:val="008D3C34"/>
    <w:rsid w:val="008E3527"/>
    <w:rsid w:val="008E6292"/>
    <w:rsid w:val="008F0CC7"/>
    <w:rsid w:val="008F4608"/>
    <w:rsid w:val="008F6D6C"/>
    <w:rsid w:val="009035F4"/>
    <w:rsid w:val="00903F19"/>
    <w:rsid w:val="00912FAD"/>
    <w:rsid w:val="00917815"/>
    <w:rsid w:val="00924ACA"/>
    <w:rsid w:val="00925AA5"/>
    <w:rsid w:val="00926443"/>
    <w:rsid w:val="009308B6"/>
    <w:rsid w:val="0093540D"/>
    <w:rsid w:val="00936296"/>
    <w:rsid w:val="0094019D"/>
    <w:rsid w:val="00942C11"/>
    <w:rsid w:val="0094351F"/>
    <w:rsid w:val="009444B9"/>
    <w:rsid w:val="00946E41"/>
    <w:rsid w:val="00947169"/>
    <w:rsid w:val="009547F8"/>
    <w:rsid w:val="0095580B"/>
    <w:rsid w:val="009570EC"/>
    <w:rsid w:val="0096255E"/>
    <w:rsid w:val="009632F2"/>
    <w:rsid w:val="009729D4"/>
    <w:rsid w:val="00975935"/>
    <w:rsid w:val="009817B0"/>
    <w:rsid w:val="009821CE"/>
    <w:rsid w:val="009849F4"/>
    <w:rsid w:val="0099242E"/>
    <w:rsid w:val="009A012D"/>
    <w:rsid w:val="009A2348"/>
    <w:rsid w:val="009A277C"/>
    <w:rsid w:val="009A4751"/>
    <w:rsid w:val="009A658F"/>
    <w:rsid w:val="009B11DB"/>
    <w:rsid w:val="009B1375"/>
    <w:rsid w:val="009C009A"/>
    <w:rsid w:val="009C488E"/>
    <w:rsid w:val="009D04E6"/>
    <w:rsid w:val="009D22DC"/>
    <w:rsid w:val="009D31DB"/>
    <w:rsid w:val="009E171B"/>
    <w:rsid w:val="009E2D72"/>
    <w:rsid w:val="009E33AB"/>
    <w:rsid w:val="009E42BA"/>
    <w:rsid w:val="009F19F2"/>
    <w:rsid w:val="009F7B69"/>
    <w:rsid w:val="009F7C74"/>
    <w:rsid w:val="00A015E8"/>
    <w:rsid w:val="00A05C72"/>
    <w:rsid w:val="00A05C81"/>
    <w:rsid w:val="00A065FB"/>
    <w:rsid w:val="00A07D47"/>
    <w:rsid w:val="00A12F62"/>
    <w:rsid w:val="00A14FE9"/>
    <w:rsid w:val="00A1531E"/>
    <w:rsid w:val="00A22F34"/>
    <w:rsid w:val="00A238E5"/>
    <w:rsid w:val="00A24132"/>
    <w:rsid w:val="00A268E4"/>
    <w:rsid w:val="00A2772D"/>
    <w:rsid w:val="00A319FE"/>
    <w:rsid w:val="00A3749B"/>
    <w:rsid w:val="00A37D87"/>
    <w:rsid w:val="00A42838"/>
    <w:rsid w:val="00A44577"/>
    <w:rsid w:val="00A45EC4"/>
    <w:rsid w:val="00A476B6"/>
    <w:rsid w:val="00A50D88"/>
    <w:rsid w:val="00A52B08"/>
    <w:rsid w:val="00A55808"/>
    <w:rsid w:val="00A56923"/>
    <w:rsid w:val="00A56C7D"/>
    <w:rsid w:val="00A57D9C"/>
    <w:rsid w:val="00A62E42"/>
    <w:rsid w:val="00A639F3"/>
    <w:rsid w:val="00A64A71"/>
    <w:rsid w:val="00A70E91"/>
    <w:rsid w:val="00A72960"/>
    <w:rsid w:val="00A72D8F"/>
    <w:rsid w:val="00A75538"/>
    <w:rsid w:val="00A86429"/>
    <w:rsid w:val="00A91F9A"/>
    <w:rsid w:val="00A93401"/>
    <w:rsid w:val="00A950B5"/>
    <w:rsid w:val="00A96E69"/>
    <w:rsid w:val="00AA7102"/>
    <w:rsid w:val="00AB5159"/>
    <w:rsid w:val="00AC3196"/>
    <w:rsid w:val="00AC351F"/>
    <w:rsid w:val="00AC6836"/>
    <w:rsid w:val="00AD1D33"/>
    <w:rsid w:val="00AD21EB"/>
    <w:rsid w:val="00AE2F90"/>
    <w:rsid w:val="00AE67A0"/>
    <w:rsid w:val="00AE718E"/>
    <w:rsid w:val="00AF7B02"/>
    <w:rsid w:val="00B0047E"/>
    <w:rsid w:val="00B03DD6"/>
    <w:rsid w:val="00B0729A"/>
    <w:rsid w:val="00B10A5F"/>
    <w:rsid w:val="00B159BA"/>
    <w:rsid w:val="00B167FF"/>
    <w:rsid w:val="00B168C7"/>
    <w:rsid w:val="00B251BC"/>
    <w:rsid w:val="00B31A2B"/>
    <w:rsid w:val="00B3583B"/>
    <w:rsid w:val="00B35FBA"/>
    <w:rsid w:val="00B36A4C"/>
    <w:rsid w:val="00B37A8F"/>
    <w:rsid w:val="00B50D9F"/>
    <w:rsid w:val="00B60CC1"/>
    <w:rsid w:val="00B61EF9"/>
    <w:rsid w:val="00B65347"/>
    <w:rsid w:val="00B67201"/>
    <w:rsid w:val="00B7518E"/>
    <w:rsid w:val="00B75C80"/>
    <w:rsid w:val="00B83734"/>
    <w:rsid w:val="00B87927"/>
    <w:rsid w:val="00B91BFA"/>
    <w:rsid w:val="00B9234E"/>
    <w:rsid w:val="00B92D7F"/>
    <w:rsid w:val="00B92F20"/>
    <w:rsid w:val="00BA1627"/>
    <w:rsid w:val="00BA4E9C"/>
    <w:rsid w:val="00BA70BC"/>
    <w:rsid w:val="00BB752A"/>
    <w:rsid w:val="00BB7A98"/>
    <w:rsid w:val="00BC0F30"/>
    <w:rsid w:val="00BD26AA"/>
    <w:rsid w:val="00BD3536"/>
    <w:rsid w:val="00BD454F"/>
    <w:rsid w:val="00BD511A"/>
    <w:rsid w:val="00BE1B09"/>
    <w:rsid w:val="00BE2F55"/>
    <w:rsid w:val="00BE76B7"/>
    <w:rsid w:val="00BF090F"/>
    <w:rsid w:val="00BF1745"/>
    <w:rsid w:val="00BF1C9E"/>
    <w:rsid w:val="00BF6D5C"/>
    <w:rsid w:val="00C01DCC"/>
    <w:rsid w:val="00C059EA"/>
    <w:rsid w:val="00C067E2"/>
    <w:rsid w:val="00C102C5"/>
    <w:rsid w:val="00C14F23"/>
    <w:rsid w:val="00C15F7A"/>
    <w:rsid w:val="00C1777F"/>
    <w:rsid w:val="00C202B3"/>
    <w:rsid w:val="00C2187E"/>
    <w:rsid w:val="00C21EE0"/>
    <w:rsid w:val="00C220D7"/>
    <w:rsid w:val="00C23A2E"/>
    <w:rsid w:val="00C30297"/>
    <w:rsid w:val="00C3431F"/>
    <w:rsid w:val="00C411DF"/>
    <w:rsid w:val="00C42E66"/>
    <w:rsid w:val="00C51970"/>
    <w:rsid w:val="00C52A1C"/>
    <w:rsid w:val="00C72318"/>
    <w:rsid w:val="00C724E6"/>
    <w:rsid w:val="00C747A5"/>
    <w:rsid w:val="00C77B68"/>
    <w:rsid w:val="00C804E1"/>
    <w:rsid w:val="00C85314"/>
    <w:rsid w:val="00C91E4D"/>
    <w:rsid w:val="00CA0116"/>
    <w:rsid w:val="00CA1C96"/>
    <w:rsid w:val="00CA4BC0"/>
    <w:rsid w:val="00CA5633"/>
    <w:rsid w:val="00CA5CA8"/>
    <w:rsid w:val="00CA6D99"/>
    <w:rsid w:val="00CB0157"/>
    <w:rsid w:val="00CB01C8"/>
    <w:rsid w:val="00CB19A9"/>
    <w:rsid w:val="00CB5205"/>
    <w:rsid w:val="00CB5338"/>
    <w:rsid w:val="00CC559D"/>
    <w:rsid w:val="00CC77A9"/>
    <w:rsid w:val="00CD44BC"/>
    <w:rsid w:val="00CD654B"/>
    <w:rsid w:val="00CE223E"/>
    <w:rsid w:val="00CE3854"/>
    <w:rsid w:val="00CF24FE"/>
    <w:rsid w:val="00CF3F0D"/>
    <w:rsid w:val="00CF457A"/>
    <w:rsid w:val="00D00728"/>
    <w:rsid w:val="00D017C1"/>
    <w:rsid w:val="00D036EF"/>
    <w:rsid w:val="00D03AC4"/>
    <w:rsid w:val="00D0414F"/>
    <w:rsid w:val="00D145F5"/>
    <w:rsid w:val="00D14F2A"/>
    <w:rsid w:val="00D20783"/>
    <w:rsid w:val="00D34D6C"/>
    <w:rsid w:val="00D355F0"/>
    <w:rsid w:val="00D43AC8"/>
    <w:rsid w:val="00D56113"/>
    <w:rsid w:val="00D5722D"/>
    <w:rsid w:val="00D602F4"/>
    <w:rsid w:val="00D72913"/>
    <w:rsid w:val="00D833D9"/>
    <w:rsid w:val="00D83BD9"/>
    <w:rsid w:val="00D8620B"/>
    <w:rsid w:val="00D906E3"/>
    <w:rsid w:val="00D94DCF"/>
    <w:rsid w:val="00D94EAE"/>
    <w:rsid w:val="00D9519D"/>
    <w:rsid w:val="00D95ACA"/>
    <w:rsid w:val="00DA03A2"/>
    <w:rsid w:val="00DA586F"/>
    <w:rsid w:val="00DA68C3"/>
    <w:rsid w:val="00DB08DA"/>
    <w:rsid w:val="00DB3B11"/>
    <w:rsid w:val="00DB7F09"/>
    <w:rsid w:val="00DC00E8"/>
    <w:rsid w:val="00DC1C56"/>
    <w:rsid w:val="00DC4756"/>
    <w:rsid w:val="00DC6379"/>
    <w:rsid w:val="00DC7231"/>
    <w:rsid w:val="00DD199B"/>
    <w:rsid w:val="00DD4700"/>
    <w:rsid w:val="00DD5D95"/>
    <w:rsid w:val="00DE030A"/>
    <w:rsid w:val="00DE11B9"/>
    <w:rsid w:val="00DE3406"/>
    <w:rsid w:val="00DE3C77"/>
    <w:rsid w:val="00DE53C0"/>
    <w:rsid w:val="00DE631A"/>
    <w:rsid w:val="00DE7CC5"/>
    <w:rsid w:val="00DF3C33"/>
    <w:rsid w:val="00DF6F61"/>
    <w:rsid w:val="00E101C6"/>
    <w:rsid w:val="00E10E60"/>
    <w:rsid w:val="00E203F1"/>
    <w:rsid w:val="00E22D51"/>
    <w:rsid w:val="00E2302A"/>
    <w:rsid w:val="00E233AD"/>
    <w:rsid w:val="00E23D55"/>
    <w:rsid w:val="00E306A0"/>
    <w:rsid w:val="00E3160B"/>
    <w:rsid w:val="00E31AC2"/>
    <w:rsid w:val="00E42654"/>
    <w:rsid w:val="00E50E7C"/>
    <w:rsid w:val="00E51545"/>
    <w:rsid w:val="00E51D9E"/>
    <w:rsid w:val="00E537D1"/>
    <w:rsid w:val="00E567E6"/>
    <w:rsid w:val="00E56971"/>
    <w:rsid w:val="00E61484"/>
    <w:rsid w:val="00E65E4A"/>
    <w:rsid w:val="00E67AEB"/>
    <w:rsid w:val="00E711D7"/>
    <w:rsid w:val="00E815E1"/>
    <w:rsid w:val="00E87A39"/>
    <w:rsid w:val="00E902B0"/>
    <w:rsid w:val="00E902E8"/>
    <w:rsid w:val="00E958CC"/>
    <w:rsid w:val="00EA23AC"/>
    <w:rsid w:val="00EA4E53"/>
    <w:rsid w:val="00EA7C3D"/>
    <w:rsid w:val="00EB3D33"/>
    <w:rsid w:val="00EB457C"/>
    <w:rsid w:val="00EB67EA"/>
    <w:rsid w:val="00EB6878"/>
    <w:rsid w:val="00EB7D46"/>
    <w:rsid w:val="00EC05FF"/>
    <w:rsid w:val="00EC1E0E"/>
    <w:rsid w:val="00EC236D"/>
    <w:rsid w:val="00EC5D92"/>
    <w:rsid w:val="00EC6B16"/>
    <w:rsid w:val="00ED2E57"/>
    <w:rsid w:val="00ED39D1"/>
    <w:rsid w:val="00ED6439"/>
    <w:rsid w:val="00EE1447"/>
    <w:rsid w:val="00EF145E"/>
    <w:rsid w:val="00EF2BBB"/>
    <w:rsid w:val="00F0082D"/>
    <w:rsid w:val="00F015AB"/>
    <w:rsid w:val="00F0355E"/>
    <w:rsid w:val="00F077E8"/>
    <w:rsid w:val="00F07C90"/>
    <w:rsid w:val="00F14E74"/>
    <w:rsid w:val="00F215D8"/>
    <w:rsid w:val="00F35529"/>
    <w:rsid w:val="00F51489"/>
    <w:rsid w:val="00F57BED"/>
    <w:rsid w:val="00F66152"/>
    <w:rsid w:val="00F72FFB"/>
    <w:rsid w:val="00F7514F"/>
    <w:rsid w:val="00F7613A"/>
    <w:rsid w:val="00F82746"/>
    <w:rsid w:val="00F8335D"/>
    <w:rsid w:val="00F836F9"/>
    <w:rsid w:val="00F845D7"/>
    <w:rsid w:val="00F866AC"/>
    <w:rsid w:val="00F911E9"/>
    <w:rsid w:val="00F92279"/>
    <w:rsid w:val="00F92AC0"/>
    <w:rsid w:val="00FA0F8B"/>
    <w:rsid w:val="00FA13F4"/>
    <w:rsid w:val="00FA67B3"/>
    <w:rsid w:val="00FA73A4"/>
    <w:rsid w:val="00FB0D99"/>
    <w:rsid w:val="00FB4D21"/>
    <w:rsid w:val="00FB7550"/>
    <w:rsid w:val="00FB762B"/>
    <w:rsid w:val="00FC4C5D"/>
    <w:rsid w:val="00FC6ADA"/>
    <w:rsid w:val="00FD0838"/>
    <w:rsid w:val="00FF0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2D29E8"/>
  <w15:docId w15:val="{1D74F9FF-C4D8-4C8D-9B89-547F6CF7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38"/>
  </w:style>
  <w:style w:type="paragraph" w:styleId="Heading1">
    <w:name w:val="heading 1"/>
    <w:basedOn w:val="HeadingBase"/>
    <w:next w:val="Normal"/>
    <w:link w:val="Heading1Char"/>
    <w:qFormat/>
    <w:rsid w:val="00DA03A2"/>
    <w:pPr>
      <w:spacing w:before="240"/>
      <w:outlineLvl w:val="0"/>
    </w:pPr>
    <w:rPr>
      <w:b/>
      <w:bCs w:val="0"/>
      <w:color w:val="003150" w:themeColor="accent3"/>
      <w:sz w:val="40"/>
    </w:rPr>
  </w:style>
  <w:style w:type="paragraph" w:styleId="Heading2">
    <w:name w:val="heading 2"/>
    <w:basedOn w:val="HeadingBase"/>
    <w:next w:val="Normal"/>
    <w:link w:val="Heading2Char"/>
    <w:qFormat/>
    <w:rsid w:val="00DA03A2"/>
    <w:pPr>
      <w:spacing w:before="360"/>
      <w:outlineLvl w:val="1"/>
    </w:pPr>
    <w:rPr>
      <w:bCs w:val="0"/>
      <w:iCs/>
      <w:color w:val="0084BC" w:themeColor="accent1"/>
      <w:sz w:val="32"/>
      <w:szCs w:val="28"/>
    </w:rPr>
  </w:style>
  <w:style w:type="paragraph" w:styleId="Heading3">
    <w:name w:val="heading 3"/>
    <w:basedOn w:val="HeadingBase"/>
    <w:next w:val="Normal"/>
    <w:link w:val="Heading3Char"/>
    <w:qFormat/>
    <w:rsid w:val="00DA03A2"/>
    <w:pPr>
      <w:spacing w:before="240"/>
      <w:outlineLvl w:val="2"/>
    </w:pPr>
    <w:rPr>
      <w:bCs w:val="0"/>
      <w:color w:val="7F7F7F"/>
      <w:sz w:val="28"/>
      <w:szCs w:val="26"/>
    </w:rPr>
  </w:style>
  <w:style w:type="paragraph" w:styleId="Heading4">
    <w:name w:val="heading 4"/>
    <w:basedOn w:val="HeadingBase"/>
    <w:next w:val="Normal"/>
    <w:link w:val="Heading4Char"/>
    <w:qFormat/>
    <w:rsid w:val="00DA03A2"/>
    <w:pPr>
      <w:outlineLvl w:val="3"/>
    </w:pPr>
    <w:rPr>
      <w:bCs w:val="0"/>
      <w:color w:val="396984"/>
      <w:sz w:val="24"/>
      <w:szCs w:val="26"/>
    </w:rPr>
  </w:style>
  <w:style w:type="paragraph" w:styleId="Heading5">
    <w:name w:val="heading 5"/>
    <w:basedOn w:val="HeadingBase"/>
    <w:next w:val="Normal"/>
    <w:link w:val="Heading5Char"/>
    <w:qFormat/>
    <w:rsid w:val="00DA03A2"/>
    <w:pPr>
      <w:outlineLvl w:val="4"/>
    </w:pPr>
    <w:rPr>
      <w:b/>
      <w:bCs w:val="0"/>
      <w:iCs/>
      <w:sz w:val="22"/>
    </w:rPr>
  </w:style>
  <w:style w:type="paragraph" w:styleId="Heading6">
    <w:name w:val="heading 6"/>
    <w:basedOn w:val="HeadingBase"/>
    <w:next w:val="Normal"/>
    <w:link w:val="Heading6Char"/>
    <w:qFormat/>
    <w:rsid w:val="00DA03A2"/>
    <w:pPr>
      <w:outlineLvl w:val="5"/>
    </w:pPr>
    <w:rPr>
      <w:bCs w:val="0"/>
      <w:sz w:val="22"/>
      <w:szCs w:val="22"/>
    </w:rPr>
  </w:style>
  <w:style w:type="character" w:default="1" w:styleId="DefaultParagraphFont">
    <w:name w:val="Default Paragraph Font"/>
    <w:uiPriority w:val="1"/>
    <w:semiHidden/>
    <w:unhideWhenUsed/>
    <w:rsid w:val="00A755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5538"/>
  </w:style>
  <w:style w:type="character" w:customStyle="1" w:styleId="Heading1Char">
    <w:name w:val="Heading 1 Char"/>
    <w:basedOn w:val="DefaultParagraphFont"/>
    <w:link w:val="Heading1"/>
    <w:rsid w:val="00DA03A2"/>
    <w:rPr>
      <w:rFonts w:ascii="Calibri" w:eastAsia="Times New Roman" w:hAnsi="Calibri" w:cs="Arial"/>
      <w:b/>
      <w:color w:val="003150" w:themeColor="accent3"/>
      <w:kern w:val="32"/>
      <w:sz w:val="40"/>
      <w:szCs w:val="36"/>
      <w:lang w:eastAsia="en-AU"/>
    </w:rPr>
  </w:style>
  <w:style w:type="character" w:customStyle="1" w:styleId="Heading2Char">
    <w:name w:val="Heading 2 Char"/>
    <w:basedOn w:val="DefaultParagraphFont"/>
    <w:link w:val="Heading2"/>
    <w:rsid w:val="00DA03A2"/>
    <w:rPr>
      <w:rFonts w:ascii="Calibri" w:eastAsia="Times New Roman" w:hAnsi="Calibri" w:cs="Arial"/>
      <w:iCs/>
      <w:color w:val="0084BC" w:themeColor="accent1"/>
      <w:kern w:val="32"/>
      <w:sz w:val="32"/>
      <w:szCs w:val="28"/>
      <w:lang w:eastAsia="en-AU"/>
    </w:rPr>
  </w:style>
  <w:style w:type="character" w:customStyle="1" w:styleId="Heading3Char">
    <w:name w:val="Heading 3 Char"/>
    <w:basedOn w:val="DefaultParagraphFont"/>
    <w:link w:val="Heading3"/>
    <w:rsid w:val="00DA03A2"/>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DA03A2"/>
    <w:rPr>
      <w:rFonts w:ascii="Calibri" w:eastAsia="Times New Roman" w:hAnsi="Calibri" w:cs="Arial"/>
      <w:color w:val="396984"/>
      <w:kern w:val="32"/>
      <w:sz w:val="24"/>
      <w:szCs w:val="26"/>
      <w:lang w:eastAsia="en-AU"/>
    </w:rPr>
  </w:style>
  <w:style w:type="character" w:customStyle="1" w:styleId="Heading5Char">
    <w:name w:val="Heading 5 Char"/>
    <w:basedOn w:val="DefaultParagraphFont"/>
    <w:link w:val="Heading5"/>
    <w:rsid w:val="00DA03A2"/>
    <w:rPr>
      <w:rFonts w:ascii="Calibri" w:eastAsia="Times New Roman" w:hAnsi="Calibri" w:cs="Arial"/>
      <w:b/>
      <w:iCs/>
      <w:color w:val="2D4B6E"/>
      <w:kern w:val="32"/>
      <w:szCs w:val="36"/>
      <w:lang w:eastAsia="en-AU"/>
    </w:rPr>
  </w:style>
  <w:style w:type="character" w:customStyle="1" w:styleId="Heading6Char">
    <w:name w:val="Heading 6 Char"/>
    <w:basedOn w:val="DefaultParagraphFont"/>
    <w:link w:val="Heading6"/>
    <w:rsid w:val="00DA03A2"/>
    <w:rPr>
      <w:rFonts w:ascii="Calibri" w:eastAsia="Times New Roman" w:hAnsi="Calibri" w:cs="Arial"/>
      <w:color w:val="2D4B6E"/>
      <w:kern w:val="32"/>
      <w:lang w:eastAsia="en-AU"/>
    </w:rPr>
  </w:style>
  <w:style w:type="paragraph" w:customStyle="1" w:styleId="ChartGraphic">
    <w:name w:val="Chart Graphic"/>
    <w:basedOn w:val="Normal"/>
    <w:next w:val="Normal"/>
    <w:rsid w:val="00DA03A2"/>
    <w:pPr>
      <w:keepNext/>
      <w:spacing w:after="0"/>
      <w:jc w:val="center"/>
    </w:pPr>
    <w:rPr>
      <w:color w:val="004A7F"/>
      <w:sz w:val="20"/>
    </w:rPr>
  </w:style>
  <w:style w:type="paragraph" w:customStyle="1" w:styleId="AlphaParagraph">
    <w:name w:val="Alpha Paragraph"/>
    <w:basedOn w:val="Normal"/>
    <w:qFormat/>
    <w:rsid w:val="00DA03A2"/>
    <w:pPr>
      <w:numPr>
        <w:ilvl w:val="1"/>
        <w:numId w:val="10"/>
      </w:numPr>
    </w:pPr>
  </w:style>
  <w:style w:type="paragraph" w:customStyle="1" w:styleId="BoxBullet">
    <w:name w:val="Box Bullet"/>
    <w:basedOn w:val="Normal"/>
    <w:rsid w:val="00DA03A2"/>
    <w:pPr>
      <w:numPr>
        <w:numId w:val="2"/>
      </w:numPr>
      <w:ind w:left="284" w:hanging="284"/>
    </w:pPr>
  </w:style>
  <w:style w:type="paragraph" w:customStyle="1" w:styleId="BoxDash">
    <w:name w:val="Box Dash"/>
    <w:basedOn w:val="Normal"/>
    <w:rsid w:val="00DA03A2"/>
    <w:pPr>
      <w:numPr>
        <w:ilvl w:val="1"/>
        <w:numId w:val="2"/>
      </w:numPr>
      <w:ind w:left="568"/>
    </w:pPr>
  </w:style>
  <w:style w:type="paragraph" w:customStyle="1" w:styleId="BoxDoubleDot">
    <w:name w:val="Box Double Dot"/>
    <w:basedOn w:val="Normal"/>
    <w:rsid w:val="00DA03A2"/>
    <w:pPr>
      <w:numPr>
        <w:ilvl w:val="2"/>
        <w:numId w:val="2"/>
      </w:numPr>
      <w:ind w:left="851" w:hanging="284"/>
    </w:pPr>
  </w:style>
  <w:style w:type="paragraph" w:customStyle="1" w:styleId="BoxHeading">
    <w:name w:val="Box Heading"/>
    <w:basedOn w:val="Normal"/>
    <w:next w:val="Normal"/>
    <w:rsid w:val="00DA03A2"/>
    <w:pPr>
      <w:keepNext/>
      <w:spacing w:before="240"/>
    </w:pPr>
    <w:rPr>
      <w:b/>
      <w:color w:val="004A7F"/>
      <w:sz w:val="26"/>
      <w:szCs w:val="26"/>
    </w:rPr>
  </w:style>
  <w:style w:type="paragraph" w:customStyle="1" w:styleId="BoxText">
    <w:name w:val="Box Text"/>
    <w:basedOn w:val="Normal"/>
    <w:rsid w:val="00DA03A2"/>
  </w:style>
  <w:style w:type="paragraph" w:customStyle="1" w:styleId="Bullet">
    <w:name w:val="Bullet"/>
    <w:basedOn w:val="Normal"/>
    <w:link w:val="BulletChar"/>
    <w:qFormat/>
    <w:rsid w:val="00DA03A2"/>
    <w:pPr>
      <w:numPr>
        <w:numId w:val="1"/>
      </w:numPr>
    </w:pPr>
  </w:style>
  <w:style w:type="paragraph" w:customStyle="1" w:styleId="ChartandTableFootnoteAlpha">
    <w:name w:val="Chart and Table Footnote Alpha"/>
    <w:rsid w:val="00DA03A2"/>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DA03A2"/>
    <w:pPr>
      <w:jc w:val="center"/>
    </w:pPr>
  </w:style>
  <w:style w:type="paragraph" w:customStyle="1" w:styleId="ChartorTableNote">
    <w:name w:val="Chart or Table Note"/>
    <w:next w:val="Normal"/>
    <w:rsid w:val="00DA03A2"/>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DA03A2"/>
    <w:pPr>
      <w:jc w:val="center"/>
    </w:pPr>
  </w:style>
  <w:style w:type="paragraph" w:customStyle="1" w:styleId="ReportDate">
    <w:name w:val="Report Date"/>
    <w:basedOn w:val="Normal"/>
    <w:link w:val="ReportDateChar"/>
    <w:rsid w:val="00DA03A2"/>
    <w:pPr>
      <w:keepNext/>
      <w:spacing w:before="1080" w:after="360"/>
      <w:jc w:val="right"/>
    </w:pPr>
    <w:rPr>
      <w:color w:val="0084BC" w:themeColor="accent1"/>
      <w:sz w:val="44"/>
    </w:rPr>
  </w:style>
  <w:style w:type="paragraph" w:customStyle="1" w:styleId="Dash">
    <w:name w:val="Dash"/>
    <w:basedOn w:val="Normal"/>
    <w:rsid w:val="00DA03A2"/>
    <w:pPr>
      <w:numPr>
        <w:ilvl w:val="1"/>
        <w:numId w:val="1"/>
      </w:numPr>
      <w:ind w:left="568"/>
    </w:pPr>
  </w:style>
  <w:style w:type="paragraph" w:customStyle="1" w:styleId="DoubleDot">
    <w:name w:val="Double Dot"/>
    <w:basedOn w:val="Normal"/>
    <w:rsid w:val="00DA03A2"/>
    <w:pPr>
      <w:numPr>
        <w:ilvl w:val="2"/>
        <w:numId w:val="1"/>
      </w:numPr>
      <w:ind w:left="851" w:hanging="284"/>
    </w:pPr>
  </w:style>
  <w:style w:type="paragraph" w:customStyle="1" w:styleId="TableMainHeading">
    <w:name w:val="Table Main Heading"/>
    <w:basedOn w:val="Heading3"/>
    <w:next w:val="Normal"/>
    <w:rsid w:val="00DA03A2"/>
    <w:pPr>
      <w:spacing w:before="120" w:after="0"/>
    </w:pPr>
    <w:rPr>
      <w:b/>
    </w:rPr>
  </w:style>
  <w:style w:type="paragraph" w:customStyle="1" w:styleId="FooterEven">
    <w:name w:val="Footer Even"/>
    <w:basedOn w:val="Footer"/>
    <w:rsid w:val="00DA03A2"/>
    <w:pPr>
      <w:keepNext/>
      <w:tabs>
        <w:tab w:val="clear" w:pos="4513"/>
        <w:tab w:val="clear" w:pos="9026"/>
      </w:tabs>
      <w:jc w:val="left"/>
    </w:pPr>
    <w:rPr>
      <w:noProof/>
      <w:color w:val="0084BC" w:themeColor="accent1"/>
    </w:rPr>
  </w:style>
  <w:style w:type="paragraph" w:customStyle="1" w:styleId="FooterOdd">
    <w:name w:val="Footer Odd"/>
    <w:basedOn w:val="Footer"/>
    <w:rsid w:val="00DA03A2"/>
    <w:pPr>
      <w:keepNext/>
      <w:tabs>
        <w:tab w:val="clear" w:pos="4513"/>
        <w:tab w:val="clear" w:pos="9026"/>
      </w:tabs>
      <w:jc w:val="right"/>
    </w:pPr>
    <w:rPr>
      <w:color w:val="0084BC" w:themeColor="accent1"/>
    </w:rPr>
  </w:style>
  <w:style w:type="character" w:styleId="Hyperlink">
    <w:name w:val="Hyperlink"/>
    <w:basedOn w:val="DefaultParagraphFont"/>
    <w:uiPriority w:val="99"/>
    <w:rsid w:val="00DA03A2"/>
    <w:rPr>
      <w:color w:val="396984"/>
      <w:u w:val="none"/>
    </w:rPr>
  </w:style>
  <w:style w:type="paragraph" w:customStyle="1" w:styleId="OutlineNumbered1">
    <w:name w:val="Outline Numbered 1"/>
    <w:basedOn w:val="Normal"/>
    <w:rsid w:val="00DA03A2"/>
    <w:pPr>
      <w:numPr>
        <w:numId w:val="6"/>
      </w:numPr>
    </w:pPr>
  </w:style>
  <w:style w:type="paragraph" w:customStyle="1" w:styleId="OneLevelNumberedParagraph">
    <w:name w:val="One Level Numbered Paragraph"/>
    <w:basedOn w:val="Normal"/>
    <w:rsid w:val="00DA03A2"/>
    <w:pPr>
      <w:numPr>
        <w:numId w:val="5"/>
      </w:numPr>
    </w:pPr>
  </w:style>
  <w:style w:type="paragraph" w:customStyle="1" w:styleId="OutlineNumbered2">
    <w:name w:val="Outline Numbered 2"/>
    <w:basedOn w:val="Normal"/>
    <w:rsid w:val="00DA03A2"/>
    <w:pPr>
      <w:numPr>
        <w:ilvl w:val="1"/>
        <w:numId w:val="6"/>
      </w:numPr>
    </w:pPr>
  </w:style>
  <w:style w:type="paragraph" w:customStyle="1" w:styleId="OutlineNumbered3">
    <w:name w:val="Outline Numbered 3"/>
    <w:basedOn w:val="Normal"/>
    <w:rsid w:val="00DA03A2"/>
    <w:pPr>
      <w:numPr>
        <w:ilvl w:val="2"/>
        <w:numId w:val="6"/>
      </w:numPr>
    </w:pPr>
  </w:style>
  <w:style w:type="paragraph" w:customStyle="1" w:styleId="Romannumeral">
    <w:name w:val="Roman numeral"/>
    <w:basedOn w:val="Normal"/>
    <w:rsid w:val="00DA03A2"/>
    <w:pPr>
      <w:numPr>
        <w:numId w:val="10"/>
      </w:numPr>
      <w:tabs>
        <w:tab w:val="clear" w:pos="720"/>
        <w:tab w:val="num" w:pos="851"/>
      </w:tabs>
      <w:ind w:left="851" w:hanging="851"/>
    </w:pPr>
  </w:style>
  <w:style w:type="paragraph" w:customStyle="1" w:styleId="SingleParagraph">
    <w:name w:val="Single Paragraph"/>
    <w:basedOn w:val="Normal"/>
    <w:link w:val="SingleParagraphChar"/>
    <w:rsid w:val="00DA03A2"/>
    <w:pPr>
      <w:spacing w:after="0"/>
    </w:pPr>
  </w:style>
  <w:style w:type="paragraph" w:customStyle="1" w:styleId="TableSecondHeading">
    <w:name w:val="Table Second Heading"/>
    <w:basedOn w:val="Normal"/>
    <w:next w:val="Normal"/>
    <w:rsid w:val="00DA03A2"/>
    <w:pPr>
      <w:keepNext/>
      <w:spacing w:after="20"/>
    </w:pPr>
    <w:rPr>
      <w:b/>
      <w:color w:val="396984"/>
    </w:rPr>
  </w:style>
  <w:style w:type="paragraph" w:customStyle="1" w:styleId="TableColumnHeadingCentred">
    <w:name w:val="Table Column Heading Centred"/>
    <w:basedOn w:val="TableTextLeft"/>
    <w:rsid w:val="00DA03A2"/>
    <w:pPr>
      <w:jc w:val="center"/>
    </w:pPr>
    <w:rPr>
      <w:b/>
      <w:color w:val="FFFFFF" w:themeColor="background1"/>
      <w:sz w:val="24"/>
    </w:rPr>
  </w:style>
  <w:style w:type="paragraph" w:customStyle="1" w:styleId="TableColumnHeadingLeft">
    <w:name w:val="Table Column Heading Left"/>
    <w:basedOn w:val="TableTextLeft"/>
    <w:rsid w:val="00DA03A2"/>
    <w:rPr>
      <w:b/>
      <w:color w:val="FFFFFF" w:themeColor="background1"/>
      <w:sz w:val="24"/>
    </w:rPr>
  </w:style>
  <w:style w:type="paragraph" w:customStyle="1" w:styleId="TableColumnHeadingRight">
    <w:name w:val="Table Column Heading Right"/>
    <w:basedOn w:val="TableTextLeft"/>
    <w:rsid w:val="00DA03A2"/>
    <w:pPr>
      <w:jc w:val="right"/>
    </w:pPr>
    <w:rPr>
      <w:b/>
      <w:color w:val="FFFFFF" w:themeColor="background1"/>
      <w:sz w:val="24"/>
    </w:rPr>
  </w:style>
  <w:style w:type="table" w:styleId="TableGrid">
    <w:name w:val="Table Grid"/>
    <w:basedOn w:val="TableNormal"/>
    <w:rsid w:val="00DA03A2"/>
    <w:pPr>
      <w:spacing w:before="120" w:after="120" w:line="240" w:lineRule="auto"/>
    </w:pPr>
    <w:rPr>
      <w:rFonts w:eastAsia="Times New Roman" w:cs="Times New Roman"/>
      <w:szCs w:val="20"/>
      <w:lang w:eastAsia="en-AU"/>
    </w:rPr>
    <w:tblPr>
      <w:tblBorders>
        <w:top w:val="single" w:sz="4" w:space="0" w:color="396984"/>
        <w:left w:val="single" w:sz="4" w:space="0" w:color="396984"/>
        <w:bottom w:val="single" w:sz="4" w:space="0" w:color="396984"/>
        <w:right w:val="single" w:sz="4" w:space="0" w:color="396984"/>
        <w:insideH w:val="single" w:sz="4" w:space="0" w:color="396984"/>
        <w:insideV w:val="single" w:sz="4" w:space="0" w:color="396984"/>
      </w:tblBorders>
    </w:tblPr>
    <w:tcPr>
      <w:shd w:val="clear" w:color="auto" w:fill="auto"/>
    </w:tcPr>
    <w:tblStylePr w:type="firstRow">
      <w:pPr>
        <w:jc w:val="left"/>
      </w:pPr>
      <w:rPr>
        <w:rFonts w:asciiTheme="minorHAnsi" w:hAnsiTheme="minorHAnsi"/>
        <w:b/>
        <w:color w:val="FFFFFF" w:themeColor="background1"/>
        <w:sz w:val="24"/>
      </w:rPr>
      <w:tblPr/>
      <w:tcPr>
        <w:shd w:val="clear" w:color="auto" w:fill="396984"/>
        <w:vAlign w:val="center"/>
      </w:tcPr>
    </w:tblStylePr>
  </w:style>
  <w:style w:type="paragraph" w:customStyle="1" w:styleId="TableTextCentered">
    <w:name w:val="Table Text Centered"/>
    <w:basedOn w:val="TableTextRight"/>
    <w:rsid w:val="00DA03A2"/>
    <w:pPr>
      <w:jc w:val="center"/>
    </w:pPr>
  </w:style>
  <w:style w:type="paragraph" w:customStyle="1" w:styleId="TableTextLeft">
    <w:name w:val="Table Text Left"/>
    <w:basedOn w:val="TableTextRight"/>
    <w:rsid w:val="00DA03A2"/>
    <w:pPr>
      <w:jc w:val="left"/>
    </w:pPr>
  </w:style>
  <w:style w:type="paragraph" w:customStyle="1" w:styleId="TableTextRight">
    <w:name w:val="Table Text Right"/>
    <w:basedOn w:val="Normal"/>
    <w:rsid w:val="00DA03A2"/>
    <w:pPr>
      <w:spacing w:before="40" w:after="40"/>
      <w:jc w:val="right"/>
    </w:pPr>
    <w:rPr>
      <w:color w:val="000000"/>
      <w:sz w:val="20"/>
    </w:rPr>
  </w:style>
  <w:style w:type="paragraph" w:styleId="TOC1">
    <w:name w:val="toc 1"/>
    <w:basedOn w:val="Normal"/>
    <w:next w:val="Normal"/>
    <w:uiPriority w:val="39"/>
    <w:qFormat/>
    <w:rsid w:val="00DA03A2"/>
    <w:pPr>
      <w:keepNext/>
      <w:tabs>
        <w:tab w:val="right" w:leader="dot" w:pos="9072"/>
      </w:tabs>
      <w:spacing w:before="180" w:after="0"/>
      <w:ind w:right="-2"/>
    </w:pPr>
    <w:rPr>
      <w:b/>
      <w:noProof/>
      <w:color w:val="004A7F"/>
    </w:rPr>
  </w:style>
  <w:style w:type="paragraph" w:styleId="TOC2">
    <w:name w:val="toc 2"/>
    <w:basedOn w:val="Normal"/>
    <w:next w:val="Normal"/>
    <w:uiPriority w:val="39"/>
    <w:qFormat/>
    <w:rsid w:val="00DA03A2"/>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DA03A2"/>
    <w:pPr>
      <w:tabs>
        <w:tab w:val="right" w:leader="dot" w:pos="9072"/>
      </w:tabs>
      <w:spacing w:before="20" w:after="0"/>
      <w:ind w:left="284" w:right="-2"/>
    </w:pPr>
    <w:rPr>
      <w:rFonts w:cs="Calibri"/>
      <w:noProof/>
    </w:rPr>
  </w:style>
  <w:style w:type="numbering" w:customStyle="1" w:styleId="OutlineList">
    <w:name w:val="OutlineList"/>
    <w:uiPriority w:val="99"/>
    <w:rsid w:val="00DA03A2"/>
    <w:pPr>
      <w:numPr>
        <w:numId w:val="4"/>
      </w:numPr>
    </w:pPr>
  </w:style>
  <w:style w:type="numbering" w:customStyle="1" w:styleId="BulletedList">
    <w:name w:val="Bulleted List"/>
    <w:uiPriority w:val="99"/>
    <w:rsid w:val="00DA03A2"/>
    <w:pPr>
      <w:numPr>
        <w:numId w:val="1"/>
      </w:numPr>
    </w:pPr>
  </w:style>
  <w:style w:type="numbering" w:customStyle="1" w:styleId="BoxBulletedList">
    <w:name w:val="Box Bulleted List"/>
    <w:uiPriority w:val="99"/>
    <w:rsid w:val="00DA03A2"/>
    <w:pPr>
      <w:numPr>
        <w:numId w:val="2"/>
      </w:numPr>
    </w:pPr>
  </w:style>
  <w:style w:type="numbering" w:customStyle="1" w:styleId="OneLevelList">
    <w:name w:val="OneLevelList"/>
    <w:uiPriority w:val="99"/>
    <w:rsid w:val="00DA03A2"/>
    <w:pPr>
      <w:numPr>
        <w:numId w:val="3"/>
      </w:numPr>
    </w:pPr>
  </w:style>
  <w:style w:type="numbering" w:customStyle="1" w:styleId="ChartandTableFootnoteAlphaList">
    <w:name w:val="ChartandTableFootnoteAlphaList"/>
    <w:uiPriority w:val="99"/>
    <w:rsid w:val="00DA03A2"/>
    <w:pPr>
      <w:numPr>
        <w:numId w:val="17"/>
      </w:numPr>
    </w:pPr>
  </w:style>
  <w:style w:type="paragraph" w:customStyle="1" w:styleId="Crest">
    <w:name w:val="Crest"/>
    <w:basedOn w:val="Header"/>
    <w:rsid w:val="00DA03A2"/>
    <w:pPr>
      <w:spacing w:after="480"/>
      <w:jc w:val="center"/>
    </w:pPr>
    <w:rPr>
      <w:color w:val="000000" w:themeColor="text1"/>
    </w:rPr>
  </w:style>
  <w:style w:type="paragraph" w:customStyle="1" w:styleId="Heading1Numbered">
    <w:name w:val="Heading 1 Numbered"/>
    <w:basedOn w:val="Heading1"/>
    <w:next w:val="Normal"/>
    <w:rsid w:val="00DA03A2"/>
    <w:pPr>
      <w:numPr>
        <w:numId w:val="8"/>
      </w:numPr>
    </w:pPr>
  </w:style>
  <w:style w:type="character" w:customStyle="1" w:styleId="SingleParagraphChar">
    <w:name w:val="Single Paragraph Char"/>
    <w:basedOn w:val="DefaultParagraphFont"/>
    <w:link w:val="SingleParagraph"/>
    <w:rsid w:val="00DA03A2"/>
    <w:rPr>
      <w:rFonts w:ascii="Calibri" w:eastAsia="Times New Roman" w:hAnsi="Calibri" w:cs="Times New Roman"/>
      <w:szCs w:val="20"/>
      <w:lang w:eastAsia="en-AU"/>
    </w:rPr>
  </w:style>
  <w:style w:type="paragraph" w:customStyle="1" w:styleId="Heading2Numbered">
    <w:name w:val="Heading 2 Numbered"/>
    <w:basedOn w:val="Heading2"/>
    <w:next w:val="Normal"/>
    <w:rsid w:val="00DA03A2"/>
    <w:pPr>
      <w:numPr>
        <w:ilvl w:val="1"/>
        <w:numId w:val="8"/>
      </w:numPr>
      <w:ind w:left="284" w:hanging="284"/>
    </w:pPr>
  </w:style>
  <w:style w:type="paragraph" w:customStyle="1" w:styleId="Heading3Numbered">
    <w:name w:val="Heading 3 Numbered"/>
    <w:basedOn w:val="Heading3"/>
    <w:qFormat/>
    <w:rsid w:val="00DA03A2"/>
    <w:pPr>
      <w:numPr>
        <w:ilvl w:val="2"/>
        <w:numId w:val="8"/>
      </w:numPr>
      <w:ind w:left="284" w:hanging="284"/>
    </w:pPr>
  </w:style>
  <w:style w:type="paragraph" w:styleId="Title">
    <w:name w:val="Title"/>
    <w:basedOn w:val="Normal"/>
    <w:next w:val="Normal"/>
    <w:link w:val="TitleChar"/>
    <w:uiPriority w:val="10"/>
    <w:qFormat/>
    <w:rsid w:val="00DA03A2"/>
    <w:pPr>
      <w:contextualSpacing/>
      <w:jc w:val="right"/>
    </w:pPr>
    <w:rPr>
      <w:rFonts w:eastAsiaTheme="majorEastAsia" w:cstheme="majorBidi"/>
      <w:b/>
      <w:caps/>
      <w:color w:val="003150" w:themeColor="accent3"/>
      <w:spacing w:val="5"/>
      <w:kern w:val="28"/>
      <w:sz w:val="52"/>
      <w:szCs w:val="68"/>
    </w:rPr>
  </w:style>
  <w:style w:type="character" w:customStyle="1" w:styleId="TitleChar">
    <w:name w:val="Title Char"/>
    <w:basedOn w:val="DefaultParagraphFont"/>
    <w:link w:val="Title"/>
    <w:uiPriority w:val="10"/>
    <w:rsid w:val="00DA03A2"/>
    <w:rPr>
      <w:rFonts w:ascii="Calibri" w:eastAsiaTheme="majorEastAsia" w:hAnsi="Calibri" w:cstheme="majorBidi"/>
      <w:b/>
      <w:caps/>
      <w:color w:val="003150" w:themeColor="accent3"/>
      <w:spacing w:val="5"/>
      <w:kern w:val="28"/>
      <w:sz w:val="52"/>
      <w:szCs w:val="68"/>
      <w:lang w:eastAsia="en-AU"/>
    </w:rPr>
  </w:style>
  <w:style w:type="paragraph" w:styleId="Subtitle">
    <w:name w:val="Subtitle"/>
    <w:basedOn w:val="Normal"/>
    <w:next w:val="Normal"/>
    <w:link w:val="SubtitleChar"/>
    <w:uiPriority w:val="11"/>
    <w:qFormat/>
    <w:rsid w:val="00DA03A2"/>
    <w:pPr>
      <w:numPr>
        <w:ilvl w:val="1"/>
      </w:numPr>
      <w:jc w:val="right"/>
    </w:pPr>
    <w:rPr>
      <w:rFonts w:eastAsiaTheme="majorEastAsia" w:cstheme="majorBidi"/>
      <w:iCs/>
      <w:color w:val="7F7F7F" w:themeColor="text1" w:themeTint="80"/>
      <w:sz w:val="32"/>
      <w:szCs w:val="44"/>
    </w:rPr>
  </w:style>
  <w:style w:type="character" w:customStyle="1" w:styleId="SubtitleChar">
    <w:name w:val="Subtitle Char"/>
    <w:basedOn w:val="DefaultParagraphFont"/>
    <w:link w:val="Subtitle"/>
    <w:uiPriority w:val="11"/>
    <w:rsid w:val="00DA03A2"/>
    <w:rPr>
      <w:rFonts w:ascii="Calibri" w:eastAsiaTheme="majorEastAsia" w:hAnsi="Calibri" w:cstheme="majorBidi"/>
      <w:iCs/>
      <w:color w:val="7F7F7F" w:themeColor="text1" w:themeTint="80"/>
      <w:sz w:val="32"/>
      <w:szCs w:val="44"/>
      <w:lang w:eastAsia="en-AU"/>
    </w:rPr>
  </w:style>
  <w:style w:type="character" w:styleId="SubtleEmphasis">
    <w:name w:val="Subtle Emphasis"/>
    <w:basedOn w:val="DefaultParagraphFont"/>
    <w:uiPriority w:val="19"/>
    <w:qFormat/>
    <w:rsid w:val="00DA03A2"/>
    <w:rPr>
      <w:i/>
      <w:iCs/>
      <w:color w:val="808080" w:themeColor="text1" w:themeTint="7F"/>
    </w:rPr>
  </w:style>
  <w:style w:type="paragraph" w:styleId="Footer">
    <w:name w:val="footer"/>
    <w:basedOn w:val="Normal"/>
    <w:link w:val="FooterChar"/>
    <w:unhideWhenUsed/>
    <w:rsid w:val="00DA03A2"/>
    <w:pPr>
      <w:tabs>
        <w:tab w:val="center" w:pos="4513"/>
        <w:tab w:val="right" w:pos="9026"/>
      </w:tabs>
      <w:spacing w:after="0"/>
      <w:jc w:val="center"/>
    </w:pPr>
    <w:rPr>
      <w:color w:val="004A7F"/>
      <w:sz w:val="20"/>
    </w:rPr>
  </w:style>
  <w:style w:type="character" w:customStyle="1" w:styleId="FooterChar">
    <w:name w:val="Footer Char"/>
    <w:basedOn w:val="DefaultParagraphFont"/>
    <w:link w:val="Footer"/>
    <w:rsid w:val="00DA03A2"/>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DA03A2"/>
    <w:pPr>
      <w:keepNext/>
      <w:spacing w:after="0"/>
      <w:jc w:val="right"/>
    </w:pPr>
    <w:rPr>
      <w:color w:val="004A7F"/>
      <w:sz w:val="20"/>
    </w:rPr>
  </w:style>
  <w:style w:type="character" w:customStyle="1" w:styleId="HeaderChar">
    <w:name w:val="Header Char"/>
    <w:basedOn w:val="DefaultParagraphFont"/>
    <w:link w:val="Header"/>
    <w:uiPriority w:val="99"/>
    <w:rsid w:val="00DA03A2"/>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DA03A2"/>
    <w:rPr>
      <w:color w:val="808080"/>
    </w:rPr>
  </w:style>
  <w:style w:type="paragraph" w:customStyle="1" w:styleId="AppendixHeading">
    <w:name w:val="Appendix Heading"/>
    <w:basedOn w:val="Normal"/>
    <w:next w:val="Normal"/>
    <w:rsid w:val="00DA03A2"/>
    <w:pPr>
      <w:keepNext/>
      <w:spacing w:before="720" w:after="360"/>
    </w:pPr>
    <w:rPr>
      <w:rFonts w:ascii="Arial Bold" w:hAnsi="Arial Bold"/>
      <w:b/>
      <w:smallCaps/>
      <w:color w:val="004A7F"/>
      <w:sz w:val="36"/>
      <w:szCs w:val="36"/>
    </w:rPr>
  </w:style>
  <w:style w:type="paragraph" w:customStyle="1" w:styleId="HeadingBase">
    <w:name w:val="Heading Base"/>
    <w:qFormat/>
    <w:rsid w:val="00DA03A2"/>
    <w:pPr>
      <w:keepNext/>
      <w:spacing w:after="120" w:line="240" w:lineRule="auto"/>
    </w:pPr>
    <w:rPr>
      <w:rFonts w:ascii="Calibri" w:eastAsia="Times New Roman" w:hAnsi="Calibri" w:cs="Arial"/>
      <w:bCs/>
      <w:color w:val="2D4B6E"/>
      <w:kern w:val="32"/>
      <w:sz w:val="48"/>
      <w:szCs w:val="36"/>
      <w:lang w:eastAsia="en-AU"/>
    </w:rPr>
  </w:style>
  <w:style w:type="character" w:customStyle="1" w:styleId="ReportDateChar">
    <w:name w:val="Report Date Char"/>
    <w:basedOn w:val="DefaultParagraphFont"/>
    <w:link w:val="ReportDate"/>
    <w:rsid w:val="00DA03A2"/>
    <w:rPr>
      <w:rFonts w:ascii="Calibri" w:eastAsia="Times New Roman" w:hAnsi="Calibri" w:cs="Times New Roman"/>
      <w:color w:val="0084BC" w:themeColor="accent1"/>
      <w:sz w:val="44"/>
      <w:szCs w:val="20"/>
      <w:lang w:eastAsia="en-AU"/>
    </w:rPr>
  </w:style>
  <w:style w:type="paragraph" w:customStyle="1" w:styleId="Disclaimer">
    <w:name w:val="Disclaimer"/>
    <w:basedOn w:val="ReportDate"/>
    <w:rsid w:val="00DA03A2"/>
    <w:pPr>
      <w:spacing w:after="1800"/>
      <w:ind w:right="142"/>
    </w:pPr>
    <w:rPr>
      <w:rFonts w:ascii="Century Gothic" w:hAnsi="Century Gothic"/>
      <w:b/>
      <w:bCs/>
      <w:color w:val="000000" w:themeColor="text2"/>
      <w:sz w:val="22"/>
    </w:rPr>
  </w:style>
  <w:style w:type="paragraph" w:customStyle="1" w:styleId="NotesHeading">
    <w:name w:val="Notes Heading"/>
    <w:basedOn w:val="Normal"/>
    <w:rsid w:val="00DA03A2"/>
    <w:pPr>
      <w:keepNext/>
      <w:spacing w:before="240" w:after="360"/>
      <w:jc w:val="center"/>
    </w:pPr>
    <w:rPr>
      <w:rFonts w:ascii="Century Gothic" w:hAnsi="Century Gothic"/>
      <w:smallCaps/>
      <w:color w:val="000000" w:themeColor="text2"/>
      <w:sz w:val="36"/>
      <w:szCs w:val="36"/>
    </w:rPr>
  </w:style>
  <w:style w:type="paragraph" w:customStyle="1" w:styleId="Divider">
    <w:name w:val="Divider"/>
    <w:basedOn w:val="ReportDate"/>
    <w:rsid w:val="00DA03A2"/>
    <w:pPr>
      <w:spacing w:after="1800"/>
    </w:pPr>
    <w:rPr>
      <w:rFonts w:ascii="Rockwell" w:hAnsi="Rockwell"/>
      <w:sz w:val="24"/>
    </w:rPr>
  </w:style>
  <w:style w:type="character" w:customStyle="1" w:styleId="FramedFooter">
    <w:name w:val="Framed Footer"/>
    <w:rsid w:val="00DA03A2"/>
    <w:rPr>
      <w:rFonts w:ascii="Arial" w:hAnsi="Arial"/>
      <w:color w:val="004A7F"/>
      <w:sz w:val="18"/>
    </w:rPr>
  </w:style>
  <w:style w:type="character" w:customStyle="1" w:styleId="FramedHeader">
    <w:name w:val="Framed Header"/>
    <w:basedOn w:val="DefaultParagraphFont"/>
    <w:rsid w:val="00DA03A2"/>
    <w:rPr>
      <w:rFonts w:ascii="Arial" w:hAnsi="Arial"/>
      <w:dstrike w:val="0"/>
      <w:color w:val="auto"/>
      <w:sz w:val="18"/>
      <w:vertAlign w:val="baseline"/>
    </w:rPr>
  </w:style>
  <w:style w:type="paragraph" w:customStyle="1" w:styleId="TableTextIndented">
    <w:name w:val="Table Text Indented"/>
    <w:basedOn w:val="TableTextLeft"/>
    <w:qFormat/>
    <w:rsid w:val="00DA03A2"/>
    <w:pPr>
      <w:ind w:left="284"/>
    </w:pPr>
  </w:style>
  <w:style w:type="paragraph" w:customStyle="1" w:styleId="TableHeadingContinued">
    <w:name w:val="Table Heading Continued"/>
    <w:basedOn w:val="TableMainHeading"/>
    <w:next w:val="TableGraphic"/>
    <w:qFormat/>
    <w:rsid w:val="00DA03A2"/>
  </w:style>
  <w:style w:type="paragraph" w:customStyle="1" w:styleId="TableGraphic">
    <w:name w:val="Table Graphic"/>
    <w:basedOn w:val="HeadingBase"/>
    <w:next w:val="Normal"/>
    <w:qFormat/>
    <w:rsid w:val="00DA03A2"/>
    <w:pPr>
      <w:spacing w:after="0"/>
    </w:pPr>
  </w:style>
  <w:style w:type="paragraph" w:customStyle="1" w:styleId="HeaderEven">
    <w:name w:val="Header Even"/>
    <w:basedOn w:val="Header"/>
    <w:qFormat/>
    <w:rsid w:val="00DA03A2"/>
    <w:pPr>
      <w:jc w:val="left"/>
    </w:pPr>
    <w:rPr>
      <w:color w:val="0084BC" w:themeColor="accent1"/>
    </w:rPr>
  </w:style>
  <w:style w:type="paragraph" w:customStyle="1" w:styleId="HeaderOdd">
    <w:name w:val="Header Odd"/>
    <w:basedOn w:val="Header"/>
    <w:qFormat/>
    <w:rsid w:val="00DA03A2"/>
    <w:rPr>
      <w:color w:val="0084BC" w:themeColor="accent1"/>
    </w:rPr>
  </w:style>
  <w:style w:type="paragraph" w:styleId="FootnoteText">
    <w:name w:val="footnote text"/>
    <w:basedOn w:val="Normal"/>
    <w:link w:val="FootnoteTextChar"/>
    <w:uiPriority w:val="99"/>
    <w:rsid w:val="00DA03A2"/>
    <w:pPr>
      <w:tabs>
        <w:tab w:val="left" w:pos="284"/>
      </w:tabs>
      <w:spacing w:after="0"/>
    </w:pPr>
    <w:rPr>
      <w:sz w:val="20"/>
    </w:rPr>
  </w:style>
  <w:style w:type="character" w:customStyle="1" w:styleId="FootnoteTextChar">
    <w:name w:val="Footnote Text Char"/>
    <w:basedOn w:val="DefaultParagraphFont"/>
    <w:link w:val="FootnoteText"/>
    <w:uiPriority w:val="99"/>
    <w:rsid w:val="00DA03A2"/>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DA03A2"/>
    <w:rPr>
      <w:rFonts w:ascii="Calibri" w:hAnsi="Calibri"/>
      <w:sz w:val="20"/>
      <w:vertAlign w:val="baseline"/>
    </w:rPr>
  </w:style>
  <w:style w:type="paragraph" w:styleId="BalloonText">
    <w:name w:val="Balloon Text"/>
    <w:basedOn w:val="Normal"/>
    <w:link w:val="BalloonTextChar"/>
    <w:uiPriority w:val="99"/>
    <w:semiHidden/>
    <w:unhideWhenUsed/>
    <w:rsid w:val="00DA03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3A2"/>
    <w:rPr>
      <w:rFonts w:ascii="Tahoma" w:eastAsia="Times New Roman" w:hAnsi="Tahoma" w:cs="Tahoma"/>
      <w:sz w:val="16"/>
      <w:szCs w:val="16"/>
      <w:lang w:eastAsia="en-AU"/>
    </w:rPr>
  </w:style>
  <w:style w:type="paragraph" w:styleId="NoSpacing">
    <w:name w:val="No Spacing"/>
    <w:uiPriority w:val="1"/>
    <w:qFormat/>
    <w:rsid w:val="00DA03A2"/>
    <w:pPr>
      <w:spacing w:after="0" w:line="240" w:lineRule="auto"/>
    </w:pPr>
    <w:rPr>
      <w:rFonts w:ascii="Calibri" w:eastAsia="Times New Roman" w:hAnsi="Calibri" w:cs="Times New Roman"/>
      <w:szCs w:val="20"/>
      <w:lang w:eastAsia="en-AU"/>
    </w:rPr>
  </w:style>
  <w:style w:type="paragraph" w:styleId="IntenseQuote">
    <w:name w:val="Intense Quote"/>
    <w:basedOn w:val="Normal"/>
    <w:next w:val="Normal"/>
    <w:link w:val="IntenseQuoteChar"/>
    <w:uiPriority w:val="30"/>
    <w:qFormat/>
    <w:rsid w:val="00DA03A2"/>
    <w:pPr>
      <w:pBdr>
        <w:bottom w:val="single" w:sz="4" w:space="4" w:color="0084BC" w:themeColor="accent1"/>
      </w:pBdr>
      <w:spacing w:before="200" w:after="280"/>
      <w:ind w:left="936" w:right="936"/>
    </w:pPr>
    <w:rPr>
      <w:b/>
      <w:bCs/>
      <w:i/>
      <w:iCs/>
      <w:color w:val="0084BC" w:themeColor="accent1"/>
    </w:rPr>
  </w:style>
  <w:style w:type="character" w:customStyle="1" w:styleId="IntenseQuoteChar">
    <w:name w:val="Intense Quote Char"/>
    <w:basedOn w:val="DefaultParagraphFont"/>
    <w:link w:val="IntenseQuote"/>
    <w:uiPriority w:val="30"/>
    <w:rsid w:val="00DA03A2"/>
    <w:rPr>
      <w:rFonts w:ascii="Calibri" w:eastAsia="Times New Roman" w:hAnsi="Calibri" w:cs="Times New Roman"/>
      <w:b/>
      <w:bCs/>
      <w:i/>
      <w:iCs/>
      <w:color w:val="0084BC" w:themeColor="accent1"/>
      <w:szCs w:val="20"/>
      <w:lang w:eastAsia="en-AU"/>
    </w:rPr>
  </w:style>
  <w:style w:type="character" w:styleId="IntenseEmphasis">
    <w:name w:val="Intense Emphasis"/>
    <w:basedOn w:val="DefaultParagraphFont"/>
    <w:uiPriority w:val="21"/>
    <w:qFormat/>
    <w:rsid w:val="00DA03A2"/>
    <w:rPr>
      <w:b/>
      <w:bCs/>
      <w:i/>
      <w:iCs/>
      <w:color w:val="0084BC" w:themeColor="accent1"/>
    </w:rPr>
  </w:style>
  <w:style w:type="numbering" w:customStyle="1" w:styleId="Bulletlist">
    <w:name w:val="Bullet list"/>
    <w:uiPriority w:val="99"/>
    <w:rsid w:val="00DA03A2"/>
    <w:pPr>
      <w:numPr>
        <w:numId w:val="20"/>
      </w:numPr>
    </w:pPr>
  </w:style>
  <w:style w:type="character" w:customStyle="1" w:styleId="BulletChar">
    <w:name w:val="Bullet Char"/>
    <w:basedOn w:val="DefaultParagraphFont"/>
    <w:link w:val="Bullet"/>
    <w:rsid w:val="00DA03A2"/>
    <w:rPr>
      <w:rFonts w:ascii="Calibri" w:eastAsia="Times New Roman" w:hAnsi="Calibri" w:cs="Times New Roman"/>
      <w:szCs w:val="20"/>
      <w:lang w:eastAsia="en-AU"/>
    </w:rPr>
  </w:style>
  <w:style w:type="table" w:customStyle="1" w:styleId="LightList-Accent51">
    <w:name w:val="Light List - Accent 51"/>
    <w:basedOn w:val="TableNormal"/>
    <w:next w:val="LightList-Accent5"/>
    <w:uiPriority w:val="61"/>
    <w:rsid w:val="00DA03A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uiPriority w:val="99"/>
    <w:semiHidden/>
    <w:unhideWhenUsed/>
    <w:rsid w:val="00DA03A2"/>
    <w:rPr>
      <w:sz w:val="16"/>
      <w:szCs w:val="16"/>
    </w:rPr>
  </w:style>
  <w:style w:type="paragraph" w:styleId="CommentText">
    <w:name w:val="annotation text"/>
    <w:basedOn w:val="Normal"/>
    <w:link w:val="CommentTextChar"/>
    <w:uiPriority w:val="99"/>
    <w:semiHidden/>
    <w:unhideWhenUsed/>
    <w:rsid w:val="00DA03A2"/>
    <w:rPr>
      <w:rFonts w:ascii="Arial" w:hAnsi="Arial"/>
      <w:sz w:val="20"/>
    </w:rPr>
  </w:style>
  <w:style w:type="character" w:customStyle="1" w:styleId="CommentTextChar">
    <w:name w:val="Comment Text Char"/>
    <w:basedOn w:val="DefaultParagraphFont"/>
    <w:link w:val="CommentText"/>
    <w:uiPriority w:val="99"/>
    <w:semiHidden/>
    <w:rsid w:val="00DA03A2"/>
    <w:rPr>
      <w:rFonts w:ascii="Arial" w:hAnsi="Arial"/>
      <w:sz w:val="20"/>
      <w:szCs w:val="20"/>
    </w:rPr>
  </w:style>
  <w:style w:type="table" w:styleId="LightList-Accent5">
    <w:name w:val="Light List Accent 5"/>
    <w:basedOn w:val="TableNormal"/>
    <w:uiPriority w:val="61"/>
    <w:rsid w:val="00DA03A2"/>
    <w:pPr>
      <w:spacing w:after="0" w:line="240" w:lineRule="auto"/>
    </w:pPr>
    <w:tblPr>
      <w:tblStyleRowBandSize w:val="1"/>
      <w:tblStyleColBandSize w:val="1"/>
      <w:tblBorders>
        <w:top w:val="single" w:sz="8" w:space="0" w:color="99CEE4" w:themeColor="accent5"/>
        <w:left w:val="single" w:sz="8" w:space="0" w:color="99CEE4" w:themeColor="accent5"/>
        <w:bottom w:val="single" w:sz="8" w:space="0" w:color="99CEE4" w:themeColor="accent5"/>
        <w:right w:val="single" w:sz="8" w:space="0" w:color="99CEE4" w:themeColor="accent5"/>
      </w:tblBorders>
    </w:tblPr>
    <w:tblStylePr w:type="firstRow">
      <w:pPr>
        <w:spacing w:before="0" w:after="0" w:line="240" w:lineRule="auto"/>
      </w:pPr>
      <w:rPr>
        <w:b/>
        <w:bCs/>
        <w:color w:val="FFFFFF" w:themeColor="background1"/>
      </w:rPr>
      <w:tblPr/>
      <w:tcPr>
        <w:shd w:val="clear" w:color="auto" w:fill="99CEE4" w:themeFill="accent5"/>
      </w:tcPr>
    </w:tblStylePr>
    <w:tblStylePr w:type="lastRow">
      <w:pPr>
        <w:spacing w:before="0" w:after="0" w:line="240" w:lineRule="auto"/>
      </w:pPr>
      <w:rPr>
        <w:b/>
        <w:bCs/>
      </w:rPr>
      <w:tblPr/>
      <w:tcPr>
        <w:tcBorders>
          <w:top w:val="double" w:sz="6" w:space="0" w:color="99CEE4" w:themeColor="accent5"/>
          <w:left w:val="single" w:sz="8" w:space="0" w:color="99CEE4" w:themeColor="accent5"/>
          <w:bottom w:val="single" w:sz="8" w:space="0" w:color="99CEE4" w:themeColor="accent5"/>
          <w:right w:val="single" w:sz="8" w:space="0" w:color="99CEE4" w:themeColor="accent5"/>
        </w:tcBorders>
      </w:tcPr>
    </w:tblStylePr>
    <w:tblStylePr w:type="firstCol">
      <w:rPr>
        <w:b/>
        <w:bCs/>
      </w:rPr>
    </w:tblStylePr>
    <w:tblStylePr w:type="lastCol">
      <w:rPr>
        <w:b/>
        <w:bCs/>
      </w:rPr>
    </w:tblStylePr>
    <w:tblStylePr w:type="band1Vert">
      <w:tblPr/>
      <w:tcPr>
        <w:tcBorders>
          <w:top w:val="single" w:sz="8" w:space="0" w:color="99CEE4" w:themeColor="accent5"/>
          <w:left w:val="single" w:sz="8" w:space="0" w:color="99CEE4" w:themeColor="accent5"/>
          <w:bottom w:val="single" w:sz="8" w:space="0" w:color="99CEE4" w:themeColor="accent5"/>
          <w:right w:val="single" w:sz="8" w:space="0" w:color="99CEE4" w:themeColor="accent5"/>
        </w:tcBorders>
      </w:tcPr>
    </w:tblStylePr>
    <w:tblStylePr w:type="band1Horz">
      <w:tblPr/>
      <w:tcPr>
        <w:tcBorders>
          <w:top w:val="single" w:sz="8" w:space="0" w:color="99CEE4" w:themeColor="accent5"/>
          <w:left w:val="single" w:sz="8" w:space="0" w:color="99CEE4" w:themeColor="accent5"/>
          <w:bottom w:val="single" w:sz="8" w:space="0" w:color="99CEE4" w:themeColor="accent5"/>
          <w:right w:val="single" w:sz="8" w:space="0" w:color="99CEE4" w:themeColor="accent5"/>
        </w:tcBorders>
      </w:tcPr>
    </w:tblStylePr>
  </w:style>
  <w:style w:type="paragraph" w:styleId="CommentSubject">
    <w:name w:val="annotation subject"/>
    <w:basedOn w:val="CommentText"/>
    <w:next w:val="CommentText"/>
    <w:link w:val="CommentSubjectChar"/>
    <w:uiPriority w:val="99"/>
    <w:semiHidden/>
    <w:unhideWhenUsed/>
    <w:rsid w:val="00DA03A2"/>
    <w:rPr>
      <w:rFonts w:ascii="Calibri" w:eastAsia="Times New Roman" w:hAnsi="Calibri" w:cs="Times New Roman"/>
      <w:b/>
      <w:bCs/>
      <w:lang w:eastAsia="en-AU"/>
    </w:rPr>
  </w:style>
  <w:style w:type="character" w:customStyle="1" w:styleId="CommentSubjectChar">
    <w:name w:val="Comment Subject Char"/>
    <w:basedOn w:val="CommentTextChar"/>
    <w:link w:val="CommentSubject"/>
    <w:uiPriority w:val="99"/>
    <w:semiHidden/>
    <w:rsid w:val="00DA03A2"/>
    <w:rPr>
      <w:rFonts w:ascii="Calibri" w:eastAsia="Times New Roman" w:hAnsi="Calibri" w:cs="Times New Roman"/>
      <w:b/>
      <w:bCs/>
      <w:sz w:val="20"/>
      <w:szCs w:val="20"/>
      <w:lang w:eastAsia="en-AU"/>
    </w:rPr>
  </w:style>
  <w:style w:type="table" w:styleId="LightList-Accent3">
    <w:name w:val="Light List Accent 3"/>
    <w:basedOn w:val="TableNormal"/>
    <w:uiPriority w:val="61"/>
    <w:rsid w:val="00DA03A2"/>
    <w:pPr>
      <w:spacing w:after="0" w:line="240" w:lineRule="auto"/>
    </w:pPr>
    <w:tblPr>
      <w:tblStyleRowBandSize w:val="1"/>
      <w:tblStyleColBandSize w:val="1"/>
      <w:tblBorders>
        <w:top w:val="single" w:sz="8" w:space="0" w:color="003150" w:themeColor="accent3"/>
        <w:left w:val="single" w:sz="8" w:space="0" w:color="003150" w:themeColor="accent3"/>
        <w:bottom w:val="single" w:sz="8" w:space="0" w:color="003150" w:themeColor="accent3"/>
        <w:right w:val="single" w:sz="8" w:space="0" w:color="003150" w:themeColor="accent3"/>
      </w:tblBorders>
    </w:tblPr>
    <w:tblStylePr w:type="firstRow">
      <w:pPr>
        <w:spacing w:before="0" w:after="0" w:line="240" w:lineRule="auto"/>
      </w:pPr>
      <w:rPr>
        <w:b/>
        <w:bCs/>
        <w:color w:val="FFFFFF" w:themeColor="background1"/>
      </w:rPr>
      <w:tblPr/>
      <w:tcPr>
        <w:shd w:val="clear" w:color="auto" w:fill="003150" w:themeFill="accent3"/>
      </w:tcPr>
    </w:tblStylePr>
    <w:tblStylePr w:type="lastRow">
      <w:pPr>
        <w:spacing w:before="0" w:after="0" w:line="240" w:lineRule="auto"/>
      </w:pPr>
      <w:rPr>
        <w:b/>
        <w:bCs/>
      </w:rPr>
      <w:tblPr/>
      <w:tcPr>
        <w:tcBorders>
          <w:top w:val="double" w:sz="6" w:space="0" w:color="003150" w:themeColor="accent3"/>
          <w:left w:val="single" w:sz="8" w:space="0" w:color="003150" w:themeColor="accent3"/>
          <w:bottom w:val="single" w:sz="8" w:space="0" w:color="003150" w:themeColor="accent3"/>
          <w:right w:val="single" w:sz="8" w:space="0" w:color="003150" w:themeColor="accent3"/>
        </w:tcBorders>
      </w:tcPr>
    </w:tblStylePr>
    <w:tblStylePr w:type="firstCol">
      <w:rPr>
        <w:b/>
        <w:bCs/>
      </w:rPr>
    </w:tblStylePr>
    <w:tblStylePr w:type="lastCol">
      <w:rPr>
        <w:b/>
        <w:bCs/>
      </w:rPr>
    </w:tblStylePr>
    <w:tblStylePr w:type="band1Vert">
      <w:tblPr/>
      <w:tcPr>
        <w:tcBorders>
          <w:top w:val="single" w:sz="8" w:space="0" w:color="003150" w:themeColor="accent3"/>
          <w:left w:val="single" w:sz="8" w:space="0" w:color="003150" w:themeColor="accent3"/>
          <w:bottom w:val="single" w:sz="8" w:space="0" w:color="003150" w:themeColor="accent3"/>
          <w:right w:val="single" w:sz="8" w:space="0" w:color="003150" w:themeColor="accent3"/>
        </w:tcBorders>
      </w:tcPr>
    </w:tblStylePr>
    <w:tblStylePr w:type="band1Horz">
      <w:tblPr/>
      <w:tcPr>
        <w:tcBorders>
          <w:top w:val="single" w:sz="8" w:space="0" w:color="003150" w:themeColor="accent3"/>
          <w:left w:val="single" w:sz="8" w:space="0" w:color="003150" w:themeColor="accent3"/>
          <w:bottom w:val="single" w:sz="8" w:space="0" w:color="003150" w:themeColor="accent3"/>
          <w:right w:val="single" w:sz="8" w:space="0" w:color="003150" w:themeColor="accent3"/>
        </w:tcBorders>
      </w:tcPr>
    </w:tblStylePr>
  </w:style>
  <w:style w:type="paragraph" w:styleId="TOCHeading">
    <w:name w:val="TOC Heading"/>
    <w:basedOn w:val="Heading1"/>
    <w:next w:val="Normal"/>
    <w:uiPriority w:val="39"/>
    <w:semiHidden/>
    <w:unhideWhenUsed/>
    <w:qFormat/>
    <w:rsid w:val="00DA03A2"/>
    <w:pPr>
      <w:keepLines/>
      <w:spacing w:before="480" w:after="0" w:line="276" w:lineRule="auto"/>
      <w:outlineLvl w:val="9"/>
    </w:pPr>
    <w:rPr>
      <w:rFonts w:asciiTheme="majorHAnsi" w:eastAsiaTheme="majorEastAsia" w:hAnsiTheme="majorHAnsi" w:cstheme="majorBidi"/>
      <w:bCs/>
      <w:color w:val="00628C" w:themeColor="accent1" w:themeShade="BF"/>
      <w:kern w:val="0"/>
      <w:sz w:val="28"/>
      <w:szCs w:val="28"/>
      <w:lang w:val="en-US" w:eastAsia="ja-JP"/>
    </w:rPr>
  </w:style>
  <w:style w:type="paragraph" w:customStyle="1" w:styleId="RecommendationHeading">
    <w:name w:val="Recommendation Heading"/>
    <w:basedOn w:val="Heading3"/>
    <w:qFormat/>
    <w:rsid w:val="00E23D55"/>
    <w:pPr>
      <w:keepNext w:val="0"/>
      <w:spacing w:after="240"/>
    </w:pPr>
    <w:rPr>
      <w:color w:val="0072BB" w:themeColor="accent3" w:themeTint="BF"/>
      <w:sz w:val="24"/>
    </w:rPr>
  </w:style>
  <w:style w:type="character" w:customStyle="1" w:styleId="Bluebold">
    <w:name w:val="Blue bold"/>
    <w:basedOn w:val="DefaultParagraphFont"/>
    <w:uiPriority w:val="1"/>
    <w:qFormat/>
    <w:rsid w:val="00DA03A2"/>
    <w:rPr>
      <w:b/>
      <w:color w:val="396984"/>
    </w:rPr>
  </w:style>
  <w:style w:type="paragraph" w:customStyle="1" w:styleId="RecommendationHedaing">
    <w:name w:val="Recommendation Hedaing"/>
    <w:basedOn w:val="Heading3"/>
    <w:qFormat/>
    <w:rsid w:val="00DA03A2"/>
    <w:rPr>
      <w:color w:val="396984"/>
      <w:sz w:val="24"/>
    </w:rPr>
  </w:style>
  <w:style w:type="paragraph" w:customStyle="1" w:styleId="SecurityClassificationHeader">
    <w:name w:val="Security Classification Header"/>
    <w:link w:val="SecurityClassificationHeaderChar"/>
    <w:rsid w:val="002F71E6"/>
    <w:pPr>
      <w:spacing w:before="240" w:after="60"/>
      <w:jc w:val="center"/>
    </w:pPr>
    <w:rPr>
      <w:rFonts w:ascii="Calibri" w:eastAsia="Times New Roman" w:hAnsi="Calibri" w:cs="Times New Roman"/>
      <w:b/>
      <w:caps/>
      <w:color w:val="004A7F"/>
      <w:sz w:val="24"/>
      <w:szCs w:val="20"/>
      <w:lang w:eastAsia="en-AU"/>
    </w:rPr>
  </w:style>
  <w:style w:type="character" w:customStyle="1" w:styleId="SecurityClassificationHeaderChar">
    <w:name w:val="Security Classification Header Char"/>
    <w:basedOn w:val="HeaderChar"/>
    <w:link w:val="SecurityClassificationHeader"/>
    <w:rsid w:val="002F71E6"/>
    <w:rPr>
      <w:rFonts w:ascii="Calibri" w:eastAsia="Times New Roman" w:hAnsi="Calibri" w:cs="Times New Roman"/>
      <w:b/>
      <w:caps/>
      <w:color w:val="004A7F"/>
      <w:sz w:val="24"/>
      <w:szCs w:val="20"/>
      <w:lang w:eastAsia="en-AU"/>
    </w:rPr>
  </w:style>
  <w:style w:type="paragraph" w:customStyle="1" w:styleId="SecurityClassificationFooter">
    <w:name w:val="Security Classification Footer"/>
    <w:link w:val="SecurityClassificationFooterChar"/>
    <w:rsid w:val="002F71E6"/>
    <w:pPr>
      <w:spacing w:before="60" w:after="240"/>
      <w:jc w:val="center"/>
    </w:pPr>
    <w:rPr>
      <w:rFonts w:ascii="Calibri" w:eastAsia="Times New Roman" w:hAnsi="Calibri" w:cs="Times New Roman"/>
      <w:b/>
      <w:caps/>
      <w:color w:val="004A7F"/>
      <w:sz w:val="24"/>
      <w:szCs w:val="20"/>
      <w:lang w:eastAsia="en-AU"/>
    </w:rPr>
  </w:style>
  <w:style w:type="character" w:customStyle="1" w:styleId="SecurityClassificationFooterChar">
    <w:name w:val="Security Classification Footer Char"/>
    <w:basedOn w:val="HeaderChar"/>
    <w:link w:val="SecurityClassificationFooter"/>
    <w:rsid w:val="002F71E6"/>
    <w:rPr>
      <w:rFonts w:ascii="Calibri" w:eastAsia="Times New Roman" w:hAnsi="Calibri" w:cs="Times New Roman"/>
      <w:b/>
      <w:caps/>
      <w:color w:val="004A7F"/>
      <w:sz w:val="24"/>
      <w:szCs w:val="20"/>
      <w:lang w:eastAsia="en-AU"/>
    </w:rPr>
  </w:style>
  <w:style w:type="paragraph" w:customStyle="1" w:styleId="DLMSecurityHeader">
    <w:name w:val="DLM Security Header"/>
    <w:link w:val="DLMSecurityHeaderChar"/>
    <w:rsid w:val="002F71E6"/>
    <w:pPr>
      <w:spacing w:before="60" w:after="240"/>
      <w:jc w:val="center"/>
    </w:pPr>
    <w:rPr>
      <w:rFonts w:ascii="Calibri" w:eastAsia="Times New Roman" w:hAnsi="Calibri" w:cs="Times New Roman"/>
      <w:b/>
      <w:caps/>
      <w:color w:val="004A7F"/>
      <w:sz w:val="24"/>
      <w:szCs w:val="20"/>
      <w:lang w:eastAsia="en-AU"/>
    </w:rPr>
  </w:style>
  <w:style w:type="character" w:customStyle="1" w:styleId="DLMSecurityHeaderChar">
    <w:name w:val="DLM Security Header Char"/>
    <w:basedOn w:val="HeaderChar"/>
    <w:link w:val="DLMSecurityHeader"/>
    <w:rsid w:val="002F71E6"/>
    <w:rPr>
      <w:rFonts w:ascii="Calibri" w:eastAsia="Times New Roman" w:hAnsi="Calibri" w:cs="Times New Roman"/>
      <w:b/>
      <w:caps/>
      <w:color w:val="004A7F"/>
      <w:sz w:val="24"/>
      <w:szCs w:val="20"/>
      <w:lang w:eastAsia="en-AU"/>
    </w:rPr>
  </w:style>
  <w:style w:type="paragraph" w:customStyle="1" w:styleId="DLMSecurityFooter">
    <w:name w:val="DLM Security Footer"/>
    <w:link w:val="DLMSecurityFooterChar"/>
    <w:rsid w:val="002F71E6"/>
    <w:pPr>
      <w:spacing w:before="240" w:after="60"/>
      <w:jc w:val="center"/>
    </w:pPr>
    <w:rPr>
      <w:rFonts w:ascii="Calibri" w:eastAsia="Times New Roman" w:hAnsi="Calibri" w:cs="Times New Roman"/>
      <w:b/>
      <w:caps/>
      <w:color w:val="004A7F"/>
      <w:sz w:val="24"/>
      <w:szCs w:val="20"/>
      <w:lang w:eastAsia="en-AU"/>
    </w:rPr>
  </w:style>
  <w:style w:type="character" w:customStyle="1" w:styleId="DLMSecurityFooterChar">
    <w:name w:val="DLM Security Footer Char"/>
    <w:basedOn w:val="HeaderChar"/>
    <w:link w:val="DLMSecurityFooter"/>
    <w:rsid w:val="002F71E6"/>
    <w:rPr>
      <w:rFonts w:ascii="Calibri" w:eastAsia="Times New Roman" w:hAnsi="Calibri" w:cs="Times New Roman"/>
      <w:b/>
      <w:caps/>
      <w:color w:val="004A7F"/>
      <w:sz w:val="24"/>
      <w:szCs w:val="20"/>
      <w:lang w:eastAsia="en-AU"/>
    </w:rPr>
  </w:style>
  <w:style w:type="paragraph" w:customStyle="1" w:styleId="Contact">
    <w:name w:val="Contact"/>
    <w:basedOn w:val="Normal"/>
    <w:qFormat/>
    <w:rsid w:val="00A57D9C"/>
    <w:rPr>
      <w:b/>
    </w:rPr>
  </w:style>
  <w:style w:type="paragraph" w:styleId="Revision">
    <w:name w:val="Revision"/>
    <w:hidden/>
    <w:uiPriority w:val="99"/>
    <w:semiHidden/>
    <w:rsid w:val="00DC7231"/>
    <w:pPr>
      <w:spacing w:after="0" w:line="240" w:lineRule="auto"/>
    </w:pPr>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650986049">
      <w:bodyDiv w:val="1"/>
      <w:marLeft w:val="0"/>
      <w:marRight w:val="0"/>
      <w:marTop w:val="0"/>
      <w:marBottom w:val="0"/>
      <w:divBdr>
        <w:top w:val="none" w:sz="0" w:space="0" w:color="auto"/>
        <w:left w:val="none" w:sz="0" w:space="0" w:color="auto"/>
        <w:bottom w:val="none" w:sz="0" w:space="0" w:color="auto"/>
        <w:right w:val="none" w:sz="0" w:space="0" w:color="auto"/>
      </w:divBdr>
    </w:div>
    <w:div w:id="1631401037">
      <w:bodyDiv w:val="1"/>
      <w:marLeft w:val="0"/>
      <w:marRight w:val="0"/>
      <w:marTop w:val="0"/>
      <w:marBottom w:val="0"/>
      <w:divBdr>
        <w:top w:val="none" w:sz="0" w:space="0" w:color="auto"/>
        <w:left w:val="none" w:sz="0" w:space="0" w:color="auto"/>
        <w:bottom w:val="none" w:sz="0" w:space="0" w:color="auto"/>
        <w:right w:val="none" w:sz="0" w:space="0" w:color="auto"/>
      </w:divBdr>
      <w:divsChild>
        <w:div w:id="698698425">
          <w:marLeft w:val="1080"/>
          <w:marRight w:val="0"/>
          <w:marTop w:val="0"/>
          <w:marBottom w:val="0"/>
          <w:divBdr>
            <w:top w:val="none" w:sz="0" w:space="0" w:color="auto"/>
            <w:left w:val="none" w:sz="0" w:space="0" w:color="auto"/>
            <w:bottom w:val="none" w:sz="0" w:space="0" w:color="auto"/>
            <w:right w:val="none" w:sz="0" w:space="0" w:color="auto"/>
          </w:divBdr>
        </w:div>
        <w:div w:id="1895726735">
          <w:marLeft w:val="1080"/>
          <w:marRight w:val="0"/>
          <w:marTop w:val="0"/>
          <w:marBottom w:val="0"/>
          <w:divBdr>
            <w:top w:val="none" w:sz="0" w:space="0" w:color="auto"/>
            <w:left w:val="none" w:sz="0" w:space="0" w:color="auto"/>
            <w:bottom w:val="none" w:sz="0" w:space="0" w:color="auto"/>
            <w:right w:val="none" w:sz="0" w:space="0" w:color="auto"/>
          </w:divBdr>
        </w:div>
        <w:div w:id="1089698009">
          <w:marLeft w:val="1080"/>
          <w:marRight w:val="0"/>
          <w:marTop w:val="0"/>
          <w:marBottom w:val="0"/>
          <w:divBdr>
            <w:top w:val="none" w:sz="0" w:space="0" w:color="auto"/>
            <w:left w:val="none" w:sz="0" w:space="0" w:color="auto"/>
            <w:bottom w:val="none" w:sz="0" w:space="0" w:color="auto"/>
            <w:right w:val="none" w:sz="0" w:space="0" w:color="auto"/>
          </w:divBdr>
        </w:div>
        <w:div w:id="1444375799">
          <w:marLeft w:val="1080"/>
          <w:marRight w:val="0"/>
          <w:marTop w:val="0"/>
          <w:marBottom w:val="0"/>
          <w:divBdr>
            <w:top w:val="none" w:sz="0" w:space="0" w:color="auto"/>
            <w:left w:val="none" w:sz="0" w:space="0" w:color="auto"/>
            <w:bottom w:val="none" w:sz="0" w:space="0" w:color="auto"/>
            <w:right w:val="none" w:sz="0" w:space="0" w:color="auto"/>
          </w:divBdr>
        </w:div>
        <w:div w:id="2003317034">
          <w:marLeft w:val="1080"/>
          <w:marRight w:val="0"/>
          <w:marTop w:val="0"/>
          <w:marBottom w:val="0"/>
          <w:divBdr>
            <w:top w:val="none" w:sz="0" w:space="0" w:color="auto"/>
            <w:left w:val="none" w:sz="0" w:space="0" w:color="auto"/>
            <w:bottom w:val="none" w:sz="0" w:space="0" w:color="auto"/>
            <w:right w:val="none" w:sz="0" w:space="0" w:color="auto"/>
          </w:divBdr>
        </w:div>
        <w:div w:id="765031620">
          <w:marLeft w:val="1080"/>
          <w:marRight w:val="0"/>
          <w:marTop w:val="0"/>
          <w:marBottom w:val="0"/>
          <w:divBdr>
            <w:top w:val="none" w:sz="0" w:space="0" w:color="auto"/>
            <w:left w:val="none" w:sz="0" w:space="0" w:color="auto"/>
            <w:bottom w:val="none" w:sz="0" w:space="0" w:color="auto"/>
            <w:right w:val="none" w:sz="0" w:space="0" w:color="auto"/>
          </w:divBdr>
        </w:div>
        <w:div w:id="6357474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creativecommons.org/licenses/by/3.0/au/deed.en" TargetMode="External"/><Relationship Id="rId26" Type="http://schemas.openxmlformats.org/officeDocument/2006/relationships/footer" Target="footer4.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0" Type="http://schemas.openxmlformats.org/officeDocument/2006/relationships/hyperlink" Target="mailto:medialiaison@treasury.gov.au"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header" Target="header3.xml"/><Relationship Id="rId28" Type="http://schemas.openxmlformats.org/officeDocument/2006/relationships/image" Target="media/image3.png"/><Relationship Id="rId36"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www.itsanhonour.gov.au"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hyperlink" Target="https://www.google.com/url?sa=i&amp;rct=j&amp;q=&amp;esrc=s&amp;source=imgres&amp;cd=&amp;cad=rja&amp;uact=8&amp;ved=2ahUKEwjRnfbQgpffAhXOV30KHbXtC0MQjRx6BAgBEAU&amp;url=https://www.liberal.org.au/member/zed-seselja&amp;psig=AOvVaw0Y2mAaxcmgt0awHtEB_Fpl&amp;ust=1544591695961719" TargetMode="External"/><Relationship Id="rId30" Type="http://schemas.openxmlformats.org/officeDocument/2006/relationships/header" Target="header6.xm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lossy - Health">
  <a:themeElements>
    <a:clrScheme name="Glossy - Health">
      <a:dk1>
        <a:sysClr val="windowText" lastClr="000000"/>
      </a:dk1>
      <a:lt1>
        <a:sysClr val="window" lastClr="FFFFFF"/>
      </a:lt1>
      <a:dk2>
        <a:srgbClr val="000000"/>
      </a:dk2>
      <a:lt2>
        <a:srgbClr val="EEECE1"/>
      </a:lt2>
      <a:accent1>
        <a:srgbClr val="0084BC"/>
      </a:accent1>
      <a:accent2>
        <a:srgbClr val="FCAF17"/>
      </a:accent2>
      <a:accent3>
        <a:srgbClr val="003150"/>
      </a:accent3>
      <a:accent4>
        <a:srgbClr val="808285"/>
      </a:accent4>
      <a:accent5>
        <a:srgbClr val="99CEE4"/>
      </a:accent5>
      <a:accent6>
        <a:srgbClr val="FEDFA2"/>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59</Value>
    </TaxCatchAll>
    <_dlc_DocId xmlns="0f563589-9cf9-4143-b1eb-fb0534803d38">2020RG-386-2831</_dlc_DocId>
    <_dlc_DocIdUrl xmlns="0f563589-9cf9-4143-b1eb-fb0534803d38">
      <Url>http://tweb/sites/rg/iitd/nfp/_layouts/15/DocIdRedir.aspx?ID=2020RG-386-2831</Url>
      <Description>2020RG-386-2831</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178ACB32DF169409130AAE1FDE802F9" ma:contentTypeVersion="26977" ma:contentTypeDescription="" ma:contentTypeScope="" ma:versionID="2972d97158955b061fe9868ee3efd37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77543dadd1837e386caab991a93928a1"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1BEF-BE47-4EEB-88A8-013C722348CB}">
  <ds:schemaRefs>
    <ds:schemaRef ds:uri="http://schemas.microsoft.com/sharepoint/v3/contenttype/forms"/>
  </ds:schemaRefs>
</ds:datastoreItem>
</file>

<file path=customXml/itemProps2.xml><?xml version="1.0" encoding="utf-8"?>
<ds:datastoreItem xmlns:ds="http://schemas.openxmlformats.org/officeDocument/2006/customXml" ds:itemID="{7330570D-C0CF-485B-807D-9844D7DCE307}">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6CD681DC-0F5B-4DA9-8620-C8AE4372ECE7}">
  <ds:schemaRefs>
    <ds:schemaRef ds:uri="office.server.policy"/>
  </ds:schemaRefs>
</ds:datastoreItem>
</file>

<file path=customXml/itemProps4.xml><?xml version="1.0" encoding="utf-8"?>
<ds:datastoreItem xmlns:ds="http://schemas.openxmlformats.org/officeDocument/2006/customXml" ds:itemID="{65ACEE2B-0952-44DD-BE58-9BB8B787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3673A5-5666-40C6-A952-5290AA380A87}">
  <ds:schemaRefs>
    <ds:schemaRef ds:uri="http://schemas.microsoft.com/sharepoint/events"/>
  </ds:schemaRefs>
</ds:datastoreItem>
</file>

<file path=customXml/itemProps6.xml><?xml version="1.0" encoding="utf-8"?>
<ds:datastoreItem xmlns:ds="http://schemas.openxmlformats.org/officeDocument/2006/customXml" ds:itemID="{6E282891-9F10-4857-96B1-3F48FC2E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22</Pages>
  <Words>4658</Words>
  <Characters>26691</Characters>
  <Application>Microsoft Office Word</Application>
  <DocSecurity>0</DocSecurity>
  <Lines>651</Lines>
  <Paragraphs>232</Paragraphs>
  <ScaleCrop>false</ScaleCrop>
  <HeadingPairs>
    <vt:vector size="2" baseType="variant">
      <vt:variant>
        <vt:lpstr>Title</vt:lpstr>
      </vt:variant>
      <vt:variant>
        <vt:i4>1</vt:i4>
      </vt:variant>
    </vt:vector>
  </HeadingPairs>
  <TitlesOfParts>
    <vt:vector size="1" baseType="lpstr">
      <vt:lpstr>Government response to Australian Charities and Not for profits Commission legislation review</vt:lpstr>
    </vt:vector>
  </TitlesOfParts>
  <Company>Australian Government - The Treasury</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Australian Charities and Not for profits Commission legislation review</dc:title>
  <dc:creator>Australian Government</dc:creator>
  <cp:lastModifiedBy>Hill, Christine</cp:lastModifiedBy>
  <cp:revision>7</cp:revision>
  <cp:lastPrinted>2020-02-07T04:37:00Z</cp:lastPrinted>
  <dcterms:created xsi:type="dcterms:W3CDTF">2020-03-04T05:50:00Z</dcterms:created>
  <dcterms:modified xsi:type="dcterms:W3CDTF">2020-03-05T05:28:00Z</dcterms:modified>
</cp:coreProperties>
</file>