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3.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5.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6.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81E6E" w14:textId="61B68429" w:rsidR="007E2F4C" w:rsidRPr="00713F51" w:rsidRDefault="004F7CC6" w:rsidP="00713F51">
      <w:pPr>
        <w:pStyle w:val="Title"/>
      </w:pPr>
      <w:r w:rsidRPr="00713F51">
        <w:t xml:space="preserve">The </w:t>
      </w:r>
      <w:r w:rsidR="00B6215E" w:rsidRPr="00713F51">
        <w:t xml:space="preserve">JobKeeper Payment: </w:t>
      </w:r>
      <w:r w:rsidR="00F02CB1" w:rsidRPr="00713F51">
        <w:t>T</w:t>
      </w:r>
      <w:r w:rsidR="001005B5" w:rsidRPr="00713F51">
        <w:t>hree</w:t>
      </w:r>
      <w:r w:rsidR="00DE2760">
        <w:noBreakHyphen/>
      </w:r>
      <w:r w:rsidR="001005B5" w:rsidRPr="00713F51">
        <w:t>month</w:t>
      </w:r>
      <w:r w:rsidR="00713F51">
        <w:t> </w:t>
      </w:r>
      <w:r w:rsidR="00B6215E" w:rsidRPr="00713F51">
        <w:t>revi</w:t>
      </w:r>
      <w:r w:rsidR="001005B5" w:rsidRPr="00713F51">
        <w:t>ew</w:t>
      </w:r>
    </w:p>
    <w:p w14:paraId="48F40BFF" w14:textId="77777777" w:rsidR="00B6215E" w:rsidRDefault="00B6215E" w:rsidP="00B6215E"/>
    <w:p w14:paraId="1372B767" w14:textId="0325AAE2" w:rsidR="00BF270C" w:rsidRPr="00BF270C" w:rsidRDefault="00BF270C" w:rsidP="00713F51">
      <w:pPr>
        <w:pStyle w:val="Subtitle"/>
      </w:pPr>
      <w:r w:rsidRPr="008375C3">
        <w:rPr>
          <w:sz w:val="28"/>
        </w:rPr>
        <w:t>June 2020</w:t>
      </w:r>
    </w:p>
    <w:p w14:paraId="3934F397" w14:textId="77777777" w:rsidR="00B6215E" w:rsidRDefault="00B6215E" w:rsidP="00B6215E"/>
    <w:p w14:paraId="7BD63434" w14:textId="0DCF1A4B" w:rsidR="005515E5" w:rsidRDefault="005515E5"/>
    <w:sdt>
      <w:sdtPr>
        <w:rPr>
          <w:rFonts w:asciiTheme="minorHAnsi" w:eastAsiaTheme="minorHAnsi" w:hAnsiTheme="minorHAnsi" w:cstheme="minorBidi"/>
          <w:b w:val="0"/>
          <w:noProof/>
          <w:color w:val="auto"/>
          <w:sz w:val="22"/>
          <w:szCs w:val="22"/>
          <w:lang w:val="en-AU"/>
        </w:rPr>
        <w:id w:val="117105142"/>
        <w:docPartObj>
          <w:docPartGallery w:val="Table of Contents"/>
          <w:docPartUnique/>
        </w:docPartObj>
      </w:sdtPr>
      <w:sdtEndPr>
        <w:rPr>
          <w:b/>
          <w:bCs/>
          <w:color w:val="002C47" w:themeColor="accent1"/>
        </w:rPr>
      </w:sdtEndPr>
      <w:sdtContent>
        <w:p w14:paraId="3BF14E95" w14:textId="77777777" w:rsidR="003E6884" w:rsidRDefault="003E6884" w:rsidP="003E6884">
          <w:pPr>
            <w:pStyle w:val="TOCHeading"/>
          </w:pPr>
          <w:r w:rsidRPr="008375C3">
            <w:t>Contents</w:t>
          </w:r>
        </w:p>
        <w:p w14:paraId="4793D623" w14:textId="2BD46374" w:rsidR="00A776C0" w:rsidRDefault="003E6884">
          <w:pPr>
            <w:pStyle w:val="TOC1"/>
            <w:rPr>
              <w:rFonts w:eastAsiaTheme="minorEastAsia"/>
              <w:b w:val="0"/>
              <w:color w:val="auto"/>
              <w:lang w:eastAsia="en-AU"/>
            </w:rPr>
          </w:pPr>
          <w:r>
            <w:fldChar w:fldCharType="begin"/>
          </w:r>
          <w:r>
            <w:instrText xml:space="preserve"> TOC \o "1-3" \h \z \u </w:instrText>
          </w:r>
          <w:r>
            <w:fldChar w:fldCharType="separate"/>
          </w:r>
          <w:hyperlink w:anchor="_Toc45799015" w:history="1">
            <w:r w:rsidR="00A776C0" w:rsidRPr="006C05D1">
              <w:rPr>
                <w:rStyle w:val="Hyperlink"/>
              </w:rPr>
              <w:t>Notes</w:t>
            </w:r>
            <w:r w:rsidR="00A776C0">
              <w:rPr>
                <w:webHidden/>
              </w:rPr>
              <w:tab/>
            </w:r>
            <w:r w:rsidR="00A776C0">
              <w:rPr>
                <w:webHidden/>
              </w:rPr>
              <w:fldChar w:fldCharType="begin"/>
            </w:r>
            <w:r w:rsidR="00A776C0">
              <w:rPr>
                <w:webHidden/>
              </w:rPr>
              <w:instrText xml:space="preserve"> PAGEREF _Toc45799015 \h </w:instrText>
            </w:r>
            <w:r w:rsidR="00A776C0">
              <w:rPr>
                <w:webHidden/>
              </w:rPr>
            </w:r>
            <w:r w:rsidR="00A776C0">
              <w:rPr>
                <w:webHidden/>
              </w:rPr>
              <w:fldChar w:fldCharType="separate"/>
            </w:r>
            <w:r w:rsidR="00496D37">
              <w:rPr>
                <w:webHidden/>
              </w:rPr>
              <w:t>1</w:t>
            </w:r>
            <w:r w:rsidR="00A776C0">
              <w:rPr>
                <w:webHidden/>
              </w:rPr>
              <w:fldChar w:fldCharType="end"/>
            </w:r>
          </w:hyperlink>
        </w:p>
        <w:p w14:paraId="0D8AE518" w14:textId="32CFA673" w:rsidR="00A776C0" w:rsidRDefault="009F135E">
          <w:pPr>
            <w:pStyle w:val="TOC1"/>
            <w:rPr>
              <w:rFonts w:eastAsiaTheme="minorEastAsia"/>
              <w:b w:val="0"/>
              <w:color w:val="auto"/>
              <w:lang w:eastAsia="en-AU"/>
            </w:rPr>
          </w:pPr>
          <w:hyperlink w:anchor="_Toc45799016" w:history="1">
            <w:r w:rsidR="00A776C0" w:rsidRPr="006C05D1">
              <w:rPr>
                <w:rStyle w:val="Hyperlink"/>
              </w:rPr>
              <w:t>Glossary</w:t>
            </w:r>
            <w:r w:rsidR="00A776C0">
              <w:rPr>
                <w:webHidden/>
              </w:rPr>
              <w:tab/>
            </w:r>
            <w:r w:rsidR="00A776C0">
              <w:rPr>
                <w:webHidden/>
              </w:rPr>
              <w:fldChar w:fldCharType="begin"/>
            </w:r>
            <w:r w:rsidR="00A776C0">
              <w:rPr>
                <w:webHidden/>
              </w:rPr>
              <w:instrText xml:space="preserve"> PAGEREF _Toc45799016 \h </w:instrText>
            </w:r>
            <w:r w:rsidR="00A776C0">
              <w:rPr>
                <w:webHidden/>
              </w:rPr>
            </w:r>
            <w:r w:rsidR="00A776C0">
              <w:rPr>
                <w:webHidden/>
              </w:rPr>
              <w:fldChar w:fldCharType="separate"/>
            </w:r>
            <w:r w:rsidR="00496D37">
              <w:rPr>
                <w:webHidden/>
              </w:rPr>
              <w:t>2</w:t>
            </w:r>
            <w:r w:rsidR="00A776C0">
              <w:rPr>
                <w:webHidden/>
              </w:rPr>
              <w:fldChar w:fldCharType="end"/>
            </w:r>
          </w:hyperlink>
        </w:p>
        <w:p w14:paraId="24837E2C" w14:textId="66651E5E" w:rsidR="00A776C0" w:rsidRDefault="009F135E">
          <w:pPr>
            <w:pStyle w:val="TOC1"/>
            <w:rPr>
              <w:rFonts w:eastAsiaTheme="minorEastAsia"/>
              <w:b w:val="0"/>
              <w:color w:val="auto"/>
              <w:lang w:eastAsia="en-AU"/>
            </w:rPr>
          </w:pPr>
          <w:hyperlink w:anchor="_Toc45799017" w:history="1">
            <w:r w:rsidR="00A776C0" w:rsidRPr="006C05D1">
              <w:rPr>
                <w:rStyle w:val="Hyperlink"/>
              </w:rPr>
              <w:t>List of boxes, figures and tables</w:t>
            </w:r>
            <w:r w:rsidR="00A776C0">
              <w:rPr>
                <w:webHidden/>
              </w:rPr>
              <w:tab/>
            </w:r>
            <w:r w:rsidR="00A776C0">
              <w:rPr>
                <w:webHidden/>
              </w:rPr>
              <w:fldChar w:fldCharType="begin"/>
            </w:r>
            <w:r w:rsidR="00A776C0">
              <w:rPr>
                <w:webHidden/>
              </w:rPr>
              <w:instrText xml:space="preserve"> PAGEREF _Toc45799017 \h </w:instrText>
            </w:r>
            <w:r w:rsidR="00A776C0">
              <w:rPr>
                <w:webHidden/>
              </w:rPr>
            </w:r>
            <w:r w:rsidR="00A776C0">
              <w:rPr>
                <w:webHidden/>
              </w:rPr>
              <w:fldChar w:fldCharType="separate"/>
            </w:r>
            <w:r w:rsidR="00496D37">
              <w:rPr>
                <w:webHidden/>
              </w:rPr>
              <w:t>3</w:t>
            </w:r>
            <w:r w:rsidR="00A776C0">
              <w:rPr>
                <w:webHidden/>
              </w:rPr>
              <w:fldChar w:fldCharType="end"/>
            </w:r>
          </w:hyperlink>
        </w:p>
        <w:p w14:paraId="638C1727" w14:textId="1159B689" w:rsidR="00A776C0" w:rsidRDefault="009F135E">
          <w:pPr>
            <w:pStyle w:val="TOC1"/>
            <w:rPr>
              <w:rFonts w:eastAsiaTheme="minorEastAsia"/>
              <w:b w:val="0"/>
              <w:color w:val="auto"/>
              <w:lang w:eastAsia="en-AU"/>
            </w:rPr>
          </w:pPr>
          <w:hyperlink w:anchor="_Toc45799018" w:history="1">
            <w:r w:rsidR="00A776C0" w:rsidRPr="006C05D1">
              <w:rPr>
                <w:rStyle w:val="Hyperlink"/>
              </w:rPr>
              <w:t>Executive summary</w:t>
            </w:r>
            <w:r w:rsidR="00A776C0">
              <w:rPr>
                <w:webHidden/>
              </w:rPr>
              <w:tab/>
            </w:r>
            <w:r w:rsidR="00A776C0">
              <w:rPr>
                <w:webHidden/>
              </w:rPr>
              <w:fldChar w:fldCharType="begin"/>
            </w:r>
            <w:r w:rsidR="00A776C0">
              <w:rPr>
                <w:webHidden/>
              </w:rPr>
              <w:instrText xml:space="preserve"> PAGEREF _Toc45799018 \h </w:instrText>
            </w:r>
            <w:r w:rsidR="00A776C0">
              <w:rPr>
                <w:webHidden/>
              </w:rPr>
            </w:r>
            <w:r w:rsidR="00A776C0">
              <w:rPr>
                <w:webHidden/>
              </w:rPr>
              <w:fldChar w:fldCharType="separate"/>
            </w:r>
            <w:r w:rsidR="00496D37">
              <w:rPr>
                <w:webHidden/>
              </w:rPr>
              <w:t>4</w:t>
            </w:r>
            <w:r w:rsidR="00A776C0">
              <w:rPr>
                <w:webHidden/>
              </w:rPr>
              <w:fldChar w:fldCharType="end"/>
            </w:r>
          </w:hyperlink>
        </w:p>
        <w:p w14:paraId="106123B7" w14:textId="56937E4A" w:rsidR="00A776C0" w:rsidRDefault="009F135E">
          <w:pPr>
            <w:pStyle w:val="TOC1"/>
            <w:rPr>
              <w:rFonts w:eastAsiaTheme="minorEastAsia"/>
              <w:b w:val="0"/>
              <w:color w:val="auto"/>
              <w:lang w:eastAsia="en-AU"/>
            </w:rPr>
          </w:pPr>
          <w:hyperlink w:anchor="_Toc45799019" w:history="1">
            <w:r w:rsidR="00A776C0" w:rsidRPr="006C05D1">
              <w:rPr>
                <w:rStyle w:val="Hyperlink"/>
              </w:rPr>
              <w:t>Introduction</w:t>
            </w:r>
            <w:r w:rsidR="00A776C0">
              <w:rPr>
                <w:webHidden/>
              </w:rPr>
              <w:tab/>
            </w:r>
            <w:r w:rsidR="00A776C0">
              <w:rPr>
                <w:webHidden/>
              </w:rPr>
              <w:fldChar w:fldCharType="begin"/>
            </w:r>
            <w:r w:rsidR="00A776C0">
              <w:rPr>
                <w:webHidden/>
              </w:rPr>
              <w:instrText xml:space="preserve"> PAGEREF _Toc45799019 \h </w:instrText>
            </w:r>
            <w:r w:rsidR="00A776C0">
              <w:rPr>
                <w:webHidden/>
              </w:rPr>
            </w:r>
            <w:r w:rsidR="00A776C0">
              <w:rPr>
                <w:webHidden/>
              </w:rPr>
              <w:fldChar w:fldCharType="separate"/>
            </w:r>
            <w:r w:rsidR="00496D37">
              <w:rPr>
                <w:webHidden/>
              </w:rPr>
              <w:t>7</w:t>
            </w:r>
            <w:r w:rsidR="00A776C0">
              <w:rPr>
                <w:webHidden/>
              </w:rPr>
              <w:fldChar w:fldCharType="end"/>
            </w:r>
          </w:hyperlink>
        </w:p>
        <w:p w14:paraId="1C779251" w14:textId="0DBD0FD9" w:rsidR="00A776C0" w:rsidRPr="00A776C0" w:rsidRDefault="009F135E" w:rsidP="00A776C0">
          <w:pPr>
            <w:pStyle w:val="TOC1"/>
            <w:rPr>
              <w:rFonts w:eastAsiaTheme="minorEastAsia"/>
              <w:b w:val="0"/>
              <w:color w:val="auto"/>
              <w:lang w:eastAsia="en-AU"/>
            </w:rPr>
          </w:pPr>
          <w:hyperlink w:anchor="_Toc45799020" w:history="1">
            <w:r w:rsidR="00A776C0" w:rsidRPr="006C05D1">
              <w:rPr>
                <w:rStyle w:val="Hyperlink"/>
              </w:rPr>
              <w:t>Coronavirus, health restrictions and economic impacts</w:t>
            </w:r>
            <w:r w:rsidR="00A776C0">
              <w:rPr>
                <w:webHidden/>
              </w:rPr>
              <w:tab/>
            </w:r>
            <w:r w:rsidR="00A776C0">
              <w:rPr>
                <w:webHidden/>
              </w:rPr>
              <w:fldChar w:fldCharType="begin"/>
            </w:r>
            <w:r w:rsidR="00A776C0">
              <w:rPr>
                <w:webHidden/>
              </w:rPr>
              <w:instrText xml:space="preserve"> PAGEREF _Toc45799020 \h </w:instrText>
            </w:r>
            <w:r w:rsidR="00A776C0">
              <w:rPr>
                <w:webHidden/>
              </w:rPr>
            </w:r>
            <w:r w:rsidR="00A776C0">
              <w:rPr>
                <w:webHidden/>
              </w:rPr>
              <w:fldChar w:fldCharType="separate"/>
            </w:r>
            <w:r w:rsidR="00496D37">
              <w:rPr>
                <w:webHidden/>
              </w:rPr>
              <w:t>9</w:t>
            </w:r>
            <w:r w:rsidR="00A776C0">
              <w:rPr>
                <w:webHidden/>
              </w:rPr>
              <w:fldChar w:fldCharType="end"/>
            </w:r>
          </w:hyperlink>
        </w:p>
        <w:p w14:paraId="356AA423" w14:textId="27AD5D72" w:rsidR="00A776C0" w:rsidRPr="00A776C0" w:rsidRDefault="009F135E" w:rsidP="00A776C0">
          <w:pPr>
            <w:pStyle w:val="TOC1"/>
            <w:rPr>
              <w:rFonts w:eastAsiaTheme="minorEastAsia"/>
              <w:b w:val="0"/>
              <w:color w:val="auto"/>
              <w:lang w:eastAsia="en-AU"/>
            </w:rPr>
          </w:pPr>
          <w:hyperlink w:anchor="_Toc45799022" w:history="1">
            <w:r w:rsidR="00A776C0" w:rsidRPr="006C05D1">
              <w:rPr>
                <w:rStyle w:val="Hyperlink"/>
              </w:rPr>
              <w:t>An overview of the JobKeeper Payment</w:t>
            </w:r>
            <w:r w:rsidR="00A776C0">
              <w:rPr>
                <w:webHidden/>
              </w:rPr>
              <w:tab/>
            </w:r>
            <w:r w:rsidR="00A776C0">
              <w:rPr>
                <w:webHidden/>
              </w:rPr>
              <w:fldChar w:fldCharType="begin"/>
            </w:r>
            <w:r w:rsidR="00A776C0">
              <w:rPr>
                <w:webHidden/>
              </w:rPr>
              <w:instrText xml:space="preserve"> PAGEREF _Toc45799022 \h </w:instrText>
            </w:r>
            <w:r w:rsidR="00A776C0">
              <w:rPr>
                <w:webHidden/>
              </w:rPr>
            </w:r>
            <w:r w:rsidR="00A776C0">
              <w:rPr>
                <w:webHidden/>
              </w:rPr>
              <w:fldChar w:fldCharType="separate"/>
            </w:r>
            <w:r w:rsidR="00496D37">
              <w:rPr>
                <w:webHidden/>
              </w:rPr>
              <w:t>14</w:t>
            </w:r>
            <w:r w:rsidR="00A776C0">
              <w:rPr>
                <w:webHidden/>
              </w:rPr>
              <w:fldChar w:fldCharType="end"/>
            </w:r>
          </w:hyperlink>
        </w:p>
        <w:p w14:paraId="5727A882" w14:textId="31CACE96" w:rsidR="00A776C0" w:rsidRDefault="009F135E">
          <w:pPr>
            <w:pStyle w:val="TOC1"/>
            <w:rPr>
              <w:rFonts w:eastAsiaTheme="minorEastAsia"/>
              <w:b w:val="0"/>
              <w:color w:val="auto"/>
              <w:lang w:eastAsia="en-AU"/>
            </w:rPr>
          </w:pPr>
          <w:hyperlink w:anchor="_Toc45799024" w:history="1">
            <w:r w:rsidR="00A776C0" w:rsidRPr="006C05D1">
              <w:rPr>
                <w:rStyle w:val="Hyperlink"/>
              </w:rPr>
              <w:t>JobKeeper take</w:t>
            </w:r>
            <w:r w:rsidR="00A776C0" w:rsidRPr="006C05D1">
              <w:rPr>
                <w:rStyle w:val="Hyperlink"/>
              </w:rPr>
              <w:noBreakHyphen/>
              <w:t>up</w:t>
            </w:r>
            <w:r w:rsidR="00A776C0">
              <w:rPr>
                <w:webHidden/>
              </w:rPr>
              <w:tab/>
            </w:r>
            <w:r w:rsidR="00A776C0">
              <w:rPr>
                <w:webHidden/>
              </w:rPr>
              <w:fldChar w:fldCharType="begin"/>
            </w:r>
            <w:r w:rsidR="00A776C0">
              <w:rPr>
                <w:webHidden/>
              </w:rPr>
              <w:instrText xml:space="preserve"> PAGEREF _Toc45799024 \h </w:instrText>
            </w:r>
            <w:r w:rsidR="00A776C0">
              <w:rPr>
                <w:webHidden/>
              </w:rPr>
            </w:r>
            <w:r w:rsidR="00A776C0">
              <w:rPr>
                <w:webHidden/>
              </w:rPr>
              <w:fldChar w:fldCharType="separate"/>
            </w:r>
            <w:r w:rsidR="00496D37">
              <w:rPr>
                <w:webHidden/>
              </w:rPr>
              <w:t>18</w:t>
            </w:r>
            <w:r w:rsidR="00A776C0">
              <w:rPr>
                <w:webHidden/>
              </w:rPr>
              <w:fldChar w:fldCharType="end"/>
            </w:r>
          </w:hyperlink>
        </w:p>
        <w:p w14:paraId="27785C3E" w14:textId="0469C600" w:rsidR="00A776C0" w:rsidRDefault="009F135E">
          <w:pPr>
            <w:pStyle w:val="TOC2"/>
            <w:rPr>
              <w:rFonts w:eastAsiaTheme="minorEastAsia"/>
              <w:noProof/>
              <w:lang w:eastAsia="en-AU"/>
            </w:rPr>
          </w:pPr>
          <w:hyperlink w:anchor="_Toc45799025" w:history="1">
            <w:r w:rsidR="00A776C0" w:rsidRPr="006C05D1">
              <w:rPr>
                <w:rStyle w:val="Hyperlink"/>
                <w:noProof/>
              </w:rPr>
              <w:t>Take</w:t>
            </w:r>
            <w:r w:rsidR="00A776C0" w:rsidRPr="006C05D1">
              <w:rPr>
                <w:rStyle w:val="Hyperlink"/>
                <w:noProof/>
              </w:rPr>
              <w:noBreakHyphen/>
              <w:t>up and coverage</w:t>
            </w:r>
            <w:r w:rsidR="00A776C0">
              <w:rPr>
                <w:noProof/>
                <w:webHidden/>
              </w:rPr>
              <w:tab/>
            </w:r>
            <w:r w:rsidR="00A776C0">
              <w:rPr>
                <w:noProof/>
                <w:webHidden/>
              </w:rPr>
              <w:fldChar w:fldCharType="begin"/>
            </w:r>
            <w:r w:rsidR="00A776C0">
              <w:rPr>
                <w:noProof/>
                <w:webHidden/>
              </w:rPr>
              <w:instrText xml:space="preserve"> PAGEREF _Toc45799025 \h </w:instrText>
            </w:r>
            <w:r w:rsidR="00A776C0">
              <w:rPr>
                <w:noProof/>
                <w:webHidden/>
              </w:rPr>
            </w:r>
            <w:r w:rsidR="00A776C0">
              <w:rPr>
                <w:noProof/>
                <w:webHidden/>
              </w:rPr>
              <w:fldChar w:fldCharType="separate"/>
            </w:r>
            <w:r w:rsidR="00496D37">
              <w:rPr>
                <w:noProof/>
                <w:webHidden/>
              </w:rPr>
              <w:t>18</w:t>
            </w:r>
            <w:r w:rsidR="00A776C0">
              <w:rPr>
                <w:noProof/>
                <w:webHidden/>
              </w:rPr>
              <w:fldChar w:fldCharType="end"/>
            </w:r>
          </w:hyperlink>
        </w:p>
        <w:p w14:paraId="424BB9C6" w14:textId="08700393" w:rsidR="00A776C0" w:rsidRDefault="009F135E">
          <w:pPr>
            <w:pStyle w:val="TOC2"/>
            <w:rPr>
              <w:rFonts w:eastAsiaTheme="minorEastAsia"/>
              <w:noProof/>
              <w:lang w:eastAsia="en-AU"/>
            </w:rPr>
          </w:pPr>
          <w:hyperlink w:anchor="_Toc45799030" w:history="1">
            <w:r w:rsidR="00A776C0" w:rsidRPr="006C05D1">
              <w:rPr>
                <w:rStyle w:val="Hyperlink"/>
                <w:noProof/>
              </w:rPr>
              <w:t>Employers not participating</w:t>
            </w:r>
            <w:r w:rsidR="00A776C0">
              <w:rPr>
                <w:noProof/>
                <w:webHidden/>
              </w:rPr>
              <w:tab/>
            </w:r>
            <w:r w:rsidR="00A776C0">
              <w:rPr>
                <w:noProof/>
                <w:webHidden/>
              </w:rPr>
              <w:fldChar w:fldCharType="begin"/>
            </w:r>
            <w:r w:rsidR="00A776C0">
              <w:rPr>
                <w:noProof/>
                <w:webHidden/>
              </w:rPr>
              <w:instrText xml:space="preserve"> PAGEREF _Toc45799030 \h </w:instrText>
            </w:r>
            <w:r w:rsidR="00A776C0">
              <w:rPr>
                <w:noProof/>
                <w:webHidden/>
              </w:rPr>
            </w:r>
            <w:r w:rsidR="00A776C0">
              <w:rPr>
                <w:noProof/>
                <w:webHidden/>
              </w:rPr>
              <w:fldChar w:fldCharType="separate"/>
            </w:r>
            <w:r w:rsidR="00496D37">
              <w:rPr>
                <w:noProof/>
                <w:webHidden/>
              </w:rPr>
              <w:t>22</w:t>
            </w:r>
            <w:r w:rsidR="00A776C0">
              <w:rPr>
                <w:noProof/>
                <w:webHidden/>
              </w:rPr>
              <w:fldChar w:fldCharType="end"/>
            </w:r>
          </w:hyperlink>
        </w:p>
        <w:p w14:paraId="6E22B8AB" w14:textId="5D9B6206" w:rsidR="00A776C0" w:rsidRDefault="009F135E">
          <w:pPr>
            <w:pStyle w:val="TOC1"/>
            <w:rPr>
              <w:rFonts w:eastAsiaTheme="minorEastAsia"/>
              <w:b w:val="0"/>
              <w:color w:val="auto"/>
              <w:lang w:eastAsia="en-AU"/>
            </w:rPr>
          </w:pPr>
          <w:hyperlink w:anchor="_Toc45799031" w:history="1">
            <w:r w:rsidR="00A776C0" w:rsidRPr="006C05D1">
              <w:rPr>
                <w:rStyle w:val="Hyperlink"/>
              </w:rPr>
              <w:t>Initial impacts of JobKeeper</w:t>
            </w:r>
            <w:r w:rsidR="00A776C0">
              <w:rPr>
                <w:webHidden/>
              </w:rPr>
              <w:tab/>
            </w:r>
            <w:r w:rsidR="00A776C0">
              <w:rPr>
                <w:webHidden/>
              </w:rPr>
              <w:fldChar w:fldCharType="begin"/>
            </w:r>
            <w:r w:rsidR="00A776C0">
              <w:rPr>
                <w:webHidden/>
              </w:rPr>
              <w:instrText xml:space="preserve"> PAGEREF _Toc45799031 \h </w:instrText>
            </w:r>
            <w:r w:rsidR="00A776C0">
              <w:rPr>
                <w:webHidden/>
              </w:rPr>
            </w:r>
            <w:r w:rsidR="00A776C0">
              <w:rPr>
                <w:webHidden/>
              </w:rPr>
              <w:fldChar w:fldCharType="separate"/>
            </w:r>
            <w:r w:rsidR="00496D37">
              <w:rPr>
                <w:webHidden/>
              </w:rPr>
              <w:t>24</w:t>
            </w:r>
            <w:r w:rsidR="00A776C0">
              <w:rPr>
                <w:webHidden/>
              </w:rPr>
              <w:fldChar w:fldCharType="end"/>
            </w:r>
          </w:hyperlink>
        </w:p>
        <w:p w14:paraId="45136CDC" w14:textId="55F0AF30" w:rsidR="00A776C0" w:rsidRDefault="009F135E">
          <w:pPr>
            <w:pStyle w:val="TOC2"/>
            <w:rPr>
              <w:rFonts w:eastAsiaTheme="minorEastAsia"/>
              <w:noProof/>
              <w:lang w:eastAsia="en-AU"/>
            </w:rPr>
          </w:pPr>
          <w:hyperlink w:anchor="_Toc45799032" w:history="1">
            <w:r w:rsidR="00A776C0" w:rsidRPr="006C05D1">
              <w:rPr>
                <w:rStyle w:val="Hyperlink"/>
                <w:noProof/>
              </w:rPr>
              <w:t>Impact of JobKeeper on employment</w:t>
            </w:r>
            <w:r w:rsidR="00A776C0">
              <w:rPr>
                <w:noProof/>
                <w:webHidden/>
              </w:rPr>
              <w:tab/>
            </w:r>
            <w:r w:rsidR="00A776C0">
              <w:rPr>
                <w:noProof/>
                <w:webHidden/>
              </w:rPr>
              <w:fldChar w:fldCharType="begin"/>
            </w:r>
            <w:r w:rsidR="00A776C0">
              <w:rPr>
                <w:noProof/>
                <w:webHidden/>
              </w:rPr>
              <w:instrText xml:space="preserve"> PAGEREF _Toc45799032 \h </w:instrText>
            </w:r>
            <w:r w:rsidR="00A776C0">
              <w:rPr>
                <w:noProof/>
                <w:webHidden/>
              </w:rPr>
            </w:r>
            <w:r w:rsidR="00A776C0">
              <w:rPr>
                <w:noProof/>
                <w:webHidden/>
              </w:rPr>
              <w:fldChar w:fldCharType="separate"/>
            </w:r>
            <w:r w:rsidR="00496D37">
              <w:rPr>
                <w:noProof/>
                <w:webHidden/>
              </w:rPr>
              <w:t>24</w:t>
            </w:r>
            <w:r w:rsidR="00A776C0">
              <w:rPr>
                <w:noProof/>
                <w:webHidden/>
              </w:rPr>
              <w:fldChar w:fldCharType="end"/>
            </w:r>
          </w:hyperlink>
        </w:p>
        <w:p w14:paraId="59E951FA" w14:textId="7B479975" w:rsidR="00A776C0" w:rsidRDefault="009F135E">
          <w:pPr>
            <w:pStyle w:val="TOC2"/>
            <w:rPr>
              <w:rFonts w:eastAsiaTheme="minorEastAsia"/>
              <w:noProof/>
              <w:lang w:eastAsia="en-AU"/>
            </w:rPr>
          </w:pPr>
          <w:hyperlink w:anchor="_Toc45799035" w:history="1">
            <w:r w:rsidR="00A776C0" w:rsidRPr="006C05D1">
              <w:rPr>
                <w:rStyle w:val="Hyperlink"/>
                <w:noProof/>
              </w:rPr>
              <w:t>Impact of JobKeeper on hours of work</w:t>
            </w:r>
            <w:r w:rsidR="00A776C0">
              <w:rPr>
                <w:noProof/>
                <w:webHidden/>
              </w:rPr>
              <w:tab/>
            </w:r>
            <w:r w:rsidR="00A776C0">
              <w:rPr>
                <w:noProof/>
                <w:webHidden/>
              </w:rPr>
              <w:fldChar w:fldCharType="begin"/>
            </w:r>
            <w:r w:rsidR="00A776C0">
              <w:rPr>
                <w:noProof/>
                <w:webHidden/>
              </w:rPr>
              <w:instrText xml:space="preserve"> PAGEREF _Toc45799035 \h </w:instrText>
            </w:r>
            <w:r w:rsidR="00A776C0">
              <w:rPr>
                <w:noProof/>
                <w:webHidden/>
              </w:rPr>
            </w:r>
            <w:r w:rsidR="00A776C0">
              <w:rPr>
                <w:noProof/>
                <w:webHidden/>
              </w:rPr>
              <w:fldChar w:fldCharType="separate"/>
            </w:r>
            <w:r w:rsidR="00496D37">
              <w:rPr>
                <w:noProof/>
                <w:webHidden/>
              </w:rPr>
              <w:t>27</w:t>
            </w:r>
            <w:r w:rsidR="00A776C0">
              <w:rPr>
                <w:noProof/>
                <w:webHidden/>
              </w:rPr>
              <w:fldChar w:fldCharType="end"/>
            </w:r>
          </w:hyperlink>
        </w:p>
        <w:p w14:paraId="66FAD87B" w14:textId="6991B6F4" w:rsidR="00A776C0" w:rsidRDefault="009F135E">
          <w:pPr>
            <w:pStyle w:val="TOC2"/>
            <w:rPr>
              <w:rFonts w:eastAsiaTheme="minorEastAsia"/>
              <w:noProof/>
              <w:lang w:eastAsia="en-AU"/>
            </w:rPr>
          </w:pPr>
          <w:hyperlink w:anchor="_Toc45799036" w:history="1">
            <w:r w:rsidR="00A776C0" w:rsidRPr="006C05D1">
              <w:rPr>
                <w:rStyle w:val="Hyperlink"/>
                <w:noProof/>
              </w:rPr>
              <w:t>Impact of JobKeeper on earnings</w:t>
            </w:r>
            <w:r w:rsidR="00A776C0">
              <w:rPr>
                <w:noProof/>
                <w:webHidden/>
              </w:rPr>
              <w:tab/>
            </w:r>
            <w:r w:rsidR="00A776C0">
              <w:rPr>
                <w:noProof/>
                <w:webHidden/>
              </w:rPr>
              <w:fldChar w:fldCharType="begin"/>
            </w:r>
            <w:r w:rsidR="00A776C0">
              <w:rPr>
                <w:noProof/>
                <w:webHidden/>
              </w:rPr>
              <w:instrText xml:space="preserve"> PAGEREF _Toc45799036 \h </w:instrText>
            </w:r>
            <w:r w:rsidR="00A776C0">
              <w:rPr>
                <w:noProof/>
                <w:webHidden/>
              </w:rPr>
            </w:r>
            <w:r w:rsidR="00A776C0">
              <w:rPr>
                <w:noProof/>
                <w:webHidden/>
              </w:rPr>
              <w:fldChar w:fldCharType="separate"/>
            </w:r>
            <w:r w:rsidR="00496D37">
              <w:rPr>
                <w:noProof/>
                <w:webHidden/>
              </w:rPr>
              <w:t>29</w:t>
            </w:r>
            <w:r w:rsidR="00A776C0">
              <w:rPr>
                <w:noProof/>
                <w:webHidden/>
              </w:rPr>
              <w:fldChar w:fldCharType="end"/>
            </w:r>
          </w:hyperlink>
        </w:p>
        <w:p w14:paraId="5348506C" w14:textId="448C55E3" w:rsidR="00A776C0" w:rsidRDefault="009F135E">
          <w:pPr>
            <w:pStyle w:val="TOC1"/>
            <w:rPr>
              <w:rFonts w:eastAsiaTheme="minorEastAsia"/>
              <w:b w:val="0"/>
              <w:color w:val="auto"/>
              <w:lang w:eastAsia="en-AU"/>
            </w:rPr>
          </w:pPr>
          <w:hyperlink w:anchor="_Toc45799038" w:history="1">
            <w:r w:rsidR="00A776C0" w:rsidRPr="006C05D1">
              <w:rPr>
                <w:rStyle w:val="Hyperlink"/>
              </w:rPr>
              <w:t>JobKeeper design elements</w:t>
            </w:r>
            <w:r w:rsidR="00A776C0">
              <w:rPr>
                <w:webHidden/>
              </w:rPr>
              <w:tab/>
            </w:r>
            <w:r w:rsidR="00A776C0">
              <w:rPr>
                <w:webHidden/>
              </w:rPr>
              <w:fldChar w:fldCharType="begin"/>
            </w:r>
            <w:r w:rsidR="00A776C0">
              <w:rPr>
                <w:webHidden/>
              </w:rPr>
              <w:instrText xml:space="preserve"> PAGEREF _Toc45799038 \h </w:instrText>
            </w:r>
            <w:r w:rsidR="00A776C0">
              <w:rPr>
                <w:webHidden/>
              </w:rPr>
            </w:r>
            <w:r w:rsidR="00A776C0">
              <w:rPr>
                <w:webHidden/>
              </w:rPr>
              <w:fldChar w:fldCharType="separate"/>
            </w:r>
            <w:r w:rsidR="00496D37">
              <w:rPr>
                <w:webHidden/>
              </w:rPr>
              <w:t>32</w:t>
            </w:r>
            <w:r w:rsidR="00A776C0">
              <w:rPr>
                <w:webHidden/>
              </w:rPr>
              <w:fldChar w:fldCharType="end"/>
            </w:r>
          </w:hyperlink>
        </w:p>
        <w:p w14:paraId="1842207E" w14:textId="27FA5144" w:rsidR="00A776C0" w:rsidRDefault="009F135E">
          <w:pPr>
            <w:pStyle w:val="TOC2"/>
            <w:rPr>
              <w:rFonts w:eastAsiaTheme="minorEastAsia"/>
              <w:noProof/>
              <w:lang w:eastAsia="en-AU"/>
            </w:rPr>
          </w:pPr>
          <w:hyperlink w:anchor="_Toc45799039" w:history="1">
            <w:r w:rsidR="00A776C0" w:rsidRPr="006C05D1">
              <w:rPr>
                <w:rStyle w:val="Hyperlink"/>
                <w:noProof/>
              </w:rPr>
              <w:t>Incentives to work</w:t>
            </w:r>
            <w:r w:rsidR="00A776C0">
              <w:rPr>
                <w:noProof/>
                <w:webHidden/>
              </w:rPr>
              <w:tab/>
            </w:r>
            <w:r w:rsidR="00A776C0">
              <w:rPr>
                <w:noProof/>
                <w:webHidden/>
              </w:rPr>
              <w:fldChar w:fldCharType="begin"/>
            </w:r>
            <w:r w:rsidR="00A776C0">
              <w:rPr>
                <w:noProof/>
                <w:webHidden/>
              </w:rPr>
              <w:instrText xml:space="preserve"> PAGEREF _Toc45799039 \h </w:instrText>
            </w:r>
            <w:r w:rsidR="00A776C0">
              <w:rPr>
                <w:noProof/>
                <w:webHidden/>
              </w:rPr>
            </w:r>
            <w:r w:rsidR="00A776C0">
              <w:rPr>
                <w:noProof/>
                <w:webHidden/>
              </w:rPr>
              <w:fldChar w:fldCharType="separate"/>
            </w:r>
            <w:r w:rsidR="00496D37">
              <w:rPr>
                <w:noProof/>
                <w:webHidden/>
              </w:rPr>
              <w:t>32</w:t>
            </w:r>
            <w:r w:rsidR="00A776C0">
              <w:rPr>
                <w:noProof/>
                <w:webHidden/>
              </w:rPr>
              <w:fldChar w:fldCharType="end"/>
            </w:r>
          </w:hyperlink>
        </w:p>
        <w:p w14:paraId="3BE552C6" w14:textId="3BB53DA6" w:rsidR="00A776C0" w:rsidRDefault="009F135E">
          <w:pPr>
            <w:pStyle w:val="TOC2"/>
            <w:rPr>
              <w:rFonts w:eastAsiaTheme="minorEastAsia"/>
              <w:noProof/>
              <w:lang w:eastAsia="en-AU"/>
            </w:rPr>
          </w:pPr>
          <w:hyperlink w:anchor="_Toc45799040" w:history="1">
            <w:r w:rsidR="00A776C0" w:rsidRPr="006C05D1">
              <w:rPr>
                <w:rStyle w:val="Hyperlink"/>
                <w:noProof/>
              </w:rPr>
              <w:t>Labour mobility</w:t>
            </w:r>
            <w:r w:rsidR="00A776C0">
              <w:rPr>
                <w:noProof/>
                <w:webHidden/>
              </w:rPr>
              <w:tab/>
            </w:r>
            <w:r w:rsidR="00A776C0">
              <w:rPr>
                <w:noProof/>
                <w:webHidden/>
              </w:rPr>
              <w:fldChar w:fldCharType="begin"/>
            </w:r>
            <w:r w:rsidR="00A776C0">
              <w:rPr>
                <w:noProof/>
                <w:webHidden/>
              </w:rPr>
              <w:instrText xml:space="preserve"> PAGEREF _Toc45799040 \h </w:instrText>
            </w:r>
            <w:r w:rsidR="00A776C0">
              <w:rPr>
                <w:noProof/>
                <w:webHidden/>
              </w:rPr>
            </w:r>
            <w:r w:rsidR="00A776C0">
              <w:rPr>
                <w:noProof/>
                <w:webHidden/>
              </w:rPr>
              <w:fldChar w:fldCharType="separate"/>
            </w:r>
            <w:r w:rsidR="00496D37">
              <w:rPr>
                <w:noProof/>
                <w:webHidden/>
              </w:rPr>
              <w:t>34</w:t>
            </w:r>
            <w:r w:rsidR="00A776C0">
              <w:rPr>
                <w:noProof/>
                <w:webHidden/>
              </w:rPr>
              <w:fldChar w:fldCharType="end"/>
            </w:r>
          </w:hyperlink>
        </w:p>
        <w:p w14:paraId="483A950C" w14:textId="3A16770E" w:rsidR="00A776C0" w:rsidRDefault="009F135E">
          <w:pPr>
            <w:pStyle w:val="TOC2"/>
            <w:rPr>
              <w:rFonts w:eastAsiaTheme="minorEastAsia"/>
              <w:noProof/>
              <w:lang w:eastAsia="en-AU"/>
            </w:rPr>
          </w:pPr>
          <w:hyperlink w:anchor="_Toc45799042" w:history="1">
            <w:r w:rsidR="00A776C0" w:rsidRPr="006C05D1">
              <w:rPr>
                <w:rStyle w:val="Hyperlink"/>
                <w:noProof/>
              </w:rPr>
              <w:t>Business viability</w:t>
            </w:r>
            <w:r w:rsidR="00A776C0">
              <w:rPr>
                <w:noProof/>
                <w:webHidden/>
              </w:rPr>
              <w:tab/>
            </w:r>
            <w:r w:rsidR="00A776C0">
              <w:rPr>
                <w:noProof/>
                <w:webHidden/>
              </w:rPr>
              <w:fldChar w:fldCharType="begin"/>
            </w:r>
            <w:r w:rsidR="00A776C0">
              <w:rPr>
                <w:noProof/>
                <w:webHidden/>
              </w:rPr>
              <w:instrText xml:space="preserve"> PAGEREF _Toc45799042 \h </w:instrText>
            </w:r>
            <w:r w:rsidR="00A776C0">
              <w:rPr>
                <w:noProof/>
                <w:webHidden/>
              </w:rPr>
            </w:r>
            <w:r w:rsidR="00A776C0">
              <w:rPr>
                <w:noProof/>
                <w:webHidden/>
              </w:rPr>
              <w:fldChar w:fldCharType="separate"/>
            </w:r>
            <w:r w:rsidR="00496D37">
              <w:rPr>
                <w:noProof/>
                <w:webHidden/>
              </w:rPr>
              <w:t>35</w:t>
            </w:r>
            <w:r w:rsidR="00A776C0">
              <w:rPr>
                <w:noProof/>
                <w:webHidden/>
              </w:rPr>
              <w:fldChar w:fldCharType="end"/>
            </w:r>
          </w:hyperlink>
        </w:p>
        <w:p w14:paraId="3A6CFF55" w14:textId="5BB8F588" w:rsidR="00A776C0" w:rsidRDefault="009F135E">
          <w:pPr>
            <w:pStyle w:val="TOC2"/>
            <w:rPr>
              <w:rFonts w:eastAsiaTheme="minorEastAsia"/>
              <w:noProof/>
              <w:lang w:eastAsia="en-AU"/>
            </w:rPr>
          </w:pPr>
          <w:hyperlink w:anchor="_Toc45799044" w:history="1">
            <w:r w:rsidR="00A776C0" w:rsidRPr="006C05D1">
              <w:rPr>
                <w:rStyle w:val="Hyperlink"/>
                <w:noProof/>
              </w:rPr>
              <w:t>Compliance and integrity</w:t>
            </w:r>
            <w:r w:rsidR="00A776C0">
              <w:rPr>
                <w:noProof/>
                <w:webHidden/>
              </w:rPr>
              <w:tab/>
            </w:r>
            <w:r w:rsidR="00A776C0">
              <w:rPr>
                <w:noProof/>
                <w:webHidden/>
              </w:rPr>
              <w:fldChar w:fldCharType="begin"/>
            </w:r>
            <w:r w:rsidR="00A776C0">
              <w:rPr>
                <w:noProof/>
                <w:webHidden/>
              </w:rPr>
              <w:instrText xml:space="preserve"> PAGEREF _Toc45799044 \h </w:instrText>
            </w:r>
            <w:r w:rsidR="00A776C0">
              <w:rPr>
                <w:noProof/>
                <w:webHidden/>
              </w:rPr>
            </w:r>
            <w:r w:rsidR="00A776C0">
              <w:rPr>
                <w:noProof/>
                <w:webHidden/>
              </w:rPr>
              <w:fldChar w:fldCharType="separate"/>
            </w:r>
            <w:r w:rsidR="00496D37">
              <w:rPr>
                <w:noProof/>
                <w:webHidden/>
              </w:rPr>
              <w:t>37</w:t>
            </w:r>
            <w:r w:rsidR="00A776C0">
              <w:rPr>
                <w:noProof/>
                <w:webHidden/>
              </w:rPr>
              <w:fldChar w:fldCharType="end"/>
            </w:r>
          </w:hyperlink>
        </w:p>
        <w:p w14:paraId="028C3A65" w14:textId="1BC1EB33" w:rsidR="00A776C0" w:rsidRDefault="009F135E">
          <w:pPr>
            <w:pStyle w:val="TOC1"/>
            <w:rPr>
              <w:rFonts w:eastAsiaTheme="minorEastAsia"/>
              <w:b w:val="0"/>
              <w:color w:val="auto"/>
              <w:lang w:eastAsia="en-AU"/>
            </w:rPr>
          </w:pPr>
          <w:hyperlink w:anchor="_Toc45799045" w:history="1">
            <w:r w:rsidR="00A776C0" w:rsidRPr="006C05D1">
              <w:rPr>
                <w:rStyle w:val="Hyperlink"/>
              </w:rPr>
              <w:t>Considerations in changing JobKeeper</w:t>
            </w:r>
            <w:r w:rsidR="00A776C0">
              <w:rPr>
                <w:webHidden/>
              </w:rPr>
              <w:tab/>
            </w:r>
            <w:r w:rsidR="00A776C0">
              <w:rPr>
                <w:webHidden/>
              </w:rPr>
              <w:fldChar w:fldCharType="begin"/>
            </w:r>
            <w:r w:rsidR="00A776C0">
              <w:rPr>
                <w:webHidden/>
              </w:rPr>
              <w:instrText xml:space="preserve"> PAGEREF _Toc45799045 \h </w:instrText>
            </w:r>
            <w:r w:rsidR="00A776C0">
              <w:rPr>
                <w:webHidden/>
              </w:rPr>
            </w:r>
            <w:r w:rsidR="00A776C0">
              <w:rPr>
                <w:webHidden/>
              </w:rPr>
              <w:fldChar w:fldCharType="separate"/>
            </w:r>
            <w:r w:rsidR="00496D37">
              <w:rPr>
                <w:webHidden/>
              </w:rPr>
              <w:t>40</w:t>
            </w:r>
            <w:r w:rsidR="00A776C0">
              <w:rPr>
                <w:webHidden/>
              </w:rPr>
              <w:fldChar w:fldCharType="end"/>
            </w:r>
          </w:hyperlink>
        </w:p>
        <w:p w14:paraId="58A8F85A" w14:textId="042649ED" w:rsidR="00A776C0" w:rsidRDefault="009F135E">
          <w:pPr>
            <w:pStyle w:val="TOC2"/>
            <w:rPr>
              <w:rFonts w:eastAsiaTheme="minorEastAsia"/>
              <w:noProof/>
              <w:lang w:eastAsia="en-AU"/>
            </w:rPr>
          </w:pPr>
          <w:hyperlink w:anchor="_Toc45799046" w:history="1">
            <w:r w:rsidR="00A776C0" w:rsidRPr="006C05D1">
              <w:rPr>
                <w:rStyle w:val="Hyperlink"/>
                <w:noProof/>
              </w:rPr>
              <w:t>Eligibility requirements</w:t>
            </w:r>
            <w:r w:rsidR="00A776C0">
              <w:rPr>
                <w:noProof/>
                <w:webHidden/>
              </w:rPr>
              <w:tab/>
            </w:r>
            <w:r w:rsidR="00A776C0">
              <w:rPr>
                <w:noProof/>
                <w:webHidden/>
              </w:rPr>
              <w:fldChar w:fldCharType="begin"/>
            </w:r>
            <w:r w:rsidR="00A776C0">
              <w:rPr>
                <w:noProof/>
                <w:webHidden/>
              </w:rPr>
              <w:instrText xml:space="preserve"> PAGEREF _Toc45799046 \h </w:instrText>
            </w:r>
            <w:r w:rsidR="00A776C0">
              <w:rPr>
                <w:noProof/>
                <w:webHidden/>
              </w:rPr>
            </w:r>
            <w:r w:rsidR="00A776C0">
              <w:rPr>
                <w:noProof/>
                <w:webHidden/>
              </w:rPr>
              <w:fldChar w:fldCharType="separate"/>
            </w:r>
            <w:r w:rsidR="00496D37">
              <w:rPr>
                <w:noProof/>
                <w:webHidden/>
              </w:rPr>
              <w:t>40</w:t>
            </w:r>
            <w:r w:rsidR="00A776C0">
              <w:rPr>
                <w:noProof/>
                <w:webHidden/>
              </w:rPr>
              <w:fldChar w:fldCharType="end"/>
            </w:r>
          </w:hyperlink>
        </w:p>
        <w:p w14:paraId="654C6F5C" w14:textId="500BEEEE" w:rsidR="00A776C0" w:rsidRDefault="009F135E">
          <w:pPr>
            <w:pStyle w:val="TOC2"/>
            <w:rPr>
              <w:rFonts w:eastAsiaTheme="minorEastAsia"/>
              <w:noProof/>
              <w:lang w:eastAsia="en-AU"/>
            </w:rPr>
          </w:pPr>
          <w:hyperlink w:anchor="_Toc45799047" w:history="1">
            <w:r w:rsidR="00A776C0" w:rsidRPr="006C05D1">
              <w:rPr>
                <w:rStyle w:val="Hyperlink"/>
                <w:noProof/>
              </w:rPr>
              <w:t>Reducing payment amounts</w:t>
            </w:r>
            <w:r w:rsidR="00A776C0">
              <w:rPr>
                <w:noProof/>
                <w:webHidden/>
              </w:rPr>
              <w:tab/>
            </w:r>
            <w:r w:rsidR="00A776C0">
              <w:rPr>
                <w:noProof/>
                <w:webHidden/>
              </w:rPr>
              <w:fldChar w:fldCharType="begin"/>
            </w:r>
            <w:r w:rsidR="00A776C0">
              <w:rPr>
                <w:noProof/>
                <w:webHidden/>
              </w:rPr>
              <w:instrText xml:space="preserve"> PAGEREF _Toc45799047 \h </w:instrText>
            </w:r>
            <w:r w:rsidR="00A776C0">
              <w:rPr>
                <w:noProof/>
                <w:webHidden/>
              </w:rPr>
            </w:r>
            <w:r w:rsidR="00A776C0">
              <w:rPr>
                <w:noProof/>
                <w:webHidden/>
              </w:rPr>
              <w:fldChar w:fldCharType="separate"/>
            </w:r>
            <w:r w:rsidR="00496D37">
              <w:rPr>
                <w:noProof/>
                <w:webHidden/>
              </w:rPr>
              <w:t>41</w:t>
            </w:r>
            <w:r w:rsidR="00A776C0">
              <w:rPr>
                <w:noProof/>
                <w:webHidden/>
              </w:rPr>
              <w:fldChar w:fldCharType="end"/>
            </w:r>
          </w:hyperlink>
        </w:p>
        <w:p w14:paraId="40590506" w14:textId="3CC89180" w:rsidR="00A776C0" w:rsidRDefault="009F135E">
          <w:pPr>
            <w:pStyle w:val="TOC2"/>
            <w:rPr>
              <w:rFonts w:eastAsiaTheme="minorEastAsia"/>
              <w:noProof/>
              <w:lang w:eastAsia="en-AU"/>
            </w:rPr>
          </w:pPr>
          <w:hyperlink w:anchor="_Toc45799048" w:history="1">
            <w:r w:rsidR="00A776C0" w:rsidRPr="006C05D1">
              <w:rPr>
                <w:rStyle w:val="Hyperlink"/>
                <w:noProof/>
              </w:rPr>
              <w:t>Duration</w:t>
            </w:r>
            <w:r w:rsidR="00A776C0">
              <w:rPr>
                <w:noProof/>
                <w:webHidden/>
              </w:rPr>
              <w:tab/>
            </w:r>
            <w:r w:rsidR="00A776C0">
              <w:rPr>
                <w:noProof/>
                <w:webHidden/>
              </w:rPr>
              <w:fldChar w:fldCharType="begin"/>
            </w:r>
            <w:r w:rsidR="00A776C0">
              <w:rPr>
                <w:noProof/>
                <w:webHidden/>
              </w:rPr>
              <w:instrText xml:space="preserve"> PAGEREF _Toc45799048 \h </w:instrText>
            </w:r>
            <w:r w:rsidR="00A776C0">
              <w:rPr>
                <w:noProof/>
                <w:webHidden/>
              </w:rPr>
            </w:r>
            <w:r w:rsidR="00A776C0">
              <w:rPr>
                <w:noProof/>
                <w:webHidden/>
              </w:rPr>
              <w:fldChar w:fldCharType="separate"/>
            </w:r>
            <w:r w:rsidR="00496D37">
              <w:rPr>
                <w:noProof/>
                <w:webHidden/>
              </w:rPr>
              <w:t>42</w:t>
            </w:r>
            <w:r w:rsidR="00A776C0">
              <w:rPr>
                <w:noProof/>
                <w:webHidden/>
              </w:rPr>
              <w:fldChar w:fldCharType="end"/>
            </w:r>
          </w:hyperlink>
        </w:p>
        <w:p w14:paraId="32228089" w14:textId="7B3B57F1" w:rsidR="00A776C0" w:rsidRDefault="009F135E">
          <w:pPr>
            <w:pStyle w:val="TOC1"/>
            <w:rPr>
              <w:rFonts w:eastAsiaTheme="minorEastAsia"/>
              <w:b w:val="0"/>
              <w:color w:val="auto"/>
              <w:lang w:eastAsia="en-AU"/>
            </w:rPr>
          </w:pPr>
          <w:hyperlink w:anchor="_Toc45799049" w:history="1">
            <w:r w:rsidR="00A776C0" w:rsidRPr="006C05D1">
              <w:rPr>
                <w:rStyle w:val="Hyperlink"/>
              </w:rPr>
              <w:t>Conclusion</w:t>
            </w:r>
            <w:r w:rsidR="00A776C0">
              <w:rPr>
                <w:webHidden/>
              </w:rPr>
              <w:tab/>
            </w:r>
            <w:r w:rsidR="00A776C0">
              <w:rPr>
                <w:webHidden/>
              </w:rPr>
              <w:fldChar w:fldCharType="begin"/>
            </w:r>
            <w:r w:rsidR="00A776C0">
              <w:rPr>
                <w:webHidden/>
              </w:rPr>
              <w:instrText xml:space="preserve"> PAGEREF _Toc45799049 \h </w:instrText>
            </w:r>
            <w:r w:rsidR="00A776C0">
              <w:rPr>
                <w:webHidden/>
              </w:rPr>
            </w:r>
            <w:r w:rsidR="00A776C0">
              <w:rPr>
                <w:webHidden/>
              </w:rPr>
              <w:fldChar w:fldCharType="separate"/>
            </w:r>
            <w:r w:rsidR="00496D37">
              <w:rPr>
                <w:webHidden/>
              </w:rPr>
              <w:t>44</w:t>
            </w:r>
            <w:r w:rsidR="00A776C0">
              <w:rPr>
                <w:webHidden/>
              </w:rPr>
              <w:fldChar w:fldCharType="end"/>
            </w:r>
          </w:hyperlink>
        </w:p>
        <w:p w14:paraId="70A9DAF0" w14:textId="5370ECE4" w:rsidR="00A776C0" w:rsidRDefault="009F135E">
          <w:pPr>
            <w:pStyle w:val="TOC1"/>
            <w:rPr>
              <w:rFonts w:eastAsiaTheme="minorEastAsia"/>
              <w:b w:val="0"/>
              <w:color w:val="auto"/>
              <w:lang w:eastAsia="en-AU"/>
            </w:rPr>
          </w:pPr>
          <w:hyperlink w:anchor="_Toc45799050" w:history="1">
            <w:r w:rsidR="00A776C0" w:rsidRPr="006C05D1">
              <w:rPr>
                <w:rStyle w:val="Hyperlink"/>
              </w:rPr>
              <w:t>Attachment A: JobKeeper Payment data summary</w:t>
            </w:r>
            <w:r w:rsidR="00A776C0">
              <w:rPr>
                <w:webHidden/>
              </w:rPr>
              <w:tab/>
            </w:r>
            <w:r w:rsidR="00A776C0">
              <w:rPr>
                <w:webHidden/>
              </w:rPr>
              <w:fldChar w:fldCharType="begin"/>
            </w:r>
            <w:r w:rsidR="00A776C0">
              <w:rPr>
                <w:webHidden/>
              </w:rPr>
              <w:instrText xml:space="preserve"> PAGEREF _Toc45799050 \h </w:instrText>
            </w:r>
            <w:r w:rsidR="00A776C0">
              <w:rPr>
                <w:webHidden/>
              </w:rPr>
            </w:r>
            <w:r w:rsidR="00A776C0">
              <w:rPr>
                <w:webHidden/>
              </w:rPr>
              <w:fldChar w:fldCharType="separate"/>
            </w:r>
            <w:r w:rsidR="00496D37">
              <w:rPr>
                <w:webHidden/>
              </w:rPr>
              <w:t>45</w:t>
            </w:r>
            <w:r w:rsidR="00A776C0">
              <w:rPr>
                <w:webHidden/>
              </w:rPr>
              <w:fldChar w:fldCharType="end"/>
            </w:r>
          </w:hyperlink>
        </w:p>
        <w:p w14:paraId="38176FF5" w14:textId="104F0FCC" w:rsidR="00A776C0" w:rsidRDefault="009F135E">
          <w:pPr>
            <w:pStyle w:val="TOC1"/>
            <w:rPr>
              <w:rFonts w:eastAsiaTheme="minorEastAsia"/>
              <w:b w:val="0"/>
              <w:color w:val="auto"/>
              <w:lang w:eastAsia="en-AU"/>
            </w:rPr>
          </w:pPr>
          <w:hyperlink w:anchor="_Toc45799055" w:history="1">
            <w:r w:rsidR="00A776C0" w:rsidRPr="006C05D1">
              <w:rPr>
                <w:rStyle w:val="Hyperlink"/>
              </w:rPr>
              <w:t>Attachment B: Data sources used in the review</w:t>
            </w:r>
            <w:r w:rsidR="00A776C0">
              <w:rPr>
                <w:webHidden/>
              </w:rPr>
              <w:tab/>
            </w:r>
            <w:r w:rsidR="00A776C0">
              <w:rPr>
                <w:webHidden/>
              </w:rPr>
              <w:fldChar w:fldCharType="begin"/>
            </w:r>
            <w:r w:rsidR="00A776C0">
              <w:rPr>
                <w:webHidden/>
              </w:rPr>
              <w:instrText xml:space="preserve"> PAGEREF _Toc45799055 \h </w:instrText>
            </w:r>
            <w:r w:rsidR="00A776C0">
              <w:rPr>
                <w:webHidden/>
              </w:rPr>
            </w:r>
            <w:r w:rsidR="00A776C0">
              <w:rPr>
                <w:webHidden/>
              </w:rPr>
              <w:fldChar w:fldCharType="separate"/>
            </w:r>
            <w:r w:rsidR="00496D37">
              <w:rPr>
                <w:webHidden/>
              </w:rPr>
              <w:t>49</w:t>
            </w:r>
            <w:r w:rsidR="00A776C0">
              <w:rPr>
                <w:webHidden/>
              </w:rPr>
              <w:fldChar w:fldCharType="end"/>
            </w:r>
          </w:hyperlink>
        </w:p>
        <w:p w14:paraId="0A783832" w14:textId="7DC379C6" w:rsidR="003E6884" w:rsidRPr="00A776C0" w:rsidRDefault="009F135E" w:rsidP="00A776C0">
          <w:pPr>
            <w:pStyle w:val="TOC1"/>
            <w:rPr>
              <w:rFonts w:eastAsiaTheme="minorEastAsia"/>
              <w:b w:val="0"/>
              <w:color w:val="auto"/>
              <w:lang w:eastAsia="en-AU"/>
            </w:rPr>
          </w:pPr>
          <w:hyperlink w:anchor="_Toc45799057" w:history="1">
            <w:r w:rsidR="00A776C0" w:rsidRPr="006C05D1">
              <w:rPr>
                <w:rStyle w:val="Hyperlink"/>
              </w:rPr>
              <w:t>Attachment C: Notes on analysis using microdata</w:t>
            </w:r>
            <w:r w:rsidR="00A776C0">
              <w:rPr>
                <w:webHidden/>
              </w:rPr>
              <w:tab/>
            </w:r>
            <w:r w:rsidR="00A776C0">
              <w:rPr>
                <w:webHidden/>
              </w:rPr>
              <w:fldChar w:fldCharType="begin"/>
            </w:r>
            <w:r w:rsidR="00A776C0">
              <w:rPr>
                <w:webHidden/>
              </w:rPr>
              <w:instrText xml:space="preserve"> PAGEREF _Toc45799057 \h </w:instrText>
            </w:r>
            <w:r w:rsidR="00A776C0">
              <w:rPr>
                <w:webHidden/>
              </w:rPr>
            </w:r>
            <w:r w:rsidR="00A776C0">
              <w:rPr>
                <w:webHidden/>
              </w:rPr>
              <w:fldChar w:fldCharType="separate"/>
            </w:r>
            <w:r w:rsidR="00496D37">
              <w:rPr>
                <w:webHidden/>
              </w:rPr>
              <w:t>51</w:t>
            </w:r>
            <w:r w:rsidR="00A776C0">
              <w:rPr>
                <w:webHidden/>
              </w:rPr>
              <w:fldChar w:fldCharType="end"/>
            </w:r>
          </w:hyperlink>
          <w:r w:rsidR="003E6884">
            <w:rPr>
              <w:b w:val="0"/>
              <w:bCs/>
            </w:rPr>
            <w:fldChar w:fldCharType="end"/>
          </w:r>
        </w:p>
      </w:sdtContent>
    </w:sdt>
    <w:p w14:paraId="2B0F6D43" w14:textId="63426CDB" w:rsidR="00B6215E" w:rsidRDefault="00B6215E"/>
    <w:p w14:paraId="09DF5DB6" w14:textId="77777777" w:rsidR="00B6215E" w:rsidRDefault="00B6215E" w:rsidP="00B6215E"/>
    <w:p w14:paraId="29CC8060" w14:textId="730AE73A" w:rsidR="005515E5" w:rsidRDefault="005515E5">
      <w:pPr>
        <w:sectPr w:rsidR="005515E5" w:rsidSect="00065F92">
          <w:headerReference w:type="even" r:id="rId15"/>
          <w:footerReference w:type="even" r:id="rId16"/>
          <w:footerReference w:type="default" r:id="rId17"/>
          <w:footerReference w:type="first" r:id="rId18"/>
          <w:type w:val="oddPage"/>
          <w:pgSz w:w="11906" w:h="16838"/>
          <w:pgMar w:top="1701" w:right="1701" w:bottom="1440" w:left="1701" w:header="709" w:footer="709" w:gutter="0"/>
          <w:pgNumType w:fmt="lowerRoman"/>
          <w:cols w:space="708"/>
          <w:titlePg/>
          <w:docGrid w:linePitch="360"/>
        </w:sectPr>
      </w:pPr>
    </w:p>
    <w:p w14:paraId="758511E9" w14:textId="77777777" w:rsidR="00B6215E" w:rsidRDefault="00BF7261" w:rsidP="009B6E0C">
      <w:pPr>
        <w:pStyle w:val="Heading1"/>
      </w:pPr>
      <w:bookmarkStart w:id="0" w:name="_Toc43294077"/>
      <w:bookmarkStart w:id="1" w:name="_Toc43300422"/>
      <w:bookmarkStart w:id="2" w:name="_Toc43302275"/>
      <w:bookmarkStart w:id="3" w:name="_Toc43303714"/>
      <w:bookmarkStart w:id="4" w:name="_Toc43305325"/>
      <w:bookmarkStart w:id="5" w:name="_Toc43306296"/>
      <w:bookmarkStart w:id="6" w:name="_Toc43309504"/>
      <w:bookmarkStart w:id="7" w:name="_Toc43802489"/>
      <w:bookmarkStart w:id="8" w:name="_Toc43809337"/>
      <w:bookmarkStart w:id="9" w:name="_Toc43815602"/>
      <w:bookmarkStart w:id="10" w:name="_Toc43817535"/>
      <w:bookmarkStart w:id="11" w:name="_Toc43825306"/>
      <w:bookmarkStart w:id="12" w:name="_Toc43825410"/>
      <w:bookmarkStart w:id="13" w:name="_Toc43825503"/>
      <w:bookmarkStart w:id="14" w:name="_Toc43996239"/>
      <w:bookmarkStart w:id="15" w:name="_Toc43998498"/>
      <w:bookmarkStart w:id="16" w:name="_Toc43998425"/>
      <w:bookmarkStart w:id="17" w:name="_Toc44069947"/>
      <w:bookmarkStart w:id="18" w:name="_Toc44071351"/>
      <w:bookmarkStart w:id="19" w:name="_Toc44073475"/>
      <w:bookmarkStart w:id="20" w:name="_Toc44074615"/>
      <w:bookmarkStart w:id="21" w:name="_Toc44079504"/>
      <w:bookmarkStart w:id="22" w:name="_Toc44079799"/>
      <w:bookmarkStart w:id="23" w:name="_Toc44079934"/>
      <w:bookmarkStart w:id="24" w:name="_Toc44319845"/>
      <w:bookmarkStart w:id="25" w:name="_Toc44321553"/>
      <w:bookmarkStart w:id="26" w:name="_Toc44323720"/>
      <w:bookmarkStart w:id="27" w:name="_Toc44326183"/>
      <w:bookmarkStart w:id="28" w:name="_Toc44330505"/>
      <w:bookmarkStart w:id="29" w:name="_Toc44330747"/>
      <w:bookmarkStart w:id="30" w:name="_Toc44333179"/>
      <w:bookmarkStart w:id="31" w:name="_Toc44334810"/>
      <w:bookmarkStart w:id="32" w:name="_Toc45227414"/>
      <w:bookmarkStart w:id="33" w:name="_Toc45799015"/>
      <w:r>
        <w:lastRenderedPageBreak/>
        <w:t>Notes</w:t>
      </w:r>
      <w:bookmarkStart w:id="34"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68F30BD" w14:textId="1F00E08F" w:rsidR="00715E3C" w:rsidRPr="00D00D86" w:rsidRDefault="00715E3C" w:rsidP="00715E3C">
      <w:pPr>
        <w:rPr>
          <w:color w:val="000000" w:themeColor="text1"/>
        </w:rPr>
      </w:pPr>
      <w:r w:rsidRPr="00D00D86">
        <w:rPr>
          <w:color w:val="000000" w:themeColor="text1"/>
        </w:rPr>
        <w:t>The JobKeeper Payment Three</w:t>
      </w:r>
      <w:r w:rsidR="00DE2760">
        <w:rPr>
          <w:color w:val="000000" w:themeColor="text1"/>
        </w:rPr>
        <w:noBreakHyphen/>
      </w:r>
      <w:r w:rsidRPr="00D00D86">
        <w:rPr>
          <w:color w:val="000000" w:themeColor="text1"/>
        </w:rPr>
        <w:t>Month R</w:t>
      </w:r>
      <w:r w:rsidR="00DF3858" w:rsidRPr="00D00D86">
        <w:rPr>
          <w:color w:val="000000" w:themeColor="text1"/>
        </w:rPr>
        <w:t xml:space="preserve">eview was conducted </w:t>
      </w:r>
      <w:r w:rsidR="00BF638E" w:rsidRPr="00D00D86">
        <w:rPr>
          <w:color w:val="000000" w:themeColor="text1"/>
        </w:rPr>
        <w:t>over</w:t>
      </w:r>
      <w:r w:rsidR="00DF3858" w:rsidRPr="00D00D86">
        <w:rPr>
          <w:color w:val="000000" w:themeColor="text1"/>
        </w:rPr>
        <w:t xml:space="preserve"> May and June 2020. </w:t>
      </w:r>
      <w:r w:rsidRPr="00D00D86">
        <w:rPr>
          <w:color w:val="000000" w:themeColor="text1"/>
        </w:rPr>
        <w:t>This report was finalised on 2</w:t>
      </w:r>
      <w:r w:rsidR="00EC0DAC">
        <w:rPr>
          <w:color w:val="000000" w:themeColor="text1"/>
        </w:rPr>
        <w:t>9</w:t>
      </w:r>
      <w:r w:rsidRPr="00D00D86">
        <w:rPr>
          <w:color w:val="000000" w:themeColor="text1"/>
        </w:rPr>
        <w:t xml:space="preserve"> June.</w:t>
      </w:r>
    </w:p>
    <w:p w14:paraId="0D0D0857" w14:textId="50263FEF" w:rsidR="00DF3858" w:rsidRPr="00D00D86" w:rsidRDefault="00715E3C" w:rsidP="00DF3858">
      <w:pPr>
        <w:rPr>
          <w:color w:val="000000" w:themeColor="text1"/>
        </w:rPr>
      </w:pPr>
      <w:r w:rsidRPr="00D00D86">
        <w:rPr>
          <w:color w:val="000000" w:themeColor="text1"/>
        </w:rPr>
        <w:t>The review</w:t>
      </w:r>
      <w:r w:rsidR="00DF3858" w:rsidRPr="00D00D86">
        <w:rPr>
          <w:color w:val="000000" w:themeColor="text1"/>
        </w:rPr>
        <w:t xml:space="preserve"> was informed by Treasury</w:t>
      </w:r>
      <w:r w:rsidR="00DE2760">
        <w:rPr>
          <w:color w:val="000000" w:themeColor="text1"/>
        </w:rPr>
        <w:t>’</w:t>
      </w:r>
      <w:r w:rsidR="00DF3858" w:rsidRPr="00D00D86">
        <w:rPr>
          <w:color w:val="000000" w:themeColor="text1"/>
        </w:rPr>
        <w:t xml:space="preserve">s regular engagement with the business community and general public on JobKeeper policy and program implementation, the departments and agencies across government that are involved in aspects of JobKeeper service delivery, academic experts and officials in other national ministries. </w:t>
      </w:r>
    </w:p>
    <w:p w14:paraId="66B2DD63" w14:textId="677EAFC9" w:rsidR="00D47813" w:rsidRPr="00D00D86" w:rsidRDefault="00D47813" w:rsidP="00DF3858">
      <w:pPr>
        <w:rPr>
          <w:color w:val="000000" w:themeColor="text1"/>
        </w:rPr>
      </w:pPr>
      <w:r w:rsidRPr="00D00D86">
        <w:rPr>
          <w:color w:val="000000" w:themeColor="text1"/>
        </w:rPr>
        <w:t xml:space="preserve">The Treasury Coronavirus Business Liaison Unit </w:t>
      </w:r>
      <w:r w:rsidR="00241E5D">
        <w:rPr>
          <w:color w:val="000000" w:themeColor="text1"/>
        </w:rPr>
        <w:t>undertook</w:t>
      </w:r>
      <w:r w:rsidR="005A71DC" w:rsidRPr="00D00D86">
        <w:rPr>
          <w:color w:val="000000" w:themeColor="text1"/>
        </w:rPr>
        <w:t xml:space="preserve"> </w:t>
      </w:r>
      <w:r w:rsidRPr="00D00D86">
        <w:rPr>
          <w:color w:val="000000" w:themeColor="text1"/>
        </w:rPr>
        <w:t xml:space="preserve">case studies of businesses to </w:t>
      </w:r>
      <w:r w:rsidR="00BF4923" w:rsidRPr="00D00D86">
        <w:rPr>
          <w:color w:val="000000" w:themeColor="text1"/>
        </w:rPr>
        <w:t xml:space="preserve">gain further </w:t>
      </w:r>
      <w:r w:rsidR="00E12FDF" w:rsidRPr="00D00D86">
        <w:rPr>
          <w:color w:val="000000" w:themeColor="text1"/>
        </w:rPr>
        <w:t xml:space="preserve">practical </w:t>
      </w:r>
      <w:r w:rsidR="00BF4923" w:rsidRPr="00D00D86">
        <w:rPr>
          <w:color w:val="000000" w:themeColor="text1"/>
        </w:rPr>
        <w:t xml:space="preserve">insight to </w:t>
      </w:r>
      <w:r w:rsidRPr="00D00D86">
        <w:rPr>
          <w:color w:val="000000" w:themeColor="text1"/>
        </w:rPr>
        <w:t xml:space="preserve">the program. Selected quotes from those case studies are used </w:t>
      </w:r>
      <w:r w:rsidR="00242314">
        <w:rPr>
          <w:color w:val="000000" w:themeColor="text1"/>
        </w:rPr>
        <w:t xml:space="preserve">in </w:t>
      </w:r>
      <w:r w:rsidRPr="00D00D86">
        <w:rPr>
          <w:color w:val="000000" w:themeColor="text1"/>
        </w:rPr>
        <w:t xml:space="preserve">the report to </w:t>
      </w:r>
      <w:r w:rsidR="004D5A21" w:rsidRPr="00D00D86">
        <w:rPr>
          <w:color w:val="000000" w:themeColor="text1"/>
        </w:rPr>
        <w:t>illustrat</w:t>
      </w:r>
      <w:r w:rsidR="00D30EBD" w:rsidRPr="00D00D86">
        <w:rPr>
          <w:color w:val="000000" w:themeColor="text1"/>
        </w:rPr>
        <w:t>e</w:t>
      </w:r>
      <w:r w:rsidRPr="00D00D86">
        <w:rPr>
          <w:color w:val="000000" w:themeColor="text1"/>
        </w:rPr>
        <w:t xml:space="preserve"> </w:t>
      </w:r>
      <w:r w:rsidR="00905D03" w:rsidRPr="00D00D86">
        <w:rPr>
          <w:color w:val="000000" w:themeColor="text1"/>
        </w:rPr>
        <w:t xml:space="preserve">the </w:t>
      </w:r>
      <w:r w:rsidR="004D5A21" w:rsidRPr="00D00D86">
        <w:rPr>
          <w:color w:val="000000" w:themeColor="text1"/>
        </w:rPr>
        <w:t>experience</w:t>
      </w:r>
      <w:r w:rsidR="00905D03" w:rsidRPr="00D00D86">
        <w:rPr>
          <w:color w:val="000000" w:themeColor="text1"/>
        </w:rPr>
        <w:t xml:space="preserve"> of </w:t>
      </w:r>
      <w:r w:rsidRPr="00D00D86">
        <w:rPr>
          <w:color w:val="000000" w:themeColor="text1"/>
        </w:rPr>
        <w:t>JobKeeper</w:t>
      </w:r>
      <w:r w:rsidR="00905D03" w:rsidRPr="00D00D86">
        <w:rPr>
          <w:color w:val="000000" w:themeColor="text1"/>
        </w:rPr>
        <w:t xml:space="preserve"> </w:t>
      </w:r>
      <w:r w:rsidR="004D5A21" w:rsidRPr="00D00D86">
        <w:rPr>
          <w:color w:val="000000" w:themeColor="text1"/>
        </w:rPr>
        <w:t>among business owners</w:t>
      </w:r>
      <w:r w:rsidR="00C52D1C" w:rsidRPr="00D00D86">
        <w:rPr>
          <w:color w:val="000000" w:themeColor="text1"/>
        </w:rPr>
        <w:t xml:space="preserve"> and </w:t>
      </w:r>
      <w:r w:rsidR="00485586">
        <w:rPr>
          <w:color w:val="000000" w:themeColor="text1"/>
        </w:rPr>
        <w:t>employees</w:t>
      </w:r>
      <w:r w:rsidRPr="00D00D86">
        <w:rPr>
          <w:color w:val="000000" w:themeColor="text1"/>
        </w:rPr>
        <w:t>.</w:t>
      </w:r>
    </w:p>
    <w:p w14:paraId="7B3660DD" w14:textId="10D6D1BD" w:rsidR="00BF7261" w:rsidRPr="00D00D86" w:rsidRDefault="00BF7261" w:rsidP="00C73DEF">
      <w:pPr>
        <w:rPr>
          <w:color w:val="000000" w:themeColor="text1"/>
        </w:rPr>
      </w:pPr>
      <w:r w:rsidRPr="00D00D86">
        <w:rPr>
          <w:color w:val="000000" w:themeColor="text1"/>
        </w:rPr>
        <w:t>Reporting of JobKeeper administrative data is</w:t>
      </w:r>
      <w:r w:rsidR="005A71DC" w:rsidRPr="00D00D86">
        <w:rPr>
          <w:color w:val="000000" w:themeColor="text1"/>
        </w:rPr>
        <w:t xml:space="preserve"> </w:t>
      </w:r>
      <w:r w:rsidR="00D63B90" w:rsidRPr="00D00D86">
        <w:rPr>
          <w:color w:val="000000" w:themeColor="text1"/>
        </w:rPr>
        <w:t xml:space="preserve">based on information provided by the Australian Taxation Office </w:t>
      </w:r>
      <w:r w:rsidR="0021206C" w:rsidRPr="00D00D86">
        <w:rPr>
          <w:color w:val="000000" w:themeColor="text1"/>
        </w:rPr>
        <w:t xml:space="preserve">(ATO) </w:t>
      </w:r>
      <w:r w:rsidR="00990E7A">
        <w:rPr>
          <w:color w:val="000000" w:themeColor="text1"/>
        </w:rPr>
        <w:t xml:space="preserve">during </w:t>
      </w:r>
      <w:r w:rsidR="00D63B90" w:rsidRPr="00D00D86">
        <w:rPr>
          <w:color w:val="000000" w:themeColor="text1"/>
        </w:rPr>
        <w:t>June 2020.</w:t>
      </w:r>
      <w:r w:rsidR="00C73DEF" w:rsidRPr="00D00D86">
        <w:rPr>
          <w:color w:val="000000" w:themeColor="text1"/>
        </w:rPr>
        <w:t xml:space="preserve"> Two measures are </w:t>
      </w:r>
      <w:r w:rsidR="00242314">
        <w:rPr>
          <w:color w:val="000000" w:themeColor="text1"/>
        </w:rPr>
        <w:t xml:space="preserve">generally </w:t>
      </w:r>
      <w:r w:rsidR="00C73DEF" w:rsidRPr="00D00D86">
        <w:rPr>
          <w:color w:val="000000" w:themeColor="text1"/>
        </w:rPr>
        <w:t>used. These are the number of organisations with applications processed during the payroll months o</w:t>
      </w:r>
      <w:r w:rsidR="00715E3C" w:rsidRPr="00D00D86">
        <w:rPr>
          <w:color w:val="000000" w:themeColor="text1"/>
        </w:rPr>
        <w:t xml:space="preserve">f April and May (covering the first four JobKeeper Payment fortnights from </w:t>
      </w:r>
      <w:r w:rsidR="00C73DEF" w:rsidRPr="00D00D86">
        <w:rPr>
          <w:color w:val="000000" w:themeColor="text1"/>
        </w:rPr>
        <w:t>30</w:t>
      </w:r>
      <w:r w:rsidR="00990E7A">
        <w:rPr>
          <w:color w:val="000000" w:themeColor="text1"/>
        </w:rPr>
        <w:t> </w:t>
      </w:r>
      <w:r w:rsidR="00C73DEF" w:rsidRPr="00D00D86">
        <w:rPr>
          <w:color w:val="000000" w:themeColor="text1"/>
        </w:rPr>
        <w:t xml:space="preserve">March to 24 May), and the number of individual recipients in the payroll month of April (covering the </w:t>
      </w:r>
      <w:r w:rsidR="00715E3C" w:rsidRPr="00D00D86">
        <w:rPr>
          <w:color w:val="000000" w:themeColor="text1"/>
        </w:rPr>
        <w:t>first two JobKeeper Payment fortnights</w:t>
      </w:r>
      <w:r w:rsidR="00C73DEF" w:rsidRPr="00D00D86">
        <w:rPr>
          <w:color w:val="000000" w:themeColor="text1"/>
        </w:rPr>
        <w:t xml:space="preserve"> of 30</w:t>
      </w:r>
      <w:r w:rsidR="003120D9" w:rsidRPr="00D00D86">
        <w:rPr>
          <w:color w:val="000000" w:themeColor="text1"/>
        </w:rPr>
        <w:t> </w:t>
      </w:r>
      <w:r w:rsidR="00C73DEF" w:rsidRPr="00D00D86">
        <w:rPr>
          <w:color w:val="000000" w:themeColor="text1"/>
        </w:rPr>
        <w:t xml:space="preserve">March to 26 April). </w:t>
      </w:r>
      <w:r w:rsidR="00145004" w:rsidRPr="00D00D86">
        <w:rPr>
          <w:color w:val="000000" w:themeColor="text1"/>
        </w:rPr>
        <w:t xml:space="preserve">These data are subject to change. </w:t>
      </w:r>
      <w:r w:rsidRPr="00D00D86">
        <w:rPr>
          <w:color w:val="000000" w:themeColor="text1"/>
        </w:rPr>
        <w:t xml:space="preserve">Reporting of </w:t>
      </w:r>
      <w:r w:rsidR="00447F73">
        <w:rPr>
          <w:color w:val="000000" w:themeColor="text1"/>
        </w:rPr>
        <w:t xml:space="preserve">program </w:t>
      </w:r>
      <w:r w:rsidR="00242314">
        <w:rPr>
          <w:color w:val="000000" w:themeColor="text1"/>
        </w:rPr>
        <w:t xml:space="preserve">data and </w:t>
      </w:r>
      <w:r w:rsidRPr="00D00D86">
        <w:rPr>
          <w:color w:val="000000" w:themeColor="text1"/>
        </w:rPr>
        <w:t>other sources of information is as documented in tables and figures.</w:t>
      </w:r>
    </w:p>
    <w:p w14:paraId="66415266" w14:textId="5B7E2EE3" w:rsidR="00B74EAD" w:rsidRPr="00D00D86" w:rsidRDefault="00B74EAD" w:rsidP="00B6215E">
      <w:pPr>
        <w:rPr>
          <w:color w:val="000000" w:themeColor="text1"/>
        </w:rPr>
      </w:pPr>
      <w:r w:rsidRPr="00D00D86">
        <w:rPr>
          <w:color w:val="000000" w:themeColor="text1"/>
        </w:rPr>
        <w:t xml:space="preserve">Some analysis in this review draws on Single Touch Payroll </w:t>
      </w:r>
      <w:r w:rsidR="00B24F8C">
        <w:rPr>
          <w:color w:val="000000" w:themeColor="text1"/>
        </w:rPr>
        <w:t xml:space="preserve">(STP) </w:t>
      </w:r>
      <w:r w:rsidRPr="00D00D86">
        <w:rPr>
          <w:color w:val="000000" w:themeColor="text1"/>
        </w:rPr>
        <w:t>data</w:t>
      </w:r>
      <w:r w:rsidR="00085B45" w:rsidRPr="00D00D86">
        <w:rPr>
          <w:color w:val="000000" w:themeColor="text1"/>
        </w:rPr>
        <w:t xml:space="preserve"> collected by the </w:t>
      </w:r>
      <w:r w:rsidR="003120D9" w:rsidRPr="00D00D86">
        <w:rPr>
          <w:color w:val="000000" w:themeColor="text1"/>
        </w:rPr>
        <w:t>ATO</w:t>
      </w:r>
      <w:r w:rsidRPr="00D00D86">
        <w:rPr>
          <w:color w:val="000000" w:themeColor="text1"/>
        </w:rPr>
        <w:t xml:space="preserve">. </w:t>
      </w:r>
      <w:r w:rsidR="00D333A7" w:rsidRPr="00D00D86">
        <w:rPr>
          <w:color w:val="000000" w:themeColor="text1"/>
        </w:rPr>
        <w:t>This</w:t>
      </w:r>
      <w:r w:rsidRPr="00D00D86">
        <w:rPr>
          <w:color w:val="000000" w:themeColor="text1"/>
        </w:rPr>
        <w:t xml:space="preserve"> is a relatively new source of economic statistics</w:t>
      </w:r>
      <w:r w:rsidR="00085B45" w:rsidRPr="00D00D86">
        <w:rPr>
          <w:color w:val="000000" w:themeColor="text1"/>
        </w:rPr>
        <w:t xml:space="preserve"> in Australia</w:t>
      </w:r>
      <w:r w:rsidRPr="00D00D86">
        <w:rPr>
          <w:color w:val="000000" w:themeColor="text1"/>
        </w:rPr>
        <w:t>, and is the basis of</w:t>
      </w:r>
      <w:r w:rsidR="00385056" w:rsidRPr="00D00D86">
        <w:rPr>
          <w:color w:val="000000" w:themeColor="text1"/>
        </w:rPr>
        <w:t xml:space="preserve"> a new Australian Bureau of Statistics </w:t>
      </w:r>
      <w:r w:rsidR="0021206C" w:rsidRPr="00D00D86">
        <w:rPr>
          <w:color w:val="000000" w:themeColor="text1"/>
        </w:rPr>
        <w:t xml:space="preserve">(ABS) </w:t>
      </w:r>
      <w:r w:rsidR="00385056" w:rsidRPr="00D00D86">
        <w:rPr>
          <w:color w:val="000000" w:themeColor="text1"/>
        </w:rPr>
        <w:t>series</w:t>
      </w:r>
      <w:r w:rsidRPr="00D00D86">
        <w:rPr>
          <w:color w:val="000000" w:themeColor="text1"/>
        </w:rPr>
        <w:t xml:space="preserve"> </w:t>
      </w:r>
      <w:r w:rsidRPr="00D00D86">
        <w:rPr>
          <w:i/>
          <w:color w:val="000000" w:themeColor="text1"/>
        </w:rPr>
        <w:t>Weekly Payroll Jobs and Wages in Australia</w:t>
      </w:r>
      <w:r w:rsidRPr="00D00D86">
        <w:rPr>
          <w:color w:val="000000" w:themeColor="text1"/>
        </w:rPr>
        <w:t xml:space="preserve">. While an invaluable source, </w:t>
      </w:r>
      <w:r w:rsidR="00D333A7" w:rsidRPr="00D00D86">
        <w:rPr>
          <w:color w:val="000000" w:themeColor="text1"/>
        </w:rPr>
        <w:t>it</w:t>
      </w:r>
      <w:r w:rsidRPr="00D00D86">
        <w:rPr>
          <w:color w:val="000000" w:themeColor="text1"/>
        </w:rPr>
        <w:t xml:space="preserve"> is </w:t>
      </w:r>
      <w:r w:rsidR="009D2328" w:rsidRPr="00D00D86">
        <w:rPr>
          <w:color w:val="000000" w:themeColor="text1"/>
        </w:rPr>
        <w:t xml:space="preserve">experimental and </w:t>
      </w:r>
      <w:r w:rsidRPr="00D00D86">
        <w:rPr>
          <w:color w:val="000000" w:themeColor="text1"/>
        </w:rPr>
        <w:t xml:space="preserve">not without limitations. For example, the </w:t>
      </w:r>
      <w:r w:rsidR="00B24F8C">
        <w:rPr>
          <w:color w:val="000000" w:themeColor="text1"/>
        </w:rPr>
        <w:t>STP</w:t>
      </w:r>
      <w:r w:rsidR="00D333A7" w:rsidRPr="00D00D86">
        <w:rPr>
          <w:color w:val="000000" w:themeColor="text1"/>
        </w:rPr>
        <w:t xml:space="preserve"> data </w:t>
      </w:r>
      <w:r w:rsidR="00466469">
        <w:rPr>
          <w:color w:val="000000" w:themeColor="text1"/>
        </w:rPr>
        <w:t>are</w:t>
      </w:r>
      <w:r w:rsidRPr="00D00D86">
        <w:rPr>
          <w:color w:val="000000" w:themeColor="text1"/>
        </w:rPr>
        <w:t xml:space="preserve"> limited to employees and do not </w:t>
      </w:r>
      <w:r w:rsidR="00D95CC8" w:rsidRPr="00D00D86">
        <w:rPr>
          <w:color w:val="000000" w:themeColor="text1"/>
        </w:rPr>
        <w:t xml:space="preserve">fully </w:t>
      </w:r>
      <w:r w:rsidRPr="00D00D86">
        <w:rPr>
          <w:color w:val="000000" w:themeColor="text1"/>
        </w:rPr>
        <w:t>capture sole</w:t>
      </w:r>
      <w:r w:rsidR="00BF638E" w:rsidRPr="00D00D86">
        <w:rPr>
          <w:color w:val="000000" w:themeColor="text1"/>
        </w:rPr>
        <w:t xml:space="preserve"> </w:t>
      </w:r>
      <w:r w:rsidRPr="00D00D86">
        <w:rPr>
          <w:color w:val="000000" w:themeColor="text1"/>
        </w:rPr>
        <w:t xml:space="preserve">traders. Further, employees of small businesses </w:t>
      </w:r>
      <w:r w:rsidR="00085B45" w:rsidRPr="00D00D86">
        <w:rPr>
          <w:color w:val="000000" w:themeColor="text1"/>
        </w:rPr>
        <w:t xml:space="preserve">are </w:t>
      </w:r>
      <w:r w:rsidRPr="00D00D86">
        <w:rPr>
          <w:color w:val="000000" w:themeColor="text1"/>
        </w:rPr>
        <w:t>under</w:t>
      </w:r>
      <w:r w:rsidR="00DE2760">
        <w:rPr>
          <w:color w:val="000000" w:themeColor="text1"/>
        </w:rPr>
        <w:noBreakHyphen/>
      </w:r>
      <w:r w:rsidRPr="00D00D86">
        <w:rPr>
          <w:color w:val="000000" w:themeColor="text1"/>
        </w:rPr>
        <w:t>represented</w:t>
      </w:r>
      <w:r w:rsidR="00DE2760">
        <w:rPr>
          <w:color w:val="000000" w:themeColor="text1"/>
        </w:rPr>
        <w:t xml:space="preserve"> — </w:t>
      </w:r>
      <w:r w:rsidRPr="00D00D86">
        <w:rPr>
          <w:color w:val="000000" w:themeColor="text1"/>
        </w:rPr>
        <w:t xml:space="preserve">the </w:t>
      </w:r>
      <w:r w:rsidR="0021206C" w:rsidRPr="00D00D86">
        <w:rPr>
          <w:color w:val="000000" w:themeColor="text1"/>
        </w:rPr>
        <w:t>ABS</w:t>
      </w:r>
      <w:r w:rsidRPr="00D00D86">
        <w:rPr>
          <w:color w:val="000000" w:themeColor="text1"/>
        </w:rPr>
        <w:t xml:space="preserve"> reports that </w:t>
      </w:r>
      <w:r w:rsidR="00B24F8C">
        <w:rPr>
          <w:color w:val="000000" w:themeColor="text1"/>
        </w:rPr>
        <w:t>STP</w:t>
      </w:r>
      <w:r w:rsidR="00085B45" w:rsidRPr="00D00D86">
        <w:rPr>
          <w:color w:val="000000" w:themeColor="text1"/>
        </w:rPr>
        <w:t xml:space="preserve"> data capture around 99</w:t>
      </w:r>
      <w:r w:rsidR="003120D9" w:rsidRPr="00D00D86">
        <w:rPr>
          <w:color w:val="000000" w:themeColor="text1"/>
        </w:rPr>
        <w:t> </w:t>
      </w:r>
      <w:r w:rsidR="00085B45" w:rsidRPr="00D00D86">
        <w:rPr>
          <w:color w:val="000000" w:themeColor="text1"/>
        </w:rPr>
        <w:t>per</w:t>
      </w:r>
      <w:r w:rsidR="003120D9" w:rsidRPr="00D00D86">
        <w:rPr>
          <w:color w:val="000000" w:themeColor="text1"/>
        </w:rPr>
        <w:t> </w:t>
      </w:r>
      <w:r w:rsidR="00085B45" w:rsidRPr="00D00D86">
        <w:rPr>
          <w:color w:val="000000" w:themeColor="text1"/>
        </w:rPr>
        <w:t xml:space="preserve">cent of employers </w:t>
      </w:r>
      <w:r w:rsidR="005A71DC" w:rsidRPr="00D00D86">
        <w:rPr>
          <w:color w:val="000000" w:themeColor="text1"/>
        </w:rPr>
        <w:t>with 20</w:t>
      </w:r>
      <w:r w:rsidR="003120D9" w:rsidRPr="00D00D86">
        <w:rPr>
          <w:color w:val="000000" w:themeColor="text1"/>
        </w:rPr>
        <w:t> </w:t>
      </w:r>
      <w:r w:rsidR="005A71DC" w:rsidRPr="00D00D86">
        <w:rPr>
          <w:color w:val="000000" w:themeColor="text1"/>
        </w:rPr>
        <w:t>employees or more</w:t>
      </w:r>
      <w:r w:rsidR="00805799">
        <w:rPr>
          <w:color w:val="000000" w:themeColor="text1"/>
        </w:rPr>
        <w:t>,</w:t>
      </w:r>
      <w:r w:rsidR="005A71DC" w:rsidRPr="00D00D86">
        <w:rPr>
          <w:color w:val="000000" w:themeColor="text1"/>
        </w:rPr>
        <w:t xml:space="preserve"> and</w:t>
      </w:r>
      <w:r w:rsidR="00085B45" w:rsidRPr="00D00D86">
        <w:rPr>
          <w:color w:val="000000" w:themeColor="text1"/>
        </w:rPr>
        <w:t xml:space="preserve"> </w:t>
      </w:r>
      <w:r w:rsidR="00AB6853" w:rsidRPr="00D00D86">
        <w:rPr>
          <w:color w:val="000000" w:themeColor="text1"/>
        </w:rPr>
        <w:t xml:space="preserve">over </w:t>
      </w:r>
      <w:r w:rsidR="00085B45" w:rsidRPr="00D00D86">
        <w:rPr>
          <w:color w:val="000000" w:themeColor="text1"/>
        </w:rPr>
        <w:t>80</w:t>
      </w:r>
      <w:r w:rsidR="003120D9" w:rsidRPr="00D00D86">
        <w:rPr>
          <w:color w:val="000000" w:themeColor="text1"/>
        </w:rPr>
        <w:t> </w:t>
      </w:r>
      <w:r w:rsidR="00085B45" w:rsidRPr="00D00D86">
        <w:rPr>
          <w:color w:val="000000" w:themeColor="text1"/>
        </w:rPr>
        <w:t>per</w:t>
      </w:r>
      <w:r w:rsidR="003120D9" w:rsidRPr="00D00D86">
        <w:rPr>
          <w:color w:val="000000" w:themeColor="text1"/>
        </w:rPr>
        <w:t> </w:t>
      </w:r>
      <w:r w:rsidR="00085B45" w:rsidRPr="00D00D86">
        <w:rPr>
          <w:color w:val="000000" w:themeColor="text1"/>
        </w:rPr>
        <w:t>cent</w:t>
      </w:r>
      <w:r w:rsidRPr="00D00D86">
        <w:rPr>
          <w:color w:val="000000" w:themeColor="text1"/>
        </w:rPr>
        <w:t xml:space="preserve"> of those employing 19</w:t>
      </w:r>
      <w:r w:rsidR="003120D9" w:rsidRPr="00D00D86">
        <w:rPr>
          <w:color w:val="000000" w:themeColor="text1"/>
        </w:rPr>
        <w:t> </w:t>
      </w:r>
      <w:r w:rsidR="00BF638E" w:rsidRPr="00D00D86">
        <w:rPr>
          <w:color w:val="000000" w:themeColor="text1"/>
        </w:rPr>
        <w:t xml:space="preserve">people </w:t>
      </w:r>
      <w:r w:rsidRPr="00D00D86">
        <w:rPr>
          <w:color w:val="000000" w:themeColor="text1"/>
        </w:rPr>
        <w:t xml:space="preserve">or less. </w:t>
      </w:r>
      <w:r w:rsidR="00085B45" w:rsidRPr="00D00D86">
        <w:rPr>
          <w:color w:val="000000" w:themeColor="text1"/>
        </w:rPr>
        <w:t xml:space="preserve">Where used in this report, appropriate caveats are included to acknowledge </w:t>
      </w:r>
      <w:r w:rsidR="00C52D1C" w:rsidRPr="00D00D86">
        <w:rPr>
          <w:color w:val="000000" w:themeColor="text1"/>
        </w:rPr>
        <w:t>limitations</w:t>
      </w:r>
      <w:r w:rsidR="00085B45" w:rsidRPr="00D00D86">
        <w:rPr>
          <w:color w:val="000000" w:themeColor="text1"/>
        </w:rPr>
        <w:t>.</w:t>
      </w:r>
      <w:r w:rsidR="005A71DC" w:rsidRPr="00D00D86">
        <w:rPr>
          <w:color w:val="000000" w:themeColor="text1"/>
        </w:rPr>
        <w:t xml:space="preserve"> Further details of this data source and its use in this report are contained in </w:t>
      </w:r>
      <w:r w:rsidR="005A71DC" w:rsidRPr="00D00D86">
        <w:rPr>
          <w:b/>
          <w:color w:val="000000" w:themeColor="text1"/>
        </w:rPr>
        <w:t>Attachment</w:t>
      </w:r>
      <w:r w:rsidR="00854E53" w:rsidRPr="00D00D86">
        <w:rPr>
          <w:b/>
          <w:color w:val="000000" w:themeColor="text1"/>
        </w:rPr>
        <w:t> </w:t>
      </w:r>
      <w:r w:rsidR="005A71DC" w:rsidRPr="00D00D86">
        <w:rPr>
          <w:b/>
          <w:color w:val="000000" w:themeColor="text1"/>
        </w:rPr>
        <w:t>C</w:t>
      </w:r>
      <w:r w:rsidR="005A71DC" w:rsidRPr="00D00D86">
        <w:rPr>
          <w:color w:val="000000" w:themeColor="text1"/>
        </w:rPr>
        <w:t>.</w:t>
      </w:r>
    </w:p>
    <w:p w14:paraId="7D884B11" w14:textId="0643D596" w:rsidR="00415EA4" w:rsidRPr="00D00D86" w:rsidRDefault="00415EA4" w:rsidP="00B6215E">
      <w:pPr>
        <w:rPr>
          <w:color w:val="000000" w:themeColor="text1"/>
        </w:rPr>
      </w:pPr>
      <w:r w:rsidRPr="00D00D86">
        <w:rPr>
          <w:color w:val="000000" w:themeColor="text1"/>
        </w:rPr>
        <w:t xml:space="preserve">The report </w:t>
      </w:r>
      <w:r w:rsidR="005A71DC" w:rsidRPr="00D00D86">
        <w:rPr>
          <w:color w:val="000000" w:themeColor="text1"/>
        </w:rPr>
        <w:t>discusses</w:t>
      </w:r>
      <w:r w:rsidRPr="00D00D86">
        <w:rPr>
          <w:color w:val="000000" w:themeColor="text1"/>
        </w:rPr>
        <w:t xml:space="preserve"> the economic and fiscal outlook</w:t>
      </w:r>
      <w:r w:rsidR="008A6884" w:rsidRPr="00D00D86">
        <w:rPr>
          <w:color w:val="000000" w:themeColor="text1"/>
        </w:rPr>
        <w:t xml:space="preserve"> in the second half of 2020</w:t>
      </w:r>
      <w:r w:rsidRPr="00D00D86">
        <w:rPr>
          <w:color w:val="000000" w:themeColor="text1"/>
        </w:rPr>
        <w:t xml:space="preserve">, but does not contain a set of forecasts. </w:t>
      </w:r>
      <w:r w:rsidR="00D30EBD" w:rsidRPr="00D00D86">
        <w:rPr>
          <w:color w:val="000000" w:themeColor="text1"/>
        </w:rPr>
        <w:t>Macroeconomic</w:t>
      </w:r>
      <w:r w:rsidRPr="00D00D86">
        <w:rPr>
          <w:color w:val="000000" w:themeColor="text1"/>
        </w:rPr>
        <w:t xml:space="preserve"> forecasts </w:t>
      </w:r>
      <w:r w:rsidR="00D30EBD" w:rsidRPr="00D00D86">
        <w:rPr>
          <w:color w:val="000000" w:themeColor="text1"/>
        </w:rPr>
        <w:t>will be</w:t>
      </w:r>
      <w:r w:rsidRPr="00D00D86">
        <w:rPr>
          <w:color w:val="000000" w:themeColor="text1"/>
        </w:rPr>
        <w:t xml:space="preserve"> included in </w:t>
      </w:r>
      <w:r w:rsidR="00057DCD">
        <w:rPr>
          <w:color w:val="000000" w:themeColor="text1"/>
        </w:rPr>
        <w:t xml:space="preserve">the </w:t>
      </w:r>
      <w:r w:rsidR="0045733A">
        <w:rPr>
          <w:color w:val="000000" w:themeColor="text1"/>
        </w:rPr>
        <w:t xml:space="preserve">July </w:t>
      </w:r>
      <w:r w:rsidRPr="00D00D86">
        <w:rPr>
          <w:color w:val="000000" w:themeColor="text1"/>
        </w:rPr>
        <w:t xml:space="preserve">Economic </w:t>
      </w:r>
      <w:r w:rsidR="004B5A51">
        <w:rPr>
          <w:color w:val="000000" w:themeColor="text1"/>
        </w:rPr>
        <w:t>and Fiscal</w:t>
      </w:r>
      <w:r w:rsidR="0001004A">
        <w:rPr>
          <w:color w:val="000000" w:themeColor="text1"/>
        </w:rPr>
        <w:t xml:space="preserve"> Update</w:t>
      </w:r>
      <w:r w:rsidRPr="00D00D86">
        <w:rPr>
          <w:color w:val="000000" w:themeColor="text1"/>
        </w:rPr>
        <w:t>.</w:t>
      </w:r>
    </w:p>
    <w:p w14:paraId="53CC4B44" w14:textId="50D03CC4" w:rsidR="001C6BF1" w:rsidRDefault="001C6BF1">
      <w:r>
        <w:br w:type="page"/>
      </w:r>
    </w:p>
    <w:p w14:paraId="5F704C8A" w14:textId="5486C57C" w:rsidR="00451C70" w:rsidRDefault="00451C70" w:rsidP="009B6E0C">
      <w:pPr>
        <w:pStyle w:val="Heading1"/>
      </w:pPr>
      <w:bookmarkStart w:id="35" w:name="_Toc43294078"/>
      <w:bookmarkStart w:id="36" w:name="_Toc43300423"/>
      <w:bookmarkStart w:id="37" w:name="_Toc43302276"/>
      <w:bookmarkStart w:id="38" w:name="_Toc43303715"/>
      <w:bookmarkStart w:id="39" w:name="_Toc43305326"/>
      <w:bookmarkStart w:id="40" w:name="_Toc43306297"/>
      <w:bookmarkStart w:id="41" w:name="_Toc43309505"/>
      <w:bookmarkStart w:id="42" w:name="_Toc43802490"/>
      <w:bookmarkStart w:id="43" w:name="_Toc43809338"/>
      <w:bookmarkStart w:id="44" w:name="_Toc43815603"/>
      <w:bookmarkStart w:id="45" w:name="_Toc43817536"/>
      <w:bookmarkStart w:id="46" w:name="_Toc43825307"/>
      <w:bookmarkStart w:id="47" w:name="_Toc43825411"/>
      <w:bookmarkStart w:id="48" w:name="_Toc43825504"/>
      <w:bookmarkStart w:id="49" w:name="_Toc43996240"/>
      <w:bookmarkStart w:id="50" w:name="_Toc43998499"/>
      <w:bookmarkStart w:id="51" w:name="_Toc43998426"/>
      <w:bookmarkStart w:id="52" w:name="_Toc44069948"/>
      <w:bookmarkStart w:id="53" w:name="_Toc44071352"/>
      <w:bookmarkStart w:id="54" w:name="_Toc44073476"/>
      <w:bookmarkStart w:id="55" w:name="_Toc44074616"/>
      <w:bookmarkStart w:id="56" w:name="_Toc44079505"/>
      <w:bookmarkStart w:id="57" w:name="_Toc44079800"/>
      <w:bookmarkStart w:id="58" w:name="_Toc44079935"/>
      <w:bookmarkStart w:id="59" w:name="_Toc44319846"/>
      <w:bookmarkStart w:id="60" w:name="_Toc44321554"/>
      <w:bookmarkStart w:id="61" w:name="_Toc44323721"/>
      <w:bookmarkStart w:id="62" w:name="_Toc44326184"/>
      <w:bookmarkStart w:id="63" w:name="_Toc44330506"/>
      <w:bookmarkStart w:id="64" w:name="_Toc44330748"/>
      <w:bookmarkStart w:id="65" w:name="_Toc44333180"/>
      <w:bookmarkStart w:id="66" w:name="_Toc44334811"/>
      <w:bookmarkStart w:id="67" w:name="_Toc45227415"/>
      <w:bookmarkStart w:id="68" w:name="_Toc45799016"/>
      <w:r>
        <w:lastRenderedPageBreak/>
        <w:t>Glossary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2412"/>
        <w:gridCol w:w="6235"/>
      </w:tblGrid>
      <w:tr w:rsidR="008B44AE" w:rsidRPr="001C6BF1" w14:paraId="1F133342" w14:textId="77777777" w:rsidTr="00F02242">
        <w:tc>
          <w:tcPr>
            <w:tcW w:w="2372" w:type="dxa"/>
          </w:tcPr>
          <w:p w14:paraId="21E5D15C" w14:textId="163ED39A" w:rsidR="008B44AE" w:rsidRPr="001C6BF1" w:rsidRDefault="008B44AE" w:rsidP="00397077">
            <w:pPr>
              <w:pStyle w:val="Tablecolumnheadingleft"/>
            </w:pPr>
            <w:r w:rsidRPr="001C6BF1">
              <w:t>Business</w:t>
            </w:r>
          </w:p>
        </w:tc>
        <w:tc>
          <w:tcPr>
            <w:tcW w:w="6132" w:type="dxa"/>
          </w:tcPr>
          <w:p w14:paraId="089D8C12" w14:textId="03EAB3FC" w:rsidR="008B44AE" w:rsidRPr="00D00D86" w:rsidRDefault="008B44AE" w:rsidP="00250C7E">
            <w:pPr>
              <w:pStyle w:val="Tabletextleft"/>
            </w:pPr>
            <w:r w:rsidRPr="00D00D86">
              <w:t xml:space="preserve">Businesses include all companies, </w:t>
            </w:r>
            <w:r w:rsidR="00250C7E">
              <w:t xml:space="preserve">partnerships, </w:t>
            </w:r>
            <w:r w:rsidRPr="00D00D86">
              <w:t>trusts, plus individuals with business income (sole traders)</w:t>
            </w:r>
          </w:p>
        </w:tc>
      </w:tr>
      <w:tr w:rsidR="008B44AE" w:rsidRPr="001C6BF1" w14:paraId="0CB2EDBD" w14:textId="77777777" w:rsidTr="00F02242">
        <w:tc>
          <w:tcPr>
            <w:tcW w:w="2372" w:type="dxa"/>
          </w:tcPr>
          <w:p w14:paraId="3EA21E9A" w14:textId="7486AFDA" w:rsidR="008B44AE" w:rsidRPr="001C6BF1" w:rsidRDefault="008B44AE" w:rsidP="00397077">
            <w:pPr>
              <w:pStyle w:val="Tablecolumnheadingleft"/>
            </w:pPr>
            <w:r w:rsidRPr="001C6BF1">
              <w:t>Business Activity Statement</w:t>
            </w:r>
          </w:p>
        </w:tc>
        <w:tc>
          <w:tcPr>
            <w:tcW w:w="6132" w:type="dxa"/>
          </w:tcPr>
          <w:p w14:paraId="6C7CD98D" w14:textId="0C311F6F" w:rsidR="008B44AE" w:rsidRPr="00D00D86" w:rsidRDefault="008B44AE" w:rsidP="00397077">
            <w:pPr>
              <w:pStyle w:val="Tabletextleft"/>
            </w:pPr>
            <w:r w:rsidRPr="00D00D86">
              <w:t xml:space="preserve">Businesses registered for Goods and Services Tax (GST) are required to lodge a Business Activity Statement </w:t>
            </w:r>
            <w:r w:rsidR="00466469">
              <w:t xml:space="preserve">(BAS) </w:t>
            </w:r>
            <w:r w:rsidR="003120D9" w:rsidRPr="00D00D86">
              <w:t xml:space="preserve">with </w:t>
            </w:r>
            <w:r w:rsidRPr="00D00D86">
              <w:t xml:space="preserve">the </w:t>
            </w:r>
            <w:r w:rsidR="008A35EF">
              <w:t>ATO</w:t>
            </w:r>
            <w:r w:rsidRPr="00D00D86">
              <w:t xml:space="preserve"> to report their tax obligations. </w:t>
            </w:r>
          </w:p>
        </w:tc>
      </w:tr>
      <w:tr w:rsidR="008B44AE" w:rsidRPr="001C6BF1" w14:paraId="256C43C6" w14:textId="77777777" w:rsidTr="00F02242">
        <w:tc>
          <w:tcPr>
            <w:tcW w:w="2372" w:type="dxa"/>
          </w:tcPr>
          <w:p w14:paraId="3E201229" w14:textId="58017716" w:rsidR="008B44AE" w:rsidRPr="001C6BF1" w:rsidRDefault="008B44AE" w:rsidP="00397077">
            <w:pPr>
              <w:pStyle w:val="Tablecolumnheadingleft"/>
            </w:pPr>
            <w:r w:rsidRPr="001C6BF1">
              <w:t>Casual employees</w:t>
            </w:r>
          </w:p>
        </w:tc>
        <w:tc>
          <w:tcPr>
            <w:tcW w:w="6132" w:type="dxa"/>
          </w:tcPr>
          <w:p w14:paraId="6F658A01" w14:textId="1BEDE5E0" w:rsidR="008B44AE" w:rsidRPr="00D00D86" w:rsidRDefault="00BF6481" w:rsidP="00397077">
            <w:pPr>
              <w:pStyle w:val="Tabletextleft"/>
            </w:pPr>
            <w:r w:rsidRPr="00D00D86">
              <w:t xml:space="preserve">Employees without certain paid leave entitlements, no guaranteed hours of work, and </w:t>
            </w:r>
            <w:r w:rsidR="00CC1DAD" w:rsidRPr="00D00D86">
              <w:t xml:space="preserve">whose employment </w:t>
            </w:r>
            <w:r w:rsidRPr="00D00D86">
              <w:t xml:space="preserve">can end without notice unless </w:t>
            </w:r>
            <w:r w:rsidR="00910492">
              <w:t xml:space="preserve">notice is </w:t>
            </w:r>
            <w:r w:rsidR="00CC1DAD" w:rsidRPr="00D00D86">
              <w:t>require</w:t>
            </w:r>
            <w:r w:rsidR="009A3166" w:rsidRPr="00D00D86">
              <w:t xml:space="preserve">d by a registered agreement, award or employment contract. </w:t>
            </w:r>
          </w:p>
        </w:tc>
      </w:tr>
      <w:tr w:rsidR="008B44AE" w:rsidRPr="001C6BF1" w14:paraId="0CA45CAB" w14:textId="77777777" w:rsidTr="00F02242">
        <w:tc>
          <w:tcPr>
            <w:tcW w:w="2372" w:type="dxa"/>
          </w:tcPr>
          <w:p w14:paraId="4570BCB3" w14:textId="4F5B3524" w:rsidR="008B44AE" w:rsidRPr="001C6BF1" w:rsidRDefault="008B44AE" w:rsidP="00397077">
            <w:pPr>
              <w:pStyle w:val="Tablecolumnheadingleft"/>
            </w:pPr>
            <w:r w:rsidRPr="001C6BF1">
              <w:t>Coronavirus Supplement</w:t>
            </w:r>
          </w:p>
        </w:tc>
        <w:tc>
          <w:tcPr>
            <w:tcW w:w="6132" w:type="dxa"/>
          </w:tcPr>
          <w:p w14:paraId="60B14B58" w14:textId="630289D5" w:rsidR="008B44AE" w:rsidRPr="00D00D86" w:rsidRDefault="00091305" w:rsidP="00485586">
            <w:pPr>
              <w:pStyle w:val="Tabletextleft"/>
            </w:pPr>
            <w:r w:rsidRPr="00D00D86">
              <w:t xml:space="preserve">Additional financial support </w:t>
            </w:r>
            <w:r w:rsidR="006458EF" w:rsidRPr="00D00D86">
              <w:t xml:space="preserve">for </w:t>
            </w:r>
            <w:r w:rsidR="003120D9" w:rsidRPr="00D00D86">
              <w:t xml:space="preserve">people </w:t>
            </w:r>
            <w:r w:rsidR="006458EF" w:rsidRPr="00D00D86">
              <w:t xml:space="preserve">who </w:t>
            </w:r>
            <w:r w:rsidR="00CC1DAD" w:rsidRPr="00D00D86">
              <w:t>receive certain</w:t>
            </w:r>
            <w:r w:rsidR="006458EF" w:rsidRPr="00D00D86">
              <w:t xml:space="preserve"> income support payment</w:t>
            </w:r>
            <w:r w:rsidR="00CC1DAD" w:rsidRPr="00D00D86">
              <w:t>s</w:t>
            </w:r>
            <w:r w:rsidR="00216DB1">
              <w:t>, such as the JobSeeker Payment</w:t>
            </w:r>
            <w:r w:rsidR="006458EF" w:rsidRPr="00D00D86">
              <w:t xml:space="preserve">. Those eligible receive a fortnightly </w:t>
            </w:r>
            <w:r w:rsidR="00485586">
              <w:t xml:space="preserve">supplement </w:t>
            </w:r>
            <w:r w:rsidR="006458EF" w:rsidRPr="00D00D86">
              <w:t>of $550.</w:t>
            </w:r>
          </w:p>
        </w:tc>
      </w:tr>
      <w:tr w:rsidR="008B44AE" w:rsidRPr="001C6BF1" w14:paraId="0EE06561" w14:textId="77777777" w:rsidTr="00F02242">
        <w:tc>
          <w:tcPr>
            <w:tcW w:w="2372" w:type="dxa"/>
          </w:tcPr>
          <w:p w14:paraId="1883BC9A" w14:textId="64294F1F" w:rsidR="008B44AE" w:rsidRPr="001C6BF1" w:rsidRDefault="008B44AE" w:rsidP="00397077">
            <w:pPr>
              <w:pStyle w:val="Tablecolumnheadingleft"/>
            </w:pPr>
            <w:r w:rsidRPr="001C6BF1">
              <w:t>COVID</w:t>
            </w:r>
            <w:r w:rsidR="00DE2760">
              <w:noBreakHyphen/>
            </w:r>
            <w:r w:rsidRPr="001C6BF1">
              <w:t>19</w:t>
            </w:r>
          </w:p>
        </w:tc>
        <w:tc>
          <w:tcPr>
            <w:tcW w:w="6132" w:type="dxa"/>
          </w:tcPr>
          <w:p w14:paraId="10E7276E" w14:textId="08E324AB" w:rsidR="008B44AE" w:rsidRPr="00D00D86" w:rsidRDefault="008B44AE" w:rsidP="0088271D">
            <w:pPr>
              <w:pStyle w:val="Tabletextleft"/>
            </w:pPr>
            <w:r w:rsidRPr="00D00D86">
              <w:t>COVID</w:t>
            </w:r>
            <w:r w:rsidR="00DE2760">
              <w:noBreakHyphen/>
            </w:r>
            <w:r w:rsidRPr="00D00D86">
              <w:t>19 is an infectious disease caused by a newly discovered coronavirus.</w:t>
            </w:r>
            <w:r w:rsidR="00145004" w:rsidRPr="00D00D86">
              <w:t xml:space="preserve"> </w:t>
            </w:r>
            <w:r w:rsidR="00D24F02">
              <w:t xml:space="preserve">Cases were </w:t>
            </w:r>
            <w:r w:rsidR="0088271D">
              <w:t xml:space="preserve">confirmed </w:t>
            </w:r>
            <w:r w:rsidRPr="00D00D86">
              <w:t xml:space="preserve">in Australia </w:t>
            </w:r>
            <w:r w:rsidR="00D24F02">
              <w:t xml:space="preserve">from </w:t>
            </w:r>
            <w:r w:rsidRPr="00D00D86">
              <w:t>late</w:t>
            </w:r>
            <w:r w:rsidR="00CB3584" w:rsidRPr="00D00D86">
              <w:t> </w:t>
            </w:r>
            <w:r w:rsidRPr="00D00D86">
              <w:t>January 2020.</w:t>
            </w:r>
          </w:p>
        </w:tc>
      </w:tr>
      <w:tr w:rsidR="008B44AE" w:rsidRPr="001C6BF1" w14:paraId="573C73BC" w14:textId="77777777" w:rsidTr="00F02242">
        <w:tc>
          <w:tcPr>
            <w:tcW w:w="2372" w:type="dxa"/>
          </w:tcPr>
          <w:p w14:paraId="579C0802" w14:textId="09AF34B6" w:rsidR="008B44AE" w:rsidRPr="001C6BF1" w:rsidRDefault="008B44AE" w:rsidP="00397077">
            <w:pPr>
              <w:pStyle w:val="Tablecolumnheadingleft"/>
            </w:pPr>
            <w:r w:rsidRPr="001C6BF1">
              <w:t>JobKeeper applications processed</w:t>
            </w:r>
          </w:p>
        </w:tc>
        <w:tc>
          <w:tcPr>
            <w:tcW w:w="6132" w:type="dxa"/>
          </w:tcPr>
          <w:p w14:paraId="17EC1709" w14:textId="2AB151FA" w:rsidR="008B44AE" w:rsidRPr="00D00D86" w:rsidRDefault="008B44AE" w:rsidP="00D24F02">
            <w:pPr>
              <w:pStyle w:val="Tabletextleft"/>
            </w:pPr>
            <w:r w:rsidRPr="00D00D86">
              <w:t>Applications that have completed the enrolment, verification and declaration steps for JobKeeper. The number of eligible organisations that have applications processed for J</w:t>
            </w:r>
            <w:r w:rsidR="00E370EA" w:rsidRPr="00D00D86">
              <w:t>obKeeper is based on unique A</w:t>
            </w:r>
            <w:r w:rsidR="00CB3584" w:rsidRPr="00D00D86">
              <w:t>ustralian Business Numbers</w:t>
            </w:r>
            <w:r w:rsidR="00D24F02">
              <w:t>.</w:t>
            </w:r>
            <w:r w:rsidR="00F221A0" w:rsidRPr="00D00D86">
              <w:t xml:space="preserve"> </w:t>
            </w:r>
          </w:p>
        </w:tc>
      </w:tr>
      <w:tr w:rsidR="008B44AE" w:rsidRPr="001C6BF1" w14:paraId="45F44FB5" w14:textId="77777777" w:rsidTr="00F02242">
        <w:tc>
          <w:tcPr>
            <w:tcW w:w="2372" w:type="dxa"/>
          </w:tcPr>
          <w:p w14:paraId="25EB1DDD" w14:textId="00A5B9BB" w:rsidR="008B44AE" w:rsidRPr="001C6BF1" w:rsidRDefault="008B44AE" w:rsidP="00397077">
            <w:pPr>
              <w:pStyle w:val="Tablecolumnheadingleft"/>
            </w:pPr>
            <w:r w:rsidRPr="001C6BF1">
              <w:t>JobKeeper enrolments</w:t>
            </w:r>
          </w:p>
        </w:tc>
        <w:tc>
          <w:tcPr>
            <w:tcW w:w="6132" w:type="dxa"/>
          </w:tcPr>
          <w:p w14:paraId="47E5622E" w14:textId="4AE80473" w:rsidR="008B44AE" w:rsidRPr="00D00D86" w:rsidRDefault="00537448" w:rsidP="00656B57">
            <w:pPr>
              <w:pStyle w:val="Tabletextleft"/>
            </w:pPr>
            <w:r>
              <w:t>Enrolments reflect</w:t>
            </w:r>
            <w:r w:rsidR="00954AE0">
              <w:t xml:space="preserve"> the</w:t>
            </w:r>
            <w:r>
              <w:t xml:space="preserve"> intention of organisations </w:t>
            </w:r>
            <w:r w:rsidR="008B44AE" w:rsidRPr="00D00D86">
              <w:t xml:space="preserve">to claim the JobKeeper </w:t>
            </w:r>
            <w:r w:rsidR="00656B57">
              <w:t>Payment</w:t>
            </w:r>
            <w:r w:rsidR="008B44AE" w:rsidRPr="00D00D86">
              <w:t xml:space="preserve">. </w:t>
            </w:r>
            <w:r w:rsidR="001A2635">
              <w:t>Enrolments have not been verified by the ATO for eligibility.</w:t>
            </w:r>
          </w:p>
        </w:tc>
      </w:tr>
      <w:tr w:rsidR="008B44AE" w:rsidRPr="001C6BF1" w14:paraId="41879AC6" w14:textId="77777777" w:rsidTr="00F02242">
        <w:tc>
          <w:tcPr>
            <w:tcW w:w="2372" w:type="dxa"/>
          </w:tcPr>
          <w:p w14:paraId="4530C75E" w14:textId="61F0F1E8" w:rsidR="008B44AE" w:rsidRPr="001C6BF1" w:rsidRDefault="008B44AE" w:rsidP="00397077">
            <w:pPr>
              <w:pStyle w:val="Tablecolumnheadingleft"/>
            </w:pPr>
            <w:r w:rsidRPr="001C6BF1">
              <w:t>JobKeeper fortnight</w:t>
            </w:r>
          </w:p>
        </w:tc>
        <w:tc>
          <w:tcPr>
            <w:tcW w:w="6132" w:type="dxa"/>
          </w:tcPr>
          <w:p w14:paraId="7B5D3357" w14:textId="58F894F9" w:rsidR="008B44AE" w:rsidRPr="00D00D86" w:rsidRDefault="008B44AE" w:rsidP="00966C6C">
            <w:pPr>
              <w:pStyle w:val="Tabletextleft"/>
            </w:pPr>
            <w:r w:rsidRPr="00D00D86">
              <w:t>ATO</w:t>
            </w:r>
            <w:r w:rsidR="00DE2760">
              <w:noBreakHyphen/>
            </w:r>
            <w:r w:rsidRPr="00D00D86">
              <w:t>defined fortnights, with the first from 30 March to 12 Ap</w:t>
            </w:r>
            <w:r w:rsidR="00E350B4">
              <w:t>ril</w:t>
            </w:r>
            <w:r w:rsidR="009710D7">
              <w:t xml:space="preserve"> 2020</w:t>
            </w:r>
            <w:r w:rsidRPr="00D00D86">
              <w:t>.</w:t>
            </w:r>
            <w:r w:rsidR="00E350B4">
              <w:t xml:space="preserve"> Regardless of </w:t>
            </w:r>
            <w:r w:rsidR="00656B57">
              <w:t>an organisation’s</w:t>
            </w:r>
            <w:r w:rsidRPr="00D00D86">
              <w:t xml:space="preserve"> pay run frequency, or pay period start and end dates, the $1</w:t>
            </w:r>
            <w:r w:rsidR="00D92809">
              <w:t>,</w:t>
            </w:r>
            <w:r w:rsidRPr="00D00D86">
              <w:t xml:space="preserve">500 a fortnight JobKeeper </w:t>
            </w:r>
            <w:r w:rsidR="00966C6C">
              <w:t>P</w:t>
            </w:r>
            <w:r w:rsidRPr="00D00D86">
              <w:t>ayment applies to the pay dates within the JobKeeper fortnights.</w:t>
            </w:r>
          </w:p>
        </w:tc>
      </w:tr>
      <w:tr w:rsidR="00F02242" w:rsidRPr="001C6BF1" w14:paraId="0BD8DCA1" w14:textId="77777777" w:rsidTr="00F02242">
        <w:tc>
          <w:tcPr>
            <w:tcW w:w="2372" w:type="dxa"/>
          </w:tcPr>
          <w:p w14:paraId="4ACD4E8F" w14:textId="6D904555" w:rsidR="00F02242" w:rsidRPr="001C6BF1" w:rsidRDefault="00F02242" w:rsidP="00485586">
            <w:pPr>
              <w:pStyle w:val="Tablecolumnheadingleft"/>
            </w:pPr>
            <w:r>
              <w:t xml:space="preserve">JobKeeper </w:t>
            </w:r>
            <w:r w:rsidR="00485586">
              <w:t>i</w:t>
            </w:r>
            <w:r>
              <w:t xml:space="preserve">ndividual </w:t>
            </w:r>
            <w:r w:rsidR="00485586">
              <w:t>r</w:t>
            </w:r>
            <w:r>
              <w:t>ecipients</w:t>
            </w:r>
          </w:p>
        </w:tc>
        <w:tc>
          <w:tcPr>
            <w:tcW w:w="6132" w:type="dxa"/>
          </w:tcPr>
          <w:p w14:paraId="414B967C" w14:textId="1F2F32D5" w:rsidR="00F02242" w:rsidRPr="00D00D86" w:rsidRDefault="00F02242" w:rsidP="00485586">
            <w:pPr>
              <w:pStyle w:val="Tabletextleft"/>
            </w:pPr>
            <w:r>
              <w:t>Includes employees and eligible business participants. Under JobKeeper, self</w:t>
            </w:r>
            <w:r w:rsidR="00485586">
              <w:noBreakHyphen/>
            </w:r>
            <w:r>
              <w:t>employed individuals are eligible as business participants if they are an eligible sole trader, partner, adult beneficiary of a trust, a shareholder or a director actively engaged in the business carried on by an eligible entity.</w:t>
            </w:r>
          </w:p>
        </w:tc>
      </w:tr>
      <w:tr w:rsidR="008B44AE" w:rsidRPr="001C6BF1" w14:paraId="753E8CF0" w14:textId="77777777" w:rsidTr="00F02242">
        <w:tc>
          <w:tcPr>
            <w:tcW w:w="2372" w:type="dxa"/>
          </w:tcPr>
          <w:p w14:paraId="3D476A8E" w14:textId="580A1A27" w:rsidR="008B44AE" w:rsidRPr="001C6BF1" w:rsidRDefault="008B44AE" w:rsidP="00397077">
            <w:pPr>
              <w:pStyle w:val="Tablecolumnheadingleft"/>
            </w:pPr>
            <w:r w:rsidRPr="001C6BF1">
              <w:t>JobKeeper payments accrued</w:t>
            </w:r>
          </w:p>
        </w:tc>
        <w:tc>
          <w:tcPr>
            <w:tcW w:w="6132" w:type="dxa"/>
          </w:tcPr>
          <w:p w14:paraId="77CFAD76" w14:textId="04C634BE" w:rsidR="008B44AE" w:rsidRPr="00D00D86" w:rsidRDefault="008B44AE" w:rsidP="00656B57">
            <w:pPr>
              <w:pStyle w:val="Tabletextleft"/>
            </w:pPr>
            <w:r w:rsidRPr="00D00D86">
              <w:t xml:space="preserve">The amount of anticipated payments to eligible </w:t>
            </w:r>
            <w:r w:rsidR="00656B57">
              <w:t>organisations</w:t>
            </w:r>
            <w:r w:rsidR="00656B57" w:rsidRPr="00D00D86">
              <w:t xml:space="preserve"> </w:t>
            </w:r>
            <w:r w:rsidRPr="00D00D86">
              <w:t xml:space="preserve">that have been incurred for JobKeeper, which is </w:t>
            </w:r>
            <w:r w:rsidR="002416E7" w:rsidRPr="00D00D86">
              <w:t>based on</w:t>
            </w:r>
            <w:r w:rsidRPr="00D00D86">
              <w:t xml:space="preserve"> the number of employees and eligible business participants </w:t>
            </w:r>
            <w:r w:rsidR="002416E7" w:rsidRPr="00D00D86">
              <w:t>with processed</w:t>
            </w:r>
            <w:r w:rsidR="00145004" w:rsidRPr="00D00D86">
              <w:t xml:space="preserve"> JobKeeper applications</w:t>
            </w:r>
          </w:p>
        </w:tc>
      </w:tr>
      <w:tr w:rsidR="008B44AE" w:rsidRPr="001C6BF1" w14:paraId="2011105A" w14:textId="77777777" w:rsidTr="00F02242">
        <w:tc>
          <w:tcPr>
            <w:tcW w:w="2372" w:type="dxa"/>
          </w:tcPr>
          <w:p w14:paraId="105D375E" w14:textId="7AE8E6F9" w:rsidR="008B44AE" w:rsidRPr="001C6BF1" w:rsidRDefault="008B44AE" w:rsidP="00397077">
            <w:pPr>
              <w:pStyle w:val="Tablecolumnheadingleft"/>
            </w:pPr>
            <w:r w:rsidRPr="001C6BF1">
              <w:t>Not</w:t>
            </w:r>
            <w:r w:rsidR="00DE2760">
              <w:noBreakHyphen/>
            </w:r>
            <w:r w:rsidRPr="001C6BF1">
              <w:t>for</w:t>
            </w:r>
            <w:r w:rsidR="00DE2760">
              <w:noBreakHyphen/>
            </w:r>
            <w:r w:rsidRPr="001C6BF1">
              <w:t>profit</w:t>
            </w:r>
          </w:p>
        </w:tc>
        <w:tc>
          <w:tcPr>
            <w:tcW w:w="6132" w:type="dxa"/>
          </w:tcPr>
          <w:p w14:paraId="6321BB08" w14:textId="72E80873" w:rsidR="008B44AE" w:rsidRPr="00D00D86" w:rsidRDefault="00C670EB" w:rsidP="00397077">
            <w:pPr>
              <w:pStyle w:val="Tabletextleft"/>
            </w:pPr>
            <w:r w:rsidRPr="00D00D86">
              <w:t>Not</w:t>
            </w:r>
            <w:r w:rsidR="00DE2760">
              <w:noBreakHyphen/>
            </w:r>
            <w:r w:rsidRPr="00D00D86">
              <w:t>for</w:t>
            </w:r>
            <w:r w:rsidR="00DE2760">
              <w:noBreakHyphen/>
            </w:r>
            <w:r w:rsidRPr="00D00D86">
              <w:t>profit (NFP) organisations are organisations that provide services to the community and do not operate to make a profit for its members (or shareholders, if applicable).</w:t>
            </w:r>
          </w:p>
        </w:tc>
      </w:tr>
      <w:tr w:rsidR="008B44AE" w:rsidRPr="001C6BF1" w14:paraId="4F8C3860" w14:textId="77777777" w:rsidTr="00F02242">
        <w:tc>
          <w:tcPr>
            <w:tcW w:w="2372" w:type="dxa"/>
          </w:tcPr>
          <w:p w14:paraId="01A3091C" w14:textId="7CABA658" w:rsidR="008B44AE" w:rsidRPr="001C6BF1" w:rsidRDefault="008B44AE" w:rsidP="00397077">
            <w:pPr>
              <w:pStyle w:val="Tablecolumnheadingleft"/>
            </w:pPr>
            <w:r w:rsidRPr="001C6BF1">
              <w:t>Organisation</w:t>
            </w:r>
          </w:p>
        </w:tc>
        <w:tc>
          <w:tcPr>
            <w:tcW w:w="6132" w:type="dxa"/>
          </w:tcPr>
          <w:p w14:paraId="66A12819" w14:textId="00A10DD0" w:rsidR="008B44AE" w:rsidRPr="00D00D86" w:rsidRDefault="002416E7" w:rsidP="00377431">
            <w:pPr>
              <w:pStyle w:val="Tabletextleft"/>
            </w:pPr>
            <w:r w:rsidRPr="00D00D86">
              <w:t xml:space="preserve">The term </w:t>
            </w:r>
            <w:r w:rsidR="00DE2760">
              <w:t>‘</w:t>
            </w:r>
            <w:r w:rsidRPr="00D00D86">
              <w:t>organisation</w:t>
            </w:r>
            <w:r w:rsidR="00DE2760">
              <w:t>’</w:t>
            </w:r>
            <w:r w:rsidRPr="00D00D86">
              <w:t xml:space="preserve"> covers both businesses and not</w:t>
            </w:r>
            <w:r w:rsidR="00DE2760">
              <w:noBreakHyphen/>
            </w:r>
            <w:r w:rsidRPr="00D00D86">
              <w:t>for</w:t>
            </w:r>
            <w:r w:rsidR="00DE2760">
              <w:noBreakHyphen/>
            </w:r>
            <w:r w:rsidRPr="00D00D86">
              <w:t>profits participating in the program</w:t>
            </w:r>
            <w:r w:rsidR="009818C3">
              <w:t xml:space="preserve">. </w:t>
            </w:r>
          </w:p>
        </w:tc>
      </w:tr>
      <w:tr w:rsidR="00096159" w:rsidRPr="001C6BF1" w14:paraId="1CAEB764" w14:textId="77777777" w:rsidTr="00F02242">
        <w:tc>
          <w:tcPr>
            <w:tcW w:w="2372" w:type="dxa"/>
          </w:tcPr>
          <w:p w14:paraId="38FF7306" w14:textId="1D0B76BF" w:rsidR="00096159" w:rsidRPr="00096159" w:rsidRDefault="00096159" w:rsidP="00397077">
            <w:pPr>
              <w:pStyle w:val="Tablecolumnheadingleft"/>
            </w:pPr>
            <w:r w:rsidRPr="00096159">
              <w:t>Single Touch Payroll</w:t>
            </w:r>
          </w:p>
        </w:tc>
        <w:tc>
          <w:tcPr>
            <w:tcW w:w="6132" w:type="dxa"/>
          </w:tcPr>
          <w:p w14:paraId="3AEC776F" w14:textId="5B097886" w:rsidR="00096159" w:rsidRPr="00D00D86" w:rsidRDefault="00096159" w:rsidP="00990E7A">
            <w:pPr>
              <w:pStyle w:val="Tabletextleft"/>
            </w:pPr>
            <w:r w:rsidRPr="00D00D86">
              <w:t xml:space="preserve">Single Touch Payroll (STP) data </w:t>
            </w:r>
            <w:r w:rsidR="00D673E1">
              <w:t>are</w:t>
            </w:r>
            <w:r w:rsidRPr="00D00D86">
              <w:t xml:space="preserve"> provided to the ATO by businesses with STP</w:t>
            </w:r>
            <w:r w:rsidR="00DE2760">
              <w:noBreakHyphen/>
            </w:r>
            <w:r w:rsidRPr="00D00D86">
              <w:t>enabled payroll or accounting software each time the business runs its payroll. STP data include both business and job</w:t>
            </w:r>
            <w:r w:rsidR="00990E7A">
              <w:noBreakHyphen/>
            </w:r>
            <w:r w:rsidRPr="00D00D86">
              <w:t>level tax information and superannuation information.</w:t>
            </w:r>
          </w:p>
        </w:tc>
      </w:tr>
    </w:tbl>
    <w:p w14:paraId="784CB56B" w14:textId="77777777" w:rsidR="003E6884" w:rsidRDefault="003E6884" w:rsidP="003E6884">
      <w:pPr>
        <w:pStyle w:val="Heading1"/>
      </w:pPr>
      <w:bookmarkStart w:id="69" w:name="_Toc43294079"/>
      <w:bookmarkStart w:id="70" w:name="_Toc43300424"/>
      <w:bookmarkStart w:id="71" w:name="_Toc43302277"/>
      <w:bookmarkStart w:id="72" w:name="_Toc43303716"/>
      <w:bookmarkStart w:id="73" w:name="_Toc43305327"/>
      <w:bookmarkStart w:id="74" w:name="_Toc43306298"/>
      <w:bookmarkStart w:id="75" w:name="_Toc43309506"/>
      <w:bookmarkStart w:id="76" w:name="_Toc43802491"/>
      <w:bookmarkStart w:id="77" w:name="_Toc43809339"/>
      <w:bookmarkStart w:id="78" w:name="_Toc43815604"/>
      <w:bookmarkStart w:id="79" w:name="_Toc43817537"/>
      <w:bookmarkStart w:id="80" w:name="_Toc43825308"/>
      <w:bookmarkStart w:id="81" w:name="_Toc43825412"/>
      <w:bookmarkStart w:id="82" w:name="_Toc43825505"/>
      <w:bookmarkStart w:id="83" w:name="_Toc43996241"/>
      <w:bookmarkStart w:id="84" w:name="_Toc43998500"/>
      <w:bookmarkStart w:id="85" w:name="_Toc43998427"/>
      <w:bookmarkStart w:id="86" w:name="_Toc44069949"/>
      <w:bookmarkStart w:id="87" w:name="_Toc44071353"/>
      <w:bookmarkStart w:id="88" w:name="_Toc44073477"/>
      <w:bookmarkStart w:id="89" w:name="_Toc44074617"/>
      <w:bookmarkStart w:id="90" w:name="_Toc44079506"/>
      <w:bookmarkStart w:id="91" w:name="_Toc44079801"/>
      <w:bookmarkStart w:id="92" w:name="_Toc44079936"/>
      <w:bookmarkStart w:id="93" w:name="_Toc44319847"/>
      <w:bookmarkStart w:id="94" w:name="_Toc44321555"/>
      <w:bookmarkStart w:id="95" w:name="_Toc44323722"/>
      <w:bookmarkStart w:id="96" w:name="_Toc44326185"/>
      <w:bookmarkStart w:id="97" w:name="_Toc44330507"/>
      <w:bookmarkStart w:id="98" w:name="_Toc44330749"/>
      <w:bookmarkStart w:id="99" w:name="_Toc44333181"/>
      <w:bookmarkStart w:id="100" w:name="_Toc44334812"/>
      <w:bookmarkStart w:id="101" w:name="_Toc45227416"/>
      <w:bookmarkStart w:id="102" w:name="_Toc45799017"/>
      <w:r w:rsidRPr="00A776C0">
        <w:lastRenderedPageBreak/>
        <w:t>List of</w:t>
      </w:r>
      <w:r>
        <w:t xml:space="preserve"> boxes, figures</w:t>
      </w:r>
      <w:bookmarkEnd w:id="69"/>
      <w:bookmarkEnd w:id="70"/>
      <w:bookmarkEnd w:id="71"/>
      <w:bookmarkEnd w:id="72"/>
      <w:bookmarkEnd w:id="73"/>
      <w:bookmarkEnd w:id="74"/>
      <w:r>
        <w:t xml:space="preserve"> and </w:t>
      </w:r>
      <w:bookmarkEnd w:id="75"/>
      <w:bookmarkEnd w:id="76"/>
      <w:bookmarkEnd w:id="77"/>
      <w:bookmarkEnd w:id="78"/>
      <w:bookmarkEnd w:id="79"/>
      <w:bookmarkEnd w:id="80"/>
      <w:bookmarkEnd w:id="81"/>
      <w:bookmarkEnd w:id="82"/>
      <w:r>
        <w:t>tables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 xml:space="preserve"> </w:t>
      </w:r>
    </w:p>
    <w:p w14:paraId="24245943" w14:textId="69DD3B29" w:rsidR="003E6884" w:rsidRPr="00127EEB" w:rsidRDefault="003E6884" w:rsidP="003E6884">
      <w:pPr>
        <w:pStyle w:val="TableofFigures"/>
        <w:tabs>
          <w:tab w:val="right" w:leader="dot" w:pos="9016"/>
        </w:tabs>
        <w:spacing w:after="120"/>
        <w:rPr>
          <w:rFonts w:eastAsiaTheme="minorEastAsia"/>
          <w:noProof/>
          <w:sz w:val="18"/>
          <w:lang w:eastAsia="en-AU"/>
        </w:rPr>
      </w:pPr>
      <w:r w:rsidRPr="00127EEB">
        <w:rPr>
          <w:color w:val="000000" w:themeColor="text1"/>
          <w:sz w:val="18"/>
        </w:rPr>
        <w:fldChar w:fldCharType="begin"/>
      </w:r>
      <w:r w:rsidRPr="00127EEB">
        <w:rPr>
          <w:sz w:val="18"/>
        </w:rPr>
        <w:instrText xml:space="preserve"> TOC \h \z \t "Caption" \c </w:instrText>
      </w:r>
      <w:r w:rsidRPr="00127EEB">
        <w:rPr>
          <w:color w:val="000000" w:themeColor="text1"/>
          <w:sz w:val="18"/>
        </w:rPr>
        <w:fldChar w:fldCharType="separate"/>
      </w:r>
      <w:hyperlink w:anchor="_Toc44335928" w:history="1">
        <w:r w:rsidR="00E50DB6" w:rsidRPr="00127EEB">
          <w:rPr>
            <w:rStyle w:val="Hyperlink"/>
            <w:noProof/>
            <w:sz w:val="18"/>
          </w:rPr>
          <w:t>Box 1: International approaches</w:t>
        </w:r>
        <w:r w:rsidR="00E50DB6" w:rsidRPr="00127EEB">
          <w:rPr>
            <w:noProof/>
            <w:webHidden/>
            <w:sz w:val="18"/>
          </w:rPr>
          <w:tab/>
        </w:r>
        <w:r w:rsidR="00E50DB6">
          <w:rPr>
            <w:noProof/>
            <w:webHidden/>
            <w:sz w:val="18"/>
          </w:rPr>
          <w:t>12</w:t>
        </w:r>
      </w:hyperlink>
    </w:p>
    <w:p w14:paraId="21812E64" w14:textId="5EDB6FAB"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29" w:history="1">
        <w:r w:rsidR="00E50DB6" w:rsidRPr="00127EEB">
          <w:rPr>
            <w:rStyle w:val="Hyperlink"/>
            <w:noProof/>
            <w:sz w:val="18"/>
          </w:rPr>
          <w:t>Box 2: Key design features of the JobKeeper Payment</w:t>
        </w:r>
        <w:r w:rsidR="00E50DB6" w:rsidRPr="00127EEB">
          <w:rPr>
            <w:noProof/>
            <w:webHidden/>
            <w:sz w:val="18"/>
          </w:rPr>
          <w:tab/>
        </w:r>
        <w:r w:rsidR="005461EA">
          <w:rPr>
            <w:noProof/>
            <w:webHidden/>
            <w:sz w:val="18"/>
          </w:rPr>
          <w:t>15</w:t>
        </w:r>
      </w:hyperlink>
    </w:p>
    <w:p w14:paraId="73DD7E01" w14:textId="77777777" w:rsidR="003E6884" w:rsidRPr="00127EEB" w:rsidRDefault="003E6884" w:rsidP="003E6884">
      <w:pPr>
        <w:pStyle w:val="Singleparagraph"/>
        <w:rPr>
          <w:rStyle w:val="Hyperlink"/>
          <w:noProof/>
          <w:sz w:val="18"/>
        </w:rPr>
      </w:pPr>
    </w:p>
    <w:p w14:paraId="1337D7BD" w14:textId="296BCDC0"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0" w:history="1">
        <w:r w:rsidR="00E50DB6" w:rsidRPr="00127EEB">
          <w:rPr>
            <w:rStyle w:val="Hyperlink"/>
            <w:noProof/>
            <w:sz w:val="18"/>
          </w:rPr>
          <w:t>Figure 1: JobKeeper Payment as a wage subsidy and income transfer</w:t>
        </w:r>
        <w:r w:rsidR="00E50DB6" w:rsidRPr="00127EEB">
          <w:rPr>
            <w:noProof/>
            <w:webHidden/>
            <w:sz w:val="18"/>
          </w:rPr>
          <w:tab/>
        </w:r>
        <w:r w:rsidR="005461EA">
          <w:rPr>
            <w:noProof/>
            <w:webHidden/>
            <w:sz w:val="18"/>
          </w:rPr>
          <w:t>17</w:t>
        </w:r>
      </w:hyperlink>
    </w:p>
    <w:p w14:paraId="605C2C60" w14:textId="31DA9027"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1" w:history="1">
        <w:r w:rsidR="00E50DB6" w:rsidRPr="00127EEB">
          <w:rPr>
            <w:rStyle w:val="Hyperlink"/>
            <w:noProof/>
            <w:sz w:val="18"/>
          </w:rPr>
          <w:t>Figure 2a: Organisations with applications processed in April 2020</w:t>
        </w:r>
        <w:r w:rsidR="00E50DB6">
          <w:rPr>
            <w:rStyle w:val="Hyperlink"/>
            <w:noProof/>
            <w:sz w:val="18"/>
          </w:rPr>
          <w:t xml:space="preserve"> — </w:t>
        </w:r>
        <w:r w:rsidR="00E50DB6" w:rsidRPr="00127EEB">
          <w:rPr>
            <w:rStyle w:val="Hyperlink"/>
            <w:noProof/>
            <w:sz w:val="18"/>
          </w:rPr>
          <w:t>total number and share of total organisations by industry</w:t>
        </w:r>
        <w:r w:rsidR="00E50DB6" w:rsidRPr="00127EEB">
          <w:rPr>
            <w:noProof/>
            <w:webHidden/>
            <w:sz w:val="18"/>
          </w:rPr>
          <w:tab/>
        </w:r>
        <w:r w:rsidR="00035BF1">
          <w:rPr>
            <w:noProof/>
            <w:webHidden/>
            <w:sz w:val="18"/>
          </w:rPr>
          <w:t>20</w:t>
        </w:r>
      </w:hyperlink>
    </w:p>
    <w:p w14:paraId="4B1F39FD" w14:textId="2D6EDE44"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2" w:history="1">
        <w:r w:rsidR="00E50DB6" w:rsidRPr="00127EEB">
          <w:rPr>
            <w:rStyle w:val="Hyperlink"/>
            <w:noProof/>
            <w:sz w:val="18"/>
          </w:rPr>
          <w:t>Figure 2b: Individual recipients in April 2020</w:t>
        </w:r>
        <w:r w:rsidR="00E50DB6">
          <w:rPr>
            <w:rStyle w:val="Hyperlink"/>
            <w:noProof/>
            <w:sz w:val="18"/>
          </w:rPr>
          <w:t xml:space="preserve"> — </w:t>
        </w:r>
        <w:r w:rsidR="00E50DB6" w:rsidRPr="00127EEB">
          <w:rPr>
            <w:rStyle w:val="Hyperlink"/>
            <w:noProof/>
            <w:sz w:val="18"/>
          </w:rPr>
          <w:t>total number and share of private sector employment by industry</w:t>
        </w:r>
        <w:r w:rsidR="00E50DB6" w:rsidRPr="00127EEB">
          <w:rPr>
            <w:noProof/>
            <w:webHidden/>
            <w:sz w:val="18"/>
          </w:rPr>
          <w:tab/>
        </w:r>
        <w:r w:rsidR="00E50DB6">
          <w:rPr>
            <w:noProof/>
            <w:webHidden/>
            <w:sz w:val="18"/>
          </w:rPr>
          <w:t>20</w:t>
        </w:r>
      </w:hyperlink>
    </w:p>
    <w:p w14:paraId="6EB1B8A7" w14:textId="115195A5" w:rsidR="00E50DB6" w:rsidRDefault="00E50DB6">
      <w:pPr>
        <w:pStyle w:val="TableofFigures"/>
        <w:tabs>
          <w:tab w:val="right" w:leader="dot" w:pos="9016"/>
        </w:tabs>
        <w:spacing w:after="120"/>
        <w:rPr>
          <w:rStyle w:val="Hyperlink"/>
          <w:noProof/>
          <w:sz w:val="18"/>
        </w:rPr>
      </w:pPr>
      <w:r>
        <w:fldChar w:fldCharType="begin"/>
      </w:r>
      <w:r>
        <w:instrText xml:space="preserve"> HYPERLINK \l "_Toc44335933" </w:instrText>
      </w:r>
      <w:r>
        <w:fldChar w:fldCharType="separate"/>
      </w:r>
      <w:r>
        <w:rPr>
          <w:rStyle w:val="Hyperlink"/>
          <w:noProof/>
          <w:sz w:val="18"/>
        </w:rPr>
        <w:t>Figure 3</w:t>
      </w:r>
      <w:r w:rsidRPr="00127EEB">
        <w:rPr>
          <w:rStyle w:val="Hyperlink"/>
          <w:noProof/>
          <w:sz w:val="18"/>
        </w:rPr>
        <w:t>: Distribution of private sector employment, decline in employment</w:t>
      </w:r>
      <w:r>
        <w:rPr>
          <w:rStyle w:val="Hyperlink"/>
          <w:noProof/>
          <w:sz w:val="18"/>
        </w:rPr>
        <w:t>,</w:t>
      </w:r>
      <w:r w:rsidRPr="00127EEB">
        <w:rPr>
          <w:rStyle w:val="Hyperlink"/>
          <w:noProof/>
          <w:sz w:val="18"/>
        </w:rPr>
        <w:t xml:space="preserve"> and JobKeeper participants</w:t>
      </w:r>
      <w:r>
        <w:rPr>
          <w:rStyle w:val="Hyperlink"/>
          <w:noProof/>
          <w:sz w:val="18"/>
        </w:rPr>
        <w:t>, early 2020</w:t>
      </w:r>
    </w:p>
    <w:p w14:paraId="146D37B4" w14:textId="7FD77B31" w:rsidR="003E6884" w:rsidRPr="00127EEB" w:rsidRDefault="00E50DB6">
      <w:pPr>
        <w:pStyle w:val="TableofFigures"/>
        <w:tabs>
          <w:tab w:val="right" w:leader="dot" w:pos="9016"/>
        </w:tabs>
        <w:spacing w:after="120"/>
        <w:rPr>
          <w:rFonts w:eastAsiaTheme="minorEastAsia"/>
          <w:noProof/>
          <w:sz w:val="18"/>
          <w:lang w:eastAsia="en-AU"/>
        </w:rPr>
      </w:pPr>
      <w:r w:rsidRPr="00127EEB">
        <w:rPr>
          <w:noProof/>
          <w:webHidden/>
          <w:sz w:val="18"/>
        </w:rPr>
        <w:tab/>
      </w:r>
      <w:r>
        <w:rPr>
          <w:noProof/>
          <w:webHidden/>
          <w:sz w:val="18"/>
        </w:rPr>
        <w:t>21</w:t>
      </w:r>
      <w:r>
        <w:rPr>
          <w:noProof/>
          <w:sz w:val="18"/>
        </w:rPr>
        <w:fldChar w:fldCharType="end"/>
      </w:r>
    </w:p>
    <w:p w14:paraId="3CFEA29F" w14:textId="42D9E21E"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5" w:history="1">
        <w:r w:rsidR="00E50DB6" w:rsidRPr="00127EEB">
          <w:rPr>
            <w:rStyle w:val="Hyperlink"/>
            <w:noProof/>
            <w:sz w:val="18"/>
          </w:rPr>
          <w:t>Figure 4: Changes in payroll jobs mid</w:t>
        </w:r>
        <w:r w:rsidR="00E50DB6">
          <w:rPr>
            <w:rStyle w:val="Hyperlink"/>
            <w:noProof/>
            <w:sz w:val="18"/>
          </w:rPr>
          <w:noBreakHyphen/>
        </w:r>
        <w:r w:rsidR="00E50DB6" w:rsidRPr="00127EEB">
          <w:rPr>
            <w:rStyle w:val="Hyperlink"/>
            <w:noProof/>
            <w:sz w:val="18"/>
          </w:rPr>
          <w:t>March to end May 2020 (indexed)</w:t>
        </w:r>
        <w:r w:rsidR="00E50DB6" w:rsidRPr="00127EEB">
          <w:rPr>
            <w:noProof/>
            <w:webHidden/>
            <w:sz w:val="18"/>
          </w:rPr>
          <w:tab/>
        </w:r>
        <w:r w:rsidR="005461EA">
          <w:rPr>
            <w:noProof/>
            <w:webHidden/>
            <w:sz w:val="18"/>
          </w:rPr>
          <w:t>25</w:t>
        </w:r>
      </w:hyperlink>
    </w:p>
    <w:p w14:paraId="0FB18A60" w14:textId="12A828C7"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6" w:history="1">
        <w:r w:rsidR="00E50DB6" w:rsidRPr="00127EEB">
          <w:rPr>
            <w:rStyle w:val="Hyperlink"/>
            <w:noProof/>
            <w:sz w:val="18"/>
          </w:rPr>
          <w:t>Figure 5: Changes in payroll jobs March to end May 2020 by JobKeeper status (indexed)</w:t>
        </w:r>
        <w:r w:rsidR="00E50DB6" w:rsidRPr="00127EEB">
          <w:rPr>
            <w:noProof/>
            <w:webHidden/>
            <w:sz w:val="18"/>
          </w:rPr>
          <w:tab/>
        </w:r>
        <w:r w:rsidR="005461EA">
          <w:rPr>
            <w:noProof/>
            <w:webHidden/>
            <w:sz w:val="18"/>
          </w:rPr>
          <w:t>26</w:t>
        </w:r>
      </w:hyperlink>
    </w:p>
    <w:p w14:paraId="29164BD5" w14:textId="4216CE13"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7" w:history="1">
        <w:r w:rsidR="00E50DB6" w:rsidRPr="00127EEB">
          <w:rPr>
            <w:rStyle w:val="Hyperlink"/>
            <w:noProof/>
            <w:sz w:val="18"/>
          </w:rPr>
          <w:t>Figure 6: Changes in payroll jobs and total wages 14 March to 30 May, by age group</w:t>
        </w:r>
        <w:r w:rsidR="00E50DB6" w:rsidRPr="00127EEB">
          <w:rPr>
            <w:noProof/>
            <w:webHidden/>
            <w:sz w:val="18"/>
          </w:rPr>
          <w:tab/>
        </w:r>
        <w:r w:rsidR="00035BF1">
          <w:rPr>
            <w:noProof/>
            <w:webHidden/>
            <w:sz w:val="18"/>
          </w:rPr>
          <w:t>30</w:t>
        </w:r>
      </w:hyperlink>
    </w:p>
    <w:p w14:paraId="576804BE" w14:textId="42746534"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8" w:history="1">
        <w:r w:rsidR="00E50DB6" w:rsidRPr="00127EEB">
          <w:rPr>
            <w:rStyle w:val="Hyperlink"/>
            <w:noProof/>
            <w:sz w:val="18"/>
          </w:rPr>
          <w:t>Figure 7: Employment flows (indexed) by JobKeeper status</w:t>
        </w:r>
        <w:r w:rsidR="00E50DB6" w:rsidRPr="00127EEB">
          <w:rPr>
            <w:noProof/>
            <w:webHidden/>
            <w:sz w:val="18"/>
          </w:rPr>
          <w:tab/>
        </w:r>
        <w:r w:rsidR="005461EA">
          <w:rPr>
            <w:noProof/>
            <w:webHidden/>
            <w:sz w:val="18"/>
          </w:rPr>
          <w:t>35</w:t>
        </w:r>
      </w:hyperlink>
    </w:p>
    <w:p w14:paraId="4C8AC91C" w14:textId="77777777" w:rsidR="003E6884" w:rsidRPr="00127EEB" w:rsidRDefault="003E6884" w:rsidP="003E6884">
      <w:pPr>
        <w:pStyle w:val="Singleparagraph"/>
        <w:rPr>
          <w:rStyle w:val="Hyperlink"/>
          <w:noProof/>
          <w:sz w:val="18"/>
        </w:rPr>
      </w:pPr>
    </w:p>
    <w:p w14:paraId="03521A15" w14:textId="4F5E932E"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27" w:history="1">
        <w:r w:rsidR="003E6884" w:rsidRPr="00127EEB">
          <w:rPr>
            <w:rStyle w:val="Hyperlink"/>
            <w:noProof/>
            <w:sz w:val="18"/>
          </w:rPr>
          <w:t xml:space="preserve">Table 1: </w:t>
        </w:r>
        <w:r w:rsidR="00E50DB6">
          <w:rPr>
            <w:rStyle w:val="Hyperlink"/>
            <w:noProof/>
            <w:sz w:val="18"/>
          </w:rPr>
          <w:t>Summary labour market statistics</w:t>
        </w:r>
        <w:r w:rsidR="003E6884" w:rsidRPr="00127EEB">
          <w:rPr>
            <w:rStyle w:val="Hyperlink"/>
            <w:noProof/>
            <w:sz w:val="18"/>
          </w:rPr>
          <w:t>, February to May 2020</w:t>
        </w:r>
        <w:r w:rsidR="003E6884" w:rsidRPr="00127EEB">
          <w:rPr>
            <w:noProof/>
            <w:webHidden/>
            <w:sz w:val="18"/>
          </w:rPr>
          <w:tab/>
        </w:r>
        <w:r w:rsidR="00E50DB6">
          <w:rPr>
            <w:noProof/>
            <w:webHidden/>
            <w:sz w:val="18"/>
          </w:rPr>
          <w:t>11</w:t>
        </w:r>
      </w:hyperlink>
    </w:p>
    <w:p w14:paraId="7FBF421C" w14:textId="1BB28BBF"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39" w:history="1">
        <w:r w:rsidR="00E50DB6" w:rsidRPr="00127EEB">
          <w:rPr>
            <w:rStyle w:val="Hyperlink"/>
            <w:noProof/>
            <w:sz w:val="18"/>
          </w:rPr>
          <w:t xml:space="preserve">Table 2: </w:t>
        </w:r>
        <w:r w:rsidR="003907B4">
          <w:rPr>
            <w:rStyle w:val="Hyperlink"/>
            <w:noProof/>
            <w:sz w:val="18"/>
          </w:rPr>
          <w:t>Business</w:t>
        </w:r>
        <w:r w:rsidR="00E50DB6" w:rsidRPr="00127EEB">
          <w:rPr>
            <w:rStyle w:val="Hyperlink"/>
            <w:noProof/>
            <w:sz w:val="18"/>
          </w:rPr>
          <w:t xml:space="preserve"> </w:t>
        </w:r>
        <w:r w:rsidR="005B5F73">
          <w:rPr>
            <w:rStyle w:val="Hyperlink"/>
            <w:noProof/>
            <w:sz w:val="18"/>
          </w:rPr>
          <w:t>t</w:t>
        </w:r>
        <w:r w:rsidR="005B5F73" w:rsidRPr="00127EEB">
          <w:rPr>
            <w:rStyle w:val="Hyperlink"/>
            <w:noProof/>
            <w:sz w:val="18"/>
          </w:rPr>
          <w:t>urnover</w:t>
        </w:r>
        <w:r w:rsidR="00E50DB6" w:rsidRPr="00127EEB">
          <w:rPr>
            <w:rStyle w:val="Hyperlink"/>
            <w:noProof/>
            <w:sz w:val="18"/>
          </w:rPr>
          <w:t xml:space="preserve">, </w:t>
        </w:r>
        <w:r w:rsidR="005B5F73">
          <w:rPr>
            <w:rStyle w:val="Hyperlink"/>
            <w:noProof/>
            <w:sz w:val="18"/>
          </w:rPr>
          <w:t xml:space="preserve">change </w:t>
        </w:r>
        <w:r w:rsidR="003907B4">
          <w:rPr>
            <w:rStyle w:val="Hyperlink"/>
            <w:noProof/>
            <w:sz w:val="18"/>
          </w:rPr>
          <w:t xml:space="preserve">over the year to </w:t>
        </w:r>
        <w:r w:rsidR="00E50DB6" w:rsidRPr="00127EEB">
          <w:rPr>
            <w:rStyle w:val="Hyperlink"/>
            <w:noProof/>
            <w:sz w:val="18"/>
          </w:rPr>
          <w:t>April 2020 (per cent)</w:t>
        </w:r>
        <w:r w:rsidR="00E50DB6" w:rsidRPr="00127EEB">
          <w:rPr>
            <w:noProof/>
            <w:webHidden/>
            <w:sz w:val="18"/>
          </w:rPr>
          <w:tab/>
        </w:r>
        <w:r w:rsidR="005461EA">
          <w:rPr>
            <w:noProof/>
            <w:webHidden/>
            <w:sz w:val="18"/>
          </w:rPr>
          <w:t>36</w:t>
        </w:r>
      </w:hyperlink>
    </w:p>
    <w:p w14:paraId="67582C00" w14:textId="1DE8ED9C"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40" w:history="1">
        <w:r w:rsidR="00E50DB6" w:rsidRPr="00127EEB">
          <w:rPr>
            <w:rStyle w:val="Hyperlink"/>
            <w:noProof/>
            <w:sz w:val="18"/>
          </w:rPr>
          <w:t>Table A1: Number of organisations that have received JobKeeper payments, by entity type and turnover range, for the April 2020 JobKeeper fortnights</w:t>
        </w:r>
        <w:r w:rsidR="00E50DB6" w:rsidRPr="00127EEB">
          <w:rPr>
            <w:noProof/>
            <w:webHidden/>
            <w:sz w:val="18"/>
          </w:rPr>
          <w:tab/>
        </w:r>
        <w:r w:rsidR="005461EA">
          <w:rPr>
            <w:noProof/>
            <w:webHidden/>
            <w:sz w:val="18"/>
          </w:rPr>
          <w:t>45</w:t>
        </w:r>
      </w:hyperlink>
    </w:p>
    <w:p w14:paraId="3C9CE846" w14:textId="5E69B077"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41" w:history="1">
        <w:r w:rsidR="00E50DB6" w:rsidRPr="00127EEB">
          <w:rPr>
            <w:rStyle w:val="Hyperlink"/>
            <w:noProof/>
            <w:sz w:val="18"/>
          </w:rPr>
          <w:t>Table A2: Number of organisations that have received JobKeeper payments, by employment size and State and Territory, for the April 2020 JobKeeper fortnights</w:t>
        </w:r>
        <w:r w:rsidR="00E50DB6" w:rsidRPr="00127EEB">
          <w:rPr>
            <w:noProof/>
            <w:webHidden/>
            <w:sz w:val="18"/>
          </w:rPr>
          <w:tab/>
        </w:r>
        <w:r w:rsidR="005461EA">
          <w:rPr>
            <w:noProof/>
            <w:webHidden/>
            <w:sz w:val="18"/>
          </w:rPr>
          <w:t>46</w:t>
        </w:r>
      </w:hyperlink>
    </w:p>
    <w:p w14:paraId="6A878AF6" w14:textId="7AB11009"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42" w:history="1">
        <w:r w:rsidR="00E50DB6" w:rsidRPr="00127EEB">
          <w:rPr>
            <w:rStyle w:val="Hyperlink"/>
            <w:noProof/>
            <w:sz w:val="18"/>
          </w:rPr>
          <w:t>Table A3: Percentage of individual employees and eligible business participants for whom organisations have received JobKeeper payments, by age, gender, and State and Territory, for the April 2020 JobKeeper fortnights</w:t>
        </w:r>
        <w:r w:rsidR="00E50DB6" w:rsidRPr="00127EEB">
          <w:rPr>
            <w:noProof/>
            <w:webHidden/>
            <w:sz w:val="18"/>
          </w:rPr>
          <w:tab/>
        </w:r>
        <w:r w:rsidR="005461EA">
          <w:rPr>
            <w:noProof/>
            <w:webHidden/>
            <w:sz w:val="18"/>
          </w:rPr>
          <w:t>47</w:t>
        </w:r>
      </w:hyperlink>
    </w:p>
    <w:p w14:paraId="6CEAEEC8" w14:textId="200E2EFA"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43" w:history="1">
        <w:r w:rsidR="00E50DB6" w:rsidRPr="00127EEB">
          <w:rPr>
            <w:rStyle w:val="Hyperlink"/>
            <w:noProof/>
            <w:sz w:val="18"/>
          </w:rPr>
          <w:t>Table A4: Number of organisations that have had applications processed for the JobKeeper Payment, and number of individual employees and eligible business participants for whom organisations have received a Payment disbursement, by industry, for the April 2020 JobKeeper fortnights</w:t>
        </w:r>
        <w:r w:rsidR="00E50DB6" w:rsidRPr="00127EEB">
          <w:rPr>
            <w:noProof/>
            <w:webHidden/>
            <w:sz w:val="18"/>
          </w:rPr>
          <w:tab/>
        </w:r>
        <w:r w:rsidR="005461EA">
          <w:rPr>
            <w:noProof/>
            <w:webHidden/>
            <w:sz w:val="18"/>
          </w:rPr>
          <w:t>48</w:t>
        </w:r>
      </w:hyperlink>
    </w:p>
    <w:p w14:paraId="0BD772AF" w14:textId="564FB860" w:rsidR="003E6884" w:rsidRPr="00127EEB" w:rsidRDefault="009F135E" w:rsidP="003E6884">
      <w:pPr>
        <w:pStyle w:val="TableofFigures"/>
        <w:tabs>
          <w:tab w:val="right" w:leader="dot" w:pos="9016"/>
        </w:tabs>
        <w:spacing w:after="120"/>
        <w:rPr>
          <w:rFonts w:eastAsiaTheme="minorEastAsia"/>
          <w:noProof/>
          <w:sz w:val="18"/>
          <w:lang w:eastAsia="en-AU"/>
        </w:rPr>
      </w:pPr>
      <w:hyperlink w:anchor="_Toc44335944" w:history="1">
        <w:r w:rsidR="00E50DB6" w:rsidRPr="00127EEB">
          <w:rPr>
            <w:rStyle w:val="Hyperlink"/>
            <w:noProof/>
            <w:sz w:val="18"/>
          </w:rPr>
          <w:t>Table B1: Data sources used in the review</w:t>
        </w:r>
        <w:r w:rsidR="00E50DB6" w:rsidRPr="00127EEB">
          <w:rPr>
            <w:noProof/>
            <w:webHidden/>
            <w:sz w:val="18"/>
          </w:rPr>
          <w:tab/>
        </w:r>
        <w:r w:rsidR="005461EA">
          <w:rPr>
            <w:noProof/>
            <w:webHidden/>
            <w:sz w:val="18"/>
          </w:rPr>
          <w:t>4</w:t>
        </w:r>
      </w:hyperlink>
      <w:r w:rsidR="00CC6EE7">
        <w:rPr>
          <w:noProof/>
          <w:sz w:val="18"/>
        </w:rPr>
        <w:t>9</w:t>
      </w:r>
    </w:p>
    <w:p w14:paraId="3848F2E1" w14:textId="4340FBF3" w:rsidR="003E6884" w:rsidRPr="003E6884" w:rsidRDefault="003E6884" w:rsidP="00CC6EE7">
      <w:pPr>
        <w:tabs>
          <w:tab w:val="left" w:pos="6960"/>
        </w:tabs>
      </w:pPr>
      <w:r w:rsidRPr="00127EEB">
        <w:rPr>
          <w:color w:val="000000" w:themeColor="text1"/>
          <w:sz w:val="18"/>
        </w:rPr>
        <w:fldChar w:fldCharType="end"/>
      </w:r>
      <w:r w:rsidR="00CC6EE7">
        <w:rPr>
          <w:color w:val="000000" w:themeColor="text1"/>
          <w:sz w:val="18"/>
        </w:rPr>
        <w:tab/>
      </w:r>
    </w:p>
    <w:p w14:paraId="340FDCB5" w14:textId="7BE5C04B" w:rsidR="00C40272" w:rsidRDefault="00EF093A" w:rsidP="009B6E0C">
      <w:pPr>
        <w:pStyle w:val="Heading1"/>
      </w:pPr>
      <w:bookmarkStart w:id="103" w:name="_Toc43294080"/>
      <w:bookmarkStart w:id="104" w:name="_Toc43300425"/>
      <w:bookmarkStart w:id="105" w:name="_Toc43302278"/>
      <w:bookmarkStart w:id="106" w:name="_Toc43303717"/>
      <w:bookmarkStart w:id="107" w:name="_Toc43305328"/>
      <w:bookmarkStart w:id="108" w:name="_Toc43306299"/>
      <w:bookmarkStart w:id="109" w:name="_Toc43309507"/>
      <w:bookmarkStart w:id="110" w:name="_Toc43802492"/>
      <w:bookmarkStart w:id="111" w:name="_Toc43809340"/>
      <w:bookmarkStart w:id="112" w:name="_Toc43815605"/>
      <w:bookmarkStart w:id="113" w:name="_Toc43817538"/>
      <w:bookmarkStart w:id="114" w:name="_Toc43825309"/>
      <w:bookmarkStart w:id="115" w:name="_Toc43825413"/>
      <w:bookmarkStart w:id="116" w:name="_Toc43825506"/>
      <w:bookmarkStart w:id="117" w:name="_Toc43996242"/>
      <w:bookmarkStart w:id="118" w:name="_Toc43998501"/>
      <w:bookmarkStart w:id="119" w:name="_Toc43998428"/>
      <w:bookmarkStart w:id="120" w:name="_Toc44069950"/>
      <w:bookmarkStart w:id="121" w:name="_Toc44071354"/>
      <w:bookmarkStart w:id="122" w:name="_Toc44073478"/>
      <w:bookmarkStart w:id="123" w:name="_Toc44074618"/>
      <w:bookmarkStart w:id="124" w:name="_Toc44079507"/>
      <w:bookmarkStart w:id="125" w:name="_Toc44079802"/>
      <w:bookmarkStart w:id="126" w:name="_Toc44079937"/>
      <w:bookmarkStart w:id="127" w:name="_Toc44319848"/>
      <w:bookmarkStart w:id="128" w:name="_Toc44321556"/>
      <w:bookmarkStart w:id="129" w:name="_Toc44323723"/>
      <w:bookmarkStart w:id="130" w:name="_Toc44326186"/>
      <w:bookmarkStart w:id="131" w:name="_Toc44330508"/>
      <w:bookmarkStart w:id="132" w:name="_Toc44330750"/>
      <w:bookmarkStart w:id="133" w:name="_Toc44333182"/>
      <w:bookmarkStart w:id="134" w:name="_Toc44334813"/>
      <w:bookmarkStart w:id="135" w:name="_Toc45227417"/>
      <w:bookmarkStart w:id="136" w:name="_Toc45799018"/>
      <w:r>
        <w:lastRenderedPageBreak/>
        <w:t xml:space="preserve">Executive </w:t>
      </w:r>
      <w:r w:rsidR="00B21F02">
        <w:t>s</w:t>
      </w:r>
      <w:r w:rsidR="00D63968" w:rsidRPr="00713F51">
        <w:t>ummary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853A75">
        <w:t xml:space="preserve"> </w:t>
      </w:r>
    </w:p>
    <w:p w14:paraId="5D172B56" w14:textId="024D789D" w:rsidR="00EF093A" w:rsidRPr="00D00D86" w:rsidRDefault="00EF093A" w:rsidP="00EF093A">
      <w:pPr>
        <w:rPr>
          <w:color w:val="000000" w:themeColor="text1"/>
        </w:rPr>
      </w:pPr>
      <w:bookmarkStart w:id="137" w:name="_Toc43294081"/>
      <w:bookmarkStart w:id="138" w:name="_Toc43300426"/>
      <w:bookmarkStart w:id="139" w:name="_Toc43302279"/>
      <w:bookmarkStart w:id="140" w:name="_Toc43303718"/>
      <w:bookmarkStart w:id="141" w:name="_Toc43305329"/>
      <w:bookmarkStart w:id="142" w:name="_Toc43306300"/>
      <w:bookmarkStart w:id="143" w:name="_Toc43309508"/>
      <w:r w:rsidRPr="00D00D86">
        <w:rPr>
          <w:color w:val="000000" w:themeColor="text1"/>
        </w:rPr>
        <w:t xml:space="preserve">The JobKeeper Payment is </w:t>
      </w:r>
      <w:r w:rsidR="00F213E9">
        <w:rPr>
          <w:color w:val="000000" w:themeColor="text1"/>
        </w:rPr>
        <w:t xml:space="preserve">one of </w:t>
      </w:r>
      <w:r w:rsidRPr="00D00D86">
        <w:rPr>
          <w:color w:val="000000" w:themeColor="text1"/>
        </w:rPr>
        <w:t>the largest fiscal and labour market intervention</w:t>
      </w:r>
      <w:r w:rsidR="00F213E9">
        <w:rPr>
          <w:color w:val="000000" w:themeColor="text1"/>
        </w:rPr>
        <w:t>s</w:t>
      </w:r>
      <w:r w:rsidRPr="00D00D86">
        <w:rPr>
          <w:color w:val="000000" w:themeColor="text1"/>
        </w:rPr>
        <w:t xml:space="preserve"> in Australia</w:t>
      </w:r>
      <w:r w:rsidR="00DE2760">
        <w:rPr>
          <w:color w:val="000000" w:themeColor="text1"/>
        </w:rPr>
        <w:t>’</w:t>
      </w:r>
      <w:r w:rsidRPr="00D00D86">
        <w:rPr>
          <w:color w:val="000000" w:themeColor="text1"/>
        </w:rPr>
        <w:t xml:space="preserve">s economic history. </w:t>
      </w:r>
      <w:r w:rsidR="00346EA9">
        <w:rPr>
          <w:color w:val="000000" w:themeColor="text1"/>
        </w:rPr>
        <w:t>The JobKeeper Payment</w:t>
      </w:r>
      <w:r w:rsidR="00346EA9" w:rsidRPr="00D00D86">
        <w:rPr>
          <w:color w:val="000000" w:themeColor="text1"/>
        </w:rPr>
        <w:t xml:space="preserve"> </w:t>
      </w:r>
      <w:r w:rsidRPr="00D00D86">
        <w:rPr>
          <w:color w:val="000000" w:themeColor="text1"/>
        </w:rPr>
        <w:t>was developed in the second half of March in response to a steep deterioration in economic activity and employment.</w:t>
      </w:r>
    </w:p>
    <w:p w14:paraId="3B228A6D" w14:textId="7C3DEFCA" w:rsidR="00FB5172" w:rsidRPr="00D00D86" w:rsidRDefault="00FB5172" w:rsidP="00EF093A">
      <w:pPr>
        <w:rPr>
          <w:color w:val="000000" w:themeColor="text1"/>
        </w:rPr>
      </w:pPr>
      <w:r w:rsidRPr="00D00D86">
        <w:rPr>
          <w:color w:val="000000" w:themeColor="text1"/>
        </w:rPr>
        <w:t>JobKeeper had three objectives: supporting business and job survival, preserving the employment relationship, and providing needed income support. It has met these objectives.</w:t>
      </w:r>
    </w:p>
    <w:p w14:paraId="5CE6612D" w14:textId="3BC9FC7A" w:rsidR="00EF093A" w:rsidRPr="00D00D86" w:rsidRDefault="00FB5172" w:rsidP="00EF093A">
      <w:pPr>
        <w:rPr>
          <w:color w:val="000000" w:themeColor="text1"/>
        </w:rPr>
      </w:pPr>
      <w:r w:rsidRPr="00D00D86">
        <w:rPr>
          <w:color w:val="000000" w:themeColor="text1"/>
        </w:rPr>
        <w:t xml:space="preserve">The program </w:t>
      </w:r>
      <w:r w:rsidR="00EF093A" w:rsidRPr="00D00D86">
        <w:rPr>
          <w:color w:val="000000" w:themeColor="text1"/>
        </w:rPr>
        <w:t>has ha</w:t>
      </w:r>
      <w:r w:rsidR="00CB0A60" w:rsidRPr="00D00D86">
        <w:rPr>
          <w:color w:val="000000" w:themeColor="text1"/>
        </w:rPr>
        <w:t>d large take</w:t>
      </w:r>
      <w:r w:rsidR="00DE2760">
        <w:rPr>
          <w:color w:val="000000" w:themeColor="text1"/>
        </w:rPr>
        <w:noBreakHyphen/>
      </w:r>
      <w:r w:rsidR="00CB0A60" w:rsidRPr="00D00D86">
        <w:rPr>
          <w:color w:val="000000" w:themeColor="text1"/>
        </w:rPr>
        <w:t>up, at over 92</w:t>
      </w:r>
      <w:r w:rsidR="00EF093A" w:rsidRPr="00D00D86">
        <w:rPr>
          <w:color w:val="000000" w:themeColor="text1"/>
        </w:rPr>
        <w:t xml:space="preserve">0,000 organisations and </w:t>
      </w:r>
      <w:r w:rsidR="00ED697A" w:rsidRPr="00D00D86">
        <w:rPr>
          <w:color w:val="000000" w:themeColor="text1"/>
        </w:rPr>
        <w:t>around</w:t>
      </w:r>
      <w:r w:rsidR="00EF093A" w:rsidRPr="00D00D86">
        <w:rPr>
          <w:color w:val="000000" w:themeColor="text1"/>
        </w:rPr>
        <w:t xml:space="preserve"> 3.5</w:t>
      </w:r>
      <w:r w:rsidR="005D4CB5" w:rsidRPr="00D00D86">
        <w:rPr>
          <w:color w:val="000000" w:themeColor="text1"/>
        </w:rPr>
        <w:t> </w:t>
      </w:r>
      <w:r w:rsidR="00EF093A" w:rsidRPr="00D00D86">
        <w:rPr>
          <w:color w:val="000000" w:themeColor="text1"/>
        </w:rPr>
        <w:t>million</w:t>
      </w:r>
      <w:r w:rsidR="008B7553">
        <w:rPr>
          <w:color w:val="000000" w:themeColor="text1"/>
        </w:rPr>
        <w:t xml:space="preserve"> </w:t>
      </w:r>
      <w:r w:rsidR="00EF093A" w:rsidRPr="00D00D86">
        <w:rPr>
          <w:color w:val="000000" w:themeColor="text1"/>
        </w:rPr>
        <w:t>individuals over the April</w:t>
      </w:r>
      <w:r w:rsidR="00DE2760">
        <w:rPr>
          <w:color w:val="000000" w:themeColor="text1"/>
        </w:rPr>
        <w:noBreakHyphen/>
      </w:r>
      <w:r w:rsidR="00EF093A" w:rsidRPr="00D00D86">
        <w:rPr>
          <w:color w:val="000000" w:themeColor="text1"/>
        </w:rPr>
        <w:t>May period</w:t>
      </w:r>
      <w:r w:rsidR="008B7553">
        <w:rPr>
          <w:color w:val="000000" w:themeColor="text1"/>
        </w:rPr>
        <w:t>.</w:t>
      </w:r>
      <w:r w:rsidR="00EF093A" w:rsidRPr="00D00D86">
        <w:rPr>
          <w:rStyle w:val="FootnoteReference"/>
          <w:color w:val="000000" w:themeColor="text1"/>
        </w:rPr>
        <w:footnoteReference w:id="2"/>
      </w:r>
      <w:r w:rsidR="00EF093A" w:rsidRPr="00D00D86">
        <w:rPr>
          <w:color w:val="000000" w:themeColor="text1"/>
        </w:rPr>
        <w:t xml:space="preserve"> It has wide coverage, representing 30</w:t>
      </w:r>
      <w:r w:rsidR="005D4CB5" w:rsidRPr="00D00D86">
        <w:rPr>
          <w:color w:val="000000" w:themeColor="text1"/>
        </w:rPr>
        <w:t> </w:t>
      </w:r>
      <w:r w:rsidR="00EF093A" w:rsidRPr="00D00D86">
        <w:rPr>
          <w:color w:val="000000" w:themeColor="text1"/>
        </w:rPr>
        <w:t>per</w:t>
      </w:r>
      <w:r w:rsidR="005D4CB5" w:rsidRPr="00D00D86">
        <w:rPr>
          <w:color w:val="000000" w:themeColor="text1"/>
        </w:rPr>
        <w:t> </w:t>
      </w:r>
      <w:r w:rsidR="00EF093A" w:rsidRPr="00D00D86">
        <w:rPr>
          <w:color w:val="000000" w:themeColor="text1"/>
        </w:rPr>
        <w:t xml:space="preserve">cent of </w:t>
      </w:r>
      <w:r w:rsidR="0056142F" w:rsidRPr="00D00D86">
        <w:rPr>
          <w:color w:val="000000" w:themeColor="text1"/>
        </w:rPr>
        <w:t>pre</w:t>
      </w:r>
      <w:r w:rsidR="00DE2760">
        <w:rPr>
          <w:color w:val="000000" w:themeColor="text1"/>
        </w:rPr>
        <w:noBreakHyphen/>
      </w:r>
      <w:r w:rsidR="0056142F" w:rsidRPr="00D00D86">
        <w:rPr>
          <w:color w:val="000000" w:themeColor="text1"/>
        </w:rPr>
        <w:t xml:space="preserve">Coronavirus levels of </w:t>
      </w:r>
      <w:r w:rsidR="00EF093A" w:rsidRPr="00D00D86">
        <w:rPr>
          <w:color w:val="000000" w:themeColor="text1"/>
        </w:rPr>
        <w:t xml:space="preserve">private sector employment </w:t>
      </w:r>
      <w:r w:rsidR="0056142F" w:rsidRPr="00D00D86">
        <w:rPr>
          <w:color w:val="000000" w:themeColor="text1"/>
        </w:rPr>
        <w:t>(</w:t>
      </w:r>
      <w:r w:rsidR="00346EA9">
        <w:rPr>
          <w:color w:val="000000" w:themeColor="text1"/>
        </w:rPr>
        <w:t>as at</w:t>
      </w:r>
      <w:r w:rsidR="00EF093A" w:rsidRPr="00D00D86">
        <w:rPr>
          <w:color w:val="000000" w:themeColor="text1"/>
        </w:rPr>
        <w:t xml:space="preserve"> February 2020</w:t>
      </w:r>
      <w:r w:rsidR="0056142F" w:rsidRPr="00D00D86">
        <w:rPr>
          <w:color w:val="000000" w:themeColor="text1"/>
        </w:rPr>
        <w:t>)</w:t>
      </w:r>
      <w:r w:rsidR="00EF093A" w:rsidRPr="00D00D86">
        <w:rPr>
          <w:color w:val="000000" w:themeColor="text1"/>
        </w:rPr>
        <w:t>,</w:t>
      </w:r>
      <w:r w:rsidR="0065534A" w:rsidRPr="00D00D86">
        <w:rPr>
          <w:rStyle w:val="FootnoteReference"/>
          <w:color w:val="000000" w:themeColor="text1"/>
        </w:rPr>
        <w:footnoteReference w:id="3"/>
      </w:r>
      <w:r w:rsidR="00EF093A" w:rsidRPr="00D00D86">
        <w:rPr>
          <w:color w:val="000000" w:themeColor="text1"/>
        </w:rPr>
        <w:t xml:space="preserve"> with organisations and individuals supported in all sectors, across all parts of the </w:t>
      </w:r>
      <w:r w:rsidRPr="00D00D86">
        <w:rPr>
          <w:color w:val="000000" w:themeColor="text1"/>
        </w:rPr>
        <w:t>country</w:t>
      </w:r>
      <w:r w:rsidR="00EF093A" w:rsidRPr="00D00D86">
        <w:rPr>
          <w:color w:val="000000" w:themeColor="text1"/>
        </w:rPr>
        <w:t>.</w:t>
      </w:r>
      <w:r w:rsidR="00524443" w:rsidRPr="00D00D86">
        <w:rPr>
          <w:color w:val="000000" w:themeColor="text1"/>
        </w:rPr>
        <w:t xml:space="preserve"> As at 23</w:t>
      </w:r>
      <w:r w:rsidR="008B7553">
        <w:rPr>
          <w:color w:val="000000" w:themeColor="text1"/>
        </w:rPr>
        <w:t> </w:t>
      </w:r>
      <w:r w:rsidR="00EF093A" w:rsidRPr="00D00D86">
        <w:rPr>
          <w:color w:val="000000" w:themeColor="text1"/>
        </w:rPr>
        <w:t xml:space="preserve">June 2020, payments have totalled $20.3 billion over the four </w:t>
      </w:r>
      <w:r w:rsidR="00346EA9">
        <w:rPr>
          <w:color w:val="000000" w:themeColor="text1"/>
        </w:rPr>
        <w:t>payment</w:t>
      </w:r>
      <w:r w:rsidR="00346EA9" w:rsidRPr="00D00D86">
        <w:rPr>
          <w:color w:val="000000" w:themeColor="text1"/>
        </w:rPr>
        <w:t xml:space="preserve"> </w:t>
      </w:r>
      <w:r w:rsidR="00EF093A" w:rsidRPr="00D00D86">
        <w:rPr>
          <w:color w:val="000000" w:themeColor="text1"/>
        </w:rPr>
        <w:t>fortnig</w:t>
      </w:r>
      <w:r w:rsidR="00352747" w:rsidRPr="00D00D86">
        <w:rPr>
          <w:color w:val="000000" w:themeColor="text1"/>
        </w:rPr>
        <w:t>hts to 24 May, equivalent to 7.0</w:t>
      </w:r>
      <w:r w:rsidR="00EF093A" w:rsidRPr="00D00D86">
        <w:rPr>
          <w:color w:val="000000" w:themeColor="text1"/>
        </w:rPr>
        <w:t xml:space="preserve"> per cent of pro</w:t>
      </w:r>
      <w:r w:rsidR="00DE2760">
        <w:rPr>
          <w:color w:val="000000" w:themeColor="text1"/>
        </w:rPr>
        <w:noBreakHyphen/>
      </w:r>
      <w:r w:rsidR="00EF093A" w:rsidRPr="00D00D86">
        <w:rPr>
          <w:color w:val="000000" w:themeColor="text1"/>
        </w:rPr>
        <w:t>rata March quarter gross national income.</w:t>
      </w:r>
      <w:r w:rsidR="00EF093A" w:rsidRPr="00D00D86">
        <w:rPr>
          <w:rStyle w:val="FootnoteReference"/>
          <w:color w:val="000000" w:themeColor="text1"/>
        </w:rPr>
        <w:footnoteReference w:id="4"/>
      </w:r>
    </w:p>
    <w:p w14:paraId="0D2ADA83" w14:textId="214E52B6" w:rsidR="00EF093A" w:rsidRPr="00D00D86" w:rsidRDefault="00EF093A" w:rsidP="00EF093A">
      <w:pPr>
        <w:rPr>
          <w:color w:val="000000" w:themeColor="text1"/>
        </w:rPr>
      </w:pPr>
      <w:r w:rsidRPr="00D00D86">
        <w:rPr>
          <w:color w:val="000000" w:themeColor="text1"/>
        </w:rPr>
        <w:t xml:space="preserve">It has been well targeted: </w:t>
      </w:r>
      <w:r w:rsidR="00FB5172" w:rsidRPr="00D00D86">
        <w:rPr>
          <w:color w:val="000000" w:themeColor="text1"/>
        </w:rPr>
        <w:t xml:space="preserve">the payment </w:t>
      </w:r>
      <w:r w:rsidRPr="00D00D86">
        <w:rPr>
          <w:color w:val="000000" w:themeColor="text1"/>
        </w:rPr>
        <w:t xml:space="preserve">went to businesses that experienced an average </w:t>
      </w:r>
      <w:r w:rsidR="00AA34CE" w:rsidRPr="00D00D86">
        <w:rPr>
          <w:color w:val="000000" w:themeColor="text1"/>
        </w:rPr>
        <w:t>decline in turnover</w:t>
      </w:r>
      <w:r w:rsidRPr="00D00D86" w:rsidDel="00AA34CE">
        <w:rPr>
          <w:color w:val="000000" w:themeColor="text1"/>
        </w:rPr>
        <w:t xml:space="preserve"> </w:t>
      </w:r>
      <w:r w:rsidRPr="00D00D86">
        <w:rPr>
          <w:color w:val="000000" w:themeColor="text1"/>
        </w:rPr>
        <w:t>in April of 37</w:t>
      </w:r>
      <w:r w:rsidR="005D4CB5" w:rsidRPr="00D00D86">
        <w:rPr>
          <w:color w:val="000000" w:themeColor="text1"/>
        </w:rPr>
        <w:t> </w:t>
      </w:r>
      <w:r w:rsidRPr="00D00D86">
        <w:rPr>
          <w:color w:val="000000" w:themeColor="text1"/>
        </w:rPr>
        <w:t>per</w:t>
      </w:r>
      <w:r w:rsidR="005D4CB5" w:rsidRPr="00D00D86">
        <w:rPr>
          <w:color w:val="000000" w:themeColor="text1"/>
        </w:rPr>
        <w:t> </w:t>
      </w:r>
      <w:r w:rsidRPr="00D00D86">
        <w:rPr>
          <w:color w:val="000000" w:themeColor="text1"/>
        </w:rPr>
        <w:t>cent against the same month a year previous (compared with a 4</w:t>
      </w:r>
      <w:r w:rsidR="005D4CB5" w:rsidRPr="00D00D86">
        <w:rPr>
          <w:color w:val="000000" w:themeColor="text1"/>
        </w:rPr>
        <w:t> </w:t>
      </w:r>
      <w:r w:rsidRPr="00D00D86">
        <w:rPr>
          <w:color w:val="000000" w:themeColor="text1"/>
        </w:rPr>
        <w:t>per</w:t>
      </w:r>
      <w:r w:rsidR="005D4CB5" w:rsidRPr="00D00D86">
        <w:rPr>
          <w:color w:val="000000" w:themeColor="text1"/>
        </w:rPr>
        <w:t> </w:t>
      </w:r>
      <w:r w:rsidRPr="00D00D86">
        <w:rPr>
          <w:color w:val="000000" w:themeColor="text1"/>
        </w:rPr>
        <w:t xml:space="preserve">cent decline for other businesses); and it went to businesses at which the </w:t>
      </w:r>
      <w:r w:rsidR="009D2328" w:rsidRPr="00D00D86">
        <w:rPr>
          <w:color w:val="000000" w:themeColor="text1"/>
        </w:rPr>
        <w:t xml:space="preserve">job </w:t>
      </w:r>
      <w:r w:rsidRPr="00D00D86">
        <w:rPr>
          <w:color w:val="000000" w:themeColor="text1"/>
        </w:rPr>
        <w:t>separation rate had doubled following the introduction of operating restrictions just before JobKeeper was introduced (compared with no change in other businesses).</w:t>
      </w:r>
      <w:r w:rsidRPr="00D00D86">
        <w:rPr>
          <w:rStyle w:val="FootnoteReference"/>
          <w:color w:val="000000" w:themeColor="text1"/>
        </w:rPr>
        <w:footnoteReference w:id="5"/>
      </w:r>
      <w:r w:rsidRPr="00D00D86">
        <w:rPr>
          <w:color w:val="000000" w:themeColor="text1"/>
        </w:rPr>
        <w:t xml:space="preserve"> </w:t>
      </w:r>
    </w:p>
    <w:p w14:paraId="6031BDCC" w14:textId="5BB92FB4" w:rsidR="00EF093A" w:rsidRPr="00D00D86" w:rsidRDefault="00D22038" w:rsidP="00EF093A">
      <w:pPr>
        <w:rPr>
          <w:color w:val="000000" w:themeColor="text1"/>
        </w:rPr>
      </w:pPr>
      <w:r w:rsidRPr="00D00D86">
        <w:rPr>
          <w:color w:val="000000" w:themeColor="text1"/>
        </w:rPr>
        <w:t>There is no evidence of widespread business closures</w:t>
      </w:r>
      <w:r w:rsidR="00DE2760">
        <w:rPr>
          <w:color w:val="000000" w:themeColor="text1"/>
        </w:rPr>
        <w:t xml:space="preserve"> — </w:t>
      </w:r>
      <w:r w:rsidRPr="00D00D86">
        <w:rPr>
          <w:color w:val="000000" w:themeColor="text1"/>
        </w:rPr>
        <w:t xml:space="preserve">indeed, they are currently well below average, due to JobKeeper and other fiscal support, bank forbearance and temporary law changes. </w:t>
      </w:r>
      <w:r w:rsidR="00EF093A" w:rsidRPr="00D00D86">
        <w:rPr>
          <w:color w:val="000000" w:themeColor="text1"/>
        </w:rPr>
        <w:t>JobKeeper has kept jobs in place, especially among those in ongoing full</w:t>
      </w:r>
      <w:r w:rsidR="00DE2760">
        <w:rPr>
          <w:color w:val="000000" w:themeColor="text1"/>
        </w:rPr>
        <w:noBreakHyphen/>
      </w:r>
      <w:r w:rsidR="00EF093A" w:rsidRPr="00D00D86">
        <w:rPr>
          <w:color w:val="000000" w:themeColor="text1"/>
        </w:rPr>
        <w:t>time and part</w:t>
      </w:r>
      <w:r w:rsidR="00DE2760">
        <w:rPr>
          <w:color w:val="000000" w:themeColor="text1"/>
        </w:rPr>
        <w:noBreakHyphen/>
      </w:r>
      <w:r w:rsidR="00EF093A" w:rsidRPr="00D00D86">
        <w:rPr>
          <w:color w:val="000000" w:themeColor="text1"/>
        </w:rPr>
        <w:t>time roles. It</w:t>
      </w:r>
      <w:r w:rsidR="00601175">
        <w:rPr>
          <w:color w:val="000000" w:themeColor="text1"/>
        </w:rPr>
        <w:t> </w:t>
      </w:r>
      <w:r w:rsidR="00EF093A" w:rsidRPr="00D00D86">
        <w:rPr>
          <w:color w:val="000000" w:themeColor="text1"/>
        </w:rPr>
        <w:t>achieved this by providing employers a subsidy to keep on employees</w:t>
      </w:r>
      <w:r w:rsidR="00B7427D" w:rsidRPr="00D00D86">
        <w:rPr>
          <w:color w:val="000000" w:themeColor="text1"/>
        </w:rPr>
        <w:t xml:space="preserve"> and </w:t>
      </w:r>
      <w:r w:rsidR="0022227A" w:rsidRPr="00D00D86">
        <w:rPr>
          <w:color w:val="000000" w:themeColor="text1"/>
        </w:rPr>
        <w:t>reduce</w:t>
      </w:r>
      <w:r w:rsidR="00B7427D" w:rsidRPr="00D00D86">
        <w:rPr>
          <w:color w:val="000000" w:themeColor="text1"/>
        </w:rPr>
        <w:t xml:space="preserve"> business costs</w:t>
      </w:r>
      <w:r w:rsidR="00EF093A" w:rsidRPr="00D00D86">
        <w:rPr>
          <w:color w:val="000000" w:themeColor="text1"/>
        </w:rPr>
        <w:t xml:space="preserve">. Since its introduction, the rate of decline in employment has slowed, then stabilised, and towards the end of May was showing tentative signs of recovery. </w:t>
      </w:r>
    </w:p>
    <w:p w14:paraId="6F4B23EE" w14:textId="6E25F2E2" w:rsidR="00EF093A" w:rsidRPr="00D00D86" w:rsidRDefault="00EF093A" w:rsidP="00EF093A">
      <w:pPr>
        <w:rPr>
          <w:color w:val="000000" w:themeColor="text1"/>
        </w:rPr>
      </w:pPr>
      <w:r w:rsidRPr="00D00D86">
        <w:rPr>
          <w:color w:val="000000" w:themeColor="text1"/>
        </w:rPr>
        <w:t>JobKeeper has also provided income support. In addition to being a wage subsidy payment to employers, it provides an income transfer payment to some individuals. This includes those whose wage prior to JobKeeper was below $1</w:t>
      </w:r>
      <w:r w:rsidR="00A82420" w:rsidRPr="00D00D86">
        <w:rPr>
          <w:color w:val="000000" w:themeColor="text1"/>
        </w:rPr>
        <w:t>,</w:t>
      </w:r>
      <w:r w:rsidRPr="00D00D86">
        <w:rPr>
          <w:color w:val="000000" w:themeColor="text1"/>
        </w:rPr>
        <w:t xml:space="preserve">500 per fortnight and those that have been stood down and receive JobKeeper. Overall, Treasury estimates that around three quarters of payments so far have gone to subsidising wages and the balance to income transfers. </w:t>
      </w:r>
    </w:p>
    <w:p w14:paraId="30AE6616" w14:textId="4BB9141E" w:rsidR="00EF093A" w:rsidRPr="00D00D86" w:rsidRDefault="00EF093A" w:rsidP="00EF093A">
      <w:pPr>
        <w:rPr>
          <w:color w:val="000000" w:themeColor="text1"/>
        </w:rPr>
      </w:pPr>
      <w:r w:rsidRPr="00D00D86">
        <w:rPr>
          <w:color w:val="000000" w:themeColor="text1"/>
        </w:rPr>
        <w:t>JobKeeper was designed to prioritise macroeconomic support, and speed and ease of implementation. However, JobKeeper has a number of features that create adverse incentives</w:t>
      </w:r>
      <w:r w:rsidR="007370C2" w:rsidRPr="00D00D86">
        <w:rPr>
          <w:color w:val="000000" w:themeColor="text1"/>
        </w:rPr>
        <w:t xml:space="preserve"> which </w:t>
      </w:r>
      <w:r w:rsidR="00165CAA">
        <w:rPr>
          <w:color w:val="000000" w:themeColor="text1"/>
        </w:rPr>
        <w:t>may</w:t>
      </w:r>
      <w:r w:rsidR="007370C2" w:rsidRPr="00D00D86">
        <w:rPr>
          <w:color w:val="000000" w:themeColor="text1"/>
        </w:rPr>
        <w:t xml:space="preserve"> become </w:t>
      </w:r>
      <w:r w:rsidR="00165CAA">
        <w:rPr>
          <w:color w:val="000000" w:themeColor="text1"/>
        </w:rPr>
        <w:t>more pronounced over time as the economy recovers</w:t>
      </w:r>
      <w:r w:rsidRPr="00D00D86">
        <w:rPr>
          <w:color w:val="000000" w:themeColor="text1"/>
        </w:rPr>
        <w:t xml:space="preserve">. It distorts wage relativities between lower and higher paid jobs, it dampens incentives to work, it hampers </w:t>
      </w:r>
      <w:r w:rsidRPr="00D00D86">
        <w:rPr>
          <w:color w:val="000000" w:themeColor="text1"/>
        </w:rPr>
        <w:lastRenderedPageBreak/>
        <w:t>labour mobility and the reallocation of workers to more productive roles, and it keeps businesses afloat that would not be viable without ongoing support.</w:t>
      </w:r>
    </w:p>
    <w:p w14:paraId="66EFE4A4" w14:textId="33405448" w:rsidR="00EF093A" w:rsidRPr="00D00D86" w:rsidRDefault="0022227A" w:rsidP="00EF093A">
      <w:pPr>
        <w:rPr>
          <w:color w:val="000000" w:themeColor="text1"/>
        </w:rPr>
      </w:pPr>
      <w:r w:rsidRPr="00D00D86">
        <w:rPr>
          <w:color w:val="000000" w:themeColor="text1"/>
        </w:rPr>
        <w:t xml:space="preserve">There are compelling arguments to maintain </w:t>
      </w:r>
      <w:r w:rsidR="00EF093A" w:rsidRPr="00D00D86">
        <w:rPr>
          <w:color w:val="000000" w:themeColor="text1"/>
        </w:rPr>
        <w:t>JobKeeper in its current form until 27</w:t>
      </w:r>
      <w:r w:rsidR="004F5A58">
        <w:rPr>
          <w:color w:val="000000" w:themeColor="text1"/>
        </w:rPr>
        <w:t> </w:t>
      </w:r>
      <w:r w:rsidR="00EF093A" w:rsidRPr="00D00D86">
        <w:rPr>
          <w:color w:val="000000" w:themeColor="text1"/>
        </w:rPr>
        <w:t>September</w:t>
      </w:r>
      <w:r w:rsidR="004F5A58">
        <w:rPr>
          <w:color w:val="000000" w:themeColor="text1"/>
        </w:rPr>
        <w:t> </w:t>
      </w:r>
      <w:r w:rsidR="00AA4B72" w:rsidRPr="00314E0B">
        <w:rPr>
          <w:color w:val="000000" w:themeColor="text1"/>
        </w:rPr>
        <w:t>2020</w:t>
      </w:r>
      <w:r w:rsidR="00EF093A" w:rsidRPr="00D00D86">
        <w:rPr>
          <w:color w:val="000000" w:themeColor="text1"/>
        </w:rPr>
        <w:t>. The</w:t>
      </w:r>
      <w:r w:rsidR="00601175">
        <w:rPr>
          <w:color w:val="000000" w:themeColor="text1"/>
        </w:rPr>
        <w:t> </w:t>
      </w:r>
      <w:r w:rsidR="00EF093A" w:rsidRPr="00D00D86">
        <w:rPr>
          <w:color w:val="000000" w:themeColor="text1"/>
        </w:rPr>
        <w:t>labour market remains very weak. The overall level of labour underutilisation as reported in the May Labour Force Survey is at a record high at 20.2 per cent.</w:t>
      </w:r>
      <w:r w:rsidR="00EF093A" w:rsidRPr="00D00D86">
        <w:rPr>
          <w:rStyle w:val="FootnoteReference"/>
          <w:color w:val="000000" w:themeColor="text1"/>
        </w:rPr>
        <w:footnoteReference w:id="6"/>
      </w:r>
      <w:r w:rsidR="00EF093A" w:rsidRPr="00D00D86">
        <w:rPr>
          <w:color w:val="000000" w:themeColor="text1"/>
        </w:rPr>
        <w:t xml:space="preserve"> Businesses have planned on the availability of JobKeeper for six months and there are risks in withdrawing support from those that have begun to recover. There is a lot of ground for businesses to make up between a 30 per cent </w:t>
      </w:r>
      <w:r w:rsidR="008A3D9B" w:rsidRPr="00D00D86">
        <w:rPr>
          <w:color w:val="000000" w:themeColor="text1"/>
        </w:rPr>
        <w:t xml:space="preserve">turnover </w:t>
      </w:r>
      <w:r w:rsidR="00EF093A" w:rsidRPr="00D00D86">
        <w:rPr>
          <w:color w:val="000000" w:themeColor="text1"/>
        </w:rPr>
        <w:t xml:space="preserve">decline and full recovery. Businesses need time to restore their balance sheets. </w:t>
      </w:r>
    </w:p>
    <w:p w14:paraId="0FE7B3AB" w14:textId="6519A0B4" w:rsidR="00EF093A" w:rsidRPr="00D00D86" w:rsidRDefault="00EF093A" w:rsidP="00EF093A">
      <w:pPr>
        <w:rPr>
          <w:color w:val="000000" w:themeColor="text1"/>
        </w:rPr>
      </w:pPr>
      <w:r w:rsidRPr="00D00D86">
        <w:rPr>
          <w:color w:val="000000" w:themeColor="text1"/>
        </w:rPr>
        <w:t xml:space="preserve">The question is whether JobKeeper should continue beyond September, and in what form. This depends on the balance between the macroeconomic need and potential adverse incentives, and whether JobKeeper features can be modified to mitigate these incentive effects. </w:t>
      </w:r>
    </w:p>
    <w:p w14:paraId="46E4519B" w14:textId="7F62E46D" w:rsidR="00EF093A" w:rsidRPr="00D00D86" w:rsidRDefault="00EF093A" w:rsidP="00EF093A">
      <w:pPr>
        <w:rPr>
          <w:color w:val="000000" w:themeColor="text1"/>
        </w:rPr>
      </w:pPr>
      <w:r w:rsidRPr="00D00D86">
        <w:rPr>
          <w:color w:val="000000" w:themeColor="text1"/>
        </w:rPr>
        <w:t xml:space="preserve">With respect to the macroeconomic circumstances, Treasury expects the official unemployment rate to be around 8 per cent </w:t>
      </w:r>
      <w:r w:rsidR="003D1B88" w:rsidRPr="00D00D86">
        <w:rPr>
          <w:color w:val="000000" w:themeColor="text1"/>
        </w:rPr>
        <w:t xml:space="preserve">in the </w:t>
      </w:r>
      <w:r w:rsidRPr="00D00D86">
        <w:rPr>
          <w:color w:val="000000" w:themeColor="text1"/>
        </w:rPr>
        <w:t>September</w:t>
      </w:r>
      <w:r w:rsidR="0022227A" w:rsidRPr="00D00D86">
        <w:rPr>
          <w:color w:val="000000" w:themeColor="text1"/>
        </w:rPr>
        <w:t xml:space="preserve"> </w:t>
      </w:r>
      <w:r w:rsidR="003D1B88" w:rsidRPr="00D00D86">
        <w:rPr>
          <w:color w:val="000000" w:themeColor="text1"/>
        </w:rPr>
        <w:t xml:space="preserve">quarter </w:t>
      </w:r>
      <w:r w:rsidR="00AA4B72">
        <w:rPr>
          <w:color w:val="000000" w:themeColor="text1"/>
        </w:rPr>
        <w:t xml:space="preserve">2020 </w:t>
      </w:r>
      <w:r w:rsidR="0022227A" w:rsidRPr="00D00D86">
        <w:rPr>
          <w:color w:val="000000" w:themeColor="text1"/>
        </w:rPr>
        <w:t xml:space="preserve">and </w:t>
      </w:r>
      <w:r w:rsidR="00CB19BB" w:rsidRPr="00D00D86">
        <w:rPr>
          <w:color w:val="000000" w:themeColor="text1"/>
        </w:rPr>
        <w:t xml:space="preserve">rise </w:t>
      </w:r>
      <w:r w:rsidR="0022227A" w:rsidRPr="00D00D86">
        <w:rPr>
          <w:color w:val="000000" w:themeColor="text1"/>
        </w:rPr>
        <w:t xml:space="preserve">further in </w:t>
      </w:r>
      <w:r w:rsidR="003D1B88" w:rsidRPr="00D00D86">
        <w:rPr>
          <w:color w:val="000000" w:themeColor="text1"/>
        </w:rPr>
        <w:t xml:space="preserve">the </w:t>
      </w:r>
      <w:r w:rsidR="007370C2" w:rsidRPr="00D00D86">
        <w:rPr>
          <w:color w:val="000000" w:themeColor="text1"/>
        </w:rPr>
        <w:t xml:space="preserve">December </w:t>
      </w:r>
      <w:r w:rsidR="003D1B88" w:rsidRPr="00D00D86">
        <w:rPr>
          <w:color w:val="000000" w:themeColor="text1"/>
        </w:rPr>
        <w:t>quarter</w:t>
      </w:r>
      <w:r w:rsidRPr="00D00D86">
        <w:rPr>
          <w:color w:val="000000" w:themeColor="text1"/>
        </w:rPr>
        <w:t xml:space="preserve">. Despite an expected recovery in employment in coming months, the employment decline from </w:t>
      </w:r>
      <w:r w:rsidR="003D1B88" w:rsidRPr="00D00D86">
        <w:rPr>
          <w:color w:val="000000" w:themeColor="text1"/>
        </w:rPr>
        <w:t xml:space="preserve">the </w:t>
      </w:r>
      <w:r w:rsidRPr="00D00D86">
        <w:rPr>
          <w:color w:val="000000" w:themeColor="text1"/>
        </w:rPr>
        <w:t xml:space="preserve">March to </w:t>
      </w:r>
      <w:r w:rsidR="003D1B88" w:rsidRPr="00D00D86">
        <w:rPr>
          <w:color w:val="000000" w:themeColor="text1"/>
        </w:rPr>
        <w:t xml:space="preserve">the </w:t>
      </w:r>
      <w:r w:rsidRPr="00D00D86">
        <w:rPr>
          <w:color w:val="000000" w:themeColor="text1"/>
        </w:rPr>
        <w:t xml:space="preserve">September </w:t>
      </w:r>
      <w:r w:rsidR="003D1B88" w:rsidRPr="00D00D86">
        <w:rPr>
          <w:color w:val="000000" w:themeColor="text1"/>
        </w:rPr>
        <w:t xml:space="preserve">quarter </w:t>
      </w:r>
      <w:r w:rsidR="00AA4B72" w:rsidRPr="00314E0B">
        <w:rPr>
          <w:color w:val="000000" w:themeColor="text1"/>
        </w:rPr>
        <w:t>this year</w:t>
      </w:r>
      <w:r w:rsidR="00AA4B72">
        <w:rPr>
          <w:color w:val="000000" w:themeColor="text1"/>
        </w:rPr>
        <w:t xml:space="preserve"> </w:t>
      </w:r>
      <w:r w:rsidRPr="00D00D86">
        <w:rPr>
          <w:color w:val="000000" w:themeColor="text1"/>
        </w:rPr>
        <w:t xml:space="preserve">is still expected to be </w:t>
      </w:r>
      <w:r w:rsidR="003E60AA" w:rsidRPr="00D00D86">
        <w:rPr>
          <w:color w:val="000000" w:themeColor="text1"/>
        </w:rPr>
        <w:t>around 5</w:t>
      </w:r>
      <w:r w:rsidR="00AA4B72">
        <w:rPr>
          <w:color w:val="000000" w:themeColor="text1"/>
        </w:rPr>
        <w:t> </w:t>
      </w:r>
      <w:r w:rsidR="003E60AA" w:rsidRPr="00D00D86">
        <w:rPr>
          <w:color w:val="000000" w:themeColor="text1"/>
        </w:rPr>
        <w:t>per</w:t>
      </w:r>
      <w:r w:rsidR="00AA4B72">
        <w:rPr>
          <w:color w:val="000000" w:themeColor="text1"/>
        </w:rPr>
        <w:t> </w:t>
      </w:r>
      <w:r w:rsidR="003E60AA" w:rsidRPr="00D00D86">
        <w:rPr>
          <w:color w:val="000000" w:themeColor="text1"/>
        </w:rPr>
        <w:t xml:space="preserve">cent, </w:t>
      </w:r>
      <w:r w:rsidRPr="00D00D86">
        <w:rPr>
          <w:color w:val="000000" w:themeColor="text1"/>
        </w:rPr>
        <w:t xml:space="preserve">greater than </w:t>
      </w:r>
      <w:r w:rsidR="003E60AA" w:rsidRPr="00D00D86">
        <w:rPr>
          <w:color w:val="000000" w:themeColor="text1"/>
        </w:rPr>
        <w:t xml:space="preserve">the </w:t>
      </w:r>
      <w:r w:rsidR="003D1B88" w:rsidRPr="00D00D86">
        <w:rPr>
          <w:color w:val="000000" w:themeColor="text1"/>
        </w:rPr>
        <w:t>peak</w:t>
      </w:r>
      <w:r w:rsidR="00DE2760">
        <w:rPr>
          <w:color w:val="000000" w:themeColor="text1"/>
        </w:rPr>
        <w:noBreakHyphen/>
      </w:r>
      <w:r w:rsidR="003D1B88" w:rsidRPr="00D00D86">
        <w:rPr>
          <w:color w:val="000000" w:themeColor="text1"/>
        </w:rPr>
        <w:t>to</w:t>
      </w:r>
      <w:r w:rsidR="00DE2760">
        <w:rPr>
          <w:color w:val="000000" w:themeColor="text1"/>
        </w:rPr>
        <w:noBreakHyphen/>
      </w:r>
      <w:r w:rsidR="003D1B88" w:rsidRPr="00D00D86">
        <w:rPr>
          <w:color w:val="000000" w:themeColor="text1"/>
        </w:rPr>
        <w:t xml:space="preserve">trough </w:t>
      </w:r>
      <w:r w:rsidR="003E60AA" w:rsidRPr="00D00D86">
        <w:rPr>
          <w:color w:val="000000" w:themeColor="text1"/>
        </w:rPr>
        <w:t>falls</w:t>
      </w:r>
      <w:r w:rsidRPr="00D00D86">
        <w:rPr>
          <w:color w:val="000000" w:themeColor="text1"/>
        </w:rPr>
        <w:t xml:space="preserve"> </w:t>
      </w:r>
      <w:r w:rsidR="003E60AA" w:rsidRPr="00D00D86">
        <w:rPr>
          <w:color w:val="000000" w:themeColor="text1"/>
        </w:rPr>
        <w:t>in</w:t>
      </w:r>
      <w:r w:rsidRPr="00D00D86">
        <w:rPr>
          <w:color w:val="000000" w:themeColor="text1"/>
        </w:rPr>
        <w:t xml:space="preserve"> the 1980s and 1990s recessions </w:t>
      </w:r>
      <w:r w:rsidR="003D1B88" w:rsidRPr="00D00D86">
        <w:rPr>
          <w:color w:val="000000" w:themeColor="text1"/>
        </w:rPr>
        <w:t>of</w:t>
      </w:r>
      <w:r w:rsidRPr="00D00D86">
        <w:rPr>
          <w:color w:val="000000" w:themeColor="text1"/>
        </w:rPr>
        <w:t xml:space="preserve"> around 4 per cent.</w:t>
      </w:r>
    </w:p>
    <w:p w14:paraId="401B80C6" w14:textId="27EAED5B" w:rsidR="00EF093A" w:rsidRPr="00D00D86" w:rsidRDefault="00EF093A" w:rsidP="00EF093A">
      <w:pPr>
        <w:rPr>
          <w:color w:val="000000" w:themeColor="text1"/>
        </w:rPr>
      </w:pPr>
      <w:r w:rsidRPr="00D00D86">
        <w:rPr>
          <w:color w:val="000000" w:themeColor="text1"/>
        </w:rPr>
        <w:t>At the sectoral level, it is highly likely that some sectors, such as tourism and arts and recreation</w:t>
      </w:r>
      <w:r w:rsidR="007370C2" w:rsidRPr="00D00D86">
        <w:rPr>
          <w:color w:val="000000" w:themeColor="text1"/>
        </w:rPr>
        <w:t>,</w:t>
      </w:r>
      <w:r w:rsidRPr="00D00D86">
        <w:rPr>
          <w:color w:val="000000" w:themeColor="text1"/>
        </w:rPr>
        <w:t xml:space="preserve"> will remain distressed throughout the remainder of this year and beyond</w:t>
      </w:r>
      <w:r w:rsidR="007370C2" w:rsidRPr="00D00D86">
        <w:rPr>
          <w:color w:val="000000" w:themeColor="text1"/>
        </w:rPr>
        <w:t xml:space="preserve">, largely due to the </w:t>
      </w:r>
      <w:r w:rsidRPr="00D00D86">
        <w:rPr>
          <w:color w:val="000000" w:themeColor="text1"/>
        </w:rPr>
        <w:t xml:space="preserve">health restrictions that </w:t>
      </w:r>
      <w:r w:rsidR="007370C2" w:rsidRPr="00D00D86">
        <w:rPr>
          <w:color w:val="000000" w:themeColor="text1"/>
        </w:rPr>
        <w:t xml:space="preserve">will </w:t>
      </w:r>
      <w:r w:rsidRPr="00D00D86">
        <w:rPr>
          <w:color w:val="000000" w:themeColor="text1"/>
        </w:rPr>
        <w:t xml:space="preserve">remain in place, including border controls. Consumer confidence and </w:t>
      </w:r>
      <w:r w:rsidR="007370C2" w:rsidRPr="00D00D86">
        <w:rPr>
          <w:color w:val="000000" w:themeColor="text1"/>
        </w:rPr>
        <w:t xml:space="preserve">lower </w:t>
      </w:r>
      <w:r w:rsidRPr="00D00D86">
        <w:rPr>
          <w:color w:val="000000" w:themeColor="text1"/>
        </w:rPr>
        <w:t xml:space="preserve">risk appetites may also reduce demand. </w:t>
      </w:r>
    </w:p>
    <w:p w14:paraId="7A28011F" w14:textId="6B3C5EE8" w:rsidR="00EF093A" w:rsidRPr="00D00D86" w:rsidRDefault="00EF093A" w:rsidP="00EF093A">
      <w:pPr>
        <w:rPr>
          <w:color w:val="000000" w:themeColor="text1"/>
        </w:rPr>
      </w:pPr>
      <w:r w:rsidRPr="00D00D86">
        <w:rPr>
          <w:color w:val="000000" w:themeColor="text1"/>
        </w:rPr>
        <w:t xml:space="preserve">Based on these factors, there </w:t>
      </w:r>
      <w:r w:rsidR="004E0BE7" w:rsidRPr="00D00D86">
        <w:rPr>
          <w:color w:val="000000" w:themeColor="text1"/>
        </w:rPr>
        <w:t>is</w:t>
      </w:r>
      <w:r w:rsidRPr="00D00D86">
        <w:rPr>
          <w:color w:val="000000" w:themeColor="text1"/>
        </w:rPr>
        <w:t xml:space="preserve"> a strong case for continued macroeconomic support beyond September. There is also a strong case to use JobKeeper as the mechanism to provide that support, given its track record and its capacity to deliver at scale.</w:t>
      </w:r>
    </w:p>
    <w:p w14:paraId="6BBFF041" w14:textId="31B51928" w:rsidR="00EF093A" w:rsidRPr="00D00D86" w:rsidRDefault="00EF093A" w:rsidP="00EF093A">
      <w:pPr>
        <w:rPr>
          <w:color w:val="000000" w:themeColor="text1"/>
        </w:rPr>
      </w:pPr>
      <w:r w:rsidRPr="00D00D86">
        <w:rPr>
          <w:color w:val="000000" w:themeColor="text1"/>
        </w:rPr>
        <w:t>Given the likely sectoral variation in recovery, there would be merit in targeting JobKeeper to the most affected sectors. However, it is too difficult to define the affected sectors in advance and to define sectoral boundaries. A better approach to sectoral targeting would be to maintain JobKeeper but reassess eligibility in October based on actual decline</w:t>
      </w:r>
      <w:r w:rsidR="008A3D9B" w:rsidRPr="00D00D86">
        <w:rPr>
          <w:color w:val="000000" w:themeColor="text1"/>
        </w:rPr>
        <w:t xml:space="preserve"> in turnover</w:t>
      </w:r>
      <w:r w:rsidRPr="00D00D86">
        <w:rPr>
          <w:color w:val="000000" w:themeColor="text1"/>
        </w:rPr>
        <w:t>. This would target the most affected businesses and would reduce the proportion of the economy at risk of the adverse incentives of JobKeeper.</w:t>
      </w:r>
    </w:p>
    <w:p w14:paraId="76634533" w14:textId="67FABD81" w:rsidR="00107BBF" w:rsidRPr="00D00D86" w:rsidRDefault="00107BBF" w:rsidP="00EF093A">
      <w:pPr>
        <w:rPr>
          <w:color w:val="000000" w:themeColor="text1"/>
        </w:rPr>
      </w:pPr>
      <w:r w:rsidRPr="00D00D86">
        <w:rPr>
          <w:color w:val="000000" w:themeColor="text1"/>
        </w:rPr>
        <w:t xml:space="preserve">This would give those businesses most affected by ongoing health restrictions and the downturn some additional breathing space to recover. It </w:t>
      </w:r>
      <w:r w:rsidR="00CB19BB" w:rsidRPr="00D00D86">
        <w:rPr>
          <w:color w:val="000000" w:themeColor="text1"/>
        </w:rPr>
        <w:t>may</w:t>
      </w:r>
      <w:r w:rsidRPr="00D00D86">
        <w:rPr>
          <w:color w:val="000000" w:themeColor="text1"/>
        </w:rPr>
        <w:t xml:space="preserve"> also be appropriate at t</w:t>
      </w:r>
      <w:r w:rsidR="004E0BE7" w:rsidRPr="00D00D86">
        <w:rPr>
          <w:color w:val="000000" w:themeColor="text1"/>
        </w:rPr>
        <w:t>his juncture to consider reducing</w:t>
      </w:r>
      <w:r w:rsidRPr="00D00D86">
        <w:rPr>
          <w:color w:val="000000" w:themeColor="text1"/>
        </w:rPr>
        <w:t xml:space="preserve"> payments to wean off businesses from ongoing support.</w:t>
      </w:r>
    </w:p>
    <w:p w14:paraId="3D70E054" w14:textId="60B76324" w:rsidR="00EF093A" w:rsidRPr="00D00D86" w:rsidRDefault="00EF093A" w:rsidP="00EF093A">
      <w:pPr>
        <w:rPr>
          <w:color w:val="000000" w:themeColor="text1"/>
        </w:rPr>
      </w:pPr>
      <w:r w:rsidRPr="00D00D86">
        <w:rPr>
          <w:color w:val="000000" w:themeColor="text1"/>
        </w:rPr>
        <w:t xml:space="preserve">JobKeeper is targeted at those who are already employees. The Government should consider support for other groups of people who are not employed, in particular investment in skills </w:t>
      </w:r>
      <w:r w:rsidRPr="00D00D86">
        <w:rPr>
          <w:color w:val="000000" w:themeColor="text1"/>
        </w:rPr>
        <w:lastRenderedPageBreak/>
        <w:t>development for displaced workers and targeted wage subsidies aimed at people newly entering the labour market during a recession.</w:t>
      </w:r>
    </w:p>
    <w:p w14:paraId="2E5AD3F4" w14:textId="42AFF34F" w:rsidR="00EF093A" w:rsidRPr="00D00D86" w:rsidRDefault="00EF093A" w:rsidP="00EF093A">
      <w:pPr>
        <w:rPr>
          <w:color w:val="000000" w:themeColor="text1"/>
        </w:rPr>
      </w:pPr>
      <w:r w:rsidRPr="00D00D86">
        <w:rPr>
          <w:color w:val="000000" w:themeColor="text1"/>
        </w:rPr>
        <w:t xml:space="preserve">Beyond this review, it is imperative that a program of this magnitude and novelty should be studied and evaluated very closely. The Treasury, the Australian </w:t>
      </w:r>
      <w:r w:rsidR="004E6796">
        <w:rPr>
          <w:color w:val="000000" w:themeColor="text1"/>
        </w:rPr>
        <w:t xml:space="preserve">Taxation Office </w:t>
      </w:r>
      <w:r w:rsidR="00EC0622">
        <w:rPr>
          <w:color w:val="000000" w:themeColor="text1"/>
        </w:rPr>
        <w:t xml:space="preserve">and </w:t>
      </w:r>
      <w:r w:rsidR="00EC0622" w:rsidRPr="00D00D86">
        <w:rPr>
          <w:color w:val="000000" w:themeColor="text1"/>
        </w:rPr>
        <w:t xml:space="preserve">the Australian </w:t>
      </w:r>
      <w:r w:rsidRPr="00D00D86">
        <w:rPr>
          <w:color w:val="000000" w:themeColor="text1"/>
        </w:rPr>
        <w:t>Bureau of Statistics will work with the academic community and others to make de</w:t>
      </w:r>
      <w:r w:rsidR="00DE2760">
        <w:rPr>
          <w:color w:val="000000" w:themeColor="text1"/>
        </w:rPr>
        <w:noBreakHyphen/>
      </w:r>
      <w:r w:rsidRPr="00D00D86">
        <w:rPr>
          <w:color w:val="000000" w:themeColor="text1"/>
        </w:rPr>
        <w:t>identified program administration data available for research purposes. An independent evaluation should be conducted at the completion of the program.</w:t>
      </w:r>
    </w:p>
    <w:p w14:paraId="35944F08" w14:textId="1A214E91" w:rsidR="00C40272" w:rsidRDefault="00C40272" w:rsidP="009B6E0C">
      <w:pPr>
        <w:pStyle w:val="Heading1"/>
      </w:pPr>
      <w:bookmarkStart w:id="144" w:name="_Toc43802493"/>
      <w:bookmarkStart w:id="145" w:name="_Toc43809341"/>
      <w:bookmarkStart w:id="146" w:name="_Toc43815606"/>
      <w:bookmarkStart w:id="147" w:name="_Toc43817539"/>
      <w:bookmarkStart w:id="148" w:name="_Toc43825310"/>
      <w:bookmarkStart w:id="149" w:name="_Toc43825414"/>
      <w:bookmarkStart w:id="150" w:name="_Toc43825507"/>
      <w:bookmarkStart w:id="151" w:name="_Toc43996243"/>
      <w:bookmarkStart w:id="152" w:name="_Toc43998502"/>
      <w:bookmarkStart w:id="153" w:name="_Toc43998429"/>
      <w:bookmarkStart w:id="154" w:name="_Toc44069951"/>
      <w:bookmarkStart w:id="155" w:name="_Toc44071355"/>
      <w:bookmarkStart w:id="156" w:name="_Toc44073479"/>
      <w:bookmarkStart w:id="157" w:name="_Toc44074619"/>
      <w:bookmarkStart w:id="158" w:name="_Toc44079508"/>
      <w:bookmarkStart w:id="159" w:name="_Toc44079803"/>
      <w:bookmarkStart w:id="160" w:name="_Toc44079938"/>
      <w:bookmarkStart w:id="161" w:name="_Toc44319849"/>
      <w:bookmarkStart w:id="162" w:name="_Toc44321557"/>
      <w:bookmarkStart w:id="163" w:name="_Toc44323724"/>
      <w:bookmarkStart w:id="164" w:name="_Toc44326187"/>
      <w:bookmarkStart w:id="165" w:name="_Toc44330509"/>
      <w:bookmarkStart w:id="166" w:name="_Toc44330751"/>
      <w:bookmarkStart w:id="167" w:name="_Toc44333183"/>
      <w:bookmarkStart w:id="168" w:name="_Toc44334814"/>
      <w:bookmarkStart w:id="169" w:name="_Toc45227418"/>
      <w:bookmarkStart w:id="170" w:name="_Toc45799019"/>
      <w:r>
        <w:lastRenderedPageBreak/>
        <w:t>Introduction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C3ECF90" w14:textId="302140CE" w:rsidR="00302B29" w:rsidRPr="008A3D9B" w:rsidRDefault="00AA127F" w:rsidP="00FA2577">
      <w:pPr>
        <w:rPr>
          <w:color w:val="000000" w:themeColor="text1"/>
        </w:rPr>
      </w:pPr>
      <w:r w:rsidRPr="008A3D9B">
        <w:rPr>
          <w:color w:val="000000" w:themeColor="text1"/>
        </w:rPr>
        <w:t xml:space="preserve">The Australian Government announced the JobKeeper Payment on 30 March 2020. The program was to run for </w:t>
      </w:r>
      <w:r w:rsidR="00310417" w:rsidRPr="008A3D9B">
        <w:rPr>
          <w:color w:val="000000" w:themeColor="text1"/>
        </w:rPr>
        <w:t>six months, with a review</w:t>
      </w:r>
      <w:r w:rsidRPr="008A3D9B">
        <w:rPr>
          <w:color w:val="000000" w:themeColor="text1"/>
        </w:rPr>
        <w:t xml:space="preserve"> after three months</w:t>
      </w:r>
      <w:r w:rsidR="00302B29" w:rsidRPr="008A3D9B">
        <w:rPr>
          <w:color w:val="000000" w:themeColor="text1"/>
        </w:rPr>
        <w:t xml:space="preserve"> to be conducted by Treasury</w:t>
      </w:r>
      <w:r w:rsidRPr="008A3D9B">
        <w:rPr>
          <w:color w:val="000000" w:themeColor="text1"/>
        </w:rPr>
        <w:t xml:space="preserve">. </w:t>
      </w:r>
      <w:r w:rsidR="00CD0696" w:rsidRPr="008A3D9B">
        <w:rPr>
          <w:color w:val="000000" w:themeColor="text1"/>
        </w:rPr>
        <w:t>The</w:t>
      </w:r>
      <w:r w:rsidR="00601175">
        <w:rPr>
          <w:color w:val="000000" w:themeColor="text1"/>
        </w:rPr>
        <w:t> </w:t>
      </w:r>
      <w:r w:rsidR="00227593" w:rsidRPr="008A3D9B">
        <w:rPr>
          <w:color w:val="000000" w:themeColor="text1"/>
        </w:rPr>
        <w:t xml:space="preserve">outcomes of the </w:t>
      </w:r>
      <w:r w:rsidR="00CD0696" w:rsidRPr="008A3D9B">
        <w:rPr>
          <w:color w:val="000000" w:themeColor="text1"/>
        </w:rPr>
        <w:t xml:space="preserve">review will inform </w:t>
      </w:r>
      <w:r w:rsidR="001D2C6D" w:rsidRPr="008A3D9B">
        <w:rPr>
          <w:color w:val="000000" w:themeColor="text1"/>
        </w:rPr>
        <w:t>the Government</w:t>
      </w:r>
      <w:r w:rsidR="00DE2760">
        <w:rPr>
          <w:color w:val="000000" w:themeColor="text1"/>
        </w:rPr>
        <w:t>’</w:t>
      </w:r>
      <w:r w:rsidR="00CD0696" w:rsidRPr="008A3D9B">
        <w:rPr>
          <w:color w:val="000000" w:themeColor="text1"/>
        </w:rPr>
        <w:t>s</w:t>
      </w:r>
      <w:r w:rsidR="001D2C6D" w:rsidRPr="008A3D9B">
        <w:rPr>
          <w:color w:val="000000" w:themeColor="text1"/>
        </w:rPr>
        <w:t xml:space="preserve"> decisions on </w:t>
      </w:r>
      <w:r w:rsidR="00FA2577" w:rsidRPr="008A3D9B">
        <w:rPr>
          <w:color w:val="000000" w:themeColor="text1"/>
        </w:rPr>
        <w:t>the future of</w:t>
      </w:r>
      <w:r w:rsidR="001D2C6D" w:rsidRPr="008A3D9B">
        <w:rPr>
          <w:color w:val="000000" w:themeColor="text1"/>
        </w:rPr>
        <w:t xml:space="preserve"> </w:t>
      </w:r>
      <w:r w:rsidR="00FA2577" w:rsidRPr="008A3D9B">
        <w:rPr>
          <w:color w:val="000000" w:themeColor="text1"/>
        </w:rPr>
        <w:t xml:space="preserve">JobKeeper. Specifically, the review examines the case for any changes to JobKeeper before </w:t>
      </w:r>
      <w:r w:rsidR="001D2C6D" w:rsidRPr="008A3D9B">
        <w:rPr>
          <w:color w:val="000000" w:themeColor="text1"/>
        </w:rPr>
        <w:t xml:space="preserve">its scheduled end on 27 September 2020, </w:t>
      </w:r>
      <w:r w:rsidR="00ED697A" w:rsidRPr="008A3D9B">
        <w:rPr>
          <w:color w:val="000000" w:themeColor="text1"/>
        </w:rPr>
        <w:t>whether there should be an extension to JobKeeper, and if so in what form</w:t>
      </w:r>
      <w:r w:rsidR="00CD0696" w:rsidRPr="008A3D9B">
        <w:rPr>
          <w:color w:val="000000" w:themeColor="text1"/>
        </w:rPr>
        <w:t xml:space="preserve">. </w:t>
      </w:r>
    </w:p>
    <w:p w14:paraId="0532BB2D" w14:textId="10122EE4" w:rsidR="00E361A3" w:rsidRPr="008A3D9B" w:rsidRDefault="002F144E" w:rsidP="00033226">
      <w:pPr>
        <w:pStyle w:val="BodyText"/>
        <w:rPr>
          <w:color w:val="000000" w:themeColor="text1"/>
          <w:sz w:val="22"/>
          <w:szCs w:val="22"/>
        </w:rPr>
      </w:pPr>
      <w:r w:rsidRPr="008A3D9B">
        <w:rPr>
          <w:color w:val="000000" w:themeColor="text1"/>
          <w:sz w:val="22"/>
          <w:szCs w:val="22"/>
        </w:rPr>
        <w:t xml:space="preserve">JobKeeper was the third instalment in a series of economic </w:t>
      </w:r>
      <w:r w:rsidR="00F42EF6" w:rsidRPr="008A3D9B">
        <w:rPr>
          <w:color w:val="000000" w:themeColor="text1"/>
          <w:sz w:val="22"/>
          <w:szCs w:val="22"/>
        </w:rPr>
        <w:t>support</w:t>
      </w:r>
      <w:r w:rsidRPr="008A3D9B">
        <w:rPr>
          <w:color w:val="000000" w:themeColor="text1"/>
          <w:sz w:val="22"/>
          <w:szCs w:val="22"/>
        </w:rPr>
        <w:t xml:space="preserve"> packages introduced </w:t>
      </w:r>
      <w:r w:rsidR="00F42EF6" w:rsidRPr="008A3D9B">
        <w:rPr>
          <w:color w:val="000000" w:themeColor="text1"/>
          <w:sz w:val="22"/>
          <w:szCs w:val="22"/>
        </w:rPr>
        <w:t xml:space="preserve">by the </w:t>
      </w:r>
      <w:r w:rsidR="003D18F0" w:rsidRPr="008A3D9B">
        <w:rPr>
          <w:color w:val="000000" w:themeColor="text1"/>
          <w:sz w:val="22"/>
          <w:szCs w:val="22"/>
        </w:rPr>
        <w:t>G</w:t>
      </w:r>
      <w:r w:rsidR="00F42EF6" w:rsidRPr="008A3D9B">
        <w:rPr>
          <w:color w:val="000000" w:themeColor="text1"/>
          <w:sz w:val="22"/>
          <w:szCs w:val="22"/>
        </w:rPr>
        <w:t xml:space="preserve">overnment in the space of just three weeks during March 2020 </w:t>
      </w:r>
      <w:r w:rsidR="00F42EF6" w:rsidRPr="008A3D9B">
        <w:rPr>
          <w:rFonts w:cstheme="minorHAnsi"/>
          <w:color w:val="000000" w:themeColor="text1"/>
          <w:sz w:val="22"/>
          <w:szCs w:val="22"/>
        </w:rPr>
        <w:t xml:space="preserve">as </w:t>
      </w:r>
      <w:r w:rsidR="00E361A3" w:rsidRPr="008A3D9B">
        <w:rPr>
          <w:rFonts w:cstheme="minorHAnsi"/>
          <w:color w:val="000000" w:themeColor="text1"/>
          <w:sz w:val="22"/>
          <w:szCs w:val="22"/>
        </w:rPr>
        <w:t xml:space="preserve">the </w:t>
      </w:r>
      <w:r w:rsidR="00385056" w:rsidRPr="008A3D9B">
        <w:rPr>
          <w:rFonts w:cstheme="minorHAnsi"/>
          <w:color w:val="000000" w:themeColor="text1"/>
          <w:sz w:val="22"/>
          <w:szCs w:val="22"/>
        </w:rPr>
        <w:t>Coronavirus</w:t>
      </w:r>
      <w:r w:rsidR="008F1811" w:rsidRPr="008A3D9B">
        <w:rPr>
          <w:rFonts w:cstheme="minorHAnsi"/>
          <w:color w:val="000000" w:themeColor="text1"/>
          <w:sz w:val="22"/>
          <w:szCs w:val="22"/>
        </w:rPr>
        <w:t xml:space="preserve"> </w:t>
      </w:r>
      <w:r w:rsidR="00F42EF6" w:rsidRPr="008A3D9B">
        <w:rPr>
          <w:rFonts w:cstheme="minorHAnsi"/>
          <w:color w:val="000000" w:themeColor="text1"/>
          <w:sz w:val="22"/>
          <w:szCs w:val="22"/>
        </w:rPr>
        <w:t>health crisis</w:t>
      </w:r>
      <w:r w:rsidR="00F42EF6" w:rsidRPr="008A3D9B">
        <w:rPr>
          <w:color w:val="000000" w:themeColor="text1"/>
          <w:sz w:val="22"/>
          <w:szCs w:val="22"/>
        </w:rPr>
        <w:t xml:space="preserve"> began to </w:t>
      </w:r>
      <w:r w:rsidR="00047889" w:rsidRPr="008A3D9B">
        <w:rPr>
          <w:color w:val="000000" w:themeColor="text1"/>
          <w:sz w:val="22"/>
          <w:szCs w:val="22"/>
        </w:rPr>
        <w:t>unfold</w:t>
      </w:r>
      <w:r w:rsidR="00786390">
        <w:rPr>
          <w:color w:val="000000" w:themeColor="text1"/>
          <w:sz w:val="22"/>
          <w:szCs w:val="22"/>
        </w:rPr>
        <w:t xml:space="preserve"> rapidly</w:t>
      </w:r>
      <w:r w:rsidR="00F42EF6" w:rsidRPr="008A3D9B">
        <w:rPr>
          <w:color w:val="000000" w:themeColor="text1"/>
          <w:sz w:val="22"/>
          <w:szCs w:val="22"/>
        </w:rPr>
        <w:t>.</w:t>
      </w:r>
      <w:r w:rsidR="00AD2168" w:rsidRPr="008A3D9B">
        <w:rPr>
          <w:rStyle w:val="FootnoteReference"/>
          <w:color w:val="000000" w:themeColor="text1"/>
          <w:sz w:val="22"/>
          <w:szCs w:val="22"/>
        </w:rPr>
        <w:footnoteReference w:id="7"/>
      </w:r>
      <w:r w:rsidR="00D065BD" w:rsidRPr="008A3D9B">
        <w:rPr>
          <w:color w:val="000000" w:themeColor="text1"/>
          <w:sz w:val="22"/>
          <w:szCs w:val="22"/>
        </w:rPr>
        <w:t xml:space="preserve"> It is </w:t>
      </w:r>
      <w:r w:rsidR="00272FD5">
        <w:rPr>
          <w:color w:val="000000" w:themeColor="text1"/>
          <w:sz w:val="22"/>
          <w:szCs w:val="22"/>
        </w:rPr>
        <w:t>among</w:t>
      </w:r>
      <w:r w:rsidR="00F213E9">
        <w:rPr>
          <w:color w:val="000000" w:themeColor="text1"/>
          <w:sz w:val="22"/>
          <w:szCs w:val="22"/>
        </w:rPr>
        <w:t xml:space="preserve"> </w:t>
      </w:r>
      <w:r w:rsidR="00D065BD" w:rsidRPr="008A3D9B">
        <w:rPr>
          <w:color w:val="000000" w:themeColor="text1"/>
          <w:sz w:val="22"/>
          <w:szCs w:val="22"/>
        </w:rPr>
        <w:t>the largest one</w:t>
      </w:r>
      <w:r w:rsidR="00DE2760">
        <w:rPr>
          <w:color w:val="000000" w:themeColor="text1"/>
          <w:sz w:val="22"/>
          <w:szCs w:val="22"/>
        </w:rPr>
        <w:noBreakHyphen/>
      </w:r>
      <w:r w:rsidR="00D065BD" w:rsidRPr="008A3D9B">
        <w:rPr>
          <w:color w:val="000000" w:themeColor="text1"/>
          <w:sz w:val="22"/>
          <w:szCs w:val="22"/>
        </w:rPr>
        <w:t xml:space="preserve">off fiscal </w:t>
      </w:r>
      <w:r w:rsidR="005A6638" w:rsidRPr="008A3D9B">
        <w:rPr>
          <w:color w:val="000000" w:themeColor="text1"/>
          <w:sz w:val="22"/>
          <w:szCs w:val="22"/>
        </w:rPr>
        <w:t>measure</w:t>
      </w:r>
      <w:r w:rsidR="00F213E9">
        <w:rPr>
          <w:color w:val="000000" w:themeColor="text1"/>
          <w:sz w:val="22"/>
          <w:szCs w:val="22"/>
        </w:rPr>
        <w:t>s</w:t>
      </w:r>
      <w:r w:rsidR="00D065BD" w:rsidRPr="008A3D9B">
        <w:rPr>
          <w:color w:val="000000" w:themeColor="text1"/>
          <w:sz w:val="22"/>
          <w:szCs w:val="22"/>
        </w:rPr>
        <w:t xml:space="preserve"> in Australia</w:t>
      </w:r>
      <w:r w:rsidR="00DE2760">
        <w:rPr>
          <w:color w:val="000000" w:themeColor="text1"/>
          <w:sz w:val="22"/>
          <w:szCs w:val="22"/>
        </w:rPr>
        <w:t>’</w:t>
      </w:r>
      <w:r w:rsidR="00D065BD" w:rsidRPr="008A3D9B">
        <w:rPr>
          <w:color w:val="000000" w:themeColor="text1"/>
          <w:sz w:val="22"/>
          <w:szCs w:val="22"/>
        </w:rPr>
        <w:t>s history.</w:t>
      </w:r>
      <w:r w:rsidR="00EF2EAD" w:rsidRPr="008A3D9B">
        <w:rPr>
          <w:color w:val="000000" w:themeColor="text1"/>
          <w:sz w:val="22"/>
          <w:szCs w:val="22"/>
        </w:rPr>
        <w:t xml:space="preserve"> </w:t>
      </w:r>
    </w:p>
    <w:p w14:paraId="4C0611B3" w14:textId="4D15D0DB" w:rsidR="002F7C04" w:rsidRPr="008A3D9B" w:rsidRDefault="00E361A3" w:rsidP="00033226">
      <w:pPr>
        <w:pStyle w:val="BodyText"/>
        <w:rPr>
          <w:color w:val="000000" w:themeColor="text1"/>
          <w:sz w:val="22"/>
          <w:szCs w:val="22"/>
        </w:rPr>
      </w:pPr>
      <w:r w:rsidRPr="008A3D9B">
        <w:rPr>
          <w:color w:val="000000" w:themeColor="text1"/>
          <w:sz w:val="22"/>
          <w:szCs w:val="22"/>
        </w:rPr>
        <w:t>It</w:t>
      </w:r>
      <w:r w:rsidR="00EF2EAD" w:rsidRPr="008A3D9B">
        <w:rPr>
          <w:color w:val="000000" w:themeColor="text1"/>
          <w:sz w:val="22"/>
          <w:szCs w:val="22"/>
        </w:rPr>
        <w:t xml:space="preserve"> was designed and implemented </w:t>
      </w:r>
      <w:r w:rsidR="00047889" w:rsidRPr="008A3D9B">
        <w:rPr>
          <w:color w:val="000000" w:themeColor="text1"/>
          <w:sz w:val="22"/>
          <w:szCs w:val="22"/>
        </w:rPr>
        <w:t>in a</w:t>
      </w:r>
      <w:r w:rsidR="002F7C04" w:rsidRPr="008A3D9B">
        <w:rPr>
          <w:color w:val="000000" w:themeColor="text1"/>
          <w:sz w:val="22"/>
          <w:szCs w:val="22"/>
        </w:rPr>
        <w:t>n</w:t>
      </w:r>
      <w:r w:rsidR="00047889" w:rsidRPr="008A3D9B">
        <w:rPr>
          <w:color w:val="000000" w:themeColor="text1"/>
          <w:sz w:val="22"/>
          <w:szCs w:val="22"/>
        </w:rPr>
        <w:t xml:space="preserve"> </w:t>
      </w:r>
      <w:r w:rsidR="00EF2EAD" w:rsidRPr="008A3D9B">
        <w:rPr>
          <w:color w:val="000000" w:themeColor="text1"/>
          <w:sz w:val="22"/>
          <w:szCs w:val="22"/>
        </w:rPr>
        <w:t xml:space="preserve">environment where a large number of businesses faced </w:t>
      </w:r>
      <w:r w:rsidR="00780866" w:rsidRPr="008A3D9B">
        <w:rPr>
          <w:color w:val="000000" w:themeColor="text1"/>
          <w:sz w:val="22"/>
          <w:szCs w:val="22"/>
        </w:rPr>
        <w:t>public health restrictions</w:t>
      </w:r>
      <w:r w:rsidR="00D907A1" w:rsidRPr="008A3D9B">
        <w:rPr>
          <w:color w:val="000000" w:themeColor="text1"/>
          <w:sz w:val="22"/>
          <w:szCs w:val="22"/>
        </w:rPr>
        <w:t>,</w:t>
      </w:r>
      <w:r w:rsidR="00EF2EAD" w:rsidRPr="008A3D9B">
        <w:rPr>
          <w:color w:val="000000" w:themeColor="text1"/>
          <w:sz w:val="22"/>
          <w:szCs w:val="22"/>
        </w:rPr>
        <w:t xml:space="preserve"> </w:t>
      </w:r>
      <w:r w:rsidR="00D907A1" w:rsidRPr="008A3D9B">
        <w:rPr>
          <w:color w:val="000000" w:themeColor="text1"/>
          <w:sz w:val="22"/>
          <w:szCs w:val="22"/>
        </w:rPr>
        <w:t>possibly lasting as long as</w:t>
      </w:r>
      <w:r w:rsidR="002F7C04" w:rsidRPr="008A3D9B">
        <w:rPr>
          <w:color w:val="000000" w:themeColor="text1"/>
          <w:sz w:val="22"/>
          <w:szCs w:val="22"/>
        </w:rPr>
        <w:t xml:space="preserve"> six months</w:t>
      </w:r>
      <w:r w:rsidR="00D907A1" w:rsidRPr="008A3D9B">
        <w:rPr>
          <w:color w:val="000000" w:themeColor="text1"/>
          <w:sz w:val="22"/>
          <w:szCs w:val="22"/>
        </w:rPr>
        <w:t>,</w:t>
      </w:r>
      <w:r w:rsidR="002F7C04" w:rsidRPr="008A3D9B">
        <w:rPr>
          <w:color w:val="000000" w:themeColor="text1"/>
          <w:sz w:val="22"/>
          <w:szCs w:val="22"/>
        </w:rPr>
        <w:t xml:space="preserve"> </w:t>
      </w:r>
      <w:r w:rsidR="00EF2EAD" w:rsidRPr="008A3D9B">
        <w:rPr>
          <w:color w:val="000000" w:themeColor="text1"/>
          <w:sz w:val="22"/>
          <w:szCs w:val="22"/>
        </w:rPr>
        <w:t>with potential for</w:t>
      </w:r>
      <w:r w:rsidR="00D907A1" w:rsidRPr="008A3D9B">
        <w:rPr>
          <w:color w:val="000000" w:themeColor="text1"/>
          <w:sz w:val="22"/>
          <w:szCs w:val="22"/>
        </w:rPr>
        <w:t xml:space="preserve"> these restrictions to result in</w:t>
      </w:r>
      <w:r w:rsidR="00EF2EAD" w:rsidRPr="008A3D9B">
        <w:rPr>
          <w:color w:val="000000" w:themeColor="text1"/>
          <w:sz w:val="22"/>
          <w:szCs w:val="22"/>
        </w:rPr>
        <w:t xml:space="preserve"> significant job losses and reduced incomes. </w:t>
      </w:r>
      <w:r w:rsidR="002F7C04" w:rsidRPr="008A3D9B">
        <w:rPr>
          <w:color w:val="000000" w:themeColor="text1"/>
          <w:sz w:val="22"/>
          <w:szCs w:val="22"/>
        </w:rPr>
        <w:t xml:space="preserve">Emphasis was given in the design of JobKeeper to speedy implementation at scale to provide needed support to the economy and jobs. </w:t>
      </w:r>
      <w:r w:rsidR="00D907A1" w:rsidRPr="008A3D9B">
        <w:rPr>
          <w:color w:val="000000" w:themeColor="text1"/>
          <w:sz w:val="22"/>
          <w:szCs w:val="22"/>
        </w:rPr>
        <w:t>A</w:t>
      </w:r>
      <w:r w:rsidR="00601175">
        <w:rPr>
          <w:color w:val="000000" w:themeColor="text1"/>
          <w:sz w:val="22"/>
          <w:szCs w:val="22"/>
        </w:rPr>
        <w:t> </w:t>
      </w:r>
      <w:r w:rsidR="00D907A1" w:rsidRPr="008A3D9B">
        <w:rPr>
          <w:color w:val="000000" w:themeColor="text1"/>
          <w:sz w:val="22"/>
          <w:szCs w:val="22"/>
        </w:rPr>
        <w:t>number of the key design features of JobKeeper were decided with this imperative in mind.</w:t>
      </w:r>
    </w:p>
    <w:p w14:paraId="06435CDB" w14:textId="166D6C0B" w:rsidR="00C40272" w:rsidRPr="008A3D9B" w:rsidRDefault="00780866" w:rsidP="00033226">
      <w:pPr>
        <w:pStyle w:val="BodyText"/>
        <w:rPr>
          <w:color w:val="000000" w:themeColor="text1"/>
          <w:sz w:val="22"/>
          <w:szCs w:val="22"/>
        </w:rPr>
      </w:pPr>
      <w:r w:rsidRPr="008A3D9B">
        <w:rPr>
          <w:color w:val="000000" w:themeColor="text1"/>
          <w:sz w:val="22"/>
          <w:szCs w:val="22"/>
        </w:rPr>
        <w:t xml:space="preserve">Since </w:t>
      </w:r>
      <w:r w:rsidR="002F7C04" w:rsidRPr="008A3D9B">
        <w:rPr>
          <w:color w:val="000000" w:themeColor="text1"/>
          <w:sz w:val="22"/>
          <w:szCs w:val="22"/>
        </w:rPr>
        <w:t>the</w:t>
      </w:r>
      <w:r w:rsidRPr="008A3D9B">
        <w:rPr>
          <w:color w:val="000000" w:themeColor="text1"/>
          <w:sz w:val="22"/>
          <w:szCs w:val="22"/>
        </w:rPr>
        <w:t xml:space="preserve"> introduction</w:t>
      </w:r>
      <w:r w:rsidR="00512098" w:rsidRPr="008A3D9B">
        <w:rPr>
          <w:color w:val="000000" w:themeColor="text1"/>
          <w:sz w:val="22"/>
          <w:szCs w:val="22"/>
        </w:rPr>
        <w:t xml:space="preserve"> of JobKeeper</w:t>
      </w:r>
      <w:r w:rsidRPr="008A3D9B">
        <w:rPr>
          <w:color w:val="000000" w:themeColor="text1"/>
          <w:sz w:val="22"/>
          <w:szCs w:val="22"/>
        </w:rPr>
        <w:t xml:space="preserve">, </w:t>
      </w:r>
      <w:r w:rsidR="00047889" w:rsidRPr="008A3D9B">
        <w:rPr>
          <w:color w:val="000000" w:themeColor="text1"/>
          <w:sz w:val="22"/>
          <w:szCs w:val="22"/>
        </w:rPr>
        <w:t xml:space="preserve">health restrictions </w:t>
      </w:r>
      <w:r w:rsidRPr="008A3D9B">
        <w:rPr>
          <w:color w:val="000000" w:themeColor="text1"/>
          <w:sz w:val="22"/>
          <w:szCs w:val="22"/>
        </w:rPr>
        <w:t xml:space="preserve">have begun to be </w:t>
      </w:r>
      <w:r w:rsidR="00A75C9D" w:rsidRPr="008A3D9B">
        <w:rPr>
          <w:color w:val="000000" w:themeColor="text1"/>
          <w:sz w:val="22"/>
          <w:szCs w:val="22"/>
        </w:rPr>
        <w:t>relaxed</w:t>
      </w:r>
      <w:r w:rsidRPr="008A3D9B">
        <w:rPr>
          <w:color w:val="000000" w:themeColor="text1"/>
          <w:sz w:val="22"/>
          <w:szCs w:val="22"/>
        </w:rPr>
        <w:t xml:space="preserve"> </w:t>
      </w:r>
      <w:r w:rsidR="00A75C9D" w:rsidRPr="008A3D9B">
        <w:rPr>
          <w:color w:val="000000" w:themeColor="text1"/>
          <w:sz w:val="22"/>
          <w:szCs w:val="22"/>
        </w:rPr>
        <w:t>earlier than anticipated</w:t>
      </w:r>
      <w:r w:rsidR="001E352F" w:rsidRPr="008A3D9B">
        <w:rPr>
          <w:color w:val="000000" w:themeColor="text1"/>
          <w:sz w:val="22"/>
          <w:szCs w:val="22"/>
        </w:rPr>
        <w:t>,</w:t>
      </w:r>
      <w:r w:rsidR="00A75C9D" w:rsidRPr="008A3D9B">
        <w:rPr>
          <w:color w:val="000000" w:themeColor="text1"/>
          <w:sz w:val="22"/>
          <w:szCs w:val="22"/>
        </w:rPr>
        <w:t xml:space="preserve"> </w:t>
      </w:r>
      <w:r w:rsidR="009C673C" w:rsidRPr="008A3D9B">
        <w:rPr>
          <w:color w:val="000000" w:themeColor="text1"/>
          <w:sz w:val="22"/>
          <w:szCs w:val="22"/>
        </w:rPr>
        <w:t xml:space="preserve">and forecasts </w:t>
      </w:r>
      <w:r w:rsidR="001E352F" w:rsidRPr="008A3D9B">
        <w:rPr>
          <w:color w:val="000000" w:themeColor="text1"/>
          <w:sz w:val="22"/>
          <w:szCs w:val="22"/>
        </w:rPr>
        <w:t xml:space="preserve">of the length and depth of the economic </w:t>
      </w:r>
      <w:r w:rsidR="00302A8B" w:rsidRPr="008A3D9B">
        <w:rPr>
          <w:color w:val="000000" w:themeColor="text1"/>
          <w:sz w:val="22"/>
          <w:szCs w:val="22"/>
        </w:rPr>
        <w:t xml:space="preserve">and labour market </w:t>
      </w:r>
      <w:r w:rsidR="001E352F" w:rsidRPr="008A3D9B">
        <w:rPr>
          <w:color w:val="000000" w:themeColor="text1"/>
          <w:sz w:val="22"/>
          <w:szCs w:val="22"/>
        </w:rPr>
        <w:t xml:space="preserve">downturn </w:t>
      </w:r>
      <w:r w:rsidRPr="008A3D9B">
        <w:rPr>
          <w:color w:val="000000" w:themeColor="text1"/>
          <w:sz w:val="22"/>
          <w:szCs w:val="22"/>
        </w:rPr>
        <w:t>have been</w:t>
      </w:r>
      <w:r w:rsidR="009C673C" w:rsidRPr="008A3D9B">
        <w:rPr>
          <w:color w:val="000000" w:themeColor="text1"/>
          <w:sz w:val="22"/>
          <w:szCs w:val="22"/>
        </w:rPr>
        <w:t xml:space="preserve"> moderated</w:t>
      </w:r>
      <w:r w:rsidR="00A75C9D" w:rsidRPr="008A3D9B">
        <w:rPr>
          <w:color w:val="000000" w:themeColor="text1"/>
          <w:sz w:val="22"/>
          <w:szCs w:val="22"/>
        </w:rPr>
        <w:t>.</w:t>
      </w:r>
    </w:p>
    <w:p w14:paraId="042C8795" w14:textId="0E8DDBA9" w:rsidR="00512098" w:rsidRPr="008A3D9B" w:rsidRDefault="009C673C" w:rsidP="00416298">
      <w:pPr>
        <w:pStyle w:val="BodyText"/>
        <w:rPr>
          <w:color w:val="000000" w:themeColor="text1"/>
          <w:sz w:val="22"/>
          <w:szCs w:val="22"/>
        </w:rPr>
      </w:pPr>
      <w:r w:rsidRPr="008A3D9B">
        <w:rPr>
          <w:color w:val="000000" w:themeColor="text1"/>
          <w:sz w:val="22"/>
          <w:szCs w:val="22"/>
        </w:rPr>
        <w:t xml:space="preserve">Against this backdrop, </w:t>
      </w:r>
      <w:r w:rsidR="009979F4">
        <w:rPr>
          <w:color w:val="000000" w:themeColor="text1"/>
          <w:sz w:val="22"/>
          <w:szCs w:val="22"/>
        </w:rPr>
        <w:t xml:space="preserve">the </w:t>
      </w:r>
      <w:r w:rsidR="00512098" w:rsidRPr="008A3D9B">
        <w:rPr>
          <w:color w:val="000000" w:themeColor="text1"/>
          <w:sz w:val="22"/>
          <w:szCs w:val="22"/>
        </w:rPr>
        <w:t xml:space="preserve">review </w:t>
      </w:r>
      <w:r w:rsidR="00786390">
        <w:rPr>
          <w:color w:val="000000" w:themeColor="text1"/>
          <w:sz w:val="22"/>
          <w:szCs w:val="22"/>
        </w:rPr>
        <w:t xml:space="preserve">provides a </w:t>
      </w:r>
      <w:r w:rsidR="00512098" w:rsidRPr="008A3D9B">
        <w:rPr>
          <w:color w:val="000000" w:themeColor="text1"/>
          <w:sz w:val="22"/>
          <w:szCs w:val="22"/>
        </w:rPr>
        <w:t>re</w:t>
      </w:r>
      <w:r w:rsidR="00DE2760">
        <w:rPr>
          <w:color w:val="000000" w:themeColor="text1"/>
          <w:sz w:val="22"/>
          <w:szCs w:val="22"/>
        </w:rPr>
        <w:noBreakHyphen/>
      </w:r>
      <w:r w:rsidR="00512098" w:rsidRPr="008A3D9B">
        <w:rPr>
          <w:color w:val="000000" w:themeColor="text1"/>
          <w:sz w:val="22"/>
          <w:szCs w:val="22"/>
        </w:rPr>
        <w:t>assess</w:t>
      </w:r>
      <w:r w:rsidR="00786390">
        <w:rPr>
          <w:color w:val="000000" w:themeColor="text1"/>
          <w:sz w:val="22"/>
          <w:szCs w:val="22"/>
        </w:rPr>
        <w:t xml:space="preserve">ment of </w:t>
      </w:r>
      <w:r w:rsidR="00512098" w:rsidRPr="008A3D9B">
        <w:rPr>
          <w:color w:val="000000" w:themeColor="text1"/>
          <w:sz w:val="22"/>
          <w:szCs w:val="22"/>
        </w:rPr>
        <w:t>the trade</w:t>
      </w:r>
      <w:r w:rsidR="00DE2760">
        <w:rPr>
          <w:color w:val="000000" w:themeColor="text1"/>
          <w:sz w:val="22"/>
          <w:szCs w:val="22"/>
        </w:rPr>
        <w:noBreakHyphen/>
      </w:r>
      <w:r w:rsidR="00512098" w:rsidRPr="008A3D9B">
        <w:rPr>
          <w:color w:val="000000" w:themeColor="text1"/>
          <w:sz w:val="22"/>
          <w:szCs w:val="22"/>
        </w:rPr>
        <w:t xml:space="preserve">off </w:t>
      </w:r>
      <w:r w:rsidR="009979F4">
        <w:rPr>
          <w:color w:val="000000" w:themeColor="text1"/>
          <w:sz w:val="22"/>
          <w:szCs w:val="22"/>
        </w:rPr>
        <w:t xml:space="preserve">of the benefits </w:t>
      </w:r>
      <w:r w:rsidR="00512098" w:rsidRPr="008A3D9B">
        <w:rPr>
          <w:color w:val="000000" w:themeColor="text1"/>
          <w:sz w:val="22"/>
          <w:szCs w:val="22"/>
        </w:rPr>
        <w:t>of providing ongoing support to</w:t>
      </w:r>
      <w:r w:rsidR="00B04ECE" w:rsidRPr="008A3D9B">
        <w:rPr>
          <w:color w:val="000000" w:themeColor="text1"/>
          <w:sz w:val="22"/>
          <w:szCs w:val="22"/>
        </w:rPr>
        <w:t xml:space="preserve"> jobs and</w:t>
      </w:r>
      <w:r w:rsidR="00512098" w:rsidRPr="008A3D9B">
        <w:rPr>
          <w:color w:val="000000" w:themeColor="text1"/>
          <w:sz w:val="22"/>
          <w:szCs w:val="22"/>
        </w:rPr>
        <w:t xml:space="preserve"> the economy </w:t>
      </w:r>
      <w:r w:rsidR="00D907A1" w:rsidRPr="008A3D9B">
        <w:rPr>
          <w:color w:val="000000" w:themeColor="text1"/>
          <w:sz w:val="22"/>
          <w:szCs w:val="22"/>
        </w:rPr>
        <w:t>through JobKeeper</w:t>
      </w:r>
      <w:r w:rsidR="009979F4">
        <w:rPr>
          <w:color w:val="000000" w:themeColor="text1"/>
          <w:sz w:val="22"/>
          <w:szCs w:val="22"/>
        </w:rPr>
        <w:t xml:space="preserve"> against </w:t>
      </w:r>
      <w:r w:rsidR="00D907A1" w:rsidRPr="008A3D9B">
        <w:rPr>
          <w:color w:val="000000" w:themeColor="text1"/>
          <w:sz w:val="22"/>
          <w:szCs w:val="22"/>
        </w:rPr>
        <w:t>some of its known</w:t>
      </w:r>
      <w:r w:rsidR="00711284" w:rsidRPr="008A3D9B">
        <w:rPr>
          <w:color w:val="000000" w:themeColor="text1"/>
          <w:sz w:val="22"/>
          <w:szCs w:val="22"/>
        </w:rPr>
        <w:t xml:space="preserve"> </w:t>
      </w:r>
      <w:r w:rsidR="001A40AE" w:rsidRPr="008A3D9B">
        <w:rPr>
          <w:color w:val="000000" w:themeColor="text1"/>
          <w:sz w:val="22"/>
          <w:szCs w:val="22"/>
        </w:rPr>
        <w:t xml:space="preserve">design features that </w:t>
      </w:r>
      <w:r w:rsidR="002E6C06" w:rsidRPr="008A3D9B">
        <w:rPr>
          <w:color w:val="000000" w:themeColor="text1"/>
          <w:sz w:val="22"/>
          <w:szCs w:val="22"/>
        </w:rPr>
        <w:t>may be less desirable as the economy begins to move into a recovery phase</w:t>
      </w:r>
      <w:r w:rsidR="001A40AE" w:rsidRPr="008A3D9B">
        <w:rPr>
          <w:color w:val="000000" w:themeColor="text1"/>
          <w:sz w:val="22"/>
          <w:szCs w:val="22"/>
        </w:rPr>
        <w:t>.</w:t>
      </w:r>
    </w:p>
    <w:p w14:paraId="614DF72D" w14:textId="2873098B" w:rsidR="0075039F" w:rsidRPr="008A3D9B" w:rsidRDefault="001A40AE" w:rsidP="00416298">
      <w:pPr>
        <w:pStyle w:val="BodyText"/>
        <w:rPr>
          <w:color w:val="000000" w:themeColor="text1"/>
          <w:sz w:val="22"/>
          <w:szCs w:val="22"/>
        </w:rPr>
      </w:pPr>
      <w:r w:rsidRPr="008A3D9B">
        <w:rPr>
          <w:color w:val="000000" w:themeColor="text1"/>
          <w:sz w:val="22"/>
          <w:szCs w:val="22"/>
        </w:rPr>
        <w:t xml:space="preserve">In particular, the review </w:t>
      </w:r>
      <w:r w:rsidR="0075039F" w:rsidRPr="008A3D9B">
        <w:rPr>
          <w:color w:val="000000" w:themeColor="text1"/>
          <w:sz w:val="22"/>
          <w:szCs w:val="22"/>
        </w:rPr>
        <w:t xml:space="preserve">examines </w:t>
      </w:r>
      <w:r w:rsidR="00B7032E" w:rsidRPr="008A3D9B">
        <w:rPr>
          <w:color w:val="000000" w:themeColor="text1"/>
          <w:sz w:val="22"/>
          <w:szCs w:val="22"/>
        </w:rPr>
        <w:t>three</w:t>
      </w:r>
      <w:r w:rsidR="0075039F" w:rsidRPr="008A3D9B">
        <w:rPr>
          <w:color w:val="000000" w:themeColor="text1"/>
          <w:sz w:val="22"/>
          <w:szCs w:val="22"/>
        </w:rPr>
        <w:t xml:space="preserve"> issues:</w:t>
      </w:r>
    </w:p>
    <w:p w14:paraId="07106D57" w14:textId="64D91453" w:rsidR="00D065BD" w:rsidRPr="008A3D9B" w:rsidRDefault="00BF1A89" w:rsidP="00D065BD">
      <w:pPr>
        <w:pStyle w:val="Bullet"/>
        <w:rPr>
          <w:color w:val="000000" w:themeColor="text1"/>
        </w:rPr>
      </w:pPr>
      <w:r>
        <w:rPr>
          <w:color w:val="000000" w:themeColor="text1"/>
        </w:rPr>
        <w:t>t</w:t>
      </w:r>
      <w:r w:rsidR="001A40AE" w:rsidRPr="008A3D9B">
        <w:rPr>
          <w:color w:val="000000" w:themeColor="text1"/>
        </w:rPr>
        <w:t>ake</w:t>
      </w:r>
      <w:r w:rsidR="00DE2760">
        <w:rPr>
          <w:color w:val="000000" w:themeColor="text1"/>
        </w:rPr>
        <w:noBreakHyphen/>
      </w:r>
      <w:r w:rsidR="001A40AE" w:rsidRPr="008A3D9B">
        <w:rPr>
          <w:color w:val="000000" w:themeColor="text1"/>
        </w:rPr>
        <w:t xml:space="preserve">up of JobKeeper and evidence of its </w:t>
      </w:r>
      <w:r w:rsidR="00D065BD" w:rsidRPr="008A3D9B">
        <w:rPr>
          <w:color w:val="000000" w:themeColor="text1"/>
        </w:rPr>
        <w:t>initial impact on jobs</w:t>
      </w:r>
      <w:r w:rsidR="001A40AE" w:rsidRPr="008A3D9B">
        <w:rPr>
          <w:color w:val="000000" w:themeColor="text1"/>
        </w:rPr>
        <w:t>, hours of work,</w:t>
      </w:r>
      <w:r w:rsidR="00D065BD" w:rsidRPr="008A3D9B">
        <w:rPr>
          <w:color w:val="000000" w:themeColor="text1"/>
        </w:rPr>
        <w:t xml:space="preserve"> and </w:t>
      </w:r>
      <w:r w:rsidR="00631DBD" w:rsidRPr="008A3D9B">
        <w:rPr>
          <w:color w:val="000000" w:themeColor="text1"/>
        </w:rPr>
        <w:t>incomes</w:t>
      </w:r>
    </w:p>
    <w:p w14:paraId="1C3F5CFA" w14:textId="648E9484" w:rsidR="00D065BD" w:rsidRPr="008A3D9B" w:rsidRDefault="00BF1A89" w:rsidP="0075039F">
      <w:pPr>
        <w:pStyle w:val="Bullet"/>
        <w:rPr>
          <w:color w:val="000000" w:themeColor="text1"/>
        </w:rPr>
      </w:pPr>
      <w:r>
        <w:rPr>
          <w:color w:val="000000" w:themeColor="text1"/>
        </w:rPr>
        <w:t>d</w:t>
      </w:r>
      <w:r w:rsidR="00CD0DC1" w:rsidRPr="008A3D9B">
        <w:rPr>
          <w:color w:val="000000" w:themeColor="text1"/>
        </w:rPr>
        <w:t xml:space="preserve">esign </w:t>
      </w:r>
      <w:r w:rsidR="00D065BD" w:rsidRPr="008A3D9B">
        <w:rPr>
          <w:color w:val="000000" w:themeColor="text1"/>
        </w:rPr>
        <w:t xml:space="preserve">features of JobKeeper </w:t>
      </w:r>
      <w:r w:rsidR="00B7032E" w:rsidRPr="008A3D9B">
        <w:rPr>
          <w:color w:val="000000" w:themeColor="text1"/>
        </w:rPr>
        <w:t xml:space="preserve">that </w:t>
      </w:r>
      <w:r w:rsidR="00D065BD" w:rsidRPr="008A3D9B">
        <w:rPr>
          <w:color w:val="000000" w:themeColor="text1"/>
        </w:rPr>
        <w:t xml:space="preserve">may </w:t>
      </w:r>
      <w:r w:rsidR="00631DBD" w:rsidRPr="008A3D9B">
        <w:rPr>
          <w:color w:val="000000" w:themeColor="text1"/>
        </w:rPr>
        <w:t>be less desirable as the economy recovers</w:t>
      </w:r>
      <w:r w:rsidR="00D065BD" w:rsidRPr="008A3D9B">
        <w:rPr>
          <w:color w:val="000000" w:themeColor="text1"/>
        </w:rPr>
        <w:t xml:space="preserve">, such as </w:t>
      </w:r>
      <w:r w:rsidR="007A062F" w:rsidRPr="008A3D9B">
        <w:rPr>
          <w:color w:val="000000" w:themeColor="text1"/>
        </w:rPr>
        <w:t>its</w:t>
      </w:r>
      <w:r w:rsidR="00601175">
        <w:rPr>
          <w:color w:val="000000" w:themeColor="text1"/>
        </w:rPr>
        <w:t> </w:t>
      </w:r>
      <w:r w:rsidR="00631DBD" w:rsidRPr="008A3D9B">
        <w:rPr>
          <w:color w:val="000000" w:themeColor="text1"/>
        </w:rPr>
        <w:t>level of income support, retaining employees in their pre</w:t>
      </w:r>
      <w:r w:rsidR="00DE2760">
        <w:rPr>
          <w:color w:val="000000" w:themeColor="text1"/>
        </w:rPr>
        <w:noBreakHyphen/>
      </w:r>
      <w:r w:rsidR="00631DBD" w:rsidRPr="008A3D9B">
        <w:rPr>
          <w:color w:val="000000" w:themeColor="text1"/>
        </w:rPr>
        <w:t>1 March jobs</w:t>
      </w:r>
      <w:r w:rsidR="003D18F0" w:rsidRPr="008A3D9B">
        <w:rPr>
          <w:color w:val="000000" w:themeColor="text1"/>
        </w:rPr>
        <w:t>,</w:t>
      </w:r>
      <w:r w:rsidR="00D065BD" w:rsidRPr="008A3D9B">
        <w:rPr>
          <w:color w:val="000000" w:themeColor="text1"/>
        </w:rPr>
        <w:t xml:space="preserve"> and support</w:t>
      </w:r>
      <w:r w:rsidR="00631DBD" w:rsidRPr="008A3D9B">
        <w:rPr>
          <w:color w:val="000000" w:themeColor="text1"/>
        </w:rPr>
        <w:t>ing</w:t>
      </w:r>
      <w:r w:rsidR="003D18F0" w:rsidRPr="008A3D9B">
        <w:rPr>
          <w:color w:val="000000" w:themeColor="text1"/>
        </w:rPr>
        <w:t xml:space="preserve"> </w:t>
      </w:r>
      <w:r w:rsidR="00D065BD" w:rsidRPr="008A3D9B">
        <w:rPr>
          <w:color w:val="000000" w:themeColor="text1"/>
        </w:rPr>
        <w:t xml:space="preserve">businesses that either no longer need </w:t>
      </w:r>
      <w:r w:rsidR="00631DBD" w:rsidRPr="008A3D9B">
        <w:rPr>
          <w:color w:val="000000" w:themeColor="text1"/>
        </w:rPr>
        <w:t>support</w:t>
      </w:r>
      <w:r w:rsidR="003D18F0" w:rsidRPr="008A3D9B">
        <w:rPr>
          <w:color w:val="000000" w:themeColor="text1"/>
        </w:rPr>
        <w:t xml:space="preserve"> </w:t>
      </w:r>
      <w:r w:rsidR="00D065BD" w:rsidRPr="008A3D9B">
        <w:rPr>
          <w:color w:val="000000" w:themeColor="text1"/>
        </w:rPr>
        <w:t xml:space="preserve">or </w:t>
      </w:r>
      <w:r w:rsidR="00B7032E" w:rsidRPr="008A3D9B">
        <w:rPr>
          <w:color w:val="000000" w:themeColor="text1"/>
        </w:rPr>
        <w:t xml:space="preserve">that </w:t>
      </w:r>
      <w:r w:rsidR="005A6638" w:rsidRPr="008A3D9B">
        <w:rPr>
          <w:color w:val="000000" w:themeColor="text1"/>
        </w:rPr>
        <w:t xml:space="preserve">are no longer viable without </w:t>
      </w:r>
      <w:r w:rsidR="00631DBD" w:rsidRPr="008A3D9B">
        <w:rPr>
          <w:color w:val="000000" w:themeColor="text1"/>
        </w:rPr>
        <w:t>it</w:t>
      </w:r>
    </w:p>
    <w:p w14:paraId="0A15B24F" w14:textId="1A9D6184" w:rsidR="00EB5058" w:rsidRPr="008A3D9B" w:rsidRDefault="00BF1A89" w:rsidP="00C160BC">
      <w:pPr>
        <w:pStyle w:val="Bullet"/>
        <w:rPr>
          <w:color w:val="000000" w:themeColor="text1"/>
        </w:rPr>
      </w:pPr>
      <w:r>
        <w:rPr>
          <w:color w:val="000000" w:themeColor="text1"/>
        </w:rPr>
        <w:t>c</w:t>
      </w:r>
      <w:r w:rsidR="00DF2951" w:rsidRPr="008A3D9B">
        <w:rPr>
          <w:color w:val="000000" w:themeColor="text1"/>
        </w:rPr>
        <w:t>onsiderations</w:t>
      </w:r>
      <w:r w:rsidR="00F618D9" w:rsidRPr="008A3D9B">
        <w:rPr>
          <w:color w:val="000000" w:themeColor="text1"/>
        </w:rPr>
        <w:t xml:space="preserve"> </w:t>
      </w:r>
      <w:r w:rsidR="00B7032E" w:rsidRPr="008A3D9B">
        <w:rPr>
          <w:color w:val="000000" w:themeColor="text1"/>
        </w:rPr>
        <w:t xml:space="preserve">for the Government </w:t>
      </w:r>
      <w:r w:rsidR="00F618D9" w:rsidRPr="008A3D9B">
        <w:rPr>
          <w:color w:val="000000" w:themeColor="text1"/>
        </w:rPr>
        <w:t xml:space="preserve">in </w:t>
      </w:r>
      <w:r w:rsidR="00B7032E" w:rsidRPr="008A3D9B">
        <w:rPr>
          <w:color w:val="000000" w:themeColor="text1"/>
        </w:rPr>
        <w:t>making any changes to JobKeeper, including t</w:t>
      </w:r>
      <w:r w:rsidR="00EB5058" w:rsidRPr="008A3D9B">
        <w:rPr>
          <w:color w:val="000000" w:themeColor="text1"/>
        </w:rPr>
        <w:t>he economic and labour market outlook over the second half of 2020</w:t>
      </w:r>
      <w:r w:rsidR="00E361A3" w:rsidRPr="008A3D9B">
        <w:rPr>
          <w:color w:val="000000" w:themeColor="text1"/>
        </w:rPr>
        <w:t>.</w:t>
      </w:r>
    </w:p>
    <w:p w14:paraId="10710642" w14:textId="55D592D9" w:rsidR="00302A8B" w:rsidRPr="008A3D9B" w:rsidRDefault="00F618D9" w:rsidP="003823C5">
      <w:pPr>
        <w:pStyle w:val="Bullet"/>
        <w:numPr>
          <w:ilvl w:val="0"/>
          <w:numId w:val="0"/>
        </w:numPr>
        <w:rPr>
          <w:color w:val="000000" w:themeColor="text1"/>
        </w:rPr>
      </w:pPr>
      <w:r w:rsidRPr="008A3D9B">
        <w:rPr>
          <w:color w:val="000000" w:themeColor="text1"/>
        </w:rPr>
        <w:t>The re</w:t>
      </w:r>
      <w:r w:rsidR="008306EF" w:rsidRPr="008A3D9B">
        <w:rPr>
          <w:color w:val="000000" w:themeColor="text1"/>
        </w:rPr>
        <w:t xml:space="preserve">view draws on a wide range of evidence in </w:t>
      </w:r>
      <w:r w:rsidR="00CD0DC1" w:rsidRPr="008A3D9B">
        <w:rPr>
          <w:color w:val="000000" w:themeColor="text1"/>
        </w:rPr>
        <w:t>examining</w:t>
      </w:r>
      <w:r w:rsidR="008306EF" w:rsidRPr="008A3D9B">
        <w:rPr>
          <w:color w:val="000000" w:themeColor="text1"/>
        </w:rPr>
        <w:t xml:space="preserve"> these </w:t>
      </w:r>
      <w:r w:rsidR="008C4462" w:rsidRPr="008A3D9B">
        <w:rPr>
          <w:color w:val="000000" w:themeColor="text1"/>
        </w:rPr>
        <w:t>matters</w:t>
      </w:r>
      <w:r w:rsidR="008306EF" w:rsidRPr="008A3D9B">
        <w:rPr>
          <w:color w:val="000000" w:themeColor="text1"/>
        </w:rPr>
        <w:t xml:space="preserve">. Much of this evidence is novel and </w:t>
      </w:r>
      <w:r w:rsidR="00512098" w:rsidRPr="008A3D9B">
        <w:rPr>
          <w:color w:val="000000" w:themeColor="text1"/>
        </w:rPr>
        <w:t>near real</w:t>
      </w:r>
      <w:r w:rsidR="009979F4">
        <w:rPr>
          <w:color w:val="000000" w:themeColor="text1"/>
        </w:rPr>
        <w:noBreakHyphen/>
      </w:r>
      <w:r w:rsidR="00512098" w:rsidRPr="008A3D9B">
        <w:rPr>
          <w:color w:val="000000" w:themeColor="text1"/>
        </w:rPr>
        <w:t>time</w:t>
      </w:r>
      <w:r w:rsidR="008306EF" w:rsidRPr="008A3D9B">
        <w:rPr>
          <w:color w:val="000000" w:themeColor="text1"/>
        </w:rPr>
        <w:t xml:space="preserve">. In particular, the </w:t>
      </w:r>
      <w:r w:rsidR="0021206C" w:rsidRPr="008A3D9B">
        <w:rPr>
          <w:color w:val="000000" w:themeColor="text1"/>
        </w:rPr>
        <w:t>ABS</w:t>
      </w:r>
      <w:r w:rsidR="008306EF" w:rsidRPr="008A3D9B">
        <w:rPr>
          <w:color w:val="000000" w:themeColor="text1"/>
        </w:rPr>
        <w:t xml:space="preserve"> has </w:t>
      </w:r>
      <w:r w:rsidR="00310417" w:rsidRPr="008A3D9B">
        <w:rPr>
          <w:color w:val="000000" w:themeColor="text1"/>
        </w:rPr>
        <w:t xml:space="preserve">published </w:t>
      </w:r>
      <w:r w:rsidR="00CD0DC1" w:rsidRPr="008A3D9B">
        <w:rPr>
          <w:color w:val="000000" w:themeColor="text1"/>
        </w:rPr>
        <w:t xml:space="preserve">weekly </w:t>
      </w:r>
      <w:r w:rsidR="00310417" w:rsidRPr="008A3D9B">
        <w:rPr>
          <w:color w:val="000000" w:themeColor="text1"/>
        </w:rPr>
        <w:t xml:space="preserve">estimates of payroll jobs and </w:t>
      </w:r>
      <w:r w:rsidR="008A45B1" w:rsidRPr="008A3D9B">
        <w:rPr>
          <w:color w:val="000000" w:themeColor="text1"/>
        </w:rPr>
        <w:t>wages</w:t>
      </w:r>
      <w:r w:rsidR="00310417" w:rsidRPr="008A3D9B">
        <w:rPr>
          <w:color w:val="000000" w:themeColor="text1"/>
        </w:rPr>
        <w:t xml:space="preserve">, as well as several rounds of rapid surveys on the business and household impacts of </w:t>
      </w:r>
      <w:r w:rsidR="00385056" w:rsidRPr="008A3D9B">
        <w:rPr>
          <w:color w:val="000000" w:themeColor="text1"/>
        </w:rPr>
        <w:t>C</w:t>
      </w:r>
      <w:r w:rsidR="00B10769">
        <w:rPr>
          <w:color w:val="000000" w:themeColor="text1"/>
        </w:rPr>
        <w:t xml:space="preserve">OVID-19. </w:t>
      </w:r>
      <w:r w:rsidR="00310417" w:rsidRPr="008A3D9B">
        <w:rPr>
          <w:color w:val="000000" w:themeColor="text1"/>
        </w:rPr>
        <w:t>Treasury has also undertaken supporting work for the review based on analyses of business microdata.</w:t>
      </w:r>
      <w:r w:rsidR="00FD3C3C" w:rsidRPr="008A3D9B">
        <w:rPr>
          <w:color w:val="000000" w:themeColor="text1"/>
        </w:rPr>
        <w:t xml:space="preserve"> </w:t>
      </w:r>
      <w:r w:rsidR="008306EF" w:rsidRPr="008A3D9B">
        <w:rPr>
          <w:color w:val="000000" w:themeColor="text1"/>
        </w:rPr>
        <w:t xml:space="preserve">On the other hand, the window </w:t>
      </w:r>
      <w:r w:rsidR="008A45B1" w:rsidRPr="008A3D9B">
        <w:rPr>
          <w:color w:val="000000" w:themeColor="text1"/>
        </w:rPr>
        <w:t xml:space="preserve">of time for making observations </w:t>
      </w:r>
      <w:r w:rsidR="008306EF" w:rsidRPr="008A3D9B">
        <w:rPr>
          <w:color w:val="000000" w:themeColor="text1"/>
        </w:rPr>
        <w:lastRenderedPageBreak/>
        <w:t xml:space="preserve">about initial impact is </w:t>
      </w:r>
      <w:r w:rsidRPr="008A3D9B">
        <w:rPr>
          <w:color w:val="000000" w:themeColor="text1"/>
        </w:rPr>
        <w:t>short</w:t>
      </w:r>
      <w:r w:rsidR="008306EF" w:rsidRPr="008A3D9B">
        <w:rPr>
          <w:color w:val="000000" w:themeColor="text1"/>
        </w:rPr>
        <w:t xml:space="preserve">, covering </w:t>
      </w:r>
      <w:r w:rsidR="001E352F" w:rsidRPr="008A3D9B">
        <w:rPr>
          <w:color w:val="000000" w:themeColor="text1"/>
        </w:rPr>
        <w:t>April and May</w:t>
      </w:r>
      <w:r w:rsidR="00CD5ED7" w:rsidRPr="008A3D9B">
        <w:rPr>
          <w:color w:val="000000" w:themeColor="text1"/>
        </w:rPr>
        <w:t>,</w:t>
      </w:r>
      <w:r w:rsidR="008306EF" w:rsidRPr="008A3D9B">
        <w:rPr>
          <w:color w:val="000000" w:themeColor="text1"/>
        </w:rPr>
        <w:t xml:space="preserve"> </w:t>
      </w:r>
      <w:r w:rsidR="001E352F" w:rsidRPr="008A3D9B">
        <w:rPr>
          <w:color w:val="000000" w:themeColor="text1"/>
        </w:rPr>
        <w:t>the first</w:t>
      </w:r>
      <w:r w:rsidR="008306EF" w:rsidRPr="008A3D9B">
        <w:rPr>
          <w:color w:val="000000" w:themeColor="text1"/>
        </w:rPr>
        <w:t xml:space="preserve"> two months since </w:t>
      </w:r>
      <w:r w:rsidR="003358A9" w:rsidRPr="008A3D9B">
        <w:rPr>
          <w:color w:val="000000" w:themeColor="text1"/>
        </w:rPr>
        <w:t xml:space="preserve">the </w:t>
      </w:r>
      <w:r w:rsidR="008306EF" w:rsidRPr="008A3D9B">
        <w:rPr>
          <w:color w:val="000000" w:themeColor="text1"/>
        </w:rPr>
        <w:t xml:space="preserve">JobKeeper </w:t>
      </w:r>
      <w:r w:rsidR="003358A9" w:rsidRPr="008A3D9B">
        <w:rPr>
          <w:color w:val="000000" w:themeColor="text1"/>
        </w:rPr>
        <w:t xml:space="preserve">Payment </w:t>
      </w:r>
      <w:r w:rsidR="008306EF" w:rsidRPr="008A3D9B">
        <w:rPr>
          <w:color w:val="000000" w:themeColor="text1"/>
        </w:rPr>
        <w:t xml:space="preserve">was </w:t>
      </w:r>
      <w:r w:rsidR="007A062F" w:rsidRPr="008A3D9B">
        <w:rPr>
          <w:color w:val="000000" w:themeColor="text1"/>
        </w:rPr>
        <w:t>introduced</w:t>
      </w:r>
      <w:r w:rsidR="008306EF" w:rsidRPr="008A3D9B">
        <w:rPr>
          <w:color w:val="000000" w:themeColor="text1"/>
        </w:rPr>
        <w:t xml:space="preserve">. </w:t>
      </w:r>
    </w:p>
    <w:p w14:paraId="6D5FFFA4" w14:textId="5CA51404" w:rsidR="00DC1233" w:rsidRPr="00D00D86" w:rsidRDefault="001E352F" w:rsidP="00DC1233">
      <w:pPr>
        <w:rPr>
          <w:color w:val="000000" w:themeColor="text1"/>
        </w:rPr>
      </w:pPr>
      <w:r w:rsidRPr="008A3D9B">
        <w:rPr>
          <w:color w:val="000000" w:themeColor="text1"/>
        </w:rPr>
        <w:t>T</w:t>
      </w:r>
      <w:r w:rsidR="00F618D9" w:rsidRPr="008A3D9B">
        <w:rPr>
          <w:color w:val="000000" w:themeColor="text1"/>
        </w:rPr>
        <w:t xml:space="preserve">he </w:t>
      </w:r>
      <w:r w:rsidR="00DF3858" w:rsidRPr="008A3D9B">
        <w:rPr>
          <w:color w:val="000000" w:themeColor="text1"/>
        </w:rPr>
        <w:t>economic and labour market</w:t>
      </w:r>
      <w:r w:rsidR="00F618D9" w:rsidRPr="008A3D9B">
        <w:rPr>
          <w:color w:val="000000" w:themeColor="text1"/>
        </w:rPr>
        <w:t xml:space="preserve"> outlook </w:t>
      </w:r>
      <w:r w:rsidR="008C4462" w:rsidRPr="008A3D9B">
        <w:rPr>
          <w:color w:val="000000" w:themeColor="text1"/>
        </w:rPr>
        <w:t>for</w:t>
      </w:r>
      <w:r w:rsidR="00DF3858" w:rsidRPr="008A3D9B">
        <w:rPr>
          <w:color w:val="000000" w:themeColor="text1"/>
        </w:rPr>
        <w:t xml:space="preserve"> the remainder of 2020 is</w:t>
      </w:r>
      <w:r w:rsidR="00F618D9" w:rsidRPr="008A3D9B">
        <w:rPr>
          <w:color w:val="000000" w:themeColor="text1"/>
        </w:rPr>
        <w:t xml:space="preserve"> highly uncertain</w:t>
      </w:r>
      <w:r w:rsidR="005B7E1D" w:rsidRPr="008A3D9B">
        <w:rPr>
          <w:color w:val="000000" w:themeColor="text1"/>
        </w:rPr>
        <w:t>,</w:t>
      </w:r>
      <w:r w:rsidR="00E471E2" w:rsidRPr="008A3D9B">
        <w:rPr>
          <w:color w:val="000000" w:themeColor="text1"/>
        </w:rPr>
        <w:t xml:space="preserve"> business and consumer confidence remain weak,</w:t>
      </w:r>
      <w:r w:rsidR="008C4462" w:rsidRPr="008A3D9B">
        <w:rPr>
          <w:color w:val="000000" w:themeColor="text1"/>
        </w:rPr>
        <w:t xml:space="preserve"> </w:t>
      </w:r>
      <w:r w:rsidR="006E2281" w:rsidRPr="008A3D9B">
        <w:rPr>
          <w:color w:val="000000" w:themeColor="text1"/>
        </w:rPr>
        <w:t xml:space="preserve">and some health restrictions will take time to lift, </w:t>
      </w:r>
      <w:r w:rsidR="008C4462" w:rsidRPr="008A3D9B">
        <w:rPr>
          <w:color w:val="000000" w:themeColor="text1"/>
        </w:rPr>
        <w:t>temper</w:t>
      </w:r>
      <w:r w:rsidR="00E471E2" w:rsidRPr="008A3D9B">
        <w:rPr>
          <w:color w:val="000000" w:themeColor="text1"/>
        </w:rPr>
        <w:t>ing</w:t>
      </w:r>
      <w:r w:rsidR="008C4462" w:rsidRPr="008A3D9B">
        <w:rPr>
          <w:color w:val="000000" w:themeColor="text1"/>
        </w:rPr>
        <w:t xml:space="preserve"> any judgement</w:t>
      </w:r>
      <w:r w:rsidR="007A062F" w:rsidRPr="008A3D9B">
        <w:rPr>
          <w:color w:val="000000" w:themeColor="text1"/>
        </w:rPr>
        <w:t>s</w:t>
      </w:r>
      <w:r w:rsidR="008C4462" w:rsidRPr="008A3D9B">
        <w:rPr>
          <w:color w:val="000000" w:themeColor="text1"/>
        </w:rPr>
        <w:t xml:space="preserve"> about </w:t>
      </w:r>
      <w:r w:rsidR="00E471E2" w:rsidRPr="008A3D9B">
        <w:rPr>
          <w:color w:val="000000" w:themeColor="text1"/>
        </w:rPr>
        <w:t>the benefits of making</w:t>
      </w:r>
      <w:r w:rsidR="008C4462" w:rsidRPr="008A3D9B">
        <w:rPr>
          <w:color w:val="000000" w:themeColor="text1"/>
        </w:rPr>
        <w:t xml:space="preserve"> changes to the program</w:t>
      </w:r>
      <w:r w:rsidR="00B5254A" w:rsidRPr="008A3D9B">
        <w:rPr>
          <w:color w:val="000000" w:themeColor="text1"/>
        </w:rPr>
        <w:t xml:space="preserve">, </w:t>
      </w:r>
      <w:r w:rsidR="00131AFD" w:rsidRPr="008A3D9B">
        <w:rPr>
          <w:color w:val="000000" w:themeColor="text1"/>
        </w:rPr>
        <w:t>especially after</w:t>
      </w:r>
      <w:r w:rsidR="00B5254A" w:rsidRPr="008A3D9B">
        <w:rPr>
          <w:color w:val="000000" w:themeColor="text1"/>
        </w:rPr>
        <w:t xml:space="preserve"> </w:t>
      </w:r>
      <w:r w:rsidR="00D60E2D" w:rsidRPr="008A3D9B">
        <w:rPr>
          <w:color w:val="000000" w:themeColor="text1"/>
        </w:rPr>
        <w:t xml:space="preserve">factoring in </w:t>
      </w:r>
      <w:r w:rsidR="00B5254A" w:rsidRPr="008A3D9B">
        <w:rPr>
          <w:color w:val="000000" w:themeColor="text1"/>
        </w:rPr>
        <w:t xml:space="preserve">the costs associated with </w:t>
      </w:r>
      <w:r w:rsidR="00F45724" w:rsidRPr="008A3D9B">
        <w:rPr>
          <w:color w:val="000000" w:themeColor="text1"/>
        </w:rPr>
        <w:t>such</w:t>
      </w:r>
      <w:r w:rsidR="00B5254A" w:rsidRPr="008A3D9B">
        <w:rPr>
          <w:color w:val="000000" w:themeColor="text1"/>
        </w:rPr>
        <w:t xml:space="preserve"> change</w:t>
      </w:r>
      <w:r w:rsidR="007A062F" w:rsidRPr="008A3D9B">
        <w:rPr>
          <w:color w:val="000000" w:themeColor="text1"/>
        </w:rPr>
        <w:t>s</w:t>
      </w:r>
      <w:r w:rsidR="00F618D9" w:rsidRPr="008A3D9B">
        <w:rPr>
          <w:color w:val="000000" w:themeColor="text1"/>
        </w:rPr>
        <w:t>.</w:t>
      </w:r>
      <w:r w:rsidR="00DF3858" w:rsidRPr="008A3D9B">
        <w:rPr>
          <w:color w:val="000000" w:themeColor="text1"/>
        </w:rPr>
        <w:t xml:space="preserve"> </w:t>
      </w:r>
    </w:p>
    <w:p w14:paraId="1A759E44" w14:textId="77777777" w:rsidR="005C5B79" w:rsidRDefault="005C5B79">
      <w:pPr>
        <w:rPr>
          <w:rFonts w:asciiTheme="majorHAnsi" w:eastAsiaTheme="majorEastAsia" w:hAnsiTheme="majorHAnsi" w:cstheme="majorBidi"/>
          <w:color w:val="002035" w:themeColor="accent1" w:themeShade="BF"/>
          <w:sz w:val="32"/>
          <w:szCs w:val="32"/>
        </w:rPr>
      </w:pPr>
      <w:bookmarkStart w:id="171" w:name="_Toc43802494"/>
      <w:bookmarkStart w:id="172" w:name="_Toc43809342"/>
      <w:bookmarkStart w:id="173" w:name="_Toc43815607"/>
      <w:bookmarkStart w:id="174" w:name="_Toc43817540"/>
      <w:bookmarkStart w:id="175" w:name="_Toc43825311"/>
      <w:bookmarkStart w:id="176" w:name="_Toc43825415"/>
      <w:bookmarkStart w:id="177" w:name="_Toc43825508"/>
      <w:bookmarkStart w:id="178" w:name="_Toc43996244"/>
      <w:bookmarkStart w:id="179" w:name="_Toc43998503"/>
      <w:bookmarkStart w:id="180" w:name="_Toc43998430"/>
      <w:bookmarkStart w:id="181" w:name="_Toc44069952"/>
      <w:bookmarkStart w:id="182" w:name="_Toc44071356"/>
      <w:bookmarkStart w:id="183" w:name="_Toc44073480"/>
      <w:bookmarkStart w:id="184" w:name="_Toc44074620"/>
      <w:bookmarkStart w:id="185" w:name="_Toc44079509"/>
      <w:bookmarkStart w:id="186" w:name="_Toc44079804"/>
      <w:r>
        <w:br w:type="page"/>
      </w:r>
    </w:p>
    <w:p w14:paraId="7CA03844" w14:textId="23753359" w:rsidR="00C64DE1" w:rsidRDefault="00047BF3" w:rsidP="009B6E0C">
      <w:pPr>
        <w:pStyle w:val="Heading1"/>
      </w:pPr>
      <w:bookmarkStart w:id="187" w:name="_Toc44079939"/>
      <w:bookmarkStart w:id="188" w:name="_Toc44319850"/>
      <w:bookmarkStart w:id="189" w:name="_Toc44321558"/>
      <w:bookmarkStart w:id="190" w:name="_Toc44323725"/>
      <w:bookmarkStart w:id="191" w:name="_Toc44326188"/>
      <w:bookmarkStart w:id="192" w:name="_Toc44330510"/>
      <w:bookmarkStart w:id="193" w:name="_Toc44330752"/>
      <w:bookmarkStart w:id="194" w:name="_Toc44333184"/>
      <w:bookmarkStart w:id="195" w:name="_Toc44334815"/>
      <w:bookmarkStart w:id="196" w:name="_Toc45227419"/>
      <w:bookmarkStart w:id="197" w:name="_Toc45799020"/>
      <w:r>
        <w:lastRenderedPageBreak/>
        <w:t>Coronavirus</w:t>
      </w:r>
      <w:r w:rsidR="00C64DE1">
        <w:t>, health restrictions and economic impacts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D7C376D" w14:textId="05FE4BAC" w:rsidR="00C64DE1" w:rsidRPr="00D00D86" w:rsidRDefault="00C64DE1" w:rsidP="00C64DE1">
      <w:pPr>
        <w:rPr>
          <w:color w:val="000000" w:themeColor="text1"/>
        </w:rPr>
      </w:pPr>
      <w:r w:rsidRPr="00D00D86">
        <w:rPr>
          <w:color w:val="000000" w:themeColor="text1"/>
        </w:rPr>
        <w:t>It is important to understand the circumstances under which the Government introduced the JobKeeper Payment</w:t>
      </w:r>
      <w:r w:rsidR="00FF7440" w:rsidRPr="00D00D86">
        <w:rPr>
          <w:color w:val="000000" w:themeColor="text1"/>
        </w:rPr>
        <w:t xml:space="preserve"> at the end of March 2020</w:t>
      </w:r>
      <w:r w:rsidRPr="00D00D86">
        <w:rPr>
          <w:color w:val="000000" w:themeColor="text1"/>
        </w:rPr>
        <w:t>.</w:t>
      </w:r>
      <w:r w:rsidR="00A856A4" w:rsidRPr="00D00D86">
        <w:rPr>
          <w:color w:val="000000" w:themeColor="text1"/>
        </w:rPr>
        <w:t xml:space="preserve"> </w:t>
      </w:r>
    </w:p>
    <w:p w14:paraId="2CE8E951" w14:textId="49714235" w:rsidR="00C64DE1" w:rsidRPr="00D00D86" w:rsidRDefault="00C64DE1" w:rsidP="00C64DE1">
      <w:pPr>
        <w:rPr>
          <w:color w:val="000000" w:themeColor="text1"/>
        </w:rPr>
      </w:pPr>
      <w:r w:rsidRPr="00D00D86">
        <w:rPr>
          <w:color w:val="000000" w:themeColor="text1"/>
        </w:rPr>
        <w:t>The first reported case</w:t>
      </w:r>
      <w:r w:rsidR="00C75356" w:rsidRPr="00D00D86">
        <w:rPr>
          <w:color w:val="000000" w:themeColor="text1"/>
        </w:rPr>
        <w:t>s</w:t>
      </w:r>
      <w:r w:rsidRPr="00D00D86">
        <w:rPr>
          <w:color w:val="000000" w:themeColor="text1"/>
        </w:rPr>
        <w:t xml:space="preserve"> of </w:t>
      </w:r>
      <w:r w:rsidR="00C00600">
        <w:rPr>
          <w:color w:val="000000" w:themeColor="text1"/>
        </w:rPr>
        <w:t xml:space="preserve">COVID-19 </w:t>
      </w:r>
      <w:r w:rsidRPr="00D00D86">
        <w:rPr>
          <w:color w:val="000000" w:themeColor="text1"/>
        </w:rPr>
        <w:t xml:space="preserve">in Australia </w:t>
      </w:r>
      <w:r w:rsidR="00C75356" w:rsidRPr="00D00D86">
        <w:rPr>
          <w:color w:val="000000" w:themeColor="text1"/>
        </w:rPr>
        <w:t>were</w:t>
      </w:r>
      <w:r w:rsidRPr="00D00D86">
        <w:rPr>
          <w:color w:val="000000" w:themeColor="text1"/>
        </w:rPr>
        <w:t xml:space="preserve"> on 25 January 2020</w:t>
      </w:r>
      <w:r w:rsidR="009E2FA5" w:rsidRPr="00D00D86">
        <w:rPr>
          <w:color w:val="000000" w:themeColor="text1"/>
        </w:rPr>
        <w:t xml:space="preserve">. Between then and </w:t>
      </w:r>
      <w:r w:rsidR="000C74B2" w:rsidRPr="00D00D86">
        <w:rPr>
          <w:color w:val="000000" w:themeColor="text1"/>
        </w:rPr>
        <w:t>1</w:t>
      </w:r>
      <w:r w:rsidR="00344050" w:rsidRPr="00D00D86">
        <w:rPr>
          <w:color w:val="000000" w:themeColor="text1"/>
        </w:rPr>
        <w:t>1</w:t>
      </w:r>
      <w:r w:rsidR="00F377C2" w:rsidRPr="00D00D86">
        <w:rPr>
          <w:color w:val="000000" w:themeColor="text1"/>
        </w:rPr>
        <w:t> </w:t>
      </w:r>
      <w:r w:rsidR="00B84577" w:rsidRPr="00D00D86">
        <w:rPr>
          <w:color w:val="000000" w:themeColor="text1"/>
        </w:rPr>
        <w:t>M</w:t>
      </w:r>
      <w:r w:rsidR="009E2FA5" w:rsidRPr="00D00D86">
        <w:rPr>
          <w:color w:val="000000" w:themeColor="text1"/>
        </w:rPr>
        <w:t xml:space="preserve">arch, </w:t>
      </w:r>
      <w:r w:rsidR="000C74B2" w:rsidRPr="00D00D86">
        <w:rPr>
          <w:color w:val="000000" w:themeColor="text1"/>
        </w:rPr>
        <w:t>confirmed</w:t>
      </w:r>
      <w:r w:rsidR="009E2FA5" w:rsidRPr="00D00D86">
        <w:rPr>
          <w:color w:val="000000" w:themeColor="text1"/>
        </w:rPr>
        <w:t xml:space="preserve"> cases rose </w:t>
      </w:r>
      <w:r w:rsidR="000C74B2" w:rsidRPr="00D00D86">
        <w:rPr>
          <w:color w:val="000000" w:themeColor="text1"/>
        </w:rPr>
        <w:t>to</w:t>
      </w:r>
      <w:r w:rsidR="00344050" w:rsidRPr="00D00D86">
        <w:rPr>
          <w:color w:val="000000" w:themeColor="text1"/>
        </w:rPr>
        <w:t xml:space="preserve"> over</w:t>
      </w:r>
      <w:r w:rsidR="000C74B2" w:rsidRPr="00D00D86">
        <w:rPr>
          <w:color w:val="000000" w:themeColor="text1"/>
        </w:rPr>
        <w:t xml:space="preserve"> 100</w:t>
      </w:r>
      <w:r w:rsidR="009E2FA5" w:rsidRPr="00D00D86">
        <w:rPr>
          <w:color w:val="000000" w:themeColor="text1"/>
        </w:rPr>
        <w:t xml:space="preserve">. </w:t>
      </w:r>
      <w:r w:rsidR="00336671" w:rsidRPr="00D00D86">
        <w:rPr>
          <w:color w:val="000000" w:themeColor="text1"/>
        </w:rPr>
        <w:t xml:space="preserve">Following that, cases began to double </w:t>
      </w:r>
      <w:r w:rsidR="00FC7F3F" w:rsidRPr="00D00D86">
        <w:rPr>
          <w:color w:val="000000" w:themeColor="text1"/>
        </w:rPr>
        <w:t>around</w:t>
      </w:r>
      <w:r w:rsidR="00307C04" w:rsidRPr="00D00D86">
        <w:rPr>
          <w:color w:val="000000" w:themeColor="text1"/>
        </w:rPr>
        <w:t xml:space="preserve"> </w:t>
      </w:r>
      <w:r w:rsidR="00336671" w:rsidRPr="00D00D86">
        <w:rPr>
          <w:color w:val="000000" w:themeColor="text1"/>
        </w:rPr>
        <w:t xml:space="preserve">every few days reaching over </w:t>
      </w:r>
      <w:r w:rsidR="00AA741D" w:rsidRPr="00D00D86">
        <w:rPr>
          <w:color w:val="000000" w:themeColor="text1"/>
        </w:rPr>
        <w:t>1</w:t>
      </w:r>
      <w:r w:rsidR="008509F4" w:rsidRPr="00D00D86">
        <w:rPr>
          <w:color w:val="000000" w:themeColor="text1"/>
        </w:rPr>
        <w:t>,</w:t>
      </w:r>
      <w:r w:rsidR="00336671" w:rsidRPr="00D00D86">
        <w:rPr>
          <w:color w:val="000000" w:themeColor="text1"/>
        </w:rPr>
        <w:t>000</w:t>
      </w:r>
      <w:r w:rsidR="00AA741D" w:rsidRPr="00D00D86">
        <w:rPr>
          <w:color w:val="000000" w:themeColor="text1"/>
        </w:rPr>
        <w:t xml:space="preserve"> by 21</w:t>
      </w:r>
      <w:r w:rsidR="00336671" w:rsidRPr="00D00D86">
        <w:rPr>
          <w:color w:val="000000" w:themeColor="text1"/>
        </w:rPr>
        <w:t xml:space="preserve"> March</w:t>
      </w:r>
      <w:r w:rsidR="00AA741D" w:rsidRPr="00D00D86">
        <w:rPr>
          <w:color w:val="000000" w:themeColor="text1"/>
        </w:rPr>
        <w:t>, over 2</w:t>
      </w:r>
      <w:r w:rsidR="00155538" w:rsidRPr="00D00D86">
        <w:rPr>
          <w:color w:val="000000" w:themeColor="text1"/>
        </w:rPr>
        <w:t>,</w:t>
      </w:r>
      <w:r w:rsidR="00AA741D" w:rsidRPr="00D00D86">
        <w:rPr>
          <w:color w:val="000000" w:themeColor="text1"/>
        </w:rPr>
        <w:t>000 by 24 March and over 4</w:t>
      </w:r>
      <w:r w:rsidR="00155538" w:rsidRPr="00D00D86">
        <w:rPr>
          <w:color w:val="000000" w:themeColor="text1"/>
        </w:rPr>
        <w:t>,</w:t>
      </w:r>
      <w:r w:rsidR="00AA741D" w:rsidRPr="00D00D86">
        <w:rPr>
          <w:color w:val="000000" w:themeColor="text1"/>
        </w:rPr>
        <w:t xml:space="preserve">500 </w:t>
      </w:r>
      <w:r w:rsidR="00BF1A89">
        <w:rPr>
          <w:color w:val="000000" w:themeColor="text1"/>
        </w:rPr>
        <w:t>by</w:t>
      </w:r>
      <w:r w:rsidR="00AA741D" w:rsidRPr="00D00D86">
        <w:rPr>
          <w:color w:val="000000" w:themeColor="text1"/>
        </w:rPr>
        <w:t xml:space="preserve"> end March</w:t>
      </w:r>
      <w:r w:rsidR="00336671" w:rsidRPr="00D00D86">
        <w:rPr>
          <w:color w:val="000000" w:themeColor="text1"/>
        </w:rPr>
        <w:t>.</w:t>
      </w:r>
      <w:r w:rsidR="00AA741D" w:rsidRPr="00D00D86">
        <w:rPr>
          <w:rStyle w:val="FootnoteReference"/>
          <w:color w:val="000000" w:themeColor="text1"/>
        </w:rPr>
        <w:footnoteReference w:id="8"/>
      </w:r>
      <w:r w:rsidR="00336671" w:rsidRPr="00D00D86">
        <w:rPr>
          <w:color w:val="000000" w:themeColor="text1"/>
        </w:rPr>
        <w:t xml:space="preserve"> </w:t>
      </w:r>
    </w:p>
    <w:p w14:paraId="5C28C1C6" w14:textId="509B43D4" w:rsidR="009E2FA5" w:rsidRPr="00D00D86" w:rsidRDefault="009E2FA5" w:rsidP="00C64DE1">
      <w:pPr>
        <w:rPr>
          <w:color w:val="000000" w:themeColor="text1"/>
        </w:rPr>
      </w:pPr>
      <w:r w:rsidRPr="00D00D86">
        <w:rPr>
          <w:color w:val="000000" w:themeColor="text1"/>
        </w:rPr>
        <w:t xml:space="preserve">A range of public health restrictions were introduced by the Australian Government and by State and Territory </w:t>
      </w:r>
      <w:r w:rsidR="00C00600">
        <w:rPr>
          <w:color w:val="000000" w:themeColor="text1"/>
        </w:rPr>
        <w:t>g</w:t>
      </w:r>
      <w:r w:rsidRPr="00D00D86">
        <w:rPr>
          <w:color w:val="000000" w:themeColor="text1"/>
        </w:rPr>
        <w:t xml:space="preserve">overnments from February onwards. </w:t>
      </w:r>
      <w:r w:rsidR="007932E9" w:rsidRPr="00D00D86">
        <w:rPr>
          <w:color w:val="000000" w:themeColor="text1"/>
        </w:rPr>
        <w:t xml:space="preserve">On 1 February </w:t>
      </w:r>
      <w:r w:rsidRPr="00D00D86">
        <w:rPr>
          <w:color w:val="000000" w:themeColor="text1"/>
        </w:rPr>
        <w:t xml:space="preserve">restrictions were </w:t>
      </w:r>
      <w:r w:rsidR="007932E9" w:rsidRPr="00D00D86">
        <w:rPr>
          <w:color w:val="000000" w:themeColor="text1"/>
        </w:rPr>
        <w:t xml:space="preserve">placed </w:t>
      </w:r>
      <w:r w:rsidR="00836F1B" w:rsidRPr="00D00D86">
        <w:rPr>
          <w:color w:val="000000" w:themeColor="text1"/>
        </w:rPr>
        <w:t xml:space="preserve">on international </w:t>
      </w:r>
      <w:r w:rsidR="000D3EA2" w:rsidRPr="00D00D86">
        <w:rPr>
          <w:color w:val="000000" w:themeColor="text1"/>
        </w:rPr>
        <w:t>arrivals</w:t>
      </w:r>
      <w:r w:rsidR="00836F1B" w:rsidRPr="00D00D86">
        <w:rPr>
          <w:color w:val="000000" w:themeColor="text1"/>
        </w:rPr>
        <w:t xml:space="preserve"> from China, extended </w:t>
      </w:r>
      <w:r w:rsidR="000D3EA2" w:rsidRPr="00D00D86">
        <w:rPr>
          <w:color w:val="000000" w:themeColor="text1"/>
        </w:rPr>
        <w:t>during February and March</w:t>
      </w:r>
      <w:r w:rsidR="00836F1B" w:rsidRPr="00D00D86">
        <w:rPr>
          <w:color w:val="000000" w:themeColor="text1"/>
        </w:rPr>
        <w:t xml:space="preserve"> to </w:t>
      </w:r>
      <w:r w:rsidR="000D3EA2" w:rsidRPr="00D00D86">
        <w:rPr>
          <w:color w:val="000000" w:themeColor="text1"/>
        </w:rPr>
        <w:t xml:space="preserve">arrivals from </w:t>
      </w:r>
      <w:r w:rsidR="00836F1B" w:rsidRPr="00D00D86">
        <w:rPr>
          <w:color w:val="000000" w:themeColor="text1"/>
        </w:rPr>
        <w:t xml:space="preserve">other countries, </w:t>
      </w:r>
      <w:r w:rsidR="007932E9" w:rsidRPr="00D00D86">
        <w:rPr>
          <w:color w:val="000000" w:themeColor="text1"/>
        </w:rPr>
        <w:t xml:space="preserve">and then </w:t>
      </w:r>
      <w:r w:rsidR="00FC7F3F" w:rsidRPr="00D00D86">
        <w:rPr>
          <w:color w:val="000000" w:themeColor="text1"/>
        </w:rPr>
        <w:t>a complete ban on</w:t>
      </w:r>
      <w:r w:rsidR="007932E9" w:rsidRPr="00D00D86">
        <w:rPr>
          <w:color w:val="000000" w:themeColor="text1"/>
        </w:rPr>
        <w:t xml:space="preserve"> </w:t>
      </w:r>
      <w:r w:rsidR="00311906" w:rsidRPr="00D00D86">
        <w:rPr>
          <w:color w:val="000000" w:themeColor="text1"/>
        </w:rPr>
        <w:t xml:space="preserve">entry of </w:t>
      </w:r>
      <w:r w:rsidR="007932E9" w:rsidRPr="00D00D86">
        <w:rPr>
          <w:color w:val="000000" w:themeColor="text1"/>
        </w:rPr>
        <w:t xml:space="preserve">all </w:t>
      </w:r>
      <w:r w:rsidR="000D3EA2" w:rsidRPr="00D00D86">
        <w:rPr>
          <w:color w:val="000000" w:themeColor="text1"/>
        </w:rPr>
        <w:t xml:space="preserve">foreign nationals </w:t>
      </w:r>
      <w:r w:rsidR="008509F4" w:rsidRPr="00D00D86">
        <w:rPr>
          <w:color w:val="000000" w:themeColor="text1"/>
        </w:rPr>
        <w:t>from</w:t>
      </w:r>
      <w:r w:rsidR="000D3EA2" w:rsidRPr="00D00D86">
        <w:rPr>
          <w:color w:val="000000" w:themeColor="text1"/>
        </w:rPr>
        <w:t xml:space="preserve"> 20</w:t>
      </w:r>
      <w:r w:rsidR="007932E9" w:rsidRPr="00D00D86">
        <w:rPr>
          <w:color w:val="000000" w:themeColor="text1"/>
        </w:rPr>
        <w:t xml:space="preserve"> March.</w:t>
      </w:r>
    </w:p>
    <w:p w14:paraId="07998216" w14:textId="00B4C746" w:rsidR="005832F0" w:rsidRPr="00D00D86" w:rsidRDefault="005832F0" w:rsidP="00C64DE1">
      <w:pPr>
        <w:rPr>
          <w:color w:val="000000" w:themeColor="text1"/>
        </w:rPr>
      </w:pPr>
      <w:r w:rsidRPr="00D00D86">
        <w:rPr>
          <w:color w:val="000000" w:themeColor="text1"/>
        </w:rPr>
        <w:t xml:space="preserve">Public </w:t>
      </w:r>
      <w:r w:rsidR="002A0C46" w:rsidRPr="00D00D86">
        <w:rPr>
          <w:color w:val="000000" w:themeColor="text1"/>
        </w:rPr>
        <w:t>health restrictions on the movement and gathering of people within Australia began to be introduced in the third week of March</w:t>
      </w:r>
      <w:r w:rsidR="00693F11" w:rsidRPr="00D00D86">
        <w:rPr>
          <w:color w:val="000000" w:themeColor="text1"/>
        </w:rPr>
        <w:t>. Non</w:t>
      </w:r>
      <w:r w:rsidR="00DE2760">
        <w:rPr>
          <w:color w:val="000000" w:themeColor="text1"/>
        </w:rPr>
        <w:noBreakHyphen/>
      </w:r>
      <w:r w:rsidR="00693F11" w:rsidRPr="00D00D86">
        <w:rPr>
          <w:color w:val="000000" w:themeColor="text1"/>
        </w:rPr>
        <w:t>essential gatherings were limited to 500 people on 1</w:t>
      </w:r>
      <w:r w:rsidR="000E58C5" w:rsidRPr="00D00D86">
        <w:rPr>
          <w:color w:val="000000" w:themeColor="text1"/>
        </w:rPr>
        <w:t>6</w:t>
      </w:r>
      <w:r w:rsidR="00F377C2" w:rsidRPr="00D00D86">
        <w:rPr>
          <w:color w:val="000000" w:themeColor="text1"/>
        </w:rPr>
        <w:t> </w:t>
      </w:r>
      <w:r w:rsidR="00693F11" w:rsidRPr="00D00D86">
        <w:rPr>
          <w:color w:val="000000" w:themeColor="text1"/>
        </w:rPr>
        <w:t>March, then on 2</w:t>
      </w:r>
      <w:r w:rsidR="00A856A4" w:rsidRPr="00D00D86">
        <w:rPr>
          <w:color w:val="000000" w:themeColor="text1"/>
        </w:rPr>
        <w:t>0</w:t>
      </w:r>
      <w:r w:rsidR="00693F11" w:rsidRPr="00D00D86">
        <w:rPr>
          <w:color w:val="000000" w:themeColor="text1"/>
        </w:rPr>
        <w:t xml:space="preserve"> March to no more than one person per </w:t>
      </w:r>
      <w:r w:rsidR="00871486">
        <w:rPr>
          <w:color w:val="000000" w:themeColor="text1"/>
        </w:rPr>
        <w:t>four square metres</w:t>
      </w:r>
      <w:r w:rsidR="00693F11" w:rsidRPr="00D00D86">
        <w:rPr>
          <w:color w:val="000000" w:themeColor="text1"/>
          <w:vertAlign w:val="superscript"/>
        </w:rPr>
        <w:t xml:space="preserve"> </w:t>
      </w:r>
      <w:r w:rsidR="00693F11" w:rsidRPr="00D00D86">
        <w:rPr>
          <w:color w:val="000000" w:themeColor="text1"/>
        </w:rPr>
        <w:t>at indoor venues</w:t>
      </w:r>
      <w:r w:rsidR="00FD3C3C" w:rsidRPr="00D00D86">
        <w:rPr>
          <w:color w:val="000000" w:themeColor="text1"/>
        </w:rPr>
        <w:t>,</w:t>
      </w:r>
      <w:r w:rsidR="00693F11" w:rsidRPr="00D00D86">
        <w:rPr>
          <w:color w:val="000000" w:themeColor="text1"/>
        </w:rPr>
        <w:t xml:space="preserve"> up to no more than 100 people maximum.</w:t>
      </w:r>
      <w:r w:rsidR="00A47E2D" w:rsidRPr="00D00D86">
        <w:rPr>
          <w:color w:val="000000" w:themeColor="text1"/>
        </w:rPr>
        <w:t xml:space="preserve"> People were directed to work from home wherever possible and to only travel for essential purposes. Non</w:t>
      </w:r>
      <w:r w:rsidR="00DE2760">
        <w:rPr>
          <w:color w:val="000000" w:themeColor="text1"/>
        </w:rPr>
        <w:noBreakHyphen/>
      </w:r>
      <w:r w:rsidR="00A47E2D" w:rsidRPr="00D00D86">
        <w:rPr>
          <w:color w:val="000000" w:themeColor="text1"/>
        </w:rPr>
        <w:t xml:space="preserve">essential businesses were advised to </w:t>
      </w:r>
      <w:r w:rsidR="0013406E" w:rsidRPr="00D00D86">
        <w:rPr>
          <w:color w:val="000000" w:themeColor="text1"/>
        </w:rPr>
        <w:t>cease direct consumer trade</w:t>
      </w:r>
      <w:r w:rsidR="006C5B81" w:rsidRPr="00D00D86">
        <w:rPr>
          <w:color w:val="000000" w:themeColor="text1"/>
        </w:rPr>
        <w:t xml:space="preserve"> and consumers were advised to shop only for essential items like groceries and medicines</w:t>
      </w:r>
      <w:r w:rsidR="00A47E2D" w:rsidRPr="00D00D86">
        <w:rPr>
          <w:color w:val="000000" w:themeColor="text1"/>
        </w:rPr>
        <w:t>.</w:t>
      </w:r>
      <w:r w:rsidR="00A47E2D" w:rsidRPr="00D00D86">
        <w:rPr>
          <w:rStyle w:val="FootnoteReference"/>
          <w:color w:val="000000" w:themeColor="text1"/>
        </w:rPr>
        <w:footnoteReference w:id="9"/>
      </w:r>
    </w:p>
    <w:p w14:paraId="1BF78AF1" w14:textId="76F3BB88" w:rsidR="00AA741D" w:rsidRPr="00D00D86" w:rsidRDefault="00AA741D" w:rsidP="00C64DE1">
      <w:pPr>
        <w:rPr>
          <w:color w:val="000000" w:themeColor="text1"/>
        </w:rPr>
      </w:pPr>
      <w:r w:rsidRPr="00D00D86">
        <w:rPr>
          <w:color w:val="000000" w:themeColor="text1"/>
        </w:rPr>
        <w:t xml:space="preserve">There is </w:t>
      </w:r>
      <w:r w:rsidR="005832F0" w:rsidRPr="00D00D86">
        <w:rPr>
          <w:color w:val="000000" w:themeColor="text1"/>
        </w:rPr>
        <w:t xml:space="preserve">evidence from </w:t>
      </w:r>
      <w:r w:rsidR="00691265" w:rsidRPr="00D00D86">
        <w:rPr>
          <w:color w:val="000000" w:themeColor="text1"/>
        </w:rPr>
        <w:t>social media usage and tracking data</w:t>
      </w:r>
      <w:r w:rsidR="005832F0" w:rsidRPr="00D00D86">
        <w:rPr>
          <w:color w:val="000000" w:themeColor="text1"/>
        </w:rPr>
        <w:t xml:space="preserve"> that many people</w:t>
      </w:r>
      <w:r w:rsidR="00DE2760">
        <w:rPr>
          <w:color w:val="000000" w:themeColor="text1"/>
        </w:rPr>
        <w:t xml:space="preserve"> — </w:t>
      </w:r>
      <w:r w:rsidR="002A0C46" w:rsidRPr="00D00D86">
        <w:rPr>
          <w:color w:val="000000" w:themeColor="text1"/>
        </w:rPr>
        <w:t xml:space="preserve">in Australia, </w:t>
      </w:r>
      <w:r w:rsidR="00307C04" w:rsidRPr="00D00D86">
        <w:rPr>
          <w:color w:val="000000" w:themeColor="text1"/>
        </w:rPr>
        <w:t>and</w:t>
      </w:r>
      <w:r w:rsidR="002A0C46" w:rsidRPr="00D00D86">
        <w:rPr>
          <w:color w:val="000000" w:themeColor="text1"/>
        </w:rPr>
        <w:t xml:space="preserve"> other countries</w:t>
      </w:r>
      <w:r w:rsidR="00DE2760">
        <w:rPr>
          <w:color w:val="000000" w:themeColor="text1"/>
        </w:rPr>
        <w:t xml:space="preserve"> — </w:t>
      </w:r>
      <w:r w:rsidR="002A0C46" w:rsidRPr="00D00D86">
        <w:rPr>
          <w:color w:val="000000" w:themeColor="text1"/>
        </w:rPr>
        <w:t>b</w:t>
      </w:r>
      <w:r w:rsidR="005832F0" w:rsidRPr="00D00D86">
        <w:rPr>
          <w:color w:val="000000" w:themeColor="text1"/>
        </w:rPr>
        <w:t xml:space="preserve">egan to alter their behaviour and socially distance themselves </w:t>
      </w:r>
      <w:r w:rsidR="005832F0" w:rsidRPr="00D00D86">
        <w:rPr>
          <w:i/>
          <w:color w:val="000000" w:themeColor="text1"/>
        </w:rPr>
        <w:t>ahead</w:t>
      </w:r>
      <w:r w:rsidR="005832F0" w:rsidRPr="00D00D86">
        <w:rPr>
          <w:color w:val="000000" w:themeColor="text1"/>
        </w:rPr>
        <w:t xml:space="preserve"> of the announcement of public health restrictions</w:t>
      </w:r>
      <w:r w:rsidR="00691265" w:rsidRPr="00D00D86">
        <w:rPr>
          <w:color w:val="000000" w:themeColor="text1"/>
        </w:rPr>
        <w:t xml:space="preserve">. </w:t>
      </w:r>
      <w:r w:rsidR="00C474AA" w:rsidRPr="00D00D86">
        <w:rPr>
          <w:color w:val="000000" w:themeColor="text1"/>
        </w:rPr>
        <w:t>Real</w:t>
      </w:r>
      <w:r w:rsidR="00DE2760">
        <w:rPr>
          <w:color w:val="000000" w:themeColor="text1"/>
        </w:rPr>
        <w:noBreakHyphen/>
      </w:r>
      <w:r w:rsidR="00C474AA" w:rsidRPr="00D00D86">
        <w:rPr>
          <w:color w:val="000000" w:themeColor="text1"/>
        </w:rPr>
        <w:t>time geo</w:t>
      </w:r>
      <w:r w:rsidR="00DE2760">
        <w:rPr>
          <w:color w:val="000000" w:themeColor="text1"/>
        </w:rPr>
        <w:noBreakHyphen/>
      </w:r>
      <w:r w:rsidR="00C474AA" w:rsidRPr="00D00D86">
        <w:rPr>
          <w:color w:val="000000" w:themeColor="text1"/>
        </w:rPr>
        <w:t>tracking data from Google Mobility Reports and Apple Mobility Trends, and foot traffic data from the City of Melbourne Pedestrian Counting System</w:t>
      </w:r>
      <w:r w:rsidR="00C00600">
        <w:rPr>
          <w:color w:val="000000" w:themeColor="text1"/>
        </w:rPr>
        <w:t>,</w:t>
      </w:r>
      <w:r w:rsidR="00C474AA" w:rsidRPr="00D00D86">
        <w:rPr>
          <w:color w:val="000000" w:themeColor="text1"/>
        </w:rPr>
        <w:t xml:space="preserve"> show a decline in foot traffic, driving and public transport use in the days leading up to social distancing measures.</w:t>
      </w:r>
      <w:r w:rsidR="00E60049">
        <w:rPr>
          <w:rStyle w:val="FootnoteReference"/>
          <w:color w:val="000000" w:themeColor="text1"/>
        </w:rPr>
        <w:footnoteReference w:id="10"/>
      </w:r>
      <w:r w:rsidR="00C474AA" w:rsidRPr="00D00D86">
        <w:rPr>
          <w:color w:val="000000" w:themeColor="text1"/>
        </w:rPr>
        <w:t xml:space="preserve"> Real</w:t>
      </w:r>
      <w:r w:rsidR="00DE2760">
        <w:rPr>
          <w:color w:val="000000" w:themeColor="text1"/>
        </w:rPr>
        <w:noBreakHyphen/>
      </w:r>
      <w:r w:rsidR="00C474AA" w:rsidRPr="00D00D86">
        <w:rPr>
          <w:color w:val="000000" w:themeColor="text1"/>
        </w:rPr>
        <w:t>time consumption trac</w:t>
      </w:r>
      <w:r w:rsidR="00691265" w:rsidRPr="00D00D86">
        <w:rPr>
          <w:color w:val="000000" w:themeColor="text1"/>
        </w:rPr>
        <w:t xml:space="preserve">king from Illion and </w:t>
      </w:r>
      <w:r w:rsidR="000354DB">
        <w:rPr>
          <w:color w:val="000000" w:themeColor="text1"/>
        </w:rPr>
        <w:t>AlphaB</w:t>
      </w:r>
      <w:r w:rsidR="00691265" w:rsidRPr="00D00D86">
        <w:rPr>
          <w:color w:val="000000" w:themeColor="text1"/>
        </w:rPr>
        <w:t>eta</w:t>
      </w:r>
      <w:r w:rsidR="002B31A4" w:rsidRPr="00D00D86">
        <w:rPr>
          <w:color w:val="000000" w:themeColor="text1"/>
        </w:rPr>
        <w:t>, and Comm</w:t>
      </w:r>
      <w:r w:rsidR="00C00600">
        <w:rPr>
          <w:color w:val="000000" w:themeColor="text1"/>
        </w:rPr>
        <w:t>onwealth Ban</w:t>
      </w:r>
      <w:r w:rsidR="002B31A4" w:rsidRPr="00D00D86">
        <w:rPr>
          <w:color w:val="000000" w:themeColor="text1"/>
        </w:rPr>
        <w:t>k card spending data</w:t>
      </w:r>
      <w:r w:rsidR="00C00600">
        <w:rPr>
          <w:color w:val="000000" w:themeColor="text1"/>
        </w:rPr>
        <w:t>,</w:t>
      </w:r>
      <w:r w:rsidR="00691265" w:rsidRPr="00D00D86">
        <w:rPr>
          <w:color w:val="000000" w:themeColor="text1"/>
        </w:rPr>
        <w:t xml:space="preserve"> </w:t>
      </w:r>
      <w:r w:rsidR="00C474AA" w:rsidRPr="00D00D86">
        <w:rPr>
          <w:color w:val="000000" w:themeColor="text1"/>
        </w:rPr>
        <w:t>suggest that discretionary spending also began to fall around the same time.</w:t>
      </w:r>
      <w:r w:rsidR="009A203B" w:rsidRPr="00D00D86">
        <w:rPr>
          <w:rStyle w:val="FootnoteReference"/>
          <w:color w:val="000000" w:themeColor="text1"/>
        </w:rPr>
        <w:footnoteReference w:id="11"/>
      </w:r>
      <w:r w:rsidR="00C474AA" w:rsidRPr="00D00D86">
        <w:rPr>
          <w:color w:val="000000" w:themeColor="text1"/>
        </w:rPr>
        <w:t xml:space="preserve"> </w:t>
      </w:r>
      <w:r w:rsidR="00311906" w:rsidRPr="00D00D86">
        <w:rPr>
          <w:color w:val="000000" w:themeColor="text1"/>
        </w:rPr>
        <w:t>Behavioural change and enforced restrictions had large economic reverberations.</w:t>
      </w:r>
    </w:p>
    <w:p w14:paraId="28370EE0" w14:textId="19217B94" w:rsidR="00971CA1" w:rsidRPr="00D00D86" w:rsidRDefault="008947B3" w:rsidP="00DA64F8">
      <w:pPr>
        <w:rPr>
          <w:color w:val="000000" w:themeColor="text1"/>
        </w:rPr>
      </w:pPr>
      <w:r w:rsidRPr="00D00D86">
        <w:rPr>
          <w:color w:val="000000" w:themeColor="text1"/>
        </w:rPr>
        <w:lastRenderedPageBreak/>
        <w:t>Recessions ordinarily arise from a collapse in demand</w:t>
      </w:r>
      <w:r w:rsidR="00DA64F8" w:rsidRPr="00D00D86">
        <w:rPr>
          <w:color w:val="000000" w:themeColor="text1"/>
        </w:rPr>
        <w:t xml:space="preserve">, which is insufficient to soak up available supply </w:t>
      </w:r>
      <w:r w:rsidR="0013406E" w:rsidRPr="00D00D86">
        <w:rPr>
          <w:color w:val="000000" w:themeColor="text1"/>
        </w:rPr>
        <w:t xml:space="preserve">at existing prices, </w:t>
      </w:r>
      <w:r w:rsidR="00DA64F8" w:rsidRPr="00D00D86">
        <w:rPr>
          <w:color w:val="000000" w:themeColor="text1"/>
        </w:rPr>
        <w:t xml:space="preserve">and </w:t>
      </w:r>
      <w:r w:rsidR="006C5B81" w:rsidRPr="00D00D86">
        <w:rPr>
          <w:color w:val="000000" w:themeColor="text1"/>
        </w:rPr>
        <w:t>leads to</w:t>
      </w:r>
      <w:r w:rsidR="00DA64F8" w:rsidRPr="00D00D86">
        <w:rPr>
          <w:color w:val="000000" w:themeColor="text1"/>
        </w:rPr>
        <w:t xml:space="preserve"> cuts </w:t>
      </w:r>
      <w:r w:rsidR="006C5B81" w:rsidRPr="00D00D86">
        <w:rPr>
          <w:color w:val="000000" w:themeColor="text1"/>
        </w:rPr>
        <w:t>in</w:t>
      </w:r>
      <w:r w:rsidR="00DA64F8" w:rsidRPr="00D00D86">
        <w:rPr>
          <w:color w:val="000000" w:themeColor="text1"/>
        </w:rPr>
        <w:t xml:space="preserve"> production and employment. The present recession </w:t>
      </w:r>
      <w:r w:rsidR="0013406E" w:rsidRPr="00D00D86">
        <w:rPr>
          <w:color w:val="000000" w:themeColor="text1"/>
        </w:rPr>
        <w:t xml:space="preserve">differs from the norm as the economy has experienced </w:t>
      </w:r>
      <w:r w:rsidR="00DA64F8" w:rsidRPr="00D00D86">
        <w:rPr>
          <w:color w:val="000000" w:themeColor="text1"/>
        </w:rPr>
        <w:t xml:space="preserve">a simultaneous contraction in </w:t>
      </w:r>
      <w:r w:rsidR="006C5B81" w:rsidRPr="00D00D86">
        <w:rPr>
          <w:color w:val="000000" w:themeColor="text1"/>
        </w:rPr>
        <w:t>demand</w:t>
      </w:r>
      <w:r w:rsidR="00DA64F8" w:rsidRPr="00D00D86">
        <w:rPr>
          <w:color w:val="000000" w:themeColor="text1"/>
        </w:rPr>
        <w:t xml:space="preserve"> </w:t>
      </w:r>
      <w:r w:rsidR="00DA64F8" w:rsidRPr="00D00D86">
        <w:rPr>
          <w:i/>
          <w:color w:val="000000" w:themeColor="text1"/>
        </w:rPr>
        <w:t>and</w:t>
      </w:r>
      <w:r w:rsidR="00DA64F8" w:rsidRPr="00D00D86">
        <w:rPr>
          <w:color w:val="000000" w:themeColor="text1"/>
        </w:rPr>
        <w:t xml:space="preserve"> </w:t>
      </w:r>
      <w:r w:rsidR="006C5B81" w:rsidRPr="00D00D86">
        <w:rPr>
          <w:color w:val="000000" w:themeColor="text1"/>
        </w:rPr>
        <w:t>supply</w:t>
      </w:r>
      <w:r w:rsidR="00DA64F8" w:rsidRPr="00D00D86">
        <w:rPr>
          <w:color w:val="000000" w:themeColor="text1"/>
        </w:rPr>
        <w:t>.</w:t>
      </w:r>
    </w:p>
    <w:p w14:paraId="26390833" w14:textId="24600376" w:rsidR="008947B3" w:rsidRDefault="00971CA1" w:rsidP="00DA64F8">
      <w:r w:rsidRPr="00D00D86">
        <w:rPr>
          <w:color w:val="000000" w:themeColor="text1"/>
        </w:rPr>
        <w:t xml:space="preserve">On the supply side, the health restrictions prevented many businesses from opening, or opening </w:t>
      </w:r>
      <w:r w:rsidR="00FC7F3F" w:rsidRPr="00D00D86">
        <w:rPr>
          <w:color w:val="000000" w:themeColor="text1"/>
        </w:rPr>
        <w:t xml:space="preserve">but </w:t>
      </w:r>
      <w:r w:rsidRPr="00D00D86">
        <w:rPr>
          <w:color w:val="000000" w:themeColor="text1"/>
        </w:rPr>
        <w:t>in a constrained form</w:t>
      </w:r>
      <w:r w:rsidR="00DE2760">
        <w:rPr>
          <w:color w:val="000000" w:themeColor="text1"/>
        </w:rPr>
        <w:t xml:space="preserve"> — </w:t>
      </w:r>
      <w:r w:rsidRPr="00D00D86">
        <w:rPr>
          <w:color w:val="000000" w:themeColor="text1"/>
        </w:rPr>
        <w:t xml:space="preserve">such as </w:t>
      </w:r>
      <w:r w:rsidR="00D51102" w:rsidRPr="00D00D86">
        <w:rPr>
          <w:color w:val="000000" w:themeColor="text1"/>
        </w:rPr>
        <w:t xml:space="preserve">airlines operating domestic routes only, and </w:t>
      </w:r>
      <w:r w:rsidRPr="00D00D86">
        <w:rPr>
          <w:color w:val="000000" w:themeColor="text1"/>
        </w:rPr>
        <w:t>restaurants only being able to provide take</w:t>
      </w:r>
      <w:r w:rsidR="00DE2760">
        <w:rPr>
          <w:color w:val="000000" w:themeColor="text1"/>
        </w:rPr>
        <w:noBreakHyphen/>
      </w:r>
      <w:r w:rsidRPr="00D00D86">
        <w:rPr>
          <w:color w:val="000000" w:themeColor="text1"/>
        </w:rPr>
        <w:t>away food</w:t>
      </w:r>
      <w:r w:rsidR="00DE2760">
        <w:rPr>
          <w:color w:val="000000" w:themeColor="text1"/>
        </w:rPr>
        <w:t xml:space="preserve"> — </w:t>
      </w:r>
      <w:r w:rsidRPr="00D00D86">
        <w:rPr>
          <w:color w:val="000000" w:themeColor="text1"/>
        </w:rPr>
        <w:t>and prevented or constrained many employees from being available to work</w:t>
      </w:r>
      <w:r w:rsidR="006C5B81" w:rsidRPr="00D00D86">
        <w:rPr>
          <w:color w:val="000000" w:themeColor="text1"/>
        </w:rPr>
        <w:t xml:space="preserve">, </w:t>
      </w:r>
      <w:r w:rsidR="0050226D" w:rsidRPr="00D00D86">
        <w:rPr>
          <w:color w:val="000000" w:themeColor="text1"/>
        </w:rPr>
        <w:t>as well as</w:t>
      </w:r>
      <w:r w:rsidR="006C5B81" w:rsidRPr="00D00D86">
        <w:rPr>
          <w:color w:val="000000" w:themeColor="text1"/>
        </w:rPr>
        <w:t xml:space="preserve"> many consumers from spending</w:t>
      </w:r>
      <w:r w:rsidRPr="00D00D86">
        <w:rPr>
          <w:color w:val="000000" w:themeColor="text1"/>
        </w:rPr>
        <w:t>.</w:t>
      </w:r>
      <w:r w:rsidR="00DA64F8" w:rsidRPr="00D00D86">
        <w:rPr>
          <w:color w:val="000000" w:themeColor="text1"/>
        </w:rPr>
        <w:t xml:space="preserve"> </w:t>
      </w:r>
      <w:r w:rsidR="002731E1" w:rsidRPr="00D00D86">
        <w:rPr>
          <w:color w:val="000000" w:themeColor="text1"/>
        </w:rPr>
        <w:t xml:space="preserve">Output </w:t>
      </w:r>
      <w:r w:rsidR="00307C04" w:rsidRPr="00D00D86">
        <w:rPr>
          <w:color w:val="000000" w:themeColor="text1"/>
        </w:rPr>
        <w:t>fell</w:t>
      </w:r>
      <w:r w:rsidR="002731E1" w:rsidRPr="00D00D86">
        <w:rPr>
          <w:color w:val="000000" w:themeColor="text1"/>
        </w:rPr>
        <w:t xml:space="preserve"> across many sectors.</w:t>
      </w:r>
      <w:r w:rsidR="00FC7F3F" w:rsidRPr="00D00D86">
        <w:rPr>
          <w:color w:val="000000" w:themeColor="text1"/>
        </w:rPr>
        <w:t xml:space="preserve"> Large queues of people displaced from work</w:t>
      </w:r>
      <w:r w:rsidR="005F4770" w:rsidRPr="00D00D86">
        <w:rPr>
          <w:color w:val="000000" w:themeColor="text1"/>
        </w:rPr>
        <w:t xml:space="preserve"> sought income support from Cen</w:t>
      </w:r>
      <w:r w:rsidR="00385056" w:rsidRPr="00D00D86">
        <w:rPr>
          <w:color w:val="000000" w:themeColor="text1"/>
        </w:rPr>
        <w:t xml:space="preserve">trelink in the week commencing </w:t>
      </w:r>
      <w:r w:rsidR="00FC7F3F" w:rsidRPr="00D00D86">
        <w:rPr>
          <w:color w:val="000000" w:themeColor="text1"/>
        </w:rPr>
        <w:t>22</w:t>
      </w:r>
      <w:r w:rsidR="005F4770" w:rsidRPr="00D00D86">
        <w:rPr>
          <w:color w:val="000000" w:themeColor="text1"/>
        </w:rPr>
        <w:t xml:space="preserve"> March.</w:t>
      </w:r>
    </w:p>
    <w:p w14:paraId="42013FE2" w14:textId="2DCABF98" w:rsidR="00307C04" w:rsidRPr="00D00D86" w:rsidRDefault="005A3C12" w:rsidP="00DA64F8">
      <w:pPr>
        <w:rPr>
          <w:color w:val="000000" w:themeColor="text1"/>
        </w:rPr>
      </w:pPr>
      <w:r w:rsidRPr="00D00D86">
        <w:rPr>
          <w:color w:val="000000" w:themeColor="text1"/>
        </w:rPr>
        <w:t>On the demand side</w:t>
      </w:r>
      <w:r w:rsidR="00D51102" w:rsidRPr="00D00D86">
        <w:rPr>
          <w:color w:val="000000" w:themeColor="text1"/>
        </w:rPr>
        <w:t xml:space="preserve">, a decline in global economic activity, reduced </w:t>
      </w:r>
      <w:r w:rsidR="002731E1" w:rsidRPr="00D00D86">
        <w:rPr>
          <w:color w:val="000000" w:themeColor="text1"/>
        </w:rPr>
        <w:t xml:space="preserve">incomes arising from </w:t>
      </w:r>
      <w:r w:rsidR="00311906" w:rsidRPr="00D00D86">
        <w:rPr>
          <w:color w:val="000000" w:themeColor="text1"/>
        </w:rPr>
        <w:t>supply</w:t>
      </w:r>
      <w:r w:rsidR="005D2628">
        <w:rPr>
          <w:color w:val="000000" w:themeColor="text1"/>
        </w:rPr>
        <w:noBreakHyphen/>
        <w:t xml:space="preserve">side </w:t>
      </w:r>
      <w:r w:rsidR="00311906" w:rsidRPr="00D00D86">
        <w:rPr>
          <w:color w:val="000000" w:themeColor="text1"/>
        </w:rPr>
        <w:t xml:space="preserve">restrictions, and </w:t>
      </w:r>
      <w:r w:rsidR="002731E1" w:rsidRPr="00D00D86">
        <w:rPr>
          <w:color w:val="000000" w:themeColor="text1"/>
        </w:rPr>
        <w:t>deep fall</w:t>
      </w:r>
      <w:r w:rsidR="00311906" w:rsidRPr="00D00D86">
        <w:rPr>
          <w:color w:val="000000" w:themeColor="text1"/>
        </w:rPr>
        <w:t>s</w:t>
      </w:r>
      <w:r w:rsidR="002731E1" w:rsidRPr="00D00D86">
        <w:rPr>
          <w:color w:val="000000" w:themeColor="text1"/>
        </w:rPr>
        <w:t xml:space="preserve"> in business and consumer confidence</w:t>
      </w:r>
      <w:r w:rsidR="00FC7F3F" w:rsidRPr="00D00D86">
        <w:rPr>
          <w:color w:val="000000" w:themeColor="text1"/>
        </w:rPr>
        <w:t>,</w:t>
      </w:r>
      <w:r w:rsidR="002731E1" w:rsidRPr="00D00D86">
        <w:rPr>
          <w:color w:val="000000" w:themeColor="text1"/>
        </w:rPr>
        <w:t xml:space="preserve"> sharply reduced expenditure and dampened investment.</w:t>
      </w:r>
    </w:p>
    <w:p w14:paraId="2374D955" w14:textId="2E9DE6D3" w:rsidR="00F32353" w:rsidRPr="00D00D86" w:rsidRDefault="00F32353" w:rsidP="00DA64F8">
      <w:pPr>
        <w:rPr>
          <w:color w:val="000000" w:themeColor="text1"/>
        </w:rPr>
      </w:pPr>
      <w:r w:rsidRPr="00D00D86">
        <w:rPr>
          <w:color w:val="000000" w:themeColor="text1"/>
        </w:rPr>
        <w:t xml:space="preserve">The Government acted swiftly and decisively, with two major economic </w:t>
      </w:r>
      <w:r w:rsidR="00B950B7" w:rsidRPr="00D00D86">
        <w:rPr>
          <w:color w:val="000000" w:themeColor="text1"/>
        </w:rPr>
        <w:t xml:space="preserve">support </w:t>
      </w:r>
      <w:r w:rsidRPr="00D00D86">
        <w:rPr>
          <w:color w:val="000000" w:themeColor="text1"/>
        </w:rPr>
        <w:t xml:space="preserve">packages introduced on 12 and 22 March. Support was provided for individuals and households through a $550 per fortnight Coronavirus </w:t>
      </w:r>
      <w:r w:rsidR="00216DB1">
        <w:rPr>
          <w:color w:val="000000" w:themeColor="text1"/>
        </w:rPr>
        <w:t>S</w:t>
      </w:r>
      <w:r w:rsidRPr="00D00D86">
        <w:rPr>
          <w:color w:val="000000" w:themeColor="text1"/>
        </w:rPr>
        <w:t>upplement to certain income support payments, stimulus payments</w:t>
      </w:r>
      <w:r w:rsidR="002A539C">
        <w:rPr>
          <w:color w:val="000000" w:themeColor="text1"/>
        </w:rPr>
        <w:t xml:space="preserve"> for certain households</w:t>
      </w:r>
      <w:r w:rsidRPr="00D00D86">
        <w:rPr>
          <w:color w:val="000000" w:themeColor="text1"/>
        </w:rPr>
        <w:t>, and temporary early release of superannuation.</w:t>
      </w:r>
      <w:r w:rsidR="00B950B7" w:rsidRPr="00D00D86">
        <w:rPr>
          <w:color w:val="000000" w:themeColor="text1"/>
        </w:rPr>
        <w:t xml:space="preserve"> </w:t>
      </w:r>
      <w:r w:rsidRPr="00D00D86">
        <w:rPr>
          <w:color w:val="000000" w:themeColor="text1"/>
        </w:rPr>
        <w:t xml:space="preserve">Businesses were being supported through a number of investment incentives, measures to boost cash flow for employers, a wage subsidy to retain apprentices and trainees, and targeted support for the most severely affected sectors, regions and communities. The Government, Reserve Bank of Australia and the Australian Prudential Regulation Authority </w:t>
      </w:r>
      <w:r w:rsidR="002A539C">
        <w:rPr>
          <w:color w:val="000000" w:themeColor="text1"/>
        </w:rPr>
        <w:t>also took</w:t>
      </w:r>
      <w:r w:rsidRPr="00D00D86">
        <w:rPr>
          <w:color w:val="000000" w:themeColor="text1"/>
        </w:rPr>
        <w:t xml:space="preserve"> coordinated action to support the flow of credit, including a Coronavirus </w:t>
      </w:r>
      <w:r w:rsidR="002A539C">
        <w:rPr>
          <w:color w:val="000000" w:themeColor="text1"/>
        </w:rPr>
        <w:t xml:space="preserve">Small and Medium Enterprises </w:t>
      </w:r>
      <w:r w:rsidRPr="00D00D86">
        <w:rPr>
          <w:color w:val="000000" w:themeColor="text1"/>
        </w:rPr>
        <w:t>Guarantee Scheme and a term funding facility for the banking system.</w:t>
      </w:r>
      <w:r w:rsidR="00B950B7" w:rsidRPr="00D00D86">
        <w:rPr>
          <w:color w:val="000000" w:themeColor="text1"/>
        </w:rPr>
        <w:t xml:space="preserve"> Taken together, these measures</w:t>
      </w:r>
      <w:r w:rsidR="00640AB7">
        <w:rPr>
          <w:color w:val="000000" w:themeColor="text1"/>
        </w:rPr>
        <w:t xml:space="preserve"> combined with the JobKeeper Payment sum to $259</w:t>
      </w:r>
      <w:r w:rsidR="00B950B7" w:rsidRPr="00D00D86">
        <w:rPr>
          <w:color w:val="000000" w:themeColor="text1"/>
        </w:rPr>
        <w:t xml:space="preserve"> billion of economic support</w:t>
      </w:r>
      <w:r w:rsidR="005A2311" w:rsidRPr="00D00D86">
        <w:rPr>
          <w:color w:val="000000" w:themeColor="text1"/>
        </w:rPr>
        <w:t xml:space="preserve"> from all arms of government</w:t>
      </w:r>
      <w:r w:rsidR="00B950B7" w:rsidRPr="00D00D86">
        <w:rPr>
          <w:color w:val="000000" w:themeColor="text1"/>
        </w:rPr>
        <w:t>.</w:t>
      </w:r>
      <w:r w:rsidR="00640AB7" w:rsidRPr="00D00D86">
        <w:rPr>
          <w:rStyle w:val="FootnoteReference"/>
          <w:color w:val="000000" w:themeColor="text1"/>
        </w:rPr>
        <w:footnoteReference w:id="12"/>
      </w:r>
    </w:p>
    <w:p w14:paraId="7058E1A9" w14:textId="06E1BBF7" w:rsidR="00307C04" w:rsidRPr="00D00D86" w:rsidRDefault="00307C04" w:rsidP="00DA64F8">
      <w:pPr>
        <w:rPr>
          <w:color w:val="000000" w:themeColor="text1"/>
        </w:rPr>
      </w:pPr>
      <w:r w:rsidRPr="00D00D86">
        <w:rPr>
          <w:color w:val="000000" w:themeColor="text1"/>
        </w:rPr>
        <w:t xml:space="preserve">In other countries, </w:t>
      </w:r>
      <w:r w:rsidR="005F4770" w:rsidRPr="00D00D86">
        <w:rPr>
          <w:color w:val="000000" w:themeColor="text1"/>
        </w:rPr>
        <w:t xml:space="preserve">on top of similar measures, </w:t>
      </w:r>
      <w:r w:rsidRPr="00D00D86">
        <w:rPr>
          <w:color w:val="000000" w:themeColor="text1"/>
        </w:rPr>
        <w:t>governments began to introduce schemes to promote job retention. In New Zealand</w:t>
      </w:r>
      <w:r w:rsidR="00646AE7">
        <w:rPr>
          <w:color w:val="000000" w:themeColor="text1"/>
        </w:rPr>
        <w:t xml:space="preserve"> (NZ)</w:t>
      </w:r>
      <w:r w:rsidRPr="00D00D86">
        <w:rPr>
          <w:color w:val="000000" w:themeColor="text1"/>
        </w:rPr>
        <w:t xml:space="preserve">, a </w:t>
      </w:r>
      <w:r w:rsidR="004D6D41" w:rsidRPr="00D00D86">
        <w:rPr>
          <w:color w:val="000000" w:themeColor="text1"/>
        </w:rPr>
        <w:t>targeted</w:t>
      </w:r>
      <w:r w:rsidRPr="00D00D86">
        <w:rPr>
          <w:color w:val="000000" w:themeColor="text1"/>
        </w:rPr>
        <w:t xml:space="preserve"> wage subsidy was first announced on </w:t>
      </w:r>
      <w:r w:rsidR="00397077">
        <w:rPr>
          <w:color w:val="000000" w:themeColor="text1"/>
        </w:rPr>
        <w:t>9 </w:t>
      </w:r>
      <w:r w:rsidR="004D6D41" w:rsidRPr="00D00D86">
        <w:rPr>
          <w:color w:val="000000" w:themeColor="text1"/>
        </w:rPr>
        <w:t>March</w:t>
      </w:r>
      <w:r w:rsidRPr="00D00D86">
        <w:rPr>
          <w:color w:val="000000" w:themeColor="text1"/>
        </w:rPr>
        <w:t xml:space="preserve">, then </w:t>
      </w:r>
      <w:r w:rsidR="0095326D" w:rsidRPr="00D00D86">
        <w:rPr>
          <w:color w:val="000000" w:themeColor="text1"/>
        </w:rPr>
        <w:t>broadened</w:t>
      </w:r>
      <w:r w:rsidRPr="00D00D86">
        <w:rPr>
          <w:color w:val="000000" w:themeColor="text1"/>
        </w:rPr>
        <w:t xml:space="preserve"> on </w:t>
      </w:r>
      <w:r w:rsidR="0095326D" w:rsidRPr="00D00D86">
        <w:rPr>
          <w:color w:val="000000" w:themeColor="text1"/>
        </w:rPr>
        <w:t>17 March</w:t>
      </w:r>
      <w:r w:rsidRPr="00D00D86">
        <w:rPr>
          <w:color w:val="000000" w:themeColor="text1"/>
        </w:rPr>
        <w:t xml:space="preserve"> to encompass all private sector businesses experiencing a 30 per cent revenue decline. In the United Kin</w:t>
      </w:r>
      <w:r w:rsidR="005F4770" w:rsidRPr="00D00D86">
        <w:rPr>
          <w:color w:val="000000" w:themeColor="text1"/>
        </w:rPr>
        <w:t>gdom</w:t>
      </w:r>
      <w:r w:rsidR="00646AE7">
        <w:rPr>
          <w:color w:val="000000" w:themeColor="text1"/>
        </w:rPr>
        <w:t xml:space="preserve"> (UK)</w:t>
      </w:r>
      <w:r w:rsidR="005F4770" w:rsidRPr="00D00D86">
        <w:rPr>
          <w:color w:val="000000" w:themeColor="text1"/>
        </w:rPr>
        <w:t>, a job reten</w:t>
      </w:r>
      <w:r w:rsidR="00311906" w:rsidRPr="00D00D86">
        <w:rPr>
          <w:color w:val="000000" w:themeColor="text1"/>
        </w:rPr>
        <w:t xml:space="preserve">tion scheme was announced on </w:t>
      </w:r>
      <w:r w:rsidR="00F377C2" w:rsidRPr="00D00D86">
        <w:rPr>
          <w:color w:val="000000" w:themeColor="text1"/>
        </w:rPr>
        <w:t>20</w:t>
      </w:r>
      <w:r w:rsidR="005F4770" w:rsidRPr="00D00D86">
        <w:rPr>
          <w:color w:val="000000" w:themeColor="text1"/>
        </w:rPr>
        <w:t xml:space="preserve"> March, covering </w:t>
      </w:r>
      <w:r w:rsidR="00F377C2" w:rsidRPr="00D00D86">
        <w:rPr>
          <w:color w:val="000000" w:themeColor="text1"/>
        </w:rPr>
        <w:t xml:space="preserve">up to </w:t>
      </w:r>
      <w:r w:rsidR="005F4770" w:rsidRPr="00D00D86">
        <w:rPr>
          <w:color w:val="000000" w:themeColor="text1"/>
        </w:rPr>
        <w:t xml:space="preserve">80 per cent of wages for furloughed (or stood down) employees, up to a cap of </w:t>
      </w:r>
      <w:r w:rsidR="006B5BD2" w:rsidRPr="00D00D86">
        <w:rPr>
          <w:rFonts w:cstheme="minorHAnsi"/>
          <w:color w:val="000000" w:themeColor="text1"/>
        </w:rPr>
        <w:t>£</w:t>
      </w:r>
      <w:r w:rsidR="00F377C2" w:rsidRPr="00D00D86">
        <w:rPr>
          <w:color w:val="000000" w:themeColor="text1"/>
        </w:rPr>
        <w:t>2,500 per worker each month</w:t>
      </w:r>
      <w:r w:rsidR="005F4770" w:rsidRPr="00D00D86">
        <w:rPr>
          <w:color w:val="000000" w:themeColor="text1"/>
        </w:rPr>
        <w:t>.</w:t>
      </w:r>
      <w:r w:rsidR="00FC7F3F" w:rsidRPr="00D00D86">
        <w:rPr>
          <w:color w:val="000000" w:themeColor="text1"/>
        </w:rPr>
        <w:t xml:space="preserve"> Further details of these schemes </w:t>
      </w:r>
      <w:r w:rsidR="00174B7D" w:rsidRPr="00D00D86">
        <w:rPr>
          <w:color w:val="000000" w:themeColor="text1"/>
        </w:rPr>
        <w:t>are</w:t>
      </w:r>
      <w:r w:rsidR="00FC7F3F" w:rsidRPr="00D00D86">
        <w:rPr>
          <w:color w:val="000000" w:themeColor="text1"/>
        </w:rPr>
        <w:t xml:space="preserve"> in </w:t>
      </w:r>
      <w:r w:rsidR="00FC7F3F" w:rsidRPr="00D00D86">
        <w:rPr>
          <w:b/>
          <w:color w:val="000000" w:themeColor="text1"/>
        </w:rPr>
        <w:t>Box 1</w:t>
      </w:r>
      <w:r w:rsidR="00FC7F3F" w:rsidRPr="00D00D86">
        <w:rPr>
          <w:color w:val="000000" w:themeColor="text1"/>
        </w:rPr>
        <w:t>.</w:t>
      </w:r>
    </w:p>
    <w:p w14:paraId="6BD0BD60" w14:textId="300D8C91" w:rsidR="00A432E6" w:rsidRPr="00D00D86" w:rsidRDefault="00174B7D" w:rsidP="00174B7D">
      <w:pPr>
        <w:rPr>
          <w:color w:val="000000" w:themeColor="text1"/>
        </w:rPr>
      </w:pPr>
      <w:bookmarkStart w:id="198" w:name="_Toc43729209"/>
      <w:bookmarkStart w:id="199" w:name="_Toc43730797"/>
      <w:bookmarkStart w:id="200" w:name="_Toc43731575"/>
      <w:bookmarkStart w:id="201" w:name="_Toc43732047"/>
      <w:bookmarkStart w:id="202" w:name="_Toc43733865"/>
      <w:bookmarkStart w:id="203" w:name="_Toc43734768"/>
      <w:bookmarkStart w:id="204" w:name="_Toc43738748"/>
      <w:bookmarkStart w:id="205" w:name="_Toc43743060"/>
      <w:r w:rsidRPr="00D00D86">
        <w:rPr>
          <w:color w:val="000000" w:themeColor="text1"/>
        </w:rPr>
        <w:t>In later sections</w:t>
      </w:r>
      <w:r w:rsidR="004F5FAF">
        <w:rPr>
          <w:color w:val="000000" w:themeColor="text1"/>
        </w:rPr>
        <w:t xml:space="preserve"> of this report, </w:t>
      </w:r>
      <w:r w:rsidRPr="00D00D86">
        <w:rPr>
          <w:color w:val="000000" w:themeColor="text1"/>
        </w:rPr>
        <w:t xml:space="preserve">the impact of JobKeeper on employment, hours </w:t>
      </w:r>
      <w:r w:rsidR="00925FDB" w:rsidRPr="00D00D86">
        <w:rPr>
          <w:color w:val="000000" w:themeColor="text1"/>
        </w:rPr>
        <w:t xml:space="preserve">of work, </w:t>
      </w:r>
      <w:r w:rsidRPr="00D00D86">
        <w:rPr>
          <w:color w:val="000000" w:themeColor="text1"/>
        </w:rPr>
        <w:t xml:space="preserve">and </w:t>
      </w:r>
      <w:r w:rsidR="00925FDB" w:rsidRPr="00D00D86">
        <w:rPr>
          <w:color w:val="000000" w:themeColor="text1"/>
        </w:rPr>
        <w:t>incomes</w:t>
      </w:r>
      <w:r w:rsidRPr="00D00D86">
        <w:rPr>
          <w:color w:val="000000" w:themeColor="text1"/>
        </w:rPr>
        <w:t xml:space="preserve"> is examined. To set the context for this, summary labour market statistics of the change from February to May</w:t>
      </w:r>
      <w:r w:rsidR="001C2264" w:rsidRPr="00D00D86">
        <w:rPr>
          <w:color w:val="000000" w:themeColor="text1"/>
        </w:rPr>
        <w:t> </w:t>
      </w:r>
      <w:r w:rsidR="001E4F55" w:rsidRPr="00D00D86">
        <w:rPr>
          <w:color w:val="000000" w:themeColor="text1"/>
        </w:rPr>
        <w:t xml:space="preserve">2020 </w:t>
      </w:r>
      <w:r w:rsidRPr="00D00D86">
        <w:rPr>
          <w:color w:val="000000" w:themeColor="text1"/>
        </w:rPr>
        <w:t xml:space="preserve">are presented in </w:t>
      </w:r>
      <w:r w:rsidRPr="00D00D86">
        <w:rPr>
          <w:b/>
          <w:color w:val="000000" w:themeColor="text1"/>
        </w:rPr>
        <w:t>Table 1</w:t>
      </w:r>
      <w:r w:rsidRPr="00D00D86">
        <w:rPr>
          <w:color w:val="000000" w:themeColor="text1"/>
        </w:rPr>
        <w:t xml:space="preserve">. The headline figures are </w:t>
      </w:r>
      <w:r w:rsidR="000B3874">
        <w:rPr>
          <w:color w:val="000000" w:themeColor="text1"/>
        </w:rPr>
        <w:t xml:space="preserve">the </w:t>
      </w:r>
      <w:r w:rsidRPr="00D00D86">
        <w:rPr>
          <w:color w:val="000000" w:themeColor="text1"/>
        </w:rPr>
        <w:t>decline in employment (down</w:t>
      </w:r>
      <w:r w:rsidR="00601175">
        <w:rPr>
          <w:color w:val="000000" w:themeColor="text1"/>
        </w:rPr>
        <w:t> </w:t>
      </w:r>
      <w:r w:rsidRPr="00D00D86">
        <w:rPr>
          <w:color w:val="000000" w:themeColor="text1"/>
        </w:rPr>
        <w:t>6.5</w:t>
      </w:r>
      <w:r w:rsidR="006B5BD2" w:rsidRPr="00D00D86">
        <w:rPr>
          <w:color w:val="000000" w:themeColor="text1"/>
        </w:rPr>
        <w:t> </w:t>
      </w:r>
      <w:r w:rsidRPr="00D00D86">
        <w:rPr>
          <w:color w:val="000000" w:themeColor="text1"/>
        </w:rPr>
        <w:t xml:space="preserve">per cent) and the rise in unemployment </w:t>
      </w:r>
      <w:r w:rsidR="00A83EF2">
        <w:rPr>
          <w:color w:val="000000" w:themeColor="text1"/>
        </w:rPr>
        <w:t>(up by a third). These two </w:t>
      </w:r>
      <w:r w:rsidRPr="00D00D86">
        <w:rPr>
          <w:color w:val="000000" w:themeColor="text1"/>
        </w:rPr>
        <w:t xml:space="preserve">movements underpin the measured change in the unemployment rate (up from </w:t>
      </w:r>
      <w:r w:rsidR="006B6E46" w:rsidRPr="00D00D86">
        <w:rPr>
          <w:color w:val="000000" w:themeColor="text1"/>
        </w:rPr>
        <w:t>5.1</w:t>
      </w:r>
      <w:r w:rsidR="006B5BD2" w:rsidRPr="00D00D86">
        <w:rPr>
          <w:color w:val="000000" w:themeColor="text1"/>
        </w:rPr>
        <w:t> </w:t>
      </w:r>
      <w:r w:rsidRPr="00D00D86">
        <w:rPr>
          <w:color w:val="000000" w:themeColor="text1"/>
        </w:rPr>
        <w:t>per</w:t>
      </w:r>
      <w:r w:rsidR="006B5BD2" w:rsidRPr="00D00D86">
        <w:rPr>
          <w:color w:val="000000" w:themeColor="text1"/>
        </w:rPr>
        <w:t> </w:t>
      </w:r>
      <w:r w:rsidRPr="00D00D86">
        <w:rPr>
          <w:color w:val="000000" w:themeColor="text1"/>
        </w:rPr>
        <w:t xml:space="preserve">cent </w:t>
      </w:r>
      <w:r w:rsidR="006C5B81" w:rsidRPr="00D00D86">
        <w:rPr>
          <w:color w:val="000000" w:themeColor="text1"/>
        </w:rPr>
        <w:t xml:space="preserve">in February </w:t>
      </w:r>
      <w:r w:rsidRPr="00D00D86">
        <w:rPr>
          <w:color w:val="000000" w:themeColor="text1"/>
        </w:rPr>
        <w:t xml:space="preserve">to </w:t>
      </w:r>
      <w:r w:rsidR="006B6E46" w:rsidRPr="00D00D86">
        <w:rPr>
          <w:color w:val="000000" w:themeColor="text1"/>
        </w:rPr>
        <w:t>7.1</w:t>
      </w:r>
      <w:r w:rsidR="006B5BD2" w:rsidRPr="00D00D86">
        <w:rPr>
          <w:color w:val="000000" w:themeColor="text1"/>
        </w:rPr>
        <w:t> </w:t>
      </w:r>
      <w:r w:rsidRPr="00D00D86">
        <w:rPr>
          <w:color w:val="000000" w:themeColor="text1"/>
        </w:rPr>
        <w:t>per</w:t>
      </w:r>
      <w:r w:rsidR="006B5BD2" w:rsidRPr="00D00D86">
        <w:rPr>
          <w:color w:val="000000" w:themeColor="text1"/>
        </w:rPr>
        <w:t> </w:t>
      </w:r>
      <w:r w:rsidRPr="00D00D86">
        <w:rPr>
          <w:color w:val="000000" w:themeColor="text1"/>
        </w:rPr>
        <w:t>cent</w:t>
      </w:r>
      <w:r w:rsidR="006B6E46" w:rsidRPr="00D00D86">
        <w:rPr>
          <w:color w:val="000000" w:themeColor="text1"/>
        </w:rPr>
        <w:t xml:space="preserve"> in May</w:t>
      </w:r>
      <w:r w:rsidRPr="00D00D86">
        <w:rPr>
          <w:color w:val="000000" w:themeColor="text1"/>
        </w:rPr>
        <w:t xml:space="preserve">). </w:t>
      </w:r>
    </w:p>
    <w:p w14:paraId="50B8306F" w14:textId="6961A049" w:rsidR="00B950B7" w:rsidRPr="00D00D86" w:rsidRDefault="00B950B7" w:rsidP="00B950B7">
      <w:pPr>
        <w:rPr>
          <w:color w:val="000000" w:themeColor="text1"/>
        </w:rPr>
      </w:pPr>
      <w:bookmarkStart w:id="206" w:name="_Toc43743058"/>
      <w:r w:rsidRPr="00D00D86">
        <w:rPr>
          <w:color w:val="000000" w:themeColor="text1"/>
        </w:rPr>
        <w:t>But this recession has been far from regular, and regular measures of the state of the labour market do not adequately capture the deterioration. Hours of work have fallen by 9.4</w:t>
      </w:r>
      <w:r w:rsidR="006B5BD2" w:rsidRPr="00D00D86">
        <w:rPr>
          <w:color w:val="000000" w:themeColor="text1"/>
        </w:rPr>
        <w:t> </w:t>
      </w:r>
      <w:r w:rsidRPr="00D00D86">
        <w:rPr>
          <w:color w:val="000000" w:themeColor="text1"/>
        </w:rPr>
        <w:t>per</w:t>
      </w:r>
      <w:r w:rsidR="006B5BD2" w:rsidRPr="00D00D86">
        <w:rPr>
          <w:color w:val="000000" w:themeColor="text1"/>
        </w:rPr>
        <w:t> </w:t>
      </w:r>
      <w:r w:rsidRPr="00D00D86">
        <w:rPr>
          <w:color w:val="000000" w:themeColor="text1"/>
        </w:rPr>
        <w:t xml:space="preserve">cent, </w:t>
      </w:r>
      <w:r w:rsidRPr="00D00D86">
        <w:rPr>
          <w:color w:val="000000" w:themeColor="text1"/>
        </w:rPr>
        <w:lastRenderedPageBreak/>
        <w:t xml:space="preserve">a result of a very large increase in the numbers of employed persons working fewer hours than usual or no hours at all for </w:t>
      </w:r>
      <w:r w:rsidR="00DE2760">
        <w:rPr>
          <w:color w:val="000000" w:themeColor="text1"/>
        </w:rPr>
        <w:t>‘</w:t>
      </w:r>
      <w:r w:rsidRPr="00D00D86">
        <w:rPr>
          <w:color w:val="000000" w:themeColor="text1"/>
        </w:rPr>
        <w:t>economic reasons</w:t>
      </w:r>
      <w:r w:rsidR="00DE2760">
        <w:rPr>
          <w:color w:val="000000" w:themeColor="text1"/>
        </w:rPr>
        <w:t>’</w:t>
      </w:r>
      <w:r w:rsidRPr="00D00D86">
        <w:rPr>
          <w:color w:val="000000" w:themeColor="text1"/>
        </w:rPr>
        <w:t>. Combined, between February and May over 2.0</w:t>
      </w:r>
      <w:r w:rsidR="006B5BD2" w:rsidRPr="00D00D86">
        <w:rPr>
          <w:color w:val="000000" w:themeColor="text1"/>
        </w:rPr>
        <w:t> </w:t>
      </w:r>
      <w:r w:rsidRPr="00D00D86">
        <w:rPr>
          <w:color w:val="000000" w:themeColor="text1"/>
        </w:rPr>
        <w:t>million people went from being employed on their usual hours of work to being out of work, working no hours, or working fewer hours than usual.</w:t>
      </w:r>
    </w:p>
    <w:p w14:paraId="63FB1610" w14:textId="685AAF84" w:rsidR="00174B7D" w:rsidRPr="00D00D86" w:rsidRDefault="00D45A25" w:rsidP="00755C53">
      <w:pPr>
        <w:pStyle w:val="Tableheading"/>
      </w:pPr>
      <w:bookmarkStart w:id="207" w:name="_Toc43996221"/>
      <w:bookmarkStart w:id="208" w:name="_Toc43998480"/>
      <w:bookmarkStart w:id="209" w:name="_Toc43998407"/>
      <w:bookmarkStart w:id="210" w:name="_Toc44069929"/>
      <w:bookmarkStart w:id="211" w:name="_Toc44071333"/>
      <w:bookmarkStart w:id="212" w:name="_Toc44073457"/>
      <w:bookmarkStart w:id="213" w:name="_Toc44074597"/>
      <w:bookmarkStart w:id="214" w:name="_Toc44079486"/>
      <w:bookmarkStart w:id="215" w:name="_Toc44079781"/>
      <w:bookmarkStart w:id="216" w:name="_Toc44079916"/>
      <w:bookmarkStart w:id="217" w:name="_Toc44319827"/>
      <w:bookmarkStart w:id="218" w:name="_Toc44321535"/>
      <w:bookmarkStart w:id="219" w:name="_Toc44323702"/>
      <w:bookmarkStart w:id="220" w:name="_Toc44326165"/>
      <w:bookmarkStart w:id="221" w:name="_Toc44330487"/>
      <w:bookmarkStart w:id="222" w:name="_Toc44330729"/>
      <w:bookmarkStart w:id="223" w:name="_Toc44333161"/>
      <w:bookmarkStart w:id="224" w:name="_Toc44334792"/>
      <w:bookmarkStart w:id="225" w:name="_Toc45227420"/>
      <w:bookmarkStart w:id="226" w:name="_Toc45799021"/>
      <w:r>
        <w:t xml:space="preserve">Table </w:t>
      </w:r>
      <w:fldSimple w:instr=" SEQ Table \* ARABIC ">
        <w:r w:rsidR="00D41E96">
          <w:rPr>
            <w:noProof/>
          </w:rPr>
          <w:t>1</w:t>
        </w:r>
      </w:fldSimple>
      <w:r w:rsidRPr="00D00D86">
        <w:t xml:space="preserve">: </w:t>
      </w:r>
      <w:r>
        <w:t>Summary labour market statistics</w:t>
      </w:r>
      <w:r w:rsidRPr="00D00D86">
        <w:t>, February to May 2020</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5000" w:type="pct"/>
        <w:tblCellMar>
          <w:left w:w="0" w:type="dxa"/>
          <w:right w:w="0" w:type="dxa"/>
        </w:tblCellMar>
        <w:tblLook w:val="04A0" w:firstRow="1" w:lastRow="0" w:firstColumn="1" w:lastColumn="0" w:noHBand="0" w:noVBand="1"/>
        <w:tblCaption w:val="able 1: Summary labour market statistics, February to May 2020"/>
        <w:tblDescription w:val="This table depicts changes in summary labour market statistics from February to May 2020, including the changes in employment, unemployment, persons not in the labour force and hours of work. The data show declines in the number of employed persons as well as hours worked; while the number of people that were working zero or fewer hours, were unemployed or not in the labour force increased.  &#10;The number of employed persons decreased by 838.3 thousand, from nearly 13 million in February 2020 to 12.2 million in May 2020. Total monthly hours worked in all jobs decreased by 166.4 million hours, from 1,771.0 million in February 2020 to 1,604.7 million in May 2020. Average monthly hours worked per employed person decreased by 4.3 hours from 136.3 hours in February 2020 to 132.0 hours in May 2020. The number of persons that worked zero hours for economic reasons increased by 306.3 thousand from 60 thousand in February 2020 to 366.3 thousand in May 2020. The number of persons that worked fewer hours for economic reasons increased by 863.2 thousand from 325.6 thousand to nearly 1.2 million in May 2020. The number of unemployed persons increased by 231.3 thousand from 696.3 thousand in February 2020 to 927.6 thousand in May 2020. The number of persons not in the labour force increased by 726.9 thousand from 6,960.4 thousand in February 2020 to 7,687.3 thousand in May 2020."/>
      </w:tblPr>
      <w:tblGrid>
        <w:gridCol w:w="365"/>
        <w:gridCol w:w="3163"/>
        <w:gridCol w:w="1366"/>
        <w:gridCol w:w="1366"/>
        <w:gridCol w:w="2387"/>
      </w:tblGrid>
      <w:tr w:rsidR="00342D8D" w14:paraId="517A279B" w14:textId="77777777" w:rsidTr="00342D8D">
        <w:trPr>
          <w:trHeight w:val="567"/>
        </w:trPr>
        <w:tc>
          <w:tcPr>
            <w:tcW w:w="2040" w:type="pct"/>
            <w:gridSpan w:val="2"/>
            <w:tcBorders>
              <w:top w:val="single" w:sz="12" w:space="0" w:color="002C47" w:themeColor="accent1"/>
              <w:left w:val="nil"/>
              <w:bottom w:val="single" w:sz="4" w:space="0" w:color="002C47" w:themeColor="accent1"/>
              <w:right w:val="nil"/>
            </w:tcBorders>
            <w:tcMar>
              <w:top w:w="0" w:type="dxa"/>
              <w:left w:w="108" w:type="dxa"/>
              <w:bottom w:w="0" w:type="dxa"/>
              <w:right w:w="108" w:type="dxa"/>
            </w:tcMar>
            <w:vAlign w:val="center"/>
            <w:hideMark/>
          </w:tcPr>
          <w:p w14:paraId="5C79D021" w14:textId="77777777" w:rsidR="00342D8D" w:rsidRPr="00D00D86" w:rsidRDefault="00342D8D" w:rsidP="00342D8D">
            <w:pPr>
              <w:pStyle w:val="Tablecolumnheadingcentre"/>
            </w:pPr>
            <w:r w:rsidRPr="00D00D86">
              <w:t> </w:t>
            </w:r>
          </w:p>
        </w:tc>
        <w:tc>
          <w:tcPr>
            <w:tcW w:w="790" w:type="pct"/>
            <w:tcBorders>
              <w:top w:val="single" w:sz="12" w:space="0" w:color="002C47" w:themeColor="accent1"/>
              <w:left w:val="nil"/>
              <w:bottom w:val="single" w:sz="4" w:space="0" w:color="002C47" w:themeColor="accent1"/>
              <w:right w:val="nil"/>
            </w:tcBorders>
            <w:noWrap/>
            <w:tcMar>
              <w:top w:w="0" w:type="dxa"/>
              <w:left w:w="108" w:type="dxa"/>
              <w:bottom w:w="0" w:type="dxa"/>
              <w:right w:w="108" w:type="dxa"/>
            </w:tcMar>
            <w:vAlign w:val="center"/>
            <w:hideMark/>
          </w:tcPr>
          <w:p w14:paraId="48326DE3" w14:textId="5FD3CDF2" w:rsidR="00342D8D" w:rsidRPr="00D00D86" w:rsidRDefault="00CF0AA0" w:rsidP="00CF0AA0">
            <w:pPr>
              <w:pStyle w:val="Tablecolumnheadingcentre"/>
            </w:pPr>
            <w:r w:rsidRPr="00D00D86">
              <w:t>Feb</w:t>
            </w:r>
            <w:r>
              <w:t>-20</w:t>
            </w:r>
          </w:p>
        </w:tc>
        <w:tc>
          <w:tcPr>
            <w:tcW w:w="790" w:type="pct"/>
            <w:tcBorders>
              <w:top w:val="single" w:sz="12" w:space="0" w:color="002C47" w:themeColor="accent1"/>
              <w:left w:val="nil"/>
              <w:bottom w:val="single" w:sz="4" w:space="0" w:color="002C47" w:themeColor="accent1"/>
              <w:right w:val="nil"/>
            </w:tcBorders>
            <w:noWrap/>
            <w:tcMar>
              <w:top w:w="0" w:type="dxa"/>
              <w:left w:w="108" w:type="dxa"/>
              <w:bottom w:w="0" w:type="dxa"/>
              <w:right w:w="108" w:type="dxa"/>
            </w:tcMar>
            <w:vAlign w:val="center"/>
            <w:hideMark/>
          </w:tcPr>
          <w:p w14:paraId="51AE6685" w14:textId="1A633419" w:rsidR="00342D8D" w:rsidRPr="00D00D86" w:rsidRDefault="00342D8D" w:rsidP="00A065C6">
            <w:pPr>
              <w:pStyle w:val="Tablecolumnheadingcentre"/>
            </w:pPr>
            <w:r w:rsidRPr="00D00D86">
              <w:t>May</w:t>
            </w:r>
            <w:r w:rsidR="00CF0AA0">
              <w:t>-20</w:t>
            </w:r>
          </w:p>
        </w:tc>
        <w:tc>
          <w:tcPr>
            <w:tcW w:w="1380" w:type="pct"/>
            <w:tcBorders>
              <w:top w:val="single" w:sz="12" w:space="0" w:color="002C47" w:themeColor="accent1"/>
              <w:left w:val="nil"/>
              <w:bottom w:val="single" w:sz="4" w:space="0" w:color="002C47" w:themeColor="accent1"/>
              <w:right w:val="nil"/>
            </w:tcBorders>
            <w:noWrap/>
            <w:tcMar>
              <w:top w:w="0" w:type="dxa"/>
              <w:left w:w="108" w:type="dxa"/>
              <w:bottom w:w="0" w:type="dxa"/>
              <w:right w:w="108" w:type="dxa"/>
            </w:tcMar>
            <w:vAlign w:val="center"/>
            <w:hideMark/>
          </w:tcPr>
          <w:p w14:paraId="2A9FD9FA" w14:textId="7B90419A" w:rsidR="00342D8D" w:rsidRPr="00D00D86" w:rsidRDefault="00342D8D" w:rsidP="00385CF1">
            <w:pPr>
              <w:pStyle w:val="Tablecolumnheadingcentre"/>
            </w:pPr>
            <w:r w:rsidRPr="00D00D86">
              <w:t xml:space="preserve">Change </w:t>
            </w:r>
            <w:r>
              <w:br/>
            </w:r>
            <w:r w:rsidRPr="00D00D86">
              <w:t>Feb</w:t>
            </w:r>
            <w:r w:rsidR="00A065C6">
              <w:t>ruary</w:t>
            </w:r>
            <w:r w:rsidRPr="00D00D86">
              <w:t xml:space="preserve"> to May 2020</w:t>
            </w:r>
          </w:p>
        </w:tc>
      </w:tr>
      <w:tr w:rsidR="00B475CA" w14:paraId="600B3250" w14:textId="77777777" w:rsidTr="00342D8D">
        <w:trPr>
          <w:trHeight w:val="300"/>
        </w:trPr>
        <w:tc>
          <w:tcPr>
            <w:tcW w:w="2040" w:type="pct"/>
            <w:gridSpan w:val="2"/>
            <w:tcBorders>
              <w:top w:val="single" w:sz="4" w:space="0" w:color="002C47" w:themeColor="accent1"/>
            </w:tcBorders>
            <w:tcMar>
              <w:top w:w="0" w:type="dxa"/>
              <w:left w:w="108" w:type="dxa"/>
              <w:bottom w:w="0" w:type="dxa"/>
              <w:right w:w="108" w:type="dxa"/>
            </w:tcMar>
            <w:vAlign w:val="center"/>
            <w:hideMark/>
          </w:tcPr>
          <w:p w14:paraId="1C4289C5" w14:textId="1A426674" w:rsidR="00B475CA" w:rsidRPr="00D00D86" w:rsidRDefault="00B475CA" w:rsidP="00342D8D">
            <w:pPr>
              <w:pStyle w:val="Tabletextleft"/>
            </w:pPr>
            <w:r w:rsidRPr="00D00D86">
              <w:t>Employed persons</w:t>
            </w:r>
            <w:r w:rsidRPr="00D00D86">
              <w:rPr>
                <w:vertAlign w:val="superscript"/>
              </w:rPr>
              <w:t xml:space="preserve"> </w:t>
            </w:r>
            <w:r w:rsidRPr="00D00D86">
              <w:t>(</w:t>
            </w:r>
            <w:r w:rsidR="00DE2760">
              <w:t>‘</w:t>
            </w:r>
            <w:r w:rsidRPr="00D00D86">
              <w:t>000)</w:t>
            </w:r>
          </w:p>
        </w:tc>
        <w:tc>
          <w:tcPr>
            <w:tcW w:w="790" w:type="pct"/>
            <w:tcBorders>
              <w:top w:val="single" w:sz="4" w:space="0" w:color="002C47" w:themeColor="accent1"/>
            </w:tcBorders>
            <w:noWrap/>
            <w:tcMar>
              <w:top w:w="0" w:type="dxa"/>
              <w:left w:w="108" w:type="dxa"/>
              <w:bottom w:w="0" w:type="dxa"/>
              <w:right w:w="108" w:type="dxa"/>
            </w:tcMar>
            <w:vAlign w:val="center"/>
            <w:hideMark/>
          </w:tcPr>
          <w:p w14:paraId="3FABFB45" w14:textId="77777777" w:rsidR="00B475CA" w:rsidRPr="00D00D86" w:rsidRDefault="00B475CA" w:rsidP="003D3841">
            <w:pPr>
              <w:pStyle w:val="Tabletextcentred"/>
            </w:pPr>
            <w:r w:rsidRPr="00D00D86">
              <w:t>12,992.3</w:t>
            </w:r>
          </w:p>
        </w:tc>
        <w:tc>
          <w:tcPr>
            <w:tcW w:w="790" w:type="pct"/>
            <w:tcBorders>
              <w:top w:val="single" w:sz="4" w:space="0" w:color="002C47" w:themeColor="accent1"/>
            </w:tcBorders>
            <w:noWrap/>
            <w:tcMar>
              <w:top w:w="0" w:type="dxa"/>
              <w:left w:w="108" w:type="dxa"/>
              <w:bottom w:w="0" w:type="dxa"/>
              <w:right w:w="108" w:type="dxa"/>
            </w:tcMar>
            <w:vAlign w:val="center"/>
            <w:hideMark/>
          </w:tcPr>
          <w:p w14:paraId="43D36274" w14:textId="77777777" w:rsidR="00B475CA" w:rsidRPr="00D00D86" w:rsidRDefault="00B475CA" w:rsidP="003D3841">
            <w:pPr>
              <w:pStyle w:val="Tabletextcentred"/>
            </w:pPr>
            <w:r w:rsidRPr="00D00D86">
              <w:t>12,154.1</w:t>
            </w:r>
          </w:p>
        </w:tc>
        <w:tc>
          <w:tcPr>
            <w:tcW w:w="1380" w:type="pct"/>
            <w:tcBorders>
              <w:top w:val="single" w:sz="4" w:space="0" w:color="002C47" w:themeColor="accent1"/>
            </w:tcBorders>
            <w:noWrap/>
            <w:tcMar>
              <w:top w:w="0" w:type="dxa"/>
              <w:left w:w="108" w:type="dxa"/>
              <w:bottom w:w="0" w:type="dxa"/>
              <w:right w:w="108" w:type="dxa"/>
            </w:tcMar>
            <w:vAlign w:val="center"/>
            <w:hideMark/>
          </w:tcPr>
          <w:p w14:paraId="1F74D48F" w14:textId="4B645FA2" w:rsidR="00B475CA" w:rsidRPr="00D00D86" w:rsidRDefault="00DE2760" w:rsidP="003D3841">
            <w:pPr>
              <w:pStyle w:val="Tabletextcentred"/>
            </w:pPr>
            <w:r>
              <w:noBreakHyphen/>
            </w:r>
            <w:r w:rsidR="00B475CA" w:rsidRPr="00D00D86">
              <w:t>838.3</w:t>
            </w:r>
          </w:p>
        </w:tc>
      </w:tr>
      <w:tr w:rsidR="00B475CA" w14:paraId="1AE45A76" w14:textId="77777777" w:rsidTr="00B475CA">
        <w:trPr>
          <w:trHeight w:val="345"/>
        </w:trPr>
        <w:tc>
          <w:tcPr>
            <w:tcW w:w="211" w:type="pct"/>
            <w:tcMar>
              <w:top w:w="0" w:type="dxa"/>
              <w:left w:w="108" w:type="dxa"/>
              <w:bottom w:w="0" w:type="dxa"/>
              <w:right w:w="108" w:type="dxa"/>
            </w:tcMar>
            <w:vAlign w:val="center"/>
            <w:hideMark/>
          </w:tcPr>
          <w:p w14:paraId="28960207" w14:textId="77777777" w:rsidR="00B475CA" w:rsidRPr="00D00D86" w:rsidRDefault="00B475CA" w:rsidP="00342D8D">
            <w:pPr>
              <w:pStyle w:val="Tabletextleft"/>
            </w:pPr>
            <w:r w:rsidRPr="00D00D86">
              <w:t> </w:t>
            </w:r>
          </w:p>
        </w:tc>
        <w:tc>
          <w:tcPr>
            <w:tcW w:w="1829" w:type="pct"/>
            <w:tcMar>
              <w:top w:w="0" w:type="dxa"/>
              <w:left w:w="108" w:type="dxa"/>
              <w:bottom w:w="0" w:type="dxa"/>
              <w:right w:w="108" w:type="dxa"/>
            </w:tcMar>
            <w:vAlign w:val="center"/>
            <w:hideMark/>
          </w:tcPr>
          <w:p w14:paraId="1DD88DA7" w14:textId="2D158E3D" w:rsidR="00B475CA" w:rsidRPr="00D00D86" w:rsidRDefault="00B475CA" w:rsidP="00342D8D">
            <w:pPr>
              <w:pStyle w:val="Tabletextleft"/>
            </w:pPr>
            <w:r w:rsidRPr="00D00D86">
              <w:t>Total monthly hours worked in all jobs</w:t>
            </w:r>
            <w:r w:rsidRPr="00D00D86">
              <w:rPr>
                <w:vertAlign w:val="superscript"/>
              </w:rPr>
              <w:t xml:space="preserve"> </w:t>
            </w:r>
            <w:r w:rsidRPr="00D00D86">
              <w:t>(</w:t>
            </w:r>
            <w:r w:rsidR="00DE2760">
              <w:t>‘</w:t>
            </w:r>
            <w:r w:rsidRPr="00D00D86">
              <w:t>000,000)</w:t>
            </w:r>
          </w:p>
        </w:tc>
        <w:tc>
          <w:tcPr>
            <w:tcW w:w="790" w:type="pct"/>
            <w:noWrap/>
            <w:tcMar>
              <w:top w:w="0" w:type="dxa"/>
              <w:left w:w="108" w:type="dxa"/>
              <w:bottom w:w="0" w:type="dxa"/>
              <w:right w:w="108" w:type="dxa"/>
            </w:tcMar>
            <w:vAlign w:val="center"/>
            <w:hideMark/>
          </w:tcPr>
          <w:p w14:paraId="17BF019C" w14:textId="77777777" w:rsidR="00B475CA" w:rsidRPr="00D00D86" w:rsidRDefault="00B475CA" w:rsidP="003D3841">
            <w:pPr>
              <w:pStyle w:val="Tabletextcentred"/>
            </w:pPr>
            <w:r w:rsidRPr="00D00D86">
              <w:t>1,771.0</w:t>
            </w:r>
          </w:p>
        </w:tc>
        <w:tc>
          <w:tcPr>
            <w:tcW w:w="790" w:type="pct"/>
            <w:noWrap/>
            <w:tcMar>
              <w:top w:w="0" w:type="dxa"/>
              <w:left w:w="108" w:type="dxa"/>
              <w:bottom w:w="0" w:type="dxa"/>
              <w:right w:w="108" w:type="dxa"/>
            </w:tcMar>
            <w:vAlign w:val="center"/>
            <w:hideMark/>
          </w:tcPr>
          <w:p w14:paraId="15AD6B28" w14:textId="77777777" w:rsidR="00B475CA" w:rsidRPr="00D00D86" w:rsidRDefault="00B475CA" w:rsidP="003D3841">
            <w:pPr>
              <w:pStyle w:val="Tabletextcentred"/>
            </w:pPr>
            <w:r w:rsidRPr="00D00D86">
              <w:t>1,604.7</w:t>
            </w:r>
          </w:p>
        </w:tc>
        <w:tc>
          <w:tcPr>
            <w:tcW w:w="1380" w:type="pct"/>
            <w:noWrap/>
            <w:tcMar>
              <w:top w:w="0" w:type="dxa"/>
              <w:left w:w="108" w:type="dxa"/>
              <w:bottom w:w="0" w:type="dxa"/>
              <w:right w:w="108" w:type="dxa"/>
            </w:tcMar>
            <w:vAlign w:val="center"/>
            <w:hideMark/>
          </w:tcPr>
          <w:p w14:paraId="38F49AD3" w14:textId="2773BD94" w:rsidR="00B475CA" w:rsidRPr="00D00D86" w:rsidRDefault="00DE2760" w:rsidP="003D3841">
            <w:pPr>
              <w:pStyle w:val="Tabletextcentred"/>
            </w:pPr>
            <w:r>
              <w:noBreakHyphen/>
            </w:r>
            <w:r w:rsidR="00B475CA" w:rsidRPr="00D00D86">
              <w:t>166.4</w:t>
            </w:r>
          </w:p>
        </w:tc>
      </w:tr>
      <w:tr w:rsidR="00B475CA" w14:paraId="3AC52D7F" w14:textId="77777777" w:rsidTr="00B475CA">
        <w:trPr>
          <w:trHeight w:val="418"/>
        </w:trPr>
        <w:tc>
          <w:tcPr>
            <w:tcW w:w="211" w:type="pct"/>
            <w:tcMar>
              <w:top w:w="0" w:type="dxa"/>
              <w:left w:w="108" w:type="dxa"/>
              <w:bottom w:w="0" w:type="dxa"/>
              <w:right w:w="108" w:type="dxa"/>
            </w:tcMar>
            <w:vAlign w:val="center"/>
            <w:hideMark/>
          </w:tcPr>
          <w:p w14:paraId="456F111F" w14:textId="77777777" w:rsidR="00B475CA" w:rsidRPr="00D00D86" w:rsidRDefault="00B475CA" w:rsidP="00342D8D">
            <w:pPr>
              <w:pStyle w:val="Tabletextleft"/>
            </w:pPr>
            <w:r w:rsidRPr="00D00D86">
              <w:t> </w:t>
            </w:r>
          </w:p>
        </w:tc>
        <w:tc>
          <w:tcPr>
            <w:tcW w:w="1829" w:type="pct"/>
            <w:tcMar>
              <w:top w:w="0" w:type="dxa"/>
              <w:left w:w="108" w:type="dxa"/>
              <w:bottom w:w="0" w:type="dxa"/>
              <w:right w:w="108" w:type="dxa"/>
            </w:tcMar>
            <w:vAlign w:val="center"/>
            <w:hideMark/>
          </w:tcPr>
          <w:p w14:paraId="50F0AB33" w14:textId="7C65CBE0" w:rsidR="00B475CA" w:rsidRPr="00D00D86" w:rsidRDefault="00B475CA" w:rsidP="00342D8D">
            <w:pPr>
              <w:pStyle w:val="Tabletextleft"/>
            </w:pPr>
            <w:r w:rsidRPr="00D00D86">
              <w:t>Average monthly hours worked (per employed person)</w:t>
            </w:r>
            <w:r w:rsidR="00E81AE2">
              <w:rPr>
                <w:vertAlign w:val="superscript"/>
              </w:rPr>
              <w:t>a</w:t>
            </w:r>
          </w:p>
        </w:tc>
        <w:tc>
          <w:tcPr>
            <w:tcW w:w="790" w:type="pct"/>
            <w:noWrap/>
            <w:tcMar>
              <w:top w:w="0" w:type="dxa"/>
              <w:left w:w="108" w:type="dxa"/>
              <w:bottom w:w="0" w:type="dxa"/>
              <w:right w:w="108" w:type="dxa"/>
            </w:tcMar>
            <w:vAlign w:val="center"/>
            <w:hideMark/>
          </w:tcPr>
          <w:p w14:paraId="3BE4B4AB" w14:textId="77777777" w:rsidR="00B475CA" w:rsidRPr="00D00D86" w:rsidRDefault="00B475CA" w:rsidP="003D3841">
            <w:pPr>
              <w:pStyle w:val="Tabletextcentred"/>
            </w:pPr>
            <w:r w:rsidRPr="00D00D86">
              <w:t>136.3</w:t>
            </w:r>
          </w:p>
        </w:tc>
        <w:tc>
          <w:tcPr>
            <w:tcW w:w="790" w:type="pct"/>
            <w:noWrap/>
            <w:tcMar>
              <w:top w:w="0" w:type="dxa"/>
              <w:left w:w="108" w:type="dxa"/>
              <w:bottom w:w="0" w:type="dxa"/>
              <w:right w:w="108" w:type="dxa"/>
            </w:tcMar>
            <w:vAlign w:val="center"/>
            <w:hideMark/>
          </w:tcPr>
          <w:p w14:paraId="4FF3E899" w14:textId="77777777" w:rsidR="00B475CA" w:rsidRPr="00D00D86" w:rsidRDefault="00B475CA" w:rsidP="003D3841">
            <w:pPr>
              <w:pStyle w:val="Tabletextcentred"/>
            </w:pPr>
            <w:r w:rsidRPr="00D00D86">
              <w:t>132.0</w:t>
            </w:r>
          </w:p>
        </w:tc>
        <w:tc>
          <w:tcPr>
            <w:tcW w:w="1380" w:type="pct"/>
            <w:noWrap/>
            <w:tcMar>
              <w:top w:w="0" w:type="dxa"/>
              <w:left w:w="108" w:type="dxa"/>
              <w:bottom w:w="0" w:type="dxa"/>
              <w:right w:w="108" w:type="dxa"/>
            </w:tcMar>
            <w:vAlign w:val="center"/>
            <w:hideMark/>
          </w:tcPr>
          <w:p w14:paraId="5B2F25AC" w14:textId="17FCCB3E" w:rsidR="00B475CA" w:rsidRPr="00D00D86" w:rsidRDefault="00DE2760" w:rsidP="003D3841">
            <w:pPr>
              <w:pStyle w:val="Tabletextcentred"/>
            </w:pPr>
            <w:bookmarkStart w:id="227" w:name="RANGE!E6"/>
            <w:r>
              <w:noBreakHyphen/>
            </w:r>
            <w:r w:rsidR="00B475CA" w:rsidRPr="00D00D86">
              <w:t>4.3</w:t>
            </w:r>
            <w:bookmarkEnd w:id="227"/>
          </w:p>
        </w:tc>
      </w:tr>
      <w:tr w:rsidR="00B475CA" w14:paraId="2E2237BE" w14:textId="77777777" w:rsidTr="003D3841">
        <w:trPr>
          <w:trHeight w:val="571"/>
        </w:trPr>
        <w:tc>
          <w:tcPr>
            <w:tcW w:w="2040" w:type="pct"/>
            <w:gridSpan w:val="2"/>
            <w:tcMar>
              <w:top w:w="0" w:type="dxa"/>
              <w:left w:w="108" w:type="dxa"/>
              <w:bottom w:w="0" w:type="dxa"/>
              <w:right w:w="108" w:type="dxa"/>
            </w:tcMar>
            <w:vAlign w:val="center"/>
            <w:hideMark/>
          </w:tcPr>
          <w:p w14:paraId="396F3E33" w14:textId="76F0EA85" w:rsidR="00B475CA" w:rsidRPr="00D00D86" w:rsidRDefault="00B475CA" w:rsidP="00342D8D">
            <w:pPr>
              <w:pStyle w:val="Tabletextleft"/>
            </w:pPr>
            <w:r w:rsidRPr="00D00D86">
              <w:t>Number of persons that worked zero hours for economic reasons (</w:t>
            </w:r>
            <w:r w:rsidR="00DE2760">
              <w:t>‘</w:t>
            </w:r>
            <w:r w:rsidRPr="00D00D86">
              <w:t>000)</w:t>
            </w:r>
            <w:r w:rsidR="00E81AE2" w:rsidRPr="00E81AE2">
              <w:rPr>
                <w:vertAlign w:val="superscript"/>
              </w:rPr>
              <w:t>b</w:t>
            </w:r>
            <w:r w:rsidR="00E81AE2">
              <w:rPr>
                <w:vertAlign w:val="superscript"/>
              </w:rPr>
              <w:t>c</w:t>
            </w:r>
          </w:p>
        </w:tc>
        <w:tc>
          <w:tcPr>
            <w:tcW w:w="790" w:type="pct"/>
            <w:noWrap/>
            <w:tcMar>
              <w:top w:w="0" w:type="dxa"/>
              <w:left w:w="108" w:type="dxa"/>
              <w:bottom w:w="0" w:type="dxa"/>
              <w:right w:w="108" w:type="dxa"/>
            </w:tcMar>
            <w:vAlign w:val="center"/>
            <w:hideMark/>
          </w:tcPr>
          <w:p w14:paraId="7BB1F4EE" w14:textId="77777777" w:rsidR="00B475CA" w:rsidRPr="00D00D86" w:rsidRDefault="00B475CA" w:rsidP="003D3841">
            <w:pPr>
              <w:pStyle w:val="Tabletextcentred"/>
            </w:pPr>
            <w:r w:rsidRPr="00D00D86">
              <w:t>60.0</w:t>
            </w:r>
          </w:p>
        </w:tc>
        <w:tc>
          <w:tcPr>
            <w:tcW w:w="790" w:type="pct"/>
            <w:noWrap/>
            <w:tcMar>
              <w:top w:w="0" w:type="dxa"/>
              <w:left w:w="108" w:type="dxa"/>
              <w:bottom w:w="0" w:type="dxa"/>
              <w:right w:w="108" w:type="dxa"/>
            </w:tcMar>
            <w:vAlign w:val="center"/>
            <w:hideMark/>
          </w:tcPr>
          <w:p w14:paraId="750E3675" w14:textId="77777777" w:rsidR="00B475CA" w:rsidRPr="00D00D86" w:rsidRDefault="00B475CA" w:rsidP="003D3841">
            <w:pPr>
              <w:pStyle w:val="Tabletextcentred"/>
            </w:pPr>
            <w:r w:rsidRPr="00D00D86">
              <w:t>366.3</w:t>
            </w:r>
          </w:p>
        </w:tc>
        <w:tc>
          <w:tcPr>
            <w:tcW w:w="1380" w:type="pct"/>
            <w:noWrap/>
            <w:tcMar>
              <w:top w:w="0" w:type="dxa"/>
              <w:left w:w="108" w:type="dxa"/>
              <w:bottom w:w="0" w:type="dxa"/>
              <w:right w:w="108" w:type="dxa"/>
            </w:tcMar>
            <w:vAlign w:val="center"/>
            <w:hideMark/>
          </w:tcPr>
          <w:p w14:paraId="3D4C2B34" w14:textId="77777777" w:rsidR="00B475CA" w:rsidRPr="00D00D86" w:rsidRDefault="00B475CA" w:rsidP="003D3841">
            <w:pPr>
              <w:pStyle w:val="Tabletextcentred"/>
            </w:pPr>
            <w:r w:rsidRPr="00D00D86">
              <w:t>306.3</w:t>
            </w:r>
          </w:p>
        </w:tc>
      </w:tr>
      <w:tr w:rsidR="00B475CA" w14:paraId="6F4895FC" w14:textId="77777777" w:rsidTr="003D3841">
        <w:trPr>
          <w:trHeight w:val="565"/>
        </w:trPr>
        <w:tc>
          <w:tcPr>
            <w:tcW w:w="2040" w:type="pct"/>
            <w:gridSpan w:val="2"/>
            <w:tcMar>
              <w:top w:w="0" w:type="dxa"/>
              <w:left w:w="108" w:type="dxa"/>
              <w:bottom w:w="0" w:type="dxa"/>
              <w:right w:w="108" w:type="dxa"/>
            </w:tcMar>
            <w:vAlign w:val="center"/>
            <w:hideMark/>
          </w:tcPr>
          <w:p w14:paraId="71C1434B" w14:textId="30ADE08C" w:rsidR="00B475CA" w:rsidRPr="00D00D86" w:rsidRDefault="00B475CA" w:rsidP="00342D8D">
            <w:pPr>
              <w:pStyle w:val="Tabletextleft"/>
            </w:pPr>
            <w:r w:rsidRPr="00D00D86">
              <w:t>Number of persons that worked fewer hours for economic reasons</w:t>
            </w:r>
            <w:r w:rsidR="00E81AE2">
              <w:rPr>
                <w:vertAlign w:val="superscript"/>
              </w:rPr>
              <w:t xml:space="preserve"> </w:t>
            </w:r>
            <w:r w:rsidRPr="00D00D86">
              <w:t>(</w:t>
            </w:r>
            <w:r w:rsidR="00DE2760">
              <w:t>‘</w:t>
            </w:r>
            <w:r w:rsidRPr="00D00D86">
              <w:t>000)</w:t>
            </w:r>
            <w:r w:rsidR="00E81AE2" w:rsidRPr="00E81AE2">
              <w:rPr>
                <w:vertAlign w:val="superscript"/>
              </w:rPr>
              <w:t>b</w:t>
            </w:r>
            <w:r w:rsidR="00E81AE2">
              <w:rPr>
                <w:vertAlign w:val="superscript"/>
              </w:rPr>
              <w:t>c</w:t>
            </w:r>
            <w:r w:rsidRPr="00D00D86">
              <w:t xml:space="preserve"> </w:t>
            </w:r>
          </w:p>
        </w:tc>
        <w:tc>
          <w:tcPr>
            <w:tcW w:w="790" w:type="pct"/>
            <w:noWrap/>
            <w:tcMar>
              <w:top w:w="0" w:type="dxa"/>
              <w:left w:w="108" w:type="dxa"/>
              <w:bottom w:w="0" w:type="dxa"/>
              <w:right w:w="108" w:type="dxa"/>
            </w:tcMar>
            <w:vAlign w:val="center"/>
            <w:hideMark/>
          </w:tcPr>
          <w:p w14:paraId="1E3F9B32" w14:textId="77777777" w:rsidR="00B475CA" w:rsidRPr="00D00D86" w:rsidRDefault="00B475CA" w:rsidP="003D3841">
            <w:pPr>
              <w:pStyle w:val="Tabletextcentred"/>
            </w:pPr>
            <w:r w:rsidRPr="00D00D86">
              <w:t>325.6</w:t>
            </w:r>
          </w:p>
        </w:tc>
        <w:tc>
          <w:tcPr>
            <w:tcW w:w="790" w:type="pct"/>
            <w:noWrap/>
            <w:tcMar>
              <w:top w:w="0" w:type="dxa"/>
              <w:left w:w="108" w:type="dxa"/>
              <w:bottom w:w="0" w:type="dxa"/>
              <w:right w:w="108" w:type="dxa"/>
            </w:tcMar>
            <w:vAlign w:val="center"/>
            <w:hideMark/>
          </w:tcPr>
          <w:p w14:paraId="093185E3" w14:textId="77777777" w:rsidR="00B475CA" w:rsidRPr="00D00D86" w:rsidRDefault="00B475CA" w:rsidP="003D3841">
            <w:pPr>
              <w:pStyle w:val="Tabletextcentred"/>
            </w:pPr>
            <w:r w:rsidRPr="00D00D86">
              <w:t>1,188.8</w:t>
            </w:r>
          </w:p>
        </w:tc>
        <w:tc>
          <w:tcPr>
            <w:tcW w:w="1380" w:type="pct"/>
            <w:noWrap/>
            <w:tcMar>
              <w:top w:w="0" w:type="dxa"/>
              <w:left w:w="108" w:type="dxa"/>
              <w:bottom w:w="0" w:type="dxa"/>
              <w:right w:w="108" w:type="dxa"/>
            </w:tcMar>
            <w:vAlign w:val="center"/>
            <w:hideMark/>
          </w:tcPr>
          <w:p w14:paraId="4BEA1C32" w14:textId="77777777" w:rsidR="00B475CA" w:rsidRPr="00D00D86" w:rsidRDefault="00B475CA" w:rsidP="003D3841">
            <w:pPr>
              <w:pStyle w:val="Tabletextcentred"/>
            </w:pPr>
            <w:r w:rsidRPr="00D00D86">
              <w:t>863.2</w:t>
            </w:r>
          </w:p>
        </w:tc>
      </w:tr>
      <w:tr w:rsidR="00B475CA" w14:paraId="04943FE3" w14:textId="77777777" w:rsidTr="00B475CA">
        <w:trPr>
          <w:trHeight w:val="300"/>
        </w:trPr>
        <w:tc>
          <w:tcPr>
            <w:tcW w:w="2040" w:type="pct"/>
            <w:gridSpan w:val="2"/>
            <w:tcMar>
              <w:top w:w="0" w:type="dxa"/>
              <w:left w:w="108" w:type="dxa"/>
              <w:bottom w:w="0" w:type="dxa"/>
              <w:right w:w="108" w:type="dxa"/>
            </w:tcMar>
            <w:vAlign w:val="center"/>
            <w:hideMark/>
          </w:tcPr>
          <w:p w14:paraId="4EAECCFF" w14:textId="2EA9D86C" w:rsidR="00B475CA" w:rsidRPr="00D00D86" w:rsidRDefault="00B475CA" w:rsidP="00342D8D">
            <w:pPr>
              <w:pStyle w:val="Tabletextleft"/>
            </w:pPr>
            <w:r w:rsidRPr="00D00D86">
              <w:t>Number of unemployed (</w:t>
            </w:r>
            <w:r w:rsidR="00DE2760">
              <w:t>‘</w:t>
            </w:r>
            <w:r w:rsidRPr="00D00D86">
              <w:t>000)</w:t>
            </w:r>
          </w:p>
        </w:tc>
        <w:tc>
          <w:tcPr>
            <w:tcW w:w="790" w:type="pct"/>
            <w:noWrap/>
            <w:tcMar>
              <w:top w:w="0" w:type="dxa"/>
              <w:left w:w="108" w:type="dxa"/>
              <w:bottom w:w="0" w:type="dxa"/>
              <w:right w:w="108" w:type="dxa"/>
            </w:tcMar>
            <w:vAlign w:val="center"/>
            <w:hideMark/>
          </w:tcPr>
          <w:p w14:paraId="22FB3492" w14:textId="77777777" w:rsidR="00B475CA" w:rsidRPr="00D00D86" w:rsidRDefault="00B475CA" w:rsidP="003D3841">
            <w:pPr>
              <w:pStyle w:val="Tabletextcentred"/>
            </w:pPr>
            <w:r w:rsidRPr="00D00D86">
              <w:t>696.3</w:t>
            </w:r>
          </w:p>
        </w:tc>
        <w:tc>
          <w:tcPr>
            <w:tcW w:w="790" w:type="pct"/>
            <w:noWrap/>
            <w:tcMar>
              <w:top w:w="0" w:type="dxa"/>
              <w:left w:w="108" w:type="dxa"/>
              <w:bottom w:w="0" w:type="dxa"/>
              <w:right w:w="108" w:type="dxa"/>
            </w:tcMar>
            <w:vAlign w:val="center"/>
            <w:hideMark/>
          </w:tcPr>
          <w:p w14:paraId="1A1C8807" w14:textId="77777777" w:rsidR="00B475CA" w:rsidRPr="00D00D86" w:rsidRDefault="00B475CA" w:rsidP="003D3841">
            <w:pPr>
              <w:pStyle w:val="Tabletextcentred"/>
            </w:pPr>
            <w:r w:rsidRPr="00D00D86">
              <w:t>927.6</w:t>
            </w:r>
          </w:p>
        </w:tc>
        <w:tc>
          <w:tcPr>
            <w:tcW w:w="1380" w:type="pct"/>
            <w:noWrap/>
            <w:tcMar>
              <w:top w:w="0" w:type="dxa"/>
              <w:left w:w="108" w:type="dxa"/>
              <w:bottom w:w="0" w:type="dxa"/>
              <w:right w:w="108" w:type="dxa"/>
            </w:tcMar>
            <w:vAlign w:val="center"/>
            <w:hideMark/>
          </w:tcPr>
          <w:p w14:paraId="539B36DB" w14:textId="77777777" w:rsidR="00B475CA" w:rsidRPr="00D00D86" w:rsidRDefault="00B475CA" w:rsidP="003D3841">
            <w:pPr>
              <w:pStyle w:val="Tabletextcentred"/>
            </w:pPr>
            <w:r w:rsidRPr="00D00D86">
              <w:t>231.3</w:t>
            </w:r>
          </w:p>
        </w:tc>
      </w:tr>
      <w:tr w:rsidR="00B475CA" w14:paraId="5F267F2F" w14:textId="77777777" w:rsidTr="00342D8D">
        <w:trPr>
          <w:trHeight w:val="300"/>
        </w:trPr>
        <w:tc>
          <w:tcPr>
            <w:tcW w:w="2040" w:type="pct"/>
            <w:gridSpan w:val="2"/>
            <w:tcBorders>
              <w:top w:val="nil"/>
              <w:left w:val="nil"/>
              <w:bottom w:val="single" w:sz="12" w:space="0" w:color="002C47" w:themeColor="accent1"/>
              <w:right w:val="nil"/>
            </w:tcBorders>
            <w:tcMar>
              <w:top w:w="0" w:type="dxa"/>
              <w:left w:w="108" w:type="dxa"/>
              <w:bottom w:w="0" w:type="dxa"/>
              <w:right w:w="108" w:type="dxa"/>
            </w:tcMar>
            <w:vAlign w:val="center"/>
            <w:hideMark/>
          </w:tcPr>
          <w:p w14:paraId="46639027" w14:textId="719F8046" w:rsidR="00B475CA" w:rsidRPr="00D00D86" w:rsidRDefault="00B475CA" w:rsidP="00342D8D">
            <w:pPr>
              <w:pStyle w:val="Tabletextleft"/>
            </w:pPr>
            <w:r w:rsidRPr="00D00D86">
              <w:t>Number of persons not in the labour force</w:t>
            </w:r>
            <w:r w:rsidR="00E81AE2">
              <w:rPr>
                <w:vertAlign w:val="superscript"/>
              </w:rPr>
              <w:t xml:space="preserve"> </w:t>
            </w:r>
            <w:r w:rsidRPr="00D00D86">
              <w:t>(</w:t>
            </w:r>
            <w:r w:rsidR="00DE2760">
              <w:t>‘</w:t>
            </w:r>
            <w:r w:rsidRPr="00D00D86">
              <w:t>000)</w:t>
            </w:r>
            <w:r w:rsidR="00E81AE2" w:rsidRPr="00E81AE2">
              <w:rPr>
                <w:vertAlign w:val="superscript"/>
              </w:rPr>
              <w:t>c</w:t>
            </w:r>
          </w:p>
        </w:tc>
        <w:tc>
          <w:tcPr>
            <w:tcW w:w="790" w:type="pct"/>
            <w:tcBorders>
              <w:top w:val="nil"/>
              <w:left w:val="nil"/>
              <w:bottom w:val="single" w:sz="12" w:space="0" w:color="002C47" w:themeColor="accent1"/>
              <w:right w:val="nil"/>
            </w:tcBorders>
            <w:noWrap/>
            <w:tcMar>
              <w:top w:w="0" w:type="dxa"/>
              <w:left w:w="108" w:type="dxa"/>
              <w:bottom w:w="0" w:type="dxa"/>
              <w:right w:w="108" w:type="dxa"/>
            </w:tcMar>
            <w:vAlign w:val="center"/>
            <w:hideMark/>
          </w:tcPr>
          <w:p w14:paraId="749DF3D8" w14:textId="59F5A549" w:rsidR="00B475CA" w:rsidRPr="00D00D86" w:rsidRDefault="00B475CA" w:rsidP="003D3841">
            <w:pPr>
              <w:pStyle w:val="Tabletextcentred"/>
            </w:pPr>
            <w:r w:rsidRPr="00D00D86">
              <w:t>6,960.4</w:t>
            </w:r>
          </w:p>
        </w:tc>
        <w:tc>
          <w:tcPr>
            <w:tcW w:w="790" w:type="pct"/>
            <w:tcBorders>
              <w:top w:val="nil"/>
              <w:left w:val="nil"/>
              <w:bottom w:val="single" w:sz="12" w:space="0" w:color="002C47" w:themeColor="accent1"/>
              <w:right w:val="nil"/>
            </w:tcBorders>
            <w:noWrap/>
            <w:tcMar>
              <w:top w:w="0" w:type="dxa"/>
              <w:left w:w="108" w:type="dxa"/>
              <w:bottom w:w="0" w:type="dxa"/>
              <w:right w:w="108" w:type="dxa"/>
            </w:tcMar>
            <w:vAlign w:val="center"/>
            <w:hideMark/>
          </w:tcPr>
          <w:p w14:paraId="6AA090D7" w14:textId="3F1F3258" w:rsidR="00B475CA" w:rsidRPr="00D00D86" w:rsidRDefault="00B475CA">
            <w:pPr>
              <w:pStyle w:val="Tabletextcentred"/>
            </w:pPr>
            <w:r w:rsidRPr="00D00D86">
              <w:t>7,687.3</w:t>
            </w:r>
          </w:p>
        </w:tc>
        <w:tc>
          <w:tcPr>
            <w:tcW w:w="1380" w:type="pct"/>
            <w:tcBorders>
              <w:top w:val="nil"/>
              <w:left w:val="nil"/>
              <w:bottom w:val="single" w:sz="12" w:space="0" w:color="002C47" w:themeColor="accent1"/>
              <w:right w:val="nil"/>
            </w:tcBorders>
            <w:noWrap/>
            <w:tcMar>
              <w:top w:w="0" w:type="dxa"/>
              <w:left w:w="108" w:type="dxa"/>
              <w:bottom w:w="0" w:type="dxa"/>
              <w:right w:w="108" w:type="dxa"/>
            </w:tcMar>
            <w:vAlign w:val="center"/>
            <w:hideMark/>
          </w:tcPr>
          <w:p w14:paraId="2CE16D2F" w14:textId="77777777" w:rsidR="00B475CA" w:rsidRPr="00D00D86" w:rsidRDefault="00B475CA" w:rsidP="003D3841">
            <w:pPr>
              <w:pStyle w:val="Tabletextcentred"/>
            </w:pPr>
            <w:r w:rsidRPr="00D00D86">
              <w:t>726.9</w:t>
            </w:r>
          </w:p>
        </w:tc>
      </w:tr>
    </w:tbl>
    <w:p w14:paraId="3442C01C" w14:textId="760CAA9A" w:rsidR="00174B7D" w:rsidRPr="00D00D86" w:rsidRDefault="00174B7D" w:rsidP="00397077">
      <w:pPr>
        <w:pStyle w:val="FiguretableNote"/>
      </w:pPr>
      <w:r w:rsidRPr="00D00D86">
        <w:t>Sources: ABS Labour Force, Australia, May 2020 (Cat. No. 6202.0); ABS Labour Force, Australia, Detailed</w:t>
      </w:r>
      <w:r w:rsidR="00DE2760">
        <w:t xml:space="preserve"> — </w:t>
      </w:r>
      <w:r w:rsidRPr="00D00D86">
        <w:t>Electronic Delivery</w:t>
      </w:r>
      <w:r w:rsidR="00DE2760">
        <w:t xml:space="preserve"> — </w:t>
      </w:r>
      <w:r w:rsidRPr="00D00D86">
        <w:t>6291.0.55.001</w:t>
      </w:r>
      <w:r w:rsidR="00DE2760">
        <w:t xml:space="preserve"> — </w:t>
      </w:r>
      <w:r w:rsidR="00B475CA" w:rsidRPr="00D00D86">
        <w:t>May</w:t>
      </w:r>
      <w:r w:rsidRPr="00D00D86">
        <w:t xml:space="preserve"> 2020 (Cat. No .6291.0.55.001), Datacube EM2a. All figures seasonally adjust</w:t>
      </w:r>
      <w:r w:rsidR="00E81AE2">
        <w:t>ed unless otherwise identified.</w:t>
      </w:r>
    </w:p>
    <w:p w14:paraId="7FD0C08B" w14:textId="77777777" w:rsidR="00174B7D" w:rsidRPr="00D00D86" w:rsidRDefault="00174B7D" w:rsidP="00397077">
      <w:pPr>
        <w:pStyle w:val="FiguretableNote"/>
      </w:pPr>
      <w:r w:rsidRPr="00D00D86">
        <w:t>Notes:</w:t>
      </w:r>
    </w:p>
    <w:p w14:paraId="0677948D" w14:textId="6E9A41B3" w:rsidR="00174B7D" w:rsidRPr="00D00D86" w:rsidRDefault="00174B7D" w:rsidP="00397077">
      <w:pPr>
        <w:pStyle w:val="FiguretableNote"/>
        <w:numPr>
          <w:ilvl w:val="0"/>
          <w:numId w:val="28"/>
        </w:numPr>
        <w:ind w:left="360"/>
      </w:pPr>
      <w:r w:rsidRPr="00D00D86">
        <w:t>Average monthly hours worked have been calculated by dividing total monthly hours worked by the number of employed persons</w:t>
      </w:r>
    </w:p>
    <w:p w14:paraId="7597E419" w14:textId="6628503E" w:rsidR="00174B7D" w:rsidRDefault="00B22BB9" w:rsidP="00397077">
      <w:pPr>
        <w:pStyle w:val="FiguretableNote"/>
        <w:numPr>
          <w:ilvl w:val="0"/>
          <w:numId w:val="28"/>
        </w:numPr>
        <w:ind w:left="360"/>
      </w:pPr>
      <w:r w:rsidRPr="00D00D86">
        <w:t xml:space="preserve">Persons working reduced or zero hours for </w:t>
      </w:r>
      <w:r w:rsidR="00DE2760">
        <w:t>‘</w:t>
      </w:r>
      <w:r w:rsidRPr="00D00D86">
        <w:t>e</w:t>
      </w:r>
      <w:r w:rsidR="00174B7D" w:rsidRPr="00D00D86">
        <w:t>conomic reasons</w:t>
      </w:r>
      <w:r w:rsidR="00DE2760">
        <w:t>’</w:t>
      </w:r>
      <w:r w:rsidR="00174B7D" w:rsidRPr="00D00D86">
        <w:t xml:space="preserve"> refers to those who were employed but were stood down, </w:t>
      </w:r>
      <w:r w:rsidR="002A6FDD" w:rsidRPr="00D00D86">
        <w:t xml:space="preserve">or </w:t>
      </w:r>
      <w:r w:rsidR="00174B7D" w:rsidRPr="00D00D86">
        <w:t>there was insufficient work or no work available</w:t>
      </w:r>
    </w:p>
    <w:p w14:paraId="5288A380" w14:textId="34D077AB" w:rsidR="00E81AE2" w:rsidRPr="00D00D86" w:rsidRDefault="00E81AE2" w:rsidP="00397077">
      <w:pPr>
        <w:pStyle w:val="FiguretableNote"/>
        <w:numPr>
          <w:ilvl w:val="0"/>
          <w:numId w:val="28"/>
        </w:numPr>
        <w:ind w:left="360"/>
      </w:pPr>
      <w:r w:rsidRPr="00D00D86">
        <w:t>Data are in original terms</w:t>
      </w:r>
    </w:p>
    <w:p w14:paraId="3A7EC637" w14:textId="3AF87E0D" w:rsidR="00B950B7" w:rsidRDefault="00B950B7">
      <w:pPr>
        <w:rPr>
          <w:b/>
          <w:iCs/>
        </w:rPr>
      </w:pPr>
      <w:r>
        <w:rPr>
          <w:b/>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DED"/>
        <w:tblCellMar>
          <w:top w:w="142" w:type="dxa"/>
          <w:left w:w="198" w:type="dxa"/>
          <w:bottom w:w="142" w:type="dxa"/>
          <w:right w:w="198" w:type="dxa"/>
        </w:tblCellMar>
        <w:tblLook w:val="04A0" w:firstRow="1" w:lastRow="0" w:firstColumn="1" w:lastColumn="0" w:noHBand="0" w:noVBand="1"/>
      </w:tblPr>
      <w:tblGrid>
        <w:gridCol w:w="8494"/>
      </w:tblGrid>
      <w:tr w:rsidR="00086E40" w14:paraId="7D30849C" w14:textId="77777777" w:rsidTr="0055333A">
        <w:tc>
          <w:tcPr>
            <w:tcW w:w="8494" w:type="dxa"/>
            <w:shd w:val="clear" w:color="auto" w:fill="E5EDED"/>
          </w:tcPr>
          <w:p w14:paraId="26E4505F" w14:textId="77777777" w:rsidR="00086E40" w:rsidRPr="00086E40" w:rsidRDefault="00086E40" w:rsidP="00DE2760">
            <w:pPr>
              <w:pStyle w:val="Boxheading"/>
            </w:pPr>
            <w:bookmarkStart w:id="228" w:name="_Toc43996222"/>
            <w:bookmarkStart w:id="229" w:name="_Toc43998481"/>
            <w:bookmarkStart w:id="230" w:name="_Toc43998408"/>
            <w:bookmarkStart w:id="231" w:name="_Toc44069930"/>
            <w:bookmarkStart w:id="232" w:name="_Toc44071334"/>
            <w:bookmarkStart w:id="233" w:name="_Toc44073458"/>
            <w:bookmarkStart w:id="234" w:name="_Toc44074598"/>
            <w:bookmarkStart w:id="235" w:name="_Toc44079487"/>
            <w:bookmarkStart w:id="236" w:name="_Toc44079782"/>
            <w:bookmarkStart w:id="237" w:name="_Toc44079917"/>
            <w:bookmarkStart w:id="238" w:name="_Toc44319828"/>
            <w:bookmarkStart w:id="239" w:name="_Toc44321536"/>
            <w:bookmarkStart w:id="240" w:name="_Toc44323703"/>
            <w:bookmarkStart w:id="241" w:name="_Toc44326166"/>
            <w:bookmarkStart w:id="242" w:name="_Toc44330488"/>
            <w:bookmarkStart w:id="243" w:name="_Toc44330730"/>
            <w:bookmarkStart w:id="244" w:name="_Toc44333162"/>
            <w:bookmarkStart w:id="245" w:name="_Toc44334793"/>
            <w:r w:rsidRPr="00086E40">
              <w:lastRenderedPageBreak/>
              <w:t xml:space="preserve">Box 1: International approaches </w:t>
            </w:r>
          </w:p>
          <w:p w14:paraId="1FEC1B57" w14:textId="07E48EC9" w:rsidR="00086E40" w:rsidRPr="003D3841" w:rsidRDefault="00086E40" w:rsidP="00DE2760">
            <w:pPr>
              <w:spacing w:line="259" w:lineRule="auto"/>
            </w:pPr>
            <w:r w:rsidRPr="003D3841">
              <w:t xml:space="preserve">A range of OECD countries have introduced job retention schemes in response to the Coronavirus, with the schemes varying in terms of their design, duration and other features. Canada, </w:t>
            </w:r>
            <w:r w:rsidR="00646AE7">
              <w:t>NZ</w:t>
            </w:r>
            <w:r w:rsidRPr="003D3841">
              <w:t xml:space="preserve"> and the UK introduced broad</w:t>
            </w:r>
            <w:r w:rsidR="00DE2760">
              <w:noBreakHyphen/>
            </w:r>
            <w:r w:rsidRPr="003D3841">
              <w:t>based wage subsidies in mid to late March 2020 with the common objective of supporting jobs and preserving employer</w:t>
            </w:r>
            <w:r w:rsidR="00DE2760">
              <w:noBreakHyphen/>
            </w:r>
            <w:r w:rsidRPr="003D3841">
              <w:t>employee links as non</w:t>
            </w:r>
            <w:r w:rsidR="00DE2760">
              <w:noBreakHyphen/>
            </w:r>
            <w:r w:rsidRPr="003D3841">
              <w:t xml:space="preserve">essential businesses closed and populations stayed at home. Each </w:t>
            </w:r>
            <w:r w:rsidR="00923E68">
              <w:t xml:space="preserve">scheme </w:t>
            </w:r>
            <w:r w:rsidRPr="003D3841">
              <w:t xml:space="preserve">was designed and implemented differently to suit national circumstances and requirements. </w:t>
            </w:r>
          </w:p>
          <w:p w14:paraId="3FE18F61" w14:textId="0FEB30D2" w:rsidR="00086E40" w:rsidRPr="00D00D86" w:rsidRDefault="00086E40" w:rsidP="00DE2760">
            <w:pPr>
              <w:spacing w:line="259" w:lineRule="auto"/>
            </w:pPr>
            <w:r w:rsidRPr="00D00D86">
              <w:t xml:space="preserve">The coverage of </w:t>
            </w:r>
            <w:r w:rsidR="00923E68">
              <w:t xml:space="preserve">different </w:t>
            </w:r>
            <w:r w:rsidRPr="00D00D86">
              <w:t>wage subsidy schemes interacts with other policy settings, such as unemployment insurance and pandemic</w:t>
            </w:r>
            <w:r w:rsidR="00DE2760">
              <w:noBreakHyphen/>
            </w:r>
            <w:r w:rsidRPr="003D3841">
              <w:t>related</w:t>
            </w:r>
            <w:r w:rsidRPr="00D00D86">
              <w:t xml:space="preserve"> unemployment benefits</w:t>
            </w:r>
            <w:r w:rsidR="00DE2760">
              <w:t xml:space="preserve"> — </w:t>
            </w:r>
            <w:r w:rsidRPr="00D00D86">
              <w:t xml:space="preserve">some countries, such as </w:t>
            </w:r>
            <w:r w:rsidR="00646AE7">
              <w:t>NZ</w:t>
            </w:r>
            <w:r w:rsidRPr="00D00D86">
              <w:t>, leaned more to wage subsidies whereas other countries such as Canada have seen greater take</w:t>
            </w:r>
            <w:r w:rsidR="00DE2760">
              <w:noBreakHyphen/>
            </w:r>
            <w:r w:rsidRPr="00D00D86">
              <w:t>up of emergency benefits.</w:t>
            </w:r>
          </w:p>
          <w:p w14:paraId="4B464D9C" w14:textId="28170275" w:rsidR="00086E40" w:rsidRPr="00D00D86" w:rsidRDefault="00086E40" w:rsidP="00DE2760">
            <w:pPr>
              <w:spacing w:line="259" w:lineRule="auto"/>
              <w:rPr>
                <w:color w:val="000000" w:themeColor="text1"/>
              </w:rPr>
            </w:pPr>
            <w:r w:rsidRPr="00D00D86">
              <w:rPr>
                <w:color w:val="000000" w:themeColor="text1"/>
              </w:rPr>
              <w:t>The NZ COVID</w:t>
            </w:r>
            <w:r w:rsidR="00DE2760">
              <w:rPr>
                <w:color w:val="000000" w:themeColor="text1"/>
              </w:rPr>
              <w:noBreakHyphen/>
            </w:r>
            <w:r w:rsidRPr="00D00D86">
              <w:rPr>
                <w:color w:val="000000" w:themeColor="text1"/>
              </w:rPr>
              <w:t>19 Wage Subsidy involved two</w:t>
            </w:r>
            <w:r w:rsidR="00DE2760">
              <w:rPr>
                <w:color w:val="000000" w:themeColor="text1"/>
              </w:rPr>
              <w:noBreakHyphen/>
            </w:r>
            <w:r w:rsidRPr="00D00D86">
              <w:rPr>
                <w:color w:val="000000" w:themeColor="text1"/>
              </w:rPr>
              <w:t>tier flat payments (for full</w:t>
            </w:r>
            <w:r w:rsidR="00DE2760">
              <w:rPr>
                <w:color w:val="000000" w:themeColor="text1"/>
              </w:rPr>
              <w:noBreakHyphen/>
            </w:r>
            <w:r w:rsidRPr="00D00D86">
              <w:rPr>
                <w:color w:val="000000" w:themeColor="text1"/>
              </w:rPr>
              <w:t xml:space="preserve"> and part</w:t>
            </w:r>
            <w:r w:rsidR="00DE2760">
              <w:rPr>
                <w:color w:val="000000" w:themeColor="text1"/>
              </w:rPr>
              <w:noBreakHyphen/>
            </w:r>
            <w:r w:rsidRPr="00D00D86">
              <w:rPr>
                <w:color w:val="000000" w:themeColor="text1"/>
              </w:rPr>
              <w:t>time employees) for an initial 12</w:t>
            </w:r>
            <w:r w:rsidR="00DE2760">
              <w:rPr>
                <w:color w:val="000000" w:themeColor="text1"/>
              </w:rPr>
              <w:noBreakHyphen/>
            </w:r>
            <w:r w:rsidRPr="00D00D86">
              <w:rPr>
                <w:color w:val="000000" w:themeColor="text1"/>
              </w:rPr>
              <w:t xml:space="preserve">week period, paid </w:t>
            </w:r>
            <w:r w:rsidR="00923E68">
              <w:rPr>
                <w:color w:val="000000" w:themeColor="text1"/>
              </w:rPr>
              <w:t xml:space="preserve">as </w:t>
            </w:r>
            <w:r w:rsidRPr="00D00D86">
              <w:rPr>
                <w:color w:val="000000" w:themeColor="text1"/>
              </w:rPr>
              <w:t xml:space="preserve">a lump sum. Businesses </w:t>
            </w:r>
            <w:r w:rsidR="009360E2">
              <w:rPr>
                <w:color w:val="000000" w:themeColor="text1"/>
              </w:rPr>
              <w:t xml:space="preserve">had to have </w:t>
            </w:r>
            <w:r w:rsidRPr="00D00D86">
              <w:rPr>
                <w:color w:val="000000" w:themeColor="text1"/>
              </w:rPr>
              <w:t>experience</w:t>
            </w:r>
            <w:r w:rsidR="009360E2">
              <w:rPr>
                <w:color w:val="000000" w:themeColor="text1"/>
              </w:rPr>
              <w:t>d</w:t>
            </w:r>
            <w:r w:rsidRPr="00D00D86">
              <w:rPr>
                <w:color w:val="000000" w:themeColor="text1"/>
              </w:rPr>
              <w:t xml:space="preserve"> a minimum 30 per cent decline in actual or predicted revenue over the period of a month, when compared with a similar period in the previous year, due to COVID</w:t>
            </w:r>
            <w:r w:rsidR="00DE2760">
              <w:rPr>
                <w:color w:val="000000" w:themeColor="text1"/>
              </w:rPr>
              <w:noBreakHyphen/>
            </w:r>
            <w:r w:rsidRPr="00D00D86">
              <w:rPr>
                <w:color w:val="000000" w:themeColor="text1"/>
              </w:rPr>
              <w:t xml:space="preserve">19. Employers were to </w:t>
            </w:r>
            <w:r w:rsidR="009360E2">
              <w:rPr>
                <w:color w:val="000000" w:themeColor="text1"/>
              </w:rPr>
              <w:t xml:space="preserve">try to </w:t>
            </w:r>
            <w:r w:rsidRPr="00D00D86">
              <w:rPr>
                <w:color w:val="000000" w:themeColor="text1"/>
              </w:rPr>
              <w:t>pay at least 80 per cent of an employee</w:t>
            </w:r>
            <w:r w:rsidR="00DE2760">
              <w:rPr>
                <w:color w:val="000000" w:themeColor="text1"/>
              </w:rPr>
              <w:t>’</w:t>
            </w:r>
            <w:r w:rsidRPr="00D00D86">
              <w:rPr>
                <w:color w:val="000000" w:themeColor="text1"/>
              </w:rPr>
              <w:t xml:space="preserve">s usual wages. </w:t>
            </w:r>
          </w:p>
          <w:p w14:paraId="631C3D8D" w14:textId="451B3155" w:rsidR="00086E40" w:rsidRPr="00D00D86" w:rsidRDefault="00086E40" w:rsidP="00DE2760">
            <w:pPr>
              <w:spacing w:line="259" w:lineRule="auto"/>
              <w:rPr>
                <w:color w:val="000000" w:themeColor="text1"/>
              </w:rPr>
            </w:pPr>
            <w:r w:rsidRPr="00D00D86">
              <w:rPr>
                <w:color w:val="000000" w:themeColor="text1"/>
              </w:rPr>
              <w:t>The Canada Emergency Wage Subsidy covers 75 per cent of actual wages paid, subject to a cap, with employers able to claim the subsidy through the Canada Revenue Agency on a four</w:t>
            </w:r>
            <w:r w:rsidR="00DE2760">
              <w:rPr>
                <w:color w:val="000000" w:themeColor="text1"/>
              </w:rPr>
              <w:noBreakHyphen/>
            </w:r>
            <w:r w:rsidRPr="00D00D86">
              <w:rPr>
                <w:color w:val="000000" w:themeColor="text1"/>
              </w:rPr>
              <w:t>weekly basis subject to meeting a monthly revenue test (typically a 30 per cent decline), compared with a year ago (or in early 2020). Stood</w:t>
            </w:r>
            <w:r w:rsidR="009360E2">
              <w:rPr>
                <w:color w:val="000000" w:themeColor="text1"/>
              </w:rPr>
              <w:t xml:space="preserve"> </w:t>
            </w:r>
            <w:r w:rsidRPr="00D00D86">
              <w:rPr>
                <w:color w:val="000000" w:themeColor="text1"/>
              </w:rPr>
              <w:t xml:space="preserve">down workers were able to access other forms of support, including the Canada Emergency Response Benefit. </w:t>
            </w:r>
          </w:p>
          <w:p w14:paraId="4D7228EE" w14:textId="669D9475" w:rsidR="00086E40" w:rsidRPr="00D00D86" w:rsidRDefault="00086E40" w:rsidP="00DE2760">
            <w:pPr>
              <w:spacing w:line="259" w:lineRule="auto"/>
              <w:rPr>
                <w:color w:val="000000" w:themeColor="text1"/>
              </w:rPr>
            </w:pPr>
            <w:r w:rsidRPr="00D00D86">
              <w:rPr>
                <w:color w:val="000000" w:themeColor="text1"/>
              </w:rPr>
              <w:t>The UK</w:t>
            </w:r>
            <w:r w:rsidR="00DE2760">
              <w:rPr>
                <w:color w:val="000000" w:themeColor="text1"/>
              </w:rPr>
              <w:t>’</w:t>
            </w:r>
            <w:r w:rsidRPr="00D00D86">
              <w:rPr>
                <w:color w:val="000000" w:themeColor="text1"/>
              </w:rPr>
              <w:t>s Coronavirus Job Retention Scheme provides a subsidy for the wages of furloughed or stood</w:t>
            </w:r>
            <w:r w:rsidR="00DE2760">
              <w:rPr>
                <w:color w:val="000000" w:themeColor="text1"/>
              </w:rPr>
              <w:noBreakHyphen/>
            </w:r>
            <w:r w:rsidRPr="00D00D86">
              <w:rPr>
                <w:color w:val="000000" w:themeColor="text1"/>
              </w:rPr>
              <w:t>down workers of 80 per cent of their salary, subject to a cap</w:t>
            </w:r>
            <w:r>
              <w:rPr>
                <w:color w:val="000000" w:themeColor="text1"/>
              </w:rPr>
              <w:t xml:space="preserve"> of </w:t>
            </w:r>
            <w:r>
              <w:rPr>
                <w:rFonts w:cstheme="minorHAnsi"/>
                <w:color w:val="000000" w:themeColor="text1"/>
              </w:rPr>
              <w:t>£</w:t>
            </w:r>
            <w:r>
              <w:rPr>
                <w:color w:val="000000" w:themeColor="text1"/>
              </w:rPr>
              <w:t>2,500 per month</w:t>
            </w:r>
            <w:r w:rsidRPr="00D00D86">
              <w:rPr>
                <w:color w:val="000000" w:themeColor="text1"/>
              </w:rPr>
              <w:t>. It covers all private sector employers</w:t>
            </w:r>
            <w:r w:rsidR="00DE2760">
              <w:rPr>
                <w:color w:val="000000" w:themeColor="text1"/>
              </w:rPr>
              <w:t xml:space="preserve"> — </w:t>
            </w:r>
            <w:r w:rsidRPr="00D00D86">
              <w:rPr>
                <w:color w:val="000000" w:themeColor="text1"/>
              </w:rPr>
              <w:t>there are no eligibility criteria to demonstrate economic distress.</w:t>
            </w:r>
          </w:p>
          <w:p w14:paraId="0914C75A" w14:textId="086A5049" w:rsidR="00086E40" w:rsidRPr="00086E40" w:rsidRDefault="00086E40" w:rsidP="00646AE7">
            <w:pPr>
              <w:spacing w:line="259" w:lineRule="auto"/>
              <w:rPr>
                <w:color w:val="000000" w:themeColor="text1"/>
              </w:rPr>
            </w:pPr>
            <w:r w:rsidRPr="00D00D86">
              <w:rPr>
                <w:rFonts w:cstheme="minorHAnsi"/>
                <w:color w:val="000000" w:themeColor="text1"/>
              </w:rPr>
              <w:t xml:space="preserve">Each of these countries have since announced extensions to their initial wage subsidy schemes, reflecting the protracted health and economic impacts that they face. </w:t>
            </w:r>
            <w:r w:rsidRPr="00D00D86">
              <w:rPr>
                <w:color w:val="000000" w:themeColor="text1"/>
              </w:rPr>
              <w:t>For ex</w:t>
            </w:r>
            <w:r>
              <w:rPr>
                <w:color w:val="000000" w:themeColor="text1"/>
              </w:rPr>
              <w:t>ample, NZ extended</w:t>
            </w:r>
            <w:r w:rsidRPr="00D00D86">
              <w:rPr>
                <w:color w:val="000000" w:themeColor="text1"/>
              </w:rPr>
              <w:t xml:space="preserve"> </w:t>
            </w:r>
            <w:r>
              <w:rPr>
                <w:color w:val="000000" w:themeColor="text1"/>
              </w:rPr>
              <w:t>its scheme</w:t>
            </w:r>
            <w:r w:rsidRPr="00D00D86">
              <w:rPr>
                <w:color w:val="000000" w:themeColor="text1"/>
              </w:rPr>
              <w:t xml:space="preserve"> for an eight</w:t>
            </w:r>
            <w:r w:rsidR="00DE2760">
              <w:rPr>
                <w:color w:val="000000" w:themeColor="text1"/>
              </w:rPr>
              <w:noBreakHyphen/>
            </w:r>
            <w:r w:rsidRPr="00D00D86">
              <w:rPr>
                <w:color w:val="000000" w:themeColor="text1"/>
              </w:rPr>
              <w:t>week period, with a heightened 40</w:t>
            </w:r>
            <w:r w:rsidR="005B6873">
              <w:rPr>
                <w:color w:val="000000" w:themeColor="text1"/>
              </w:rPr>
              <w:t> </w:t>
            </w:r>
            <w:r w:rsidRPr="00D00D86">
              <w:rPr>
                <w:color w:val="000000" w:themeColor="text1"/>
              </w:rPr>
              <w:t>per cent revenue loss test to fu</w:t>
            </w:r>
            <w:r>
              <w:rPr>
                <w:color w:val="000000" w:themeColor="text1"/>
              </w:rPr>
              <w:t>rther target assistance. T</w:t>
            </w:r>
            <w:r w:rsidRPr="00D00D86">
              <w:rPr>
                <w:color w:val="000000" w:themeColor="text1"/>
              </w:rPr>
              <w:t>he UK extension require</w:t>
            </w:r>
            <w:r w:rsidR="000720A5">
              <w:rPr>
                <w:color w:val="000000" w:themeColor="text1"/>
              </w:rPr>
              <w:t>s</w:t>
            </w:r>
            <w:r w:rsidRPr="00D00D86">
              <w:rPr>
                <w:color w:val="000000" w:themeColor="text1"/>
              </w:rPr>
              <w:t xml:space="preserve"> employers to contribute more to the cost of the scheme, phased in monthly from August to the end of October. Details of the Canadian extension to 29 August 2020 are yet to be finalised, although a potential adjustment to the 30 per cent revenue decline threshold</w:t>
            </w:r>
            <w:r>
              <w:rPr>
                <w:color w:val="000000" w:themeColor="text1"/>
              </w:rPr>
              <w:t xml:space="preserve"> has been flagged</w:t>
            </w:r>
            <w:r w:rsidRPr="00D00D86" w:rsidDel="004709DB">
              <w:rPr>
                <w:color w:val="000000" w:themeColor="text1"/>
              </w:rPr>
              <w:t>.</w:t>
            </w:r>
          </w:p>
        </w:tc>
      </w:tr>
    </w:tbl>
    <w:p w14:paraId="6977305A" w14:textId="4C0BC57E" w:rsidR="0055333A" w:rsidRDefault="0055333A"/>
    <w:p w14:paraId="7AA44F62" w14:textId="77777777" w:rsidR="0055333A" w:rsidRDefault="0055333A">
      <w:pPr>
        <w:spacing w:after="16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DED"/>
        <w:tblCellMar>
          <w:top w:w="142" w:type="dxa"/>
          <w:left w:w="198" w:type="dxa"/>
          <w:bottom w:w="142" w:type="dxa"/>
          <w:right w:w="198" w:type="dxa"/>
        </w:tblCellMar>
        <w:tblLook w:val="04A0" w:firstRow="1" w:lastRow="0" w:firstColumn="1" w:lastColumn="0" w:noHBand="0" w:noVBand="1"/>
      </w:tblPr>
      <w:tblGrid>
        <w:gridCol w:w="8494"/>
      </w:tblGrid>
      <w:tr w:rsidR="0055333A" w14:paraId="587373A3" w14:textId="77777777" w:rsidTr="0055333A">
        <w:tc>
          <w:tcPr>
            <w:tcW w:w="8494" w:type="dxa"/>
            <w:shd w:val="clear" w:color="auto" w:fill="E5EDED"/>
          </w:tcPr>
          <w:p w14:paraId="479C764E" w14:textId="0D799B2E" w:rsidR="0055333A" w:rsidRPr="00086E40" w:rsidRDefault="0055333A" w:rsidP="00AE5EA9">
            <w:r w:rsidRPr="00D00D86">
              <w:rPr>
                <w:color w:val="000000" w:themeColor="text1"/>
              </w:rPr>
              <w:lastRenderedPageBreak/>
              <w:t xml:space="preserve">As economies turn to recovery, the OECD finds that the policy mix should shift forward from job preservation to ensuring a rapid recovery. </w:t>
            </w:r>
            <w:r>
              <w:rPr>
                <w:color w:val="000000" w:themeColor="text1"/>
              </w:rPr>
              <w:t>“</w:t>
            </w:r>
            <w:r w:rsidRPr="00D00D86">
              <w:rPr>
                <w:color w:val="000000" w:themeColor="text1"/>
              </w:rPr>
              <w:t>While job retention schemes may be effective in preserving existing jobs in the short term, these schemes may not be efficient in reallocating workers from unviable jobs to industries and firms with better medium</w:t>
            </w:r>
            <w:r>
              <w:rPr>
                <w:color w:val="000000" w:themeColor="text1"/>
              </w:rPr>
              <w:noBreakHyphen/>
            </w:r>
            <w:r w:rsidRPr="00D00D86">
              <w:rPr>
                <w:color w:val="000000" w:themeColor="text1"/>
              </w:rPr>
              <w:t>term growth prospects.</w:t>
            </w:r>
            <w:r>
              <w:rPr>
                <w:color w:val="000000" w:themeColor="text1"/>
              </w:rPr>
              <w:t>”</w:t>
            </w:r>
            <w:r w:rsidR="00F3775D">
              <w:rPr>
                <w:rStyle w:val="FootnoteReference"/>
                <w:color w:val="000000" w:themeColor="text1"/>
              </w:rPr>
              <w:footnoteReference w:id="13"/>
            </w:r>
            <w:r w:rsidRPr="00D00D86">
              <w:rPr>
                <w:color w:val="000000" w:themeColor="text1"/>
              </w:rPr>
              <w:t xml:space="preserve"> A policy challenge is to </w:t>
            </w:r>
            <w:r>
              <w:rPr>
                <w:color w:val="000000" w:themeColor="text1"/>
              </w:rPr>
              <w:t>“</w:t>
            </w:r>
            <w:r w:rsidRPr="00D00D86">
              <w:rPr>
                <w:color w:val="000000" w:themeColor="text1"/>
              </w:rPr>
              <w:t>move from blanket to targeted support to help workers transit to new jobs, ensure rapid firm restructuring and provide social protection to the most vulnerable</w:t>
            </w:r>
            <w:r w:rsidR="00EA49D7">
              <w:rPr>
                <w:color w:val="000000" w:themeColor="text1"/>
              </w:rPr>
              <w:t>.</w:t>
            </w:r>
            <w:r>
              <w:rPr>
                <w:color w:val="000000" w:themeColor="text1"/>
              </w:rPr>
              <w:t>”</w:t>
            </w:r>
            <w:r w:rsidRPr="00D00D86">
              <w:rPr>
                <w:rStyle w:val="FootnoteReference"/>
                <w:color w:val="000000" w:themeColor="text1"/>
              </w:rPr>
              <w:footnoteReference w:id="14"/>
            </w:r>
          </w:p>
        </w:tc>
      </w:tr>
    </w:tbl>
    <w:p w14:paraId="75F1CCC1" w14:textId="135AEE15" w:rsidR="00B950B7" w:rsidRPr="0055333A" w:rsidRDefault="00B950B7" w:rsidP="0055333A">
      <w:bookmarkStart w:id="246" w:name="_Toc43294082"/>
      <w:bookmarkStart w:id="247" w:name="_Toc43300427"/>
      <w:bookmarkStart w:id="248" w:name="_Toc43302280"/>
      <w:bookmarkStart w:id="249" w:name="_Toc43303719"/>
      <w:bookmarkStart w:id="250" w:name="_Toc43305330"/>
      <w:bookmarkStart w:id="251" w:name="_Toc43306301"/>
      <w:bookmarkStart w:id="252" w:name="_Toc43309509"/>
      <w:bookmarkStart w:id="253" w:name="_Toc43802495"/>
      <w:bookmarkStart w:id="254" w:name="_Toc43809343"/>
      <w:bookmarkStart w:id="255" w:name="_Toc43815608"/>
      <w:bookmarkStart w:id="256" w:name="_Toc43817541"/>
      <w:bookmarkStart w:id="257" w:name="_Toc43825312"/>
      <w:bookmarkStart w:id="258" w:name="_Toc43825416"/>
      <w:bookmarkStart w:id="259" w:name="_Toc43825509"/>
      <w:bookmarkEnd w:id="198"/>
      <w:bookmarkEnd w:id="199"/>
      <w:bookmarkEnd w:id="200"/>
      <w:bookmarkEnd w:id="201"/>
      <w:bookmarkEnd w:id="202"/>
      <w:bookmarkEnd w:id="203"/>
      <w:bookmarkEnd w:id="204"/>
      <w:bookmarkEnd w:id="20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4546E61" w14:textId="629BC373" w:rsidR="002E4CE2" w:rsidRPr="009B6E0C" w:rsidRDefault="00AA127F" w:rsidP="009B6E0C">
      <w:pPr>
        <w:pStyle w:val="Heading1"/>
      </w:pPr>
      <w:bookmarkStart w:id="260" w:name="_Toc43996245"/>
      <w:bookmarkStart w:id="261" w:name="_Toc43998504"/>
      <w:bookmarkStart w:id="262" w:name="_Toc43998431"/>
      <w:bookmarkStart w:id="263" w:name="_Toc44069953"/>
      <w:bookmarkStart w:id="264" w:name="_Toc44071357"/>
      <w:bookmarkStart w:id="265" w:name="_Toc44073481"/>
      <w:bookmarkStart w:id="266" w:name="_Toc44074621"/>
      <w:bookmarkStart w:id="267" w:name="_Toc44079510"/>
      <w:bookmarkStart w:id="268" w:name="_Toc44079805"/>
      <w:bookmarkStart w:id="269" w:name="_Toc44079940"/>
      <w:bookmarkStart w:id="270" w:name="_Toc44319851"/>
      <w:bookmarkStart w:id="271" w:name="_Toc44321559"/>
      <w:bookmarkStart w:id="272" w:name="_Toc44323726"/>
      <w:bookmarkStart w:id="273" w:name="_Toc44326189"/>
      <w:bookmarkStart w:id="274" w:name="_Toc44330511"/>
      <w:bookmarkStart w:id="275" w:name="_Toc44330753"/>
      <w:bookmarkStart w:id="276" w:name="_Toc44333185"/>
      <w:bookmarkStart w:id="277" w:name="_Toc44334816"/>
      <w:bookmarkStart w:id="278" w:name="_Toc45227421"/>
      <w:bookmarkStart w:id="279" w:name="_Toc45799022"/>
      <w:r w:rsidRPr="009B6E0C">
        <w:lastRenderedPageBreak/>
        <w:t xml:space="preserve">An overview of the JobKeeper </w:t>
      </w:r>
      <w:r w:rsidR="00FE5D23">
        <w:t>P</w:t>
      </w:r>
      <w:r w:rsidRPr="009B6E0C">
        <w:t>ayment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61B46F3" w14:textId="2C39AB72" w:rsidR="00026AC9" w:rsidRPr="002625B2" w:rsidRDefault="00026AC9" w:rsidP="0055333A">
      <w:r w:rsidRPr="002625B2">
        <w:t xml:space="preserve">This section outlines the objectives of the JobKeeper </w:t>
      </w:r>
      <w:r w:rsidR="003358A9" w:rsidRPr="002625B2">
        <w:t xml:space="preserve">Payment </w:t>
      </w:r>
      <w:r w:rsidRPr="002625B2">
        <w:t>and how the program operates.</w:t>
      </w:r>
    </w:p>
    <w:p w14:paraId="5F7D853C" w14:textId="254EC5FA" w:rsidR="00042C43" w:rsidRPr="002625B2" w:rsidRDefault="00042C43" w:rsidP="0055333A">
      <w:r w:rsidRPr="002625B2">
        <w:t xml:space="preserve">The Government announced JobKeeper on 30 March 2020 as part of its response to the </w:t>
      </w:r>
      <w:r w:rsidR="003358A9" w:rsidRPr="002625B2">
        <w:t xml:space="preserve">Coronavirus </w:t>
      </w:r>
      <w:r w:rsidR="00AB2663" w:rsidRPr="002625B2">
        <w:t>outbreak</w:t>
      </w:r>
      <w:r w:rsidRPr="002625B2">
        <w:t xml:space="preserve">. The payment was made available to </w:t>
      </w:r>
      <w:r w:rsidR="008C6E00" w:rsidRPr="002625B2">
        <w:t xml:space="preserve">eligible </w:t>
      </w:r>
      <w:r w:rsidR="001016DB">
        <w:t>employers for up to six </w:t>
      </w:r>
      <w:r w:rsidRPr="002625B2">
        <w:t xml:space="preserve">months, </w:t>
      </w:r>
      <w:r w:rsidR="005B7E1D" w:rsidRPr="002625B2">
        <w:t xml:space="preserve">to be </w:t>
      </w:r>
      <w:r w:rsidRPr="002625B2">
        <w:t>passed</w:t>
      </w:r>
      <w:r w:rsidR="008C6E00" w:rsidRPr="002625B2">
        <w:t xml:space="preserve"> on in full to eligible</w:t>
      </w:r>
      <w:r w:rsidR="00961FC9">
        <w:t xml:space="preserve"> employees and other individuals</w:t>
      </w:r>
      <w:r w:rsidRPr="002625B2">
        <w:t>.</w:t>
      </w:r>
      <w:r w:rsidR="008C6E00" w:rsidRPr="002625B2">
        <w:t xml:space="preserve"> Its initial coverage was forecast to be around 6</w:t>
      </w:r>
      <w:r w:rsidR="00524CF3" w:rsidRPr="002625B2">
        <w:t>.5</w:t>
      </w:r>
      <w:r w:rsidR="008C6E00" w:rsidRPr="002625B2">
        <w:t xml:space="preserve"> million </w:t>
      </w:r>
      <w:r w:rsidR="00961FC9">
        <w:t>people</w:t>
      </w:r>
      <w:r w:rsidR="00647D32" w:rsidRPr="002625B2">
        <w:t xml:space="preserve"> </w:t>
      </w:r>
      <w:r w:rsidR="008C6E00" w:rsidRPr="002625B2">
        <w:t>at a total cost of $130 billion</w:t>
      </w:r>
      <w:r w:rsidR="005B7E1D" w:rsidRPr="002625B2">
        <w:t>;</w:t>
      </w:r>
      <w:r w:rsidR="008C6E00" w:rsidRPr="002625B2">
        <w:t xml:space="preserve"> since </w:t>
      </w:r>
      <w:r w:rsidR="00BF5A88" w:rsidRPr="002625B2">
        <w:t>revised down</w:t>
      </w:r>
      <w:r w:rsidR="001016DB">
        <w:t xml:space="preserve"> to be around 3.5 </w:t>
      </w:r>
      <w:r w:rsidR="008C6E00" w:rsidRPr="002625B2">
        <w:t xml:space="preserve">million </w:t>
      </w:r>
      <w:r w:rsidR="00993EF8" w:rsidRPr="002625B2">
        <w:t>people</w:t>
      </w:r>
      <w:r w:rsidR="008C6E00" w:rsidRPr="002625B2">
        <w:t xml:space="preserve"> at a cost of </w:t>
      </w:r>
      <w:r w:rsidR="003A489A" w:rsidRPr="002625B2">
        <w:t xml:space="preserve">around </w:t>
      </w:r>
      <w:r w:rsidR="008C6E00" w:rsidRPr="002625B2">
        <w:t>$70</w:t>
      </w:r>
      <w:r w:rsidR="008D36D7" w:rsidRPr="002625B2">
        <w:t> </w:t>
      </w:r>
      <w:r w:rsidR="008C6E00" w:rsidRPr="002625B2">
        <w:t>billion.</w:t>
      </w:r>
      <w:r w:rsidR="008C6E00" w:rsidRPr="002625B2">
        <w:rPr>
          <w:rStyle w:val="FootnoteReference"/>
          <w:color w:val="000000" w:themeColor="text1"/>
        </w:rPr>
        <w:footnoteReference w:id="15"/>
      </w:r>
    </w:p>
    <w:p w14:paraId="6D6D2809" w14:textId="23EE1D2B" w:rsidR="00042C43" w:rsidRPr="002625B2" w:rsidRDefault="00042C43" w:rsidP="0055333A">
      <w:r w:rsidRPr="002625B2">
        <w:t xml:space="preserve">The objectives of the program </w:t>
      </w:r>
      <w:r w:rsidR="00524CF3" w:rsidRPr="002625B2">
        <w:t xml:space="preserve">were </w:t>
      </w:r>
      <w:r w:rsidR="009148EA" w:rsidRPr="002625B2">
        <w:t>set out</w:t>
      </w:r>
      <w:r w:rsidR="00524CF3" w:rsidRPr="002625B2">
        <w:t xml:space="preserve"> in the media release accompany</w:t>
      </w:r>
      <w:r w:rsidR="005B7E1D" w:rsidRPr="002625B2">
        <w:t>ing</w:t>
      </w:r>
      <w:r w:rsidR="00524CF3" w:rsidRPr="002625B2">
        <w:t xml:space="preserve"> the announcement of the program.</w:t>
      </w:r>
      <w:r w:rsidR="009148EA" w:rsidRPr="002625B2">
        <w:t xml:space="preserve"> </w:t>
      </w:r>
      <w:r w:rsidR="00A50457" w:rsidRPr="002625B2">
        <w:t xml:space="preserve">The overarching objective, in the words of the Prime Minister, was to </w:t>
      </w:r>
      <w:r w:rsidR="00DE2760">
        <w:t>‘</w:t>
      </w:r>
      <w:r w:rsidR="00A50457" w:rsidRPr="002625B2">
        <w:rPr>
          <w:lang w:val="en"/>
        </w:rPr>
        <w:t>give millions of eligible businesses and their workers a lifeline to not only get through this crisis, but bounce back together on the other side</w:t>
      </w:r>
      <w:r w:rsidR="00DE2760">
        <w:rPr>
          <w:lang w:val="en"/>
        </w:rPr>
        <w:t>’</w:t>
      </w:r>
      <w:r w:rsidR="00A50457" w:rsidRPr="002625B2">
        <w:t>.</w:t>
      </w:r>
      <w:r w:rsidR="00026AC9" w:rsidRPr="002625B2">
        <w:rPr>
          <w:rStyle w:val="FootnoteReference"/>
          <w:rFonts w:cstheme="minorHAnsi"/>
          <w:color w:val="000000" w:themeColor="text1"/>
        </w:rPr>
        <w:footnoteReference w:id="16"/>
      </w:r>
      <w:r w:rsidR="00026AC9" w:rsidRPr="002625B2">
        <w:t xml:space="preserve"> </w:t>
      </w:r>
      <w:r w:rsidR="00061258" w:rsidRPr="002625B2">
        <w:t>T</w:t>
      </w:r>
      <w:r w:rsidR="00A50457" w:rsidRPr="002625B2">
        <w:t xml:space="preserve">here </w:t>
      </w:r>
      <w:r w:rsidR="009427D5" w:rsidRPr="002625B2">
        <w:t>were</w:t>
      </w:r>
      <w:r w:rsidR="00A50457" w:rsidRPr="002625B2">
        <w:t xml:space="preserve"> three underlying objecti</w:t>
      </w:r>
      <w:r w:rsidR="009427D5" w:rsidRPr="002625B2">
        <w:t>ves that the program was</w:t>
      </w:r>
      <w:r w:rsidR="00A50457" w:rsidRPr="002625B2">
        <w:t xml:space="preserve"> </w:t>
      </w:r>
      <w:r w:rsidR="009427D5" w:rsidRPr="002625B2">
        <w:t>intended</w:t>
      </w:r>
      <w:r w:rsidR="00A50457" w:rsidRPr="002625B2">
        <w:t xml:space="preserve"> to meet:</w:t>
      </w:r>
    </w:p>
    <w:p w14:paraId="0FA5C7ED" w14:textId="09B0BF78" w:rsidR="00A50457" w:rsidRPr="002625B2" w:rsidRDefault="00A50457" w:rsidP="0055333A">
      <w:pPr>
        <w:pStyle w:val="ListParagraph"/>
        <w:numPr>
          <w:ilvl w:val="0"/>
          <w:numId w:val="29"/>
        </w:numPr>
        <w:ind w:left="357" w:hanging="357"/>
        <w:contextualSpacing w:val="0"/>
      </w:pPr>
      <w:r w:rsidRPr="002625B2">
        <w:t xml:space="preserve">supporting business and job survival while </w:t>
      </w:r>
      <w:r w:rsidR="009427D5" w:rsidRPr="002625B2">
        <w:t xml:space="preserve">strong health restrictions were in place for an expected </w:t>
      </w:r>
      <w:r w:rsidR="008D36D7" w:rsidRPr="002625B2">
        <w:t>six</w:t>
      </w:r>
      <w:r w:rsidR="009427D5" w:rsidRPr="002625B2">
        <w:t xml:space="preserve"> months</w:t>
      </w:r>
      <w:r w:rsidRPr="002625B2">
        <w:t xml:space="preserve"> </w:t>
      </w:r>
    </w:p>
    <w:p w14:paraId="65F37CE0" w14:textId="77777777" w:rsidR="00042C43" w:rsidRPr="002625B2" w:rsidRDefault="009427D5" w:rsidP="0055333A">
      <w:pPr>
        <w:pStyle w:val="ListParagraph"/>
        <w:numPr>
          <w:ilvl w:val="0"/>
          <w:numId w:val="29"/>
        </w:numPr>
        <w:ind w:left="357" w:hanging="357"/>
        <w:contextualSpacing w:val="0"/>
      </w:pPr>
      <w:r w:rsidRPr="00397077">
        <w:rPr>
          <w:lang w:val="en"/>
        </w:rPr>
        <w:t>preserving the employment relationship between employers and their workforce</w:t>
      </w:r>
      <w:r w:rsidR="00026AC9" w:rsidRPr="00397077">
        <w:rPr>
          <w:lang w:val="en"/>
        </w:rPr>
        <w:t xml:space="preserve">, so that valuable organisational </w:t>
      </w:r>
      <w:r w:rsidR="00B5254A" w:rsidRPr="00397077">
        <w:rPr>
          <w:lang w:val="en"/>
        </w:rPr>
        <w:t xml:space="preserve">and intangible </w:t>
      </w:r>
      <w:r w:rsidR="00026AC9" w:rsidRPr="00397077">
        <w:rPr>
          <w:lang w:val="en"/>
        </w:rPr>
        <w:t>capital was not lost</w:t>
      </w:r>
    </w:p>
    <w:p w14:paraId="490A9CE7" w14:textId="525854D2" w:rsidR="00042C43" w:rsidRPr="002625B2" w:rsidRDefault="00026AC9" w:rsidP="0055333A">
      <w:pPr>
        <w:pStyle w:val="ListParagraph"/>
        <w:numPr>
          <w:ilvl w:val="0"/>
          <w:numId w:val="29"/>
        </w:numPr>
        <w:ind w:left="357" w:hanging="357"/>
        <w:contextualSpacing w:val="0"/>
      </w:pPr>
      <w:r w:rsidRPr="002625B2">
        <w:t>providing needed income support to business owners and their workforce.</w:t>
      </w:r>
    </w:p>
    <w:p w14:paraId="1A72D110" w14:textId="763AE1FC" w:rsidR="00026AC9" w:rsidRPr="002625B2" w:rsidRDefault="00026AC9" w:rsidP="0055333A">
      <w:r w:rsidRPr="002625B2">
        <w:t xml:space="preserve">Details of the eligibility requirements for employers and </w:t>
      </w:r>
      <w:r w:rsidR="0088271D">
        <w:t xml:space="preserve">workers </w:t>
      </w:r>
      <w:r w:rsidRPr="002625B2">
        <w:t xml:space="preserve">are set out in </w:t>
      </w:r>
      <w:r w:rsidRPr="002625B2">
        <w:rPr>
          <w:b/>
        </w:rPr>
        <w:t xml:space="preserve">Box </w:t>
      </w:r>
      <w:r w:rsidR="00062962" w:rsidRPr="002625B2">
        <w:rPr>
          <w:b/>
        </w:rPr>
        <w:t>2</w:t>
      </w:r>
      <w:r w:rsidRPr="002625B2">
        <w:t xml:space="preserve">. </w:t>
      </w:r>
      <w:r w:rsidR="0014439D" w:rsidRPr="002625B2">
        <w:t>Several</w:t>
      </w:r>
      <w:r w:rsidR="008A7CF0" w:rsidRPr="002625B2">
        <w:t xml:space="preserve"> features of the program rules </w:t>
      </w:r>
      <w:r w:rsidR="008947E4" w:rsidRPr="002625B2">
        <w:t>need to be spelt out</w:t>
      </w:r>
      <w:r w:rsidR="008A7CF0" w:rsidRPr="002625B2">
        <w:t>.</w:t>
      </w:r>
    </w:p>
    <w:p w14:paraId="29C44CDD" w14:textId="402232F0" w:rsidR="00DF70A4" w:rsidRPr="002625B2" w:rsidRDefault="00DF70A4" w:rsidP="0055333A">
      <w:r w:rsidRPr="002625B2">
        <w:t xml:space="preserve">First, the test of employer eligibility was based on a </w:t>
      </w:r>
      <w:r w:rsidR="006B0345" w:rsidRPr="002625B2">
        <w:t xml:space="preserve">threshold decline in actual or </w:t>
      </w:r>
      <w:r w:rsidR="006B0345" w:rsidRPr="002625B2">
        <w:rPr>
          <w:i/>
        </w:rPr>
        <w:t>projected</w:t>
      </w:r>
      <w:r w:rsidR="006B0345" w:rsidRPr="002625B2">
        <w:t xml:space="preserve"> turnover </w:t>
      </w:r>
      <w:r w:rsidRPr="002625B2">
        <w:t xml:space="preserve">(as the best standardised proxy for a decline in economic activity). </w:t>
      </w:r>
    </w:p>
    <w:p w14:paraId="21EC823C" w14:textId="2D865FBF" w:rsidR="00F73896" w:rsidRPr="00D00D86" w:rsidRDefault="00DF70A4" w:rsidP="0055333A">
      <w:pPr>
        <w:rPr>
          <w:b/>
          <w:szCs w:val="18"/>
        </w:rPr>
      </w:pPr>
      <w:r w:rsidRPr="002625B2">
        <w:t>Second, the payment is a flat rate of $1</w:t>
      </w:r>
      <w:r w:rsidR="00CF14A1" w:rsidRPr="002625B2">
        <w:t>,</w:t>
      </w:r>
      <w:r w:rsidRPr="002625B2">
        <w:t xml:space="preserve">500 per fortnight, irrespective of prior </w:t>
      </w:r>
      <w:r w:rsidR="008947E4" w:rsidRPr="002625B2">
        <w:t xml:space="preserve">or current </w:t>
      </w:r>
      <w:r w:rsidRPr="002625B2">
        <w:t>hours and earnings</w:t>
      </w:r>
      <w:r w:rsidR="005B7E1D" w:rsidRPr="002625B2">
        <w:t xml:space="preserve">. </w:t>
      </w:r>
      <w:r w:rsidR="008947E4" w:rsidRPr="002625B2">
        <w:t xml:space="preserve">The payment is </w:t>
      </w:r>
      <w:r w:rsidR="005B7E1D" w:rsidRPr="002625B2">
        <w:t xml:space="preserve">broadly equal with the </w:t>
      </w:r>
      <w:r w:rsidRPr="002625B2">
        <w:t>National Minimum Wage for an adult full</w:t>
      </w:r>
      <w:r w:rsidR="00DE2760">
        <w:noBreakHyphen/>
      </w:r>
      <w:r w:rsidRPr="002625B2">
        <w:t>time employee ($1</w:t>
      </w:r>
      <w:r w:rsidR="00D16A06" w:rsidRPr="002625B2">
        <w:t>,</w:t>
      </w:r>
      <w:r w:rsidR="008947E4" w:rsidRPr="002625B2">
        <w:t>48</w:t>
      </w:r>
      <w:r w:rsidR="001F02B4">
        <w:t>1.60</w:t>
      </w:r>
      <w:r w:rsidR="008947E4" w:rsidRPr="002625B2">
        <w:t xml:space="preserve"> per fortnight</w:t>
      </w:r>
      <w:r w:rsidR="00B55733">
        <w:t xml:space="preserve"> at the outset of JobKeeper</w:t>
      </w:r>
      <w:r w:rsidR="008947E4" w:rsidRPr="002625B2">
        <w:t>).</w:t>
      </w:r>
      <w:r w:rsidR="008947E4" w:rsidRPr="002625B2">
        <w:rPr>
          <w:rStyle w:val="FootnoteReference"/>
          <w:color w:val="000000" w:themeColor="text1"/>
        </w:rPr>
        <w:footnoteReference w:id="17"/>
      </w:r>
      <w:r w:rsidR="008947E4" w:rsidRPr="002625B2">
        <w:t xml:space="preserve"> That means</w:t>
      </w:r>
      <w:r w:rsidRPr="002625B2">
        <w:t xml:space="preserve"> many eligible part</w:t>
      </w:r>
      <w:r w:rsidR="00DE2760">
        <w:noBreakHyphen/>
      </w:r>
      <w:r w:rsidRPr="002625B2">
        <w:t xml:space="preserve">time employees, especially those paid at or near the hourly rate of the </w:t>
      </w:r>
      <w:r w:rsidR="00B55733">
        <w:t xml:space="preserve">National Minimum Wage </w:t>
      </w:r>
      <w:r w:rsidRPr="002625B2">
        <w:t>($19.49 per hour</w:t>
      </w:r>
      <w:r w:rsidR="00B55733">
        <w:t xml:space="preserve"> at the outset</w:t>
      </w:r>
      <w:r w:rsidRPr="002625B2">
        <w:t xml:space="preserve">), </w:t>
      </w:r>
      <w:r w:rsidR="008947E4" w:rsidRPr="002625B2">
        <w:t>are earning</w:t>
      </w:r>
      <w:r w:rsidRPr="002625B2">
        <w:t xml:space="preserve"> in excess of their regular pay </w:t>
      </w:r>
      <w:r w:rsidRPr="002625B2">
        <w:rPr>
          <w:i/>
        </w:rPr>
        <w:t xml:space="preserve">in that </w:t>
      </w:r>
      <w:r w:rsidRPr="002625B2">
        <w:rPr>
          <w:i/>
        </w:rPr>
        <w:lastRenderedPageBreak/>
        <w:t>job</w:t>
      </w:r>
      <w:r w:rsidRPr="002625B2">
        <w:t xml:space="preserve">. </w:t>
      </w:r>
      <w:r w:rsidR="00D0783E" w:rsidRPr="002625B2">
        <w:t>O</w:t>
      </w:r>
      <w:r w:rsidRPr="002625B2">
        <w:t xml:space="preserve">ffsetting this effect is that multiple job holders </w:t>
      </w:r>
      <w:r w:rsidR="007C6339" w:rsidRPr="002625B2">
        <w:t>can only receive the JobKeeper P</w:t>
      </w:r>
      <w:r w:rsidRPr="002625B2">
        <w:t>ayment from a single employer.</w:t>
      </w:r>
      <w:bookmarkStart w:id="280" w:name="_Toc43388923"/>
      <w:bookmarkStart w:id="281" w:name="_Toc43388970"/>
      <w:bookmarkStart w:id="282" w:name="_Toc43389597"/>
      <w:bookmarkStart w:id="283" w:name="_Toc43462897"/>
      <w:bookmarkStart w:id="284" w:name="_Toc43466277"/>
      <w:bookmarkStart w:id="285" w:name="_Toc43469269"/>
      <w:bookmarkStart w:id="286" w:name="_Toc43469664"/>
      <w:bookmarkStart w:id="287" w:name="_Toc43469940"/>
      <w:bookmarkStart w:id="288" w:name="_Toc43469954"/>
      <w:bookmarkStart w:id="289" w:name="_Toc43729201"/>
      <w:bookmarkStart w:id="290" w:name="_Toc43730789"/>
      <w:bookmarkStart w:id="291" w:name="_Toc43731567"/>
      <w:bookmarkStart w:id="292" w:name="_Toc43732039"/>
      <w:bookmarkStart w:id="293" w:name="_Toc43733857"/>
      <w:bookmarkStart w:id="294" w:name="_Toc43734759"/>
      <w:bookmarkStart w:id="295" w:name="_Toc43738738"/>
      <w:bookmarkStart w:id="296" w:name="_Toc437430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DED"/>
        <w:tblCellMar>
          <w:top w:w="142" w:type="dxa"/>
          <w:left w:w="198" w:type="dxa"/>
          <w:bottom w:w="142" w:type="dxa"/>
          <w:right w:w="198" w:type="dxa"/>
        </w:tblCellMar>
        <w:tblLook w:val="04A0" w:firstRow="1" w:lastRow="0" w:firstColumn="1" w:lastColumn="0" w:noHBand="0" w:noVBand="1"/>
      </w:tblPr>
      <w:tblGrid>
        <w:gridCol w:w="8494"/>
      </w:tblGrid>
      <w:tr w:rsidR="00086E40" w14:paraId="0DEBBE6A" w14:textId="77777777" w:rsidTr="0055333A">
        <w:tc>
          <w:tcPr>
            <w:tcW w:w="8494" w:type="dxa"/>
            <w:shd w:val="clear" w:color="auto" w:fill="E5EDED"/>
          </w:tcPr>
          <w:p w14:paraId="4A804C6A" w14:textId="77777777" w:rsidR="00086E40" w:rsidRPr="00DE2760" w:rsidRDefault="00086E40" w:rsidP="00DE2760">
            <w:pPr>
              <w:pStyle w:val="Boxheading"/>
            </w:pPr>
            <w:bookmarkStart w:id="297" w:name="_Toc43996223"/>
            <w:bookmarkStart w:id="298" w:name="_Toc43998482"/>
            <w:bookmarkStart w:id="299" w:name="_Toc43998409"/>
            <w:bookmarkStart w:id="300" w:name="_Toc44069931"/>
            <w:bookmarkStart w:id="301" w:name="_Toc44071335"/>
            <w:bookmarkStart w:id="302" w:name="_Toc44073459"/>
            <w:bookmarkStart w:id="303" w:name="_Toc44074599"/>
            <w:bookmarkStart w:id="304" w:name="_Toc44079488"/>
            <w:bookmarkStart w:id="305" w:name="_Toc44079783"/>
            <w:bookmarkStart w:id="306" w:name="_Toc44079918"/>
            <w:bookmarkStart w:id="307" w:name="_Toc44319829"/>
            <w:bookmarkStart w:id="308" w:name="_Toc44321537"/>
            <w:bookmarkStart w:id="309" w:name="_Toc44323704"/>
            <w:bookmarkStart w:id="310" w:name="_Toc44326167"/>
            <w:bookmarkStart w:id="311" w:name="_Toc44330489"/>
            <w:bookmarkStart w:id="312" w:name="_Toc44330731"/>
            <w:bookmarkStart w:id="313" w:name="_Toc44333163"/>
            <w:bookmarkStart w:id="314" w:name="_Toc44334794"/>
            <w:r w:rsidRPr="00DE2760">
              <w:t>Box 2: Key design features of the JobKeeper Payment</w:t>
            </w:r>
          </w:p>
          <w:p w14:paraId="37005739" w14:textId="400873FD" w:rsidR="00086E40" w:rsidRPr="00D00D86" w:rsidRDefault="00086E40" w:rsidP="0055333A">
            <w:pPr>
              <w:spacing w:after="200" w:line="259" w:lineRule="auto"/>
              <w:rPr>
                <w:color w:val="000000" w:themeColor="text1"/>
              </w:rPr>
            </w:pPr>
            <w:r w:rsidRPr="00D00D86">
              <w:rPr>
                <w:b/>
                <w:color w:val="000000" w:themeColor="text1"/>
              </w:rPr>
              <w:t>Payment level</w:t>
            </w:r>
            <w:r w:rsidR="00DE2760">
              <w:rPr>
                <w:color w:val="000000" w:themeColor="text1"/>
              </w:rPr>
              <w:t xml:space="preserve"> — </w:t>
            </w:r>
            <w:r w:rsidRPr="00D00D86">
              <w:rPr>
                <w:color w:val="000000" w:themeColor="text1"/>
              </w:rPr>
              <w:t>A flat payment of $1,500 per fortnight, before tax, paid in full to eligible employees</w:t>
            </w:r>
            <w:r w:rsidR="00972348">
              <w:rPr>
                <w:color w:val="000000" w:themeColor="text1"/>
              </w:rPr>
              <w:t xml:space="preserve"> and other </w:t>
            </w:r>
            <w:r w:rsidR="000C14F3">
              <w:rPr>
                <w:color w:val="000000" w:themeColor="text1"/>
              </w:rPr>
              <w:t>individual</w:t>
            </w:r>
            <w:r w:rsidR="00972348">
              <w:rPr>
                <w:color w:val="000000" w:themeColor="text1"/>
              </w:rPr>
              <w:t>s</w:t>
            </w:r>
            <w:r w:rsidRPr="00D00D86">
              <w:rPr>
                <w:color w:val="000000" w:themeColor="text1"/>
              </w:rPr>
              <w:t xml:space="preserve">. </w:t>
            </w:r>
            <w:r w:rsidR="00972348">
              <w:rPr>
                <w:color w:val="000000" w:themeColor="text1"/>
              </w:rPr>
              <w:t xml:space="preserve">Workers </w:t>
            </w:r>
            <w:r w:rsidRPr="00D00D86">
              <w:rPr>
                <w:color w:val="000000" w:themeColor="text1"/>
              </w:rPr>
              <w:t xml:space="preserve">must be paid at least the minimum amount of $1,500, with employers </w:t>
            </w:r>
            <w:r w:rsidR="00DE2760">
              <w:rPr>
                <w:color w:val="000000" w:themeColor="text1"/>
              </w:rPr>
              <w:t>‘</w:t>
            </w:r>
            <w:r w:rsidRPr="00D00D86">
              <w:rPr>
                <w:color w:val="000000" w:themeColor="text1"/>
              </w:rPr>
              <w:t>topping up</w:t>
            </w:r>
            <w:r w:rsidR="00DE2760">
              <w:rPr>
                <w:color w:val="000000" w:themeColor="text1"/>
              </w:rPr>
              <w:t>’</w:t>
            </w:r>
            <w:r w:rsidRPr="00D00D86">
              <w:rPr>
                <w:color w:val="000000" w:themeColor="text1"/>
              </w:rPr>
              <w:t xml:space="preserve"> payments to their employees consistent with regular pay arrangements. By comparison, the National Minimum Wage at the time of the JobKeeper Payment announcement was $740.80 per 38</w:t>
            </w:r>
            <w:r w:rsidR="00DE2760">
              <w:rPr>
                <w:color w:val="000000" w:themeColor="text1"/>
              </w:rPr>
              <w:noBreakHyphen/>
            </w:r>
            <w:r w:rsidRPr="00D00D86">
              <w:rPr>
                <w:color w:val="000000" w:themeColor="text1"/>
              </w:rPr>
              <w:t>hour week or $1,481.60 per fortnight</w:t>
            </w:r>
            <w:r w:rsidR="00B55733">
              <w:rPr>
                <w:color w:val="000000" w:themeColor="text1"/>
              </w:rPr>
              <w:t>.</w:t>
            </w:r>
          </w:p>
          <w:p w14:paraId="231F01F2" w14:textId="5427E004" w:rsidR="00086E40" w:rsidRPr="00D00D86" w:rsidRDefault="00086E40" w:rsidP="0055333A">
            <w:pPr>
              <w:spacing w:after="200" w:line="259" w:lineRule="auto"/>
              <w:rPr>
                <w:color w:val="000000" w:themeColor="text1"/>
              </w:rPr>
            </w:pPr>
            <w:r w:rsidRPr="00D00D86">
              <w:rPr>
                <w:b/>
                <w:color w:val="000000" w:themeColor="text1"/>
              </w:rPr>
              <w:t>Duration</w:t>
            </w:r>
            <w:r w:rsidR="00DE2760">
              <w:rPr>
                <w:color w:val="000000" w:themeColor="text1"/>
              </w:rPr>
              <w:t xml:space="preserve"> — </w:t>
            </w:r>
            <w:r w:rsidRPr="00D00D86">
              <w:rPr>
                <w:color w:val="000000" w:themeColor="text1"/>
              </w:rPr>
              <w:t>The payment is made available in respect of wages paid from 30 March 2020 and is scheduled to conclude on 27 September 2020, with payments assessed across fortnightly periods.</w:t>
            </w:r>
          </w:p>
          <w:p w14:paraId="779A6B64" w14:textId="583BD23B" w:rsidR="00086E40" w:rsidRPr="00D00D86" w:rsidRDefault="00086E40" w:rsidP="0055333A">
            <w:pPr>
              <w:spacing w:after="200" w:line="259" w:lineRule="auto"/>
              <w:rPr>
                <w:color w:val="000000" w:themeColor="text1"/>
              </w:rPr>
            </w:pPr>
            <w:r w:rsidRPr="00D00D86">
              <w:rPr>
                <w:b/>
                <w:color w:val="000000" w:themeColor="text1"/>
              </w:rPr>
              <w:t>Employer eligibility</w:t>
            </w:r>
            <w:r w:rsidR="00DE2760">
              <w:rPr>
                <w:color w:val="000000" w:themeColor="text1"/>
              </w:rPr>
              <w:t xml:space="preserve"> — </w:t>
            </w:r>
            <w:r w:rsidRPr="00D00D86">
              <w:rPr>
                <w:color w:val="000000" w:themeColor="text1"/>
              </w:rPr>
              <w:t xml:space="preserve">Employers are required to determine if they will suffer a decline in turnover for a month or quarter during the program compared with a similar </w:t>
            </w:r>
            <w:r>
              <w:rPr>
                <w:color w:val="000000" w:themeColor="text1"/>
              </w:rPr>
              <w:t>period in 2019 (or meet an alternative test)</w:t>
            </w:r>
            <w:r w:rsidRPr="00D00D86">
              <w:rPr>
                <w:color w:val="000000" w:themeColor="text1"/>
              </w:rPr>
              <w:t>. Different threshold rates of decline apply depending on entity size and type</w:t>
            </w:r>
            <w:r w:rsidR="00DE2760">
              <w:rPr>
                <w:color w:val="000000" w:themeColor="text1"/>
              </w:rPr>
              <w:t xml:space="preserve"> — </w:t>
            </w:r>
            <w:r w:rsidRPr="00D00D86">
              <w:rPr>
                <w:color w:val="000000" w:themeColor="text1"/>
              </w:rPr>
              <w:t xml:space="preserve">over 15, 30 or 50 per cent depending on whether a charity, a business with $1 billion or less in annual turnover, or a business with more than $1 billion in turnover, respectively. A range of organisations were determined ineligible, such as government entities. The program remains open to organisations that meet </w:t>
            </w:r>
            <w:r w:rsidR="0055333A">
              <w:rPr>
                <w:color w:val="000000" w:themeColor="text1"/>
              </w:rPr>
              <w:t>the eligibility criteria at any </w:t>
            </w:r>
            <w:r w:rsidRPr="00D00D86">
              <w:rPr>
                <w:color w:val="000000" w:themeColor="text1"/>
              </w:rPr>
              <w:t>time.</w:t>
            </w:r>
          </w:p>
          <w:p w14:paraId="7A16CA4B" w14:textId="7F04D550" w:rsidR="00086E40" w:rsidRPr="00D00D86" w:rsidRDefault="0088271D" w:rsidP="0055333A">
            <w:pPr>
              <w:spacing w:after="200" w:line="259" w:lineRule="auto"/>
              <w:rPr>
                <w:color w:val="000000" w:themeColor="text1"/>
              </w:rPr>
            </w:pPr>
            <w:r>
              <w:rPr>
                <w:b/>
                <w:color w:val="000000" w:themeColor="text1"/>
              </w:rPr>
              <w:t xml:space="preserve">Worker </w:t>
            </w:r>
            <w:r w:rsidR="00086E40" w:rsidRPr="00D00D86">
              <w:rPr>
                <w:b/>
                <w:color w:val="000000" w:themeColor="text1"/>
              </w:rPr>
              <w:t>eligibility</w:t>
            </w:r>
            <w:r w:rsidR="00DE2760">
              <w:rPr>
                <w:color w:val="000000" w:themeColor="text1"/>
              </w:rPr>
              <w:t xml:space="preserve"> — </w:t>
            </w:r>
            <w:r w:rsidR="00086E40" w:rsidRPr="00D00D86">
              <w:rPr>
                <w:color w:val="000000" w:themeColor="text1"/>
              </w:rPr>
              <w:t>Eligible employees include full</w:t>
            </w:r>
            <w:r w:rsidR="00DE2760">
              <w:rPr>
                <w:color w:val="000000" w:themeColor="text1"/>
              </w:rPr>
              <w:noBreakHyphen/>
            </w:r>
            <w:r w:rsidR="00086E40" w:rsidRPr="00D00D86">
              <w:rPr>
                <w:color w:val="000000" w:themeColor="text1"/>
              </w:rPr>
              <w:t>time, part</w:t>
            </w:r>
            <w:r w:rsidR="00DE2760">
              <w:rPr>
                <w:color w:val="000000" w:themeColor="text1"/>
              </w:rPr>
              <w:noBreakHyphen/>
            </w:r>
            <w:r w:rsidR="00086E40" w:rsidRPr="00D00D86">
              <w:rPr>
                <w:color w:val="000000" w:themeColor="text1"/>
              </w:rPr>
              <w:t>time, and casual employees who have been employed on a regular and systematic</w:t>
            </w:r>
            <w:r w:rsidR="001818DF">
              <w:rPr>
                <w:color w:val="000000" w:themeColor="text1"/>
              </w:rPr>
              <w:t xml:space="preserve"> basis for at least 12 </w:t>
            </w:r>
            <w:r w:rsidR="00086E40" w:rsidRPr="00D00D86">
              <w:rPr>
                <w:color w:val="000000" w:themeColor="text1"/>
              </w:rPr>
              <w:t xml:space="preserve">months, including stood down employees. </w:t>
            </w:r>
            <w:r w:rsidR="00CC7B64">
              <w:rPr>
                <w:color w:val="000000" w:themeColor="text1"/>
              </w:rPr>
              <w:t xml:space="preserve">People </w:t>
            </w:r>
            <w:r w:rsidR="00086E40" w:rsidRPr="00D00D86">
              <w:rPr>
                <w:color w:val="000000" w:themeColor="text1"/>
              </w:rPr>
              <w:t>must</w:t>
            </w:r>
            <w:r w:rsidR="00DE2760">
              <w:rPr>
                <w:color w:val="000000" w:themeColor="text1"/>
              </w:rPr>
              <w:t xml:space="preserve"> be Australian residents or New </w:t>
            </w:r>
            <w:r w:rsidR="00086E40" w:rsidRPr="00D00D86">
              <w:rPr>
                <w:color w:val="000000" w:themeColor="text1"/>
              </w:rPr>
              <w:t>Zealanders on Special Category 444 visas, aged at least 18 in most cases,</w:t>
            </w:r>
            <w:r w:rsidR="00086E40" w:rsidRPr="00D00D86">
              <w:rPr>
                <w:rStyle w:val="FootnoteReference"/>
                <w:color w:val="000000" w:themeColor="text1"/>
              </w:rPr>
              <w:footnoteReference w:id="18"/>
            </w:r>
            <w:r w:rsidR="00086E40" w:rsidRPr="00D00D86">
              <w:rPr>
                <w:color w:val="000000" w:themeColor="text1"/>
              </w:rPr>
              <w:t xml:space="preserve"> and on the payroll as of 1</w:t>
            </w:r>
            <w:r w:rsidR="00CC7B64">
              <w:rPr>
                <w:color w:val="000000" w:themeColor="text1"/>
              </w:rPr>
              <w:t> </w:t>
            </w:r>
            <w:r w:rsidR="00086E40" w:rsidRPr="00D00D86">
              <w:rPr>
                <w:color w:val="000000" w:themeColor="text1"/>
              </w:rPr>
              <w:t>March 2020 (</w:t>
            </w:r>
            <w:r w:rsidR="00086E40">
              <w:rPr>
                <w:color w:val="000000" w:themeColor="text1"/>
              </w:rPr>
              <w:t>and</w:t>
            </w:r>
            <w:r w:rsidR="00086E40" w:rsidRPr="00D00D86">
              <w:rPr>
                <w:color w:val="000000" w:themeColor="text1"/>
              </w:rPr>
              <w:t xml:space="preserve"> 1</w:t>
            </w:r>
            <w:r w:rsidR="00CC7B64">
              <w:rPr>
                <w:color w:val="000000" w:themeColor="text1"/>
              </w:rPr>
              <w:t> </w:t>
            </w:r>
            <w:r w:rsidR="00086E40" w:rsidRPr="00D00D86">
              <w:rPr>
                <w:color w:val="000000" w:themeColor="text1"/>
              </w:rPr>
              <w:t xml:space="preserve">March 2019 for casuals). Some individuals may be entitled to JobKeeper as an eligible business participant, such as sole traders. All eligible employees in a participating organisation </w:t>
            </w:r>
            <w:r w:rsidR="00CC7B64">
              <w:rPr>
                <w:color w:val="000000" w:themeColor="text1"/>
              </w:rPr>
              <w:t xml:space="preserve">are </w:t>
            </w:r>
            <w:r w:rsidR="00086E40" w:rsidRPr="00D00D86">
              <w:rPr>
                <w:color w:val="000000" w:themeColor="text1"/>
              </w:rPr>
              <w:t xml:space="preserve">to be covered. </w:t>
            </w:r>
          </w:p>
          <w:p w14:paraId="75DBD79E" w14:textId="533D6099" w:rsidR="00086E40" w:rsidRPr="0055333A" w:rsidRDefault="00086E40" w:rsidP="0055333A">
            <w:pPr>
              <w:spacing w:after="200" w:line="259" w:lineRule="auto"/>
              <w:rPr>
                <w:color w:val="000000" w:themeColor="text1"/>
              </w:rPr>
            </w:pPr>
            <w:r w:rsidRPr="00D00D86">
              <w:rPr>
                <w:b/>
                <w:color w:val="000000" w:themeColor="text1"/>
              </w:rPr>
              <w:t>Delivery</w:t>
            </w:r>
            <w:r w:rsidR="00DE2760">
              <w:rPr>
                <w:color w:val="000000" w:themeColor="text1"/>
              </w:rPr>
              <w:t xml:space="preserve"> — </w:t>
            </w:r>
            <w:r w:rsidRPr="00D00D86">
              <w:rPr>
                <w:color w:val="000000" w:themeColor="text1"/>
              </w:rPr>
              <w:t xml:space="preserve">Employers are to pay their employees for each JobKeeper fortnight they plan to claim. The JobKeeper Payment is made to employers based on a monthly cycle, in arrears, delivered through the ATO upon application and subject to the employer meeting the eligibility criteria. Existing channels for business–ATO engagement were used to assist delivery and administration of the new program wherever possible. </w:t>
            </w:r>
          </w:p>
        </w:tc>
      </w:tr>
    </w:tbl>
    <w:p w14:paraId="70042680" w14:textId="0D0C763D" w:rsidR="0055333A" w:rsidRDefault="0055333A"/>
    <w:p w14:paraId="3220CA78" w14:textId="77777777" w:rsidR="00D31318" w:rsidRDefault="00D313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DED"/>
        <w:tblCellMar>
          <w:top w:w="142" w:type="dxa"/>
          <w:left w:w="198" w:type="dxa"/>
          <w:bottom w:w="142" w:type="dxa"/>
          <w:right w:w="198" w:type="dxa"/>
        </w:tblCellMar>
        <w:tblLook w:val="04A0" w:firstRow="1" w:lastRow="0" w:firstColumn="1" w:lastColumn="0" w:noHBand="0" w:noVBand="1"/>
      </w:tblPr>
      <w:tblGrid>
        <w:gridCol w:w="8494"/>
      </w:tblGrid>
      <w:tr w:rsidR="0055333A" w14:paraId="58EA2ECD" w14:textId="77777777" w:rsidTr="0055333A">
        <w:tc>
          <w:tcPr>
            <w:tcW w:w="8494" w:type="dxa"/>
            <w:shd w:val="clear" w:color="auto" w:fill="E5EDED"/>
          </w:tcPr>
          <w:p w14:paraId="48D6AF9D" w14:textId="08E11410" w:rsidR="0055333A" w:rsidRPr="00D00D86" w:rsidRDefault="0055333A" w:rsidP="0055333A">
            <w:pPr>
              <w:spacing w:after="200" w:line="259" w:lineRule="auto"/>
              <w:rPr>
                <w:color w:val="000000" w:themeColor="text1"/>
              </w:rPr>
            </w:pPr>
            <w:r w:rsidRPr="00D00D86">
              <w:rPr>
                <w:color w:val="000000" w:themeColor="text1"/>
              </w:rPr>
              <w:lastRenderedPageBreak/>
              <w:t>Employers were advised to express their interest in the program via an online form from 30 March 2020. Employer en</w:t>
            </w:r>
            <w:r w:rsidR="00972348">
              <w:rPr>
                <w:color w:val="000000" w:themeColor="text1"/>
              </w:rPr>
              <w:t>rolment commenced on 20 April. From 4 May</w:t>
            </w:r>
            <w:r w:rsidRPr="00D00D86">
              <w:rPr>
                <w:color w:val="000000" w:themeColor="text1"/>
              </w:rPr>
              <w:t xml:space="preserve">, businesses lodged declarations in respect of JobKeeper Payments made to eligible </w:t>
            </w:r>
            <w:r w:rsidR="008A14F1">
              <w:rPr>
                <w:color w:val="000000" w:themeColor="text1"/>
              </w:rPr>
              <w:t>individuals</w:t>
            </w:r>
            <w:r w:rsidRPr="00D00D86">
              <w:rPr>
                <w:color w:val="000000" w:themeColor="text1"/>
              </w:rPr>
              <w:t>, with payments flowing to businesses for April JobKeeper fortnights from that week. A declaration is required each month for a business to claim payments for the previous month, including confirmation of the nomina</w:t>
            </w:r>
            <w:r>
              <w:rPr>
                <w:color w:val="000000" w:themeColor="text1"/>
              </w:rPr>
              <w:t>ted eligible employees for that </w:t>
            </w:r>
            <w:r w:rsidRPr="00D00D86">
              <w:rPr>
                <w:color w:val="000000" w:themeColor="text1"/>
              </w:rPr>
              <w:t xml:space="preserve">month. </w:t>
            </w:r>
          </w:p>
          <w:p w14:paraId="3D6B5009" w14:textId="6F1C05DB" w:rsidR="0055333A" w:rsidRPr="00DE2760" w:rsidRDefault="0055333A" w:rsidP="0055333A">
            <w:r w:rsidRPr="00D00D86">
              <w:t xml:space="preserve">Further details of the JobKeeper Payment can be found at: </w:t>
            </w:r>
            <w:r>
              <w:br/>
            </w:r>
            <w:hyperlink r:id="rId19" w:history="1">
              <w:r w:rsidRPr="00AF0BE1">
                <w:rPr>
                  <w:rStyle w:val="Hyperlink"/>
                  <w:color w:val="000000" w:themeColor="text1"/>
                </w:rPr>
                <w:t>www.ato.gov.au/general/JobKeeper</w:t>
              </w:r>
              <w:r>
                <w:rPr>
                  <w:rStyle w:val="Hyperlink"/>
                  <w:color w:val="000000" w:themeColor="text1"/>
                </w:rPr>
                <w:noBreakHyphen/>
              </w:r>
              <w:r w:rsidRPr="00AF0BE1">
                <w:rPr>
                  <w:rStyle w:val="Hyperlink"/>
                  <w:color w:val="000000" w:themeColor="text1"/>
                </w:rPr>
                <w:t>Payment</w:t>
              </w:r>
            </w:hyperlink>
          </w:p>
        </w:tc>
      </w:t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tbl>
    <w:p w14:paraId="0E667FAC" w14:textId="116D5313" w:rsidR="00F73896" w:rsidRPr="005B6873" w:rsidRDefault="00F73896" w:rsidP="005B6873"/>
    <w:p w14:paraId="03B18C97" w14:textId="3D5E1E38" w:rsidR="00F73896" w:rsidRPr="00D00D86" w:rsidRDefault="00F73896" w:rsidP="0055333A">
      <w:pPr>
        <w:spacing w:after="200"/>
        <w:rPr>
          <w:color w:val="000000" w:themeColor="text1"/>
        </w:rPr>
      </w:pPr>
      <w:r w:rsidRPr="00D00D86">
        <w:rPr>
          <w:color w:val="000000" w:themeColor="text1"/>
        </w:rPr>
        <w:t xml:space="preserve">Third, the anchor point of 1 March 2020 for determining </w:t>
      </w:r>
      <w:r w:rsidR="00672F99">
        <w:rPr>
          <w:color w:val="000000" w:themeColor="text1"/>
        </w:rPr>
        <w:t xml:space="preserve">worker </w:t>
      </w:r>
      <w:r w:rsidRPr="00D00D86">
        <w:rPr>
          <w:color w:val="000000" w:themeColor="text1"/>
        </w:rPr>
        <w:t xml:space="preserve">eligibility </w:t>
      </w:r>
      <w:r w:rsidR="00D44691" w:rsidRPr="00D00D86">
        <w:rPr>
          <w:color w:val="000000" w:themeColor="text1"/>
        </w:rPr>
        <w:t xml:space="preserve">was introduced to ensure the integrity of the program and limit gaming by </w:t>
      </w:r>
      <w:r w:rsidR="00632377" w:rsidRPr="00D00D86">
        <w:rPr>
          <w:color w:val="000000" w:themeColor="text1"/>
        </w:rPr>
        <w:t>employers. Having</w:t>
      </w:r>
      <w:r w:rsidR="00D44691" w:rsidRPr="00D00D86">
        <w:rPr>
          <w:color w:val="000000" w:themeColor="text1"/>
        </w:rPr>
        <w:t xml:space="preserve"> this anchor </w:t>
      </w:r>
      <w:r w:rsidRPr="00D00D86">
        <w:rPr>
          <w:color w:val="000000" w:themeColor="text1"/>
        </w:rPr>
        <w:t>means that over time the preservation of the employment relationship increasingly weighs against the normal dynamism of people moving from job to job in search of better opportunities, as the subsidy only applies to that one relationship and is not transferable across parties.</w:t>
      </w:r>
    </w:p>
    <w:p w14:paraId="0D7F666A" w14:textId="71082633" w:rsidR="00F73896" w:rsidRPr="00D00D86" w:rsidRDefault="00F73896" w:rsidP="0055333A">
      <w:pPr>
        <w:keepNext/>
        <w:spacing w:after="200"/>
        <w:rPr>
          <w:color w:val="000000" w:themeColor="text1"/>
        </w:rPr>
      </w:pPr>
      <w:r w:rsidRPr="00D00D86">
        <w:rPr>
          <w:color w:val="000000" w:themeColor="text1"/>
        </w:rPr>
        <w:t>Finally, JobKeeper is often characterised as a wage subsidy program, but in fact it is a mixture of wage subsidies and income transfer payments, depending upon the circums</w:t>
      </w:r>
      <w:r w:rsidR="008947E4" w:rsidRPr="00D00D86">
        <w:rPr>
          <w:color w:val="000000" w:themeColor="text1"/>
        </w:rPr>
        <w:t>tances of individual recipients</w:t>
      </w:r>
      <w:r w:rsidRPr="00D00D86">
        <w:rPr>
          <w:color w:val="000000" w:themeColor="text1"/>
        </w:rPr>
        <w:t>.</w:t>
      </w:r>
      <w:r w:rsidR="00D0783E" w:rsidRPr="00D00D86">
        <w:rPr>
          <w:color w:val="000000" w:themeColor="text1"/>
        </w:rPr>
        <w:t xml:space="preserve"> JobKeeper was designed to operate in tandem with JobSeeker </w:t>
      </w:r>
      <w:r w:rsidR="002F0BD7" w:rsidRPr="00D00D86">
        <w:rPr>
          <w:color w:val="000000" w:themeColor="text1"/>
        </w:rPr>
        <w:t>in providing enhanced income support to individuals according to their circumstances</w:t>
      </w:r>
      <w:r w:rsidR="00411A37" w:rsidRPr="00D00D86">
        <w:rPr>
          <w:color w:val="000000" w:themeColor="text1"/>
        </w:rPr>
        <w:t>.</w:t>
      </w:r>
    </w:p>
    <w:p w14:paraId="2BDCAA53" w14:textId="0F9EE98D" w:rsidR="00D636AC" w:rsidRPr="00D00D86" w:rsidRDefault="00D636AC" w:rsidP="0055333A">
      <w:pPr>
        <w:spacing w:after="200"/>
        <w:rPr>
          <w:color w:val="000000" w:themeColor="text1"/>
        </w:rPr>
      </w:pPr>
      <w:r w:rsidRPr="00D00D86">
        <w:rPr>
          <w:b/>
          <w:color w:val="000000" w:themeColor="text1"/>
        </w:rPr>
        <w:t xml:space="preserve">Figure </w:t>
      </w:r>
      <w:r w:rsidR="003E37AD" w:rsidRPr="00D00D86">
        <w:rPr>
          <w:b/>
          <w:color w:val="000000" w:themeColor="text1"/>
        </w:rPr>
        <w:t>1</w:t>
      </w:r>
      <w:r w:rsidRPr="00D00D86">
        <w:rPr>
          <w:color w:val="000000" w:themeColor="text1"/>
        </w:rPr>
        <w:t xml:space="preserve"> presents </w:t>
      </w:r>
      <w:r w:rsidR="00E45ECC" w:rsidRPr="00D00D86">
        <w:rPr>
          <w:color w:val="000000" w:themeColor="text1"/>
        </w:rPr>
        <w:t xml:space="preserve">three </w:t>
      </w:r>
      <w:r w:rsidRPr="00D00D86">
        <w:rPr>
          <w:color w:val="000000" w:themeColor="text1"/>
        </w:rPr>
        <w:t xml:space="preserve">stylised examples of </w:t>
      </w:r>
      <w:r w:rsidR="00E04B52">
        <w:rPr>
          <w:color w:val="000000" w:themeColor="text1"/>
        </w:rPr>
        <w:t xml:space="preserve">individual </w:t>
      </w:r>
      <w:r w:rsidRPr="00D00D86">
        <w:rPr>
          <w:color w:val="000000" w:themeColor="text1"/>
        </w:rPr>
        <w:t>JobKeeper recipients. The first is a lower</w:t>
      </w:r>
      <w:r w:rsidR="00131B45" w:rsidRPr="00D00D86">
        <w:rPr>
          <w:color w:val="000000" w:themeColor="text1"/>
        </w:rPr>
        <w:t xml:space="preserve"> </w:t>
      </w:r>
      <w:r w:rsidRPr="00D00D86">
        <w:rPr>
          <w:color w:val="000000" w:themeColor="text1"/>
        </w:rPr>
        <w:t xml:space="preserve">paid employee who, </w:t>
      </w:r>
      <w:r w:rsidR="00632377" w:rsidRPr="00D00D86">
        <w:rPr>
          <w:color w:val="000000" w:themeColor="text1"/>
        </w:rPr>
        <w:t>prior to 1 March, was earning $1</w:t>
      </w:r>
      <w:r w:rsidR="006835AD" w:rsidRPr="00D00D86">
        <w:rPr>
          <w:color w:val="000000" w:themeColor="text1"/>
        </w:rPr>
        <w:t>,</w:t>
      </w:r>
      <w:r w:rsidR="00632377" w:rsidRPr="00D00D86">
        <w:rPr>
          <w:color w:val="000000" w:themeColor="text1"/>
        </w:rPr>
        <w:t>0</w:t>
      </w:r>
      <w:r w:rsidRPr="00D00D86">
        <w:rPr>
          <w:color w:val="000000" w:themeColor="text1"/>
        </w:rPr>
        <w:t>00 per fortnight in a part</w:t>
      </w:r>
      <w:r w:rsidR="00DE2760">
        <w:rPr>
          <w:color w:val="000000" w:themeColor="text1"/>
        </w:rPr>
        <w:noBreakHyphen/>
      </w:r>
      <w:r w:rsidRPr="00D00D86">
        <w:rPr>
          <w:color w:val="000000" w:themeColor="text1"/>
        </w:rPr>
        <w:t>time or casual job. They</w:t>
      </w:r>
      <w:r w:rsidR="00601175">
        <w:rPr>
          <w:color w:val="000000" w:themeColor="text1"/>
        </w:rPr>
        <w:t> </w:t>
      </w:r>
      <w:r w:rsidRPr="00D00D86">
        <w:rPr>
          <w:color w:val="000000" w:themeColor="text1"/>
        </w:rPr>
        <w:t>now receive $1</w:t>
      </w:r>
      <w:r w:rsidR="009C5CB4" w:rsidRPr="00D00D86">
        <w:rPr>
          <w:color w:val="000000" w:themeColor="text1"/>
        </w:rPr>
        <w:t>,</w:t>
      </w:r>
      <w:r w:rsidR="00632377" w:rsidRPr="00D00D86">
        <w:rPr>
          <w:color w:val="000000" w:themeColor="text1"/>
        </w:rPr>
        <w:t>500 per fortnight, of which $5</w:t>
      </w:r>
      <w:r w:rsidRPr="00D00D86">
        <w:rPr>
          <w:color w:val="000000" w:themeColor="text1"/>
        </w:rPr>
        <w:t xml:space="preserve">00 is </w:t>
      </w:r>
      <w:r w:rsidR="003A489A" w:rsidRPr="00D00D86">
        <w:rPr>
          <w:color w:val="000000" w:themeColor="text1"/>
        </w:rPr>
        <w:t xml:space="preserve">effectively </w:t>
      </w:r>
      <w:r w:rsidRPr="00D00D86">
        <w:rPr>
          <w:color w:val="000000" w:themeColor="text1"/>
        </w:rPr>
        <w:t xml:space="preserve">a direct income transfer. The employer benefit, the subsidised wage component, comes from the </w:t>
      </w:r>
      <w:r w:rsidR="007C6339" w:rsidRPr="00D00D86">
        <w:rPr>
          <w:color w:val="000000" w:themeColor="text1"/>
        </w:rPr>
        <w:t>G</w:t>
      </w:r>
      <w:r w:rsidR="00632377" w:rsidRPr="00D00D86">
        <w:rPr>
          <w:color w:val="000000" w:themeColor="text1"/>
        </w:rPr>
        <w:t>overnment fully covering the $1</w:t>
      </w:r>
      <w:r w:rsidR="006835AD" w:rsidRPr="00D00D86">
        <w:rPr>
          <w:color w:val="000000" w:themeColor="text1"/>
        </w:rPr>
        <w:t>,</w:t>
      </w:r>
      <w:r w:rsidR="00632377" w:rsidRPr="00D00D86">
        <w:rPr>
          <w:color w:val="000000" w:themeColor="text1"/>
        </w:rPr>
        <w:t>0</w:t>
      </w:r>
      <w:r w:rsidRPr="00D00D86">
        <w:rPr>
          <w:color w:val="000000" w:themeColor="text1"/>
        </w:rPr>
        <w:t>00</w:t>
      </w:r>
      <w:r w:rsidR="007C6339" w:rsidRPr="00D00D86">
        <w:rPr>
          <w:color w:val="000000" w:themeColor="text1"/>
        </w:rPr>
        <w:t> </w:t>
      </w:r>
      <w:r w:rsidRPr="00D00D86">
        <w:rPr>
          <w:color w:val="000000" w:themeColor="text1"/>
        </w:rPr>
        <w:t>wages cost. The second is an employee for whom no work is available due to the health restrictions, such as restaurant staff, and who receive the full $1</w:t>
      </w:r>
      <w:r w:rsidR="009C5CB4" w:rsidRPr="00D00D86">
        <w:rPr>
          <w:color w:val="000000" w:themeColor="text1"/>
        </w:rPr>
        <w:t>,</w:t>
      </w:r>
      <w:r w:rsidRPr="00D00D86">
        <w:rPr>
          <w:color w:val="000000" w:themeColor="text1"/>
        </w:rPr>
        <w:t xml:space="preserve">500 JobKeeper </w:t>
      </w:r>
      <w:r w:rsidR="007C6339" w:rsidRPr="00D00D86">
        <w:rPr>
          <w:color w:val="000000" w:themeColor="text1"/>
        </w:rPr>
        <w:t>P</w:t>
      </w:r>
      <w:r w:rsidRPr="00D00D86">
        <w:rPr>
          <w:color w:val="000000" w:themeColor="text1"/>
        </w:rPr>
        <w:t xml:space="preserve">ayment, an income transfer made by their employer. These individuals may have been on lower pay or higher pay prior to becoming stood down. The </w:t>
      </w:r>
      <w:r w:rsidR="00131B45" w:rsidRPr="00D00D86">
        <w:rPr>
          <w:color w:val="000000" w:themeColor="text1"/>
        </w:rPr>
        <w:t xml:space="preserve">third </w:t>
      </w:r>
      <w:r w:rsidRPr="00D00D86">
        <w:rPr>
          <w:color w:val="000000" w:themeColor="text1"/>
        </w:rPr>
        <w:t>individual is someone who continues to work, perhaps on shorter hours, and whose wages exceed $1</w:t>
      </w:r>
      <w:r w:rsidR="009C5CB4" w:rsidRPr="00D00D86">
        <w:rPr>
          <w:color w:val="000000" w:themeColor="text1"/>
        </w:rPr>
        <w:t>,</w:t>
      </w:r>
      <w:r w:rsidRPr="00D00D86">
        <w:rPr>
          <w:color w:val="000000" w:themeColor="text1"/>
        </w:rPr>
        <w:t>500 per fortnight. The employer is able to use the full $1</w:t>
      </w:r>
      <w:r w:rsidR="009C5CB4" w:rsidRPr="00D00D86">
        <w:rPr>
          <w:color w:val="000000" w:themeColor="text1"/>
        </w:rPr>
        <w:t>,</w:t>
      </w:r>
      <w:r w:rsidRPr="00D00D86">
        <w:rPr>
          <w:color w:val="000000" w:themeColor="text1"/>
        </w:rPr>
        <w:t xml:space="preserve">500 JobKeeper </w:t>
      </w:r>
      <w:r w:rsidR="007C6339" w:rsidRPr="00D00D86">
        <w:rPr>
          <w:color w:val="000000" w:themeColor="text1"/>
        </w:rPr>
        <w:t>P</w:t>
      </w:r>
      <w:r w:rsidRPr="00D00D86">
        <w:rPr>
          <w:color w:val="000000" w:themeColor="text1"/>
        </w:rPr>
        <w:t>ayment as a wage subsidy and makes up the balance themselves.</w:t>
      </w:r>
      <w:r w:rsidR="00A04F4F" w:rsidRPr="00D00D86">
        <w:rPr>
          <w:color w:val="000000" w:themeColor="text1"/>
        </w:rPr>
        <w:t xml:space="preserve"> The final individual, by way of comparison, is a single JobSeeker recipient without dependents who is receiving $1</w:t>
      </w:r>
      <w:r w:rsidR="009C5CB4" w:rsidRPr="00D00D86">
        <w:rPr>
          <w:color w:val="000000" w:themeColor="text1"/>
        </w:rPr>
        <w:t>,</w:t>
      </w:r>
      <w:r w:rsidR="00A04F4F" w:rsidRPr="00D00D86">
        <w:rPr>
          <w:color w:val="000000" w:themeColor="text1"/>
        </w:rPr>
        <w:t>124.50 per fortnight.</w:t>
      </w:r>
    </w:p>
    <w:p w14:paraId="60A90739" w14:textId="51178003" w:rsidR="00D636AC" w:rsidRPr="00C50B1B" w:rsidRDefault="00954890" w:rsidP="00755C53">
      <w:pPr>
        <w:pStyle w:val="Figureheading"/>
      </w:pPr>
      <w:bookmarkStart w:id="315" w:name="_Toc43462898"/>
      <w:bookmarkStart w:id="316" w:name="_Toc43466278"/>
      <w:bookmarkStart w:id="317" w:name="_Toc43469270"/>
      <w:bookmarkStart w:id="318" w:name="_Toc43469665"/>
      <w:bookmarkStart w:id="319" w:name="_Toc43469941"/>
      <w:bookmarkStart w:id="320" w:name="_Toc43469955"/>
      <w:bookmarkStart w:id="321" w:name="_Toc43729202"/>
      <w:bookmarkStart w:id="322" w:name="_Toc43730790"/>
      <w:bookmarkStart w:id="323" w:name="_Toc43731568"/>
      <w:bookmarkStart w:id="324" w:name="_Toc43732040"/>
      <w:bookmarkStart w:id="325" w:name="_Toc43733858"/>
      <w:bookmarkStart w:id="326" w:name="_Toc43734760"/>
      <w:bookmarkStart w:id="327" w:name="_Toc43738739"/>
      <w:bookmarkStart w:id="328" w:name="_Toc43743051"/>
      <w:bookmarkStart w:id="329" w:name="_Toc43996224"/>
      <w:bookmarkStart w:id="330" w:name="_Toc43998483"/>
      <w:bookmarkStart w:id="331" w:name="_Toc43998410"/>
      <w:bookmarkStart w:id="332" w:name="_Toc44069932"/>
      <w:bookmarkStart w:id="333" w:name="_Toc44071336"/>
      <w:bookmarkStart w:id="334" w:name="_Toc44073460"/>
      <w:bookmarkStart w:id="335" w:name="_Toc44074600"/>
      <w:bookmarkStart w:id="336" w:name="_Toc44079489"/>
      <w:bookmarkStart w:id="337" w:name="_Toc44079784"/>
      <w:bookmarkStart w:id="338" w:name="_Toc44079919"/>
      <w:bookmarkStart w:id="339" w:name="_Toc44319830"/>
      <w:bookmarkStart w:id="340" w:name="_Toc44321538"/>
      <w:bookmarkStart w:id="341" w:name="_Toc44323705"/>
      <w:bookmarkStart w:id="342" w:name="_Toc44326168"/>
      <w:bookmarkStart w:id="343" w:name="_Toc44330490"/>
      <w:bookmarkStart w:id="344" w:name="_Toc44330732"/>
      <w:bookmarkStart w:id="345" w:name="_Toc44333164"/>
      <w:bookmarkStart w:id="346" w:name="_Toc44334795"/>
      <w:bookmarkStart w:id="347" w:name="_Toc45227422"/>
      <w:bookmarkStart w:id="348" w:name="_Toc45799023"/>
      <w:r w:rsidRPr="00954890">
        <w:lastRenderedPageBreak/>
        <w:t xml:space="preserve">Figure 1: JobKeeper </w:t>
      </w:r>
      <w:r w:rsidR="007C6339">
        <w:t xml:space="preserve">Payment </w:t>
      </w:r>
      <w:r w:rsidRPr="00954890">
        <w:t>as a wage subsidy and income transfer</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663B7C1" w14:textId="09C367FA" w:rsidR="005A3F37" w:rsidRDefault="00807F1F" w:rsidP="00444AB0">
      <w:pPr>
        <w:pStyle w:val="Figuregraphic"/>
      </w:pPr>
      <w:r>
        <w:rPr>
          <w:noProof/>
          <w:lang w:eastAsia="en-AU"/>
        </w:rPr>
        <w:drawing>
          <wp:inline distT="0" distB="0" distL="0" distR="0" wp14:anchorId="28789DD7" wp14:editId="727A3335">
            <wp:extent cx="5400000" cy="2880000"/>
            <wp:effectExtent l="0" t="0" r="0" b="0"/>
            <wp:docPr id="8" name="Chart 8" descr="This chart depicts three stylised examples of individual JobKeeper recipients, and breaks down the amount they received into the amount that was a direct income transfer, a subsidised wage component and/or an unsubsidised wage component.&#10;The first is a lower paid employee who was earning 1000 dollars prior and whose 1500 dollar payment under JobKeeper is made up of 1000 dollars as a subsidised wage component, and 500 dollars as a direct income transfer. The second is an employee who has been stood down and receives the full 1500 dollar payment as a direct income transfer. The third person is an employee on regular or shorter hours whose prior income was greater than 1500 dollars – their payment under JobKeeper is made up of 1500 dollars as a subsidised wage component and 700 dollars as an unsubsidised wage component paid by their employer. The final individual is a JobSeeker recipient without dependents who is receiving an income transfer payment of 1125 dollars.&#10;" title="Figure 1: JobKeeper Payment as a wage subsidy and income transf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2644B4" w14:textId="0D55B851" w:rsidR="005A3F37" w:rsidRDefault="005B088B" w:rsidP="00086E40">
      <w:pPr>
        <w:pStyle w:val="FiguretableNote"/>
      </w:pPr>
      <w:r w:rsidRPr="00D00D86">
        <w:t xml:space="preserve">Notes: </w:t>
      </w:r>
      <w:r w:rsidR="00083875" w:rsidRPr="00D00D86">
        <w:t>The JobSeeker Payment amount</w:t>
      </w:r>
      <w:r w:rsidR="00B84577" w:rsidRPr="00D00D86">
        <w:t xml:space="preserve"> includes the Energy Supplement and $550 Coronavirus Supplement</w:t>
      </w:r>
      <w:r w:rsidR="00445E80">
        <w:t>,</w:t>
      </w:r>
      <w:r w:rsidR="00083875" w:rsidRPr="00D00D86">
        <w:t xml:space="preserve"> and</w:t>
      </w:r>
      <w:r w:rsidR="00FC5579" w:rsidRPr="00D00D86">
        <w:t xml:space="preserve"> assumes </w:t>
      </w:r>
      <w:r w:rsidR="00083875" w:rsidRPr="00D00D86">
        <w:t>the recipient is</w:t>
      </w:r>
      <w:r w:rsidR="00FC5579" w:rsidRPr="00D00D86">
        <w:t xml:space="preserve"> not renting and </w:t>
      </w:r>
      <w:r w:rsidR="00083875" w:rsidRPr="00D00D86">
        <w:t xml:space="preserve">has </w:t>
      </w:r>
      <w:r w:rsidR="00FC5579" w:rsidRPr="00D00D86">
        <w:t xml:space="preserve">no other income. </w:t>
      </w:r>
      <w:r w:rsidR="00B84577" w:rsidRPr="00D00D86">
        <w:t xml:space="preserve">Higher JobSeeker </w:t>
      </w:r>
      <w:r w:rsidR="008B757A" w:rsidRPr="00D00D86">
        <w:t>P</w:t>
      </w:r>
      <w:r w:rsidR="00083875" w:rsidRPr="00D00D86">
        <w:t xml:space="preserve">ayment amounts </w:t>
      </w:r>
      <w:r w:rsidR="00B84577" w:rsidRPr="00D00D86">
        <w:t>are available to individuals in other circumstances</w:t>
      </w:r>
      <w:r w:rsidR="00083875" w:rsidRPr="00D00D86">
        <w:t xml:space="preserve"> (</w:t>
      </w:r>
      <w:r w:rsidR="00E04B52">
        <w:t>f</w:t>
      </w:r>
      <w:r w:rsidR="00083875" w:rsidRPr="00D00D86">
        <w:t xml:space="preserve">or example, a single </w:t>
      </w:r>
      <w:r w:rsidR="004947C6">
        <w:t xml:space="preserve">principal carer </w:t>
      </w:r>
      <w:r w:rsidR="00CD67D4">
        <w:t xml:space="preserve">exempt from mutual obligation requirements </w:t>
      </w:r>
      <w:r w:rsidR="00AF0136">
        <w:t>can</w:t>
      </w:r>
      <w:r w:rsidR="00083875" w:rsidRPr="00D00D86">
        <w:t xml:space="preserve"> receive $1,</w:t>
      </w:r>
      <w:r w:rsidR="00D70EE9">
        <w:t>352.10</w:t>
      </w:r>
      <w:r w:rsidR="00083875" w:rsidRPr="00D00D86">
        <w:t xml:space="preserve"> per</w:t>
      </w:r>
      <w:r w:rsidR="004E5D0D" w:rsidRPr="00D00D86">
        <w:t> </w:t>
      </w:r>
      <w:r w:rsidR="00083875" w:rsidRPr="00D00D86">
        <w:t>fortnight</w:t>
      </w:r>
      <w:r w:rsidR="00CD67D4">
        <w:t xml:space="preserve"> inclusive of the supplements above</w:t>
      </w:r>
      <w:r w:rsidR="00E83718" w:rsidRPr="00D00D86">
        <w:t>)</w:t>
      </w:r>
      <w:r w:rsidR="008B757A" w:rsidRPr="00D00D86">
        <w:t>.</w:t>
      </w:r>
      <w:r w:rsidR="00E83EC6">
        <w:t xml:space="preserve"> </w:t>
      </w:r>
    </w:p>
    <w:p w14:paraId="10254E68" w14:textId="77777777" w:rsidR="001016DB" w:rsidRDefault="001016DB" w:rsidP="001016DB">
      <w:pPr>
        <w:pStyle w:val="Singleparagraph"/>
      </w:pPr>
    </w:p>
    <w:p w14:paraId="05A745D9" w14:textId="2B5AE4BF" w:rsidR="00416B08" w:rsidRDefault="00D636AC" w:rsidP="001016DB">
      <w:pPr>
        <w:spacing w:after="120"/>
      </w:pPr>
      <w:r w:rsidRPr="00D00D86">
        <w:rPr>
          <w:color w:val="000000" w:themeColor="text1"/>
        </w:rPr>
        <w:t>This framework is used in later sections to examine the extent of formerly lower paid employees receiving an increase in their income due to JobKeeper, how many stood down employees are on JobKeeper, and what fraction of JobKeeper payments are functioning as a wage subsidy or as an income transfer.</w:t>
      </w:r>
    </w:p>
    <w:p w14:paraId="22EF9A15" w14:textId="71F87B02" w:rsidR="00416B08" w:rsidRDefault="00175D6A" w:rsidP="009B6E0C">
      <w:pPr>
        <w:pStyle w:val="Heading1"/>
      </w:pPr>
      <w:bookmarkStart w:id="349" w:name="_Toc43294083"/>
      <w:bookmarkStart w:id="350" w:name="_Toc43300428"/>
      <w:bookmarkStart w:id="351" w:name="_Toc43302281"/>
      <w:bookmarkStart w:id="352" w:name="_Toc43303720"/>
      <w:bookmarkStart w:id="353" w:name="_Toc43305331"/>
      <w:bookmarkStart w:id="354" w:name="_Toc43306302"/>
      <w:bookmarkStart w:id="355" w:name="_Toc43309510"/>
      <w:bookmarkStart w:id="356" w:name="_Toc43802496"/>
      <w:bookmarkStart w:id="357" w:name="_Toc43809344"/>
      <w:bookmarkStart w:id="358" w:name="_Toc43815609"/>
      <w:bookmarkStart w:id="359" w:name="_Toc43817542"/>
      <w:bookmarkStart w:id="360" w:name="_Toc43825313"/>
      <w:bookmarkStart w:id="361" w:name="_Toc43825417"/>
      <w:bookmarkStart w:id="362" w:name="_Toc43825510"/>
      <w:bookmarkStart w:id="363" w:name="_Toc43996246"/>
      <w:bookmarkStart w:id="364" w:name="_Toc43998505"/>
      <w:bookmarkStart w:id="365" w:name="_Toc43998432"/>
      <w:bookmarkStart w:id="366" w:name="_Toc44069954"/>
      <w:bookmarkStart w:id="367" w:name="_Toc44071358"/>
      <w:bookmarkStart w:id="368" w:name="_Toc44073482"/>
      <w:bookmarkStart w:id="369" w:name="_Toc44074622"/>
      <w:bookmarkStart w:id="370" w:name="_Toc44079511"/>
      <w:bookmarkStart w:id="371" w:name="_Toc44079806"/>
      <w:bookmarkStart w:id="372" w:name="_Toc44079941"/>
      <w:bookmarkStart w:id="373" w:name="_Toc44319852"/>
      <w:bookmarkStart w:id="374" w:name="_Toc44321560"/>
      <w:bookmarkStart w:id="375" w:name="_Toc44323727"/>
      <w:bookmarkStart w:id="376" w:name="_Toc44326190"/>
      <w:bookmarkStart w:id="377" w:name="_Toc44330512"/>
      <w:bookmarkStart w:id="378" w:name="_Toc44330754"/>
      <w:bookmarkStart w:id="379" w:name="_Toc44333186"/>
      <w:bookmarkStart w:id="380" w:name="_Toc44334817"/>
      <w:bookmarkStart w:id="381" w:name="_Toc45227423"/>
      <w:bookmarkStart w:id="382" w:name="_Toc45799024"/>
      <w:r>
        <w:lastRenderedPageBreak/>
        <w:t>JobKeeper take</w:t>
      </w:r>
      <w:r w:rsidR="00DE2760">
        <w:noBreakHyphen/>
      </w:r>
      <w:r>
        <w:t>up</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E34CECB" w14:textId="6EB002DB" w:rsidR="00E471E2" w:rsidRPr="00D00D86" w:rsidRDefault="009878B5" w:rsidP="00A50C59">
      <w:pPr>
        <w:pStyle w:val="BodyText"/>
        <w:rPr>
          <w:color w:val="000000" w:themeColor="text1"/>
          <w:sz w:val="22"/>
          <w:szCs w:val="22"/>
        </w:rPr>
      </w:pPr>
      <w:r w:rsidRPr="00D00D86">
        <w:rPr>
          <w:color w:val="000000" w:themeColor="text1"/>
          <w:sz w:val="22"/>
          <w:szCs w:val="22"/>
        </w:rPr>
        <w:t xml:space="preserve">There has been </w:t>
      </w:r>
      <w:r w:rsidR="00166961" w:rsidRPr="00D00D86">
        <w:rPr>
          <w:color w:val="000000" w:themeColor="text1"/>
          <w:sz w:val="22"/>
          <w:szCs w:val="22"/>
        </w:rPr>
        <w:t>very large</w:t>
      </w:r>
      <w:r w:rsidRPr="00D00D86">
        <w:rPr>
          <w:color w:val="000000" w:themeColor="text1"/>
          <w:sz w:val="22"/>
          <w:szCs w:val="22"/>
        </w:rPr>
        <w:t xml:space="preserve"> take</w:t>
      </w:r>
      <w:r w:rsidR="00DE2760">
        <w:rPr>
          <w:color w:val="000000" w:themeColor="text1"/>
          <w:sz w:val="22"/>
          <w:szCs w:val="22"/>
        </w:rPr>
        <w:noBreakHyphen/>
      </w:r>
      <w:r w:rsidRPr="00D00D86">
        <w:rPr>
          <w:color w:val="000000" w:themeColor="text1"/>
          <w:sz w:val="22"/>
          <w:szCs w:val="22"/>
        </w:rPr>
        <w:t xml:space="preserve">up of JobKeeper since its introduction. </w:t>
      </w:r>
      <w:r w:rsidR="00A50C59" w:rsidRPr="00D00D86">
        <w:rPr>
          <w:color w:val="000000" w:themeColor="text1"/>
          <w:sz w:val="22"/>
          <w:szCs w:val="22"/>
        </w:rPr>
        <w:t xml:space="preserve">In April 2020, JobKeeper supported </w:t>
      </w:r>
      <w:r w:rsidR="006B6AD4" w:rsidRPr="00D00D86">
        <w:rPr>
          <w:color w:val="000000" w:themeColor="text1"/>
          <w:sz w:val="22"/>
          <w:szCs w:val="22"/>
        </w:rPr>
        <w:t xml:space="preserve">approximately </w:t>
      </w:r>
      <w:r w:rsidR="00A50C59" w:rsidRPr="00D00D86">
        <w:rPr>
          <w:color w:val="000000" w:themeColor="text1"/>
          <w:sz w:val="22"/>
          <w:szCs w:val="22"/>
        </w:rPr>
        <w:t xml:space="preserve">3.3 million </w:t>
      </w:r>
      <w:r w:rsidR="00993EF8" w:rsidRPr="00D00D86">
        <w:rPr>
          <w:color w:val="000000" w:themeColor="text1"/>
          <w:sz w:val="22"/>
          <w:szCs w:val="22"/>
        </w:rPr>
        <w:t>individuals</w:t>
      </w:r>
      <w:r w:rsidR="00A50C59" w:rsidRPr="00D00D86">
        <w:rPr>
          <w:color w:val="000000" w:themeColor="text1"/>
          <w:sz w:val="22"/>
          <w:szCs w:val="22"/>
        </w:rPr>
        <w:t xml:space="preserve"> in </w:t>
      </w:r>
      <w:r w:rsidR="006B6AD4" w:rsidRPr="00D00D86">
        <w:rPr>
          <w:color w:val="000000" w:themeColor="text1"/>
          <w:sz w:val="22"/>
          <w:szCs w:val="22"/>
        </w:rPr>
        <w:t xml:space="preserve">around </w:t>
      </w:r>
      <w:r w:rsidR="00A50C59" w:rsidRPr="00D00D86">
        <w:rPr>
          <w:color w:val="000000" w:themeColor="text1"/>
          <w:sz w:val="22"/>
          <w:szCs w:val="22"/>
        </w:rPr>
        <w:t>8</w:t>
      </w:r>
      <w:r w:rsidR="00601D0D" w:rsidRPr="00D00D86">
        <w:rPr>
          <w:color w:val="000000" w:themeColor="text1"/>
          <w:sz w:val="22"/>
          <w:szCs w:val="22"/>
        </w:rPr>
        <w:t>50</w:t>
      </w:r>
      <w:r w:rsidR="000E56D6" w:rsidRPr="00D00D86">
        <w:rPr>
          <w:color w:val="000000" w:themeColor="text1"/>
          <w:sz w:val="22"/>
          <w:szCs w:val="22"/>
        </w:rPr>
        <w:t>,000</w:t>
      </w:r>
      <w:r w:rsidR="007C6339" w:rsidRPr="00D00D86">
        <w:rPr>
          <w:color w:val="000000" w:themeColor="text1"/>
          <w:sz w:val="22"/>
          <w:szCs w:val="22"/>
        </w:rPr>
        <w:t xml:space="preserve"> </w:t>
      </w:r>
      <w:r w:rsidR="00A50C59" w:rsidRPr="00D00D86">
        <w:rPr>
          <w:color w:val="000000" w:themeColor="text1"/>
          <w:sz w:val="22"/>
          <w:szCs w:val="22"/>
        </w:rPr>
        <w:t>organisations</w:t>
      </w:r>
      <w:r w:rsidR="002416E7" w:rsidRPr="00D00D86">
        <w:rPr>
          <w:color w:val="000000" w:themeColor="text1"/>
          <w:sz w:val="22"/>
          <w:szCs w:val="22"/>
        </w:rPr>
        <w:t>.</w:t>
      </w:r>
      <w:r w:rsidR="00C618E7" w:rsidRPr="00D00D86">
        <w:rPr>
          <w:color w:val="000000" w:themeColor="text1"/>
          <w:sz w:val="22"/>
          <w:szCs w:val="22"/>
        </w:rPr>
        <w:t xml:space="preserve"> There was </w:t>
      </w:r>
      <w:r w:rsidR="00A50C59" w:rsidRPr="00D00D86">
        <w:rPr>
          <w:color w:val="000000" w:themeColor="text1"/>
          <w:sz w:val="22"/>
          <w:szCs w:val="22"/>
        </w:rPr>
        <w:t>additional take</w:t>
      </w:r>
      <w:r w:rsidR="00DE2760">
        <w:rPr>
          <w:color w:val="000000" w:themeColor="text1"/>
          <w:sz w:val="22"/>
          <w:szCs w:val="22"/>
        </w:rPr>
        <w:noBreakHyphen/>
      </w:r>
      <w:r w:rsidR="00A50C59" w:rsidRPr="00D00D86">
        <w:rPr>
          <w:color w:val="000000" w:themeColor="text1"/>
          <w:sz w:val="22"/>
          <w:szCs w:val="22"/>
        </w:rPr>
        <w:t xml:space="preserve">up </w:t>
      </w:r>
      <w:r w:rsidR="00131B45" w:rsidRPr="00D00D86">
        <w:rPr>
          <w:color w:val="000000" w:themeColor="text1"/>
          <w:sz w:val="22"/>
          <w:szCs w:val="22"/>
        </w:rPr>
        <w:t xml:space="preserve">by employers </w:t>
      </w:r>
      <w:r w:rsidR="00F6354A" w:rsidRPr="00D00D86">
        <w:rPr>
          <w:color w:val="000000" w:themeColor="text1"/>
          <w:sz w:val="22"/>
          <w:szCs w:val="22"/>
        </w:rPr>
        <w:t xml:space="preserve">in </w:t>
      </w:r>
      <w:r w:rsidR="00A50C59" w:rsidRPr="00D00D86">
        <w:rPr>
          <w:color w:val="000000" w:themeColor="text1"/>
          <w:sz w:val="22"/>
          <w:szCs w:val="22"/>
        </w:rPr>
        <w:t>May</w:t>
      </w:r>
      <w:r w:rsidR="00C618E7" w:rsidRPr="00D00D86">
        <w:rPr>
          <w:color w:val="000000" w:themeColor="text1"/>
          <w:sz w:val="22"/>
          <w:szCs w:val="22"/>
        </w:rPr>
        <w:t xml:space="preserve">, with </w:t>
      </w:r>
      <w:r w:rsidR="002416E7" w:rsidRPr="00D00D86">
        <w:rPr>
          <w:color w:val="000000" w:themeColor="text1"/>
          <w:sz w:val="22"/>
          <w:szCs w:val="22"/>
        </w:rPr>
        <w:t>over</w:t>
      </w:r>
      <w:r w:rsidR="00404B9F">
        <w:rPr>
          <w:color w:val="000000" w:themeColor="text1"/>
          <w:sz w:val="22"/>
          <w:szCs w:val="22"/>
        </w:rPr>
        <w:t xml:space="preserve"> 92</w:t>
      </w:r>
      <w:r w:rsidR="00C618E7" w:rsidRPr="00D00D86">
        <w:rPr>
          <w:color w:val="000000" w:themeColor="text1"/>
          <w:sz w:val="22"/>
          <w:szCs w:val="22"/>
        </w:rPr>
        <w:t>0</w:t>
      </w:r>
      <w:r w:rsidR="000E56D6" w:rsidRPr="00D00D86">
        <w:rPr>
          <w:color w:val="000000" w:themeColor="text1"/>
          <w:sz w:val="22"/>
          <w:szCs w:val="22"/>
        </w:rPr>
        <w:t>,000</w:t>
      </w:r>
      <w:r w:rsidR="00A50C59" w:rsidRPr="00D00D86">
        <w:rPr>
          <w:color w:val="000000" w:themeColor="text1"/>
          <w:sz w:val="22"/>
          <w:szCs w:val="22"/>
        </w:rPr>
        <w:t xml:space="preserve"> organisations </w:t>
      </w:r>
      <w:r w:rsidR="002416E7" w:rsidRPr="00D00D86">
        <w:rPr>
          <w:color w:val="000000" w:themeColor="text1"/>
          <w:sz w:val="22"/>
          <w:szCs w:val="22"/>
        </w:rPr>
        <w:t xml:space="preserve">now </w:t>
      </w:r>
      <w:r w:rsidR="00A50C59" w:rsidRPr="00D00D86">
        <w:rPr>
          <w:color w:val="000000" w:themeColor="text1"/>
          <w:sz w:val="22"/>
          <w:szCs w:val="22"/>
        </w:rPr>
        <w:t>hav</w:t>
      </w:r>
      <w:r w:rsidR="00C618E7" w:rsidRPr="00D00D86">
        <w:rPr>
          <w:color w:val="000000" w:themeColor="text1"/>
          <w:sz w:val="22"/>
          <w:szCs w:val="22"/>
        </w:rPr>
        <w:t>ing</w:t>
      </w:r>
      <w:r w:rsidR="00A50C59" w:rsidRPr="00D00D86">
        <w:rPr>
          <w:color w:val="000000" w:themeColor="text1"/>
          <w:sz w:val="22"/>
          <w:szCs w:val="22"/>
        </w:rPr>
        <w:t xml:space="preserve"> applications processed for a JobKeeper </w:t>
      </w:r>
      <w:r w:rsidR="00966C6C">
        <w:rPr>
          <w:color w:val="000000" w:themeColor="text1"/>
          <w:sz w:val="22"/>
          <w:szCs w:val="22"/>
        </w:rPr>
        <w:t>Payment</w:t>
      </w:r>
      <w:r w:rsidR="00A50C59" w:rsidRPr="00D00D86">
        <w:rPr>
          <w:color w:val="000000" w:themeColor="text1"/>
          <w:sz w:val="22"/>
          <w:szCs w:val="22"/>
        </w:rPr>
        <w:t xml:space="preserve"> in the April</w:t>
      </w:r>
      <w:r w:rsidR="00DE2760">
        <w:rPr>
          <w:color w:val="000000" w:themeColor="text1"/>
          <w:sz w:val="22"/>
          <w:szCs w:val="22"/>
        </w:rPr>
        <w:noBreakHyphen/>
      </w:r>
      <w:r w:rsidR="00A50C59" w:rsidRPr="00D00D86">
        <w:rPr>
          <w:color w:val="000000" w:themeColor="text1"/>
          <w:sz w:val="22"/>
          <w:szCs w:val="22"/>
        </w:rPr>
        <w:t xml:space="preserve">May </w:t>
      </w:r>
      <w:r w:rsidR="002416E7" w:rsidRPr="00D00D86">
        <w:rPr>
          <w:color w:val="000000" w:themeColor="text1"/>
          <w:sz w:val="22"/>
          <w:szCs w:val="22"/>
        </w:rPr>
        <w:t>period</w:t>
      </w:r>
      <w:r w:rsidR="00C618E7" w:rsidRPr="00D00D86">
        <w:rPr>
          <w:color w:val="000000" w:themeColor="text1"/>
          <w:sz w:val="22"/>
          <w:szCs w:val="22"/>
        </w:rPr>
        <w:t xml:space="preserve">, covering </w:t>
      </w:r>
      <w:r w:rsidR="00D0783E" w:rsidRPr="00D00D86">
        <w:rPr>
          <w:color w:val="000000" w:themeColor="text1"/>
          <w:sz w:val="22"/>
          <w:szCs w:val="22"/>
        </w:rPr>
        <w:t xml:space="preserve">around </w:t>
      </w:r>
      <w:r w:rsidR="001016DB">
        <w:rPr>
          <w:color w:val="000000" w:themeColor="text1"/>
          <w:sz w:val="22"/>
          <w:szCs w:val="22"/>
        </w:rPr>
        <w:t>3.5 </w:t>
      </w:r>
      <w:r w:rsidR="00C618E7" w:rsidRPr="00D00D86">
        <w:rPr>
          <w:color w:val="000000" w:themeColor="text1"/>
          <w:sz w:val="22"/>
          <w:szCs w:val="22"/>
        </w:rPr>
        <w:t xml:space="preserve">million </w:t>
      </w:r>
      <w:r w:rsidR="002416E7" w:rsidRPr="00D00D86">
        <w:rPr>
          <w:color w:val="000000" w:themeColor="text1"/>
          <w:sz w:val="22"/>
          <w:szCs w:val="22"/>
        </w:rPr>
        <w:t>individuals</w:t>
      </w:r>
      <w:r w:rsidR="00A50C59" w:rsidRPr="00D00D86">
        <w:rPr>
          <w:color w:val="000000" w:themeColor="text1"/>
          <w:sz w:val="22"/>
          <w:szCs w:val="22"/>
        </w:rPr>
        <w:t>.</w:t>
      </w:r>
      <w:r w:rsidR="005B05BE" w:rsidRPr="00D00D86">
        <w:rPr>
          <w:rStyle w:val="FootnoteReference"/>
          <w:color w:val="000000" w:themeColor="text1"/>
          <w:sz w:val="22"/>
          <w:szCs w:val="22"/>
        </w:rPr>
        <w:footnoteReference w:id="19"/>
      </w:r>
      <w:r w:rsidR="00E471E2" w:rsidRPr="00D00D86">
        <w:rPr>
          <w:color w:val="000000" w:themeColor="text1"/>
          <w:sz w:val="22"/>
          <w:szCs w:val="22"/>
        </w:rPr>
        <w:t xml:space="preserve"> </w:t>
      </w:r>
    </w:p>
    <w:p w14:paraId="3C978094" w14:textId="038BF3B1" w:rsidR="00FC393F" w:rsidRPr="00713F51" w:rsidRDefault="00FC393F" w:rsidP="00755C53">
      <w:pPr>
        <w:pStyle w:val="Heading2"/>
      </w:pPr>
      <w:bookmarkStart w:id="383" w:name="_Toc43294085"/>
      <w:bookmarkStart w:id="384" w:name="_Toc43300430"/>
      <w:bookmarkStart w:id="385" w:name="_Toc43302283"/>
      <w:bookmarkStart w:id="386" w:name="_Toc43303722"/>
      <w:bookmarkStart w:id="387" w:name="_Toc43305333"/>
      <w:bookmarkStart w:id="388" w:name="_Toc43306304"/>
      <w:bookmarkStart w:id="389" w:name="_Toc43309512"/>
      <w:bookmarkStart w:id="390" w:name="_Toc43802497"/>
      <w:bookmarkStart w:id="391" w:name="_Toc43809345"/>
      <w:bookmarkStart w:id="392" w:name="_Toc43815610"/>
      <w:bookmarkStart w:id="393" w:name="_Toc43817543"/>
      <w:bookmarkStart w:id="394" w:name="_Toc43825314"/>
      <w:bookmarkStart w:id="395" w:name="_Toc43825418"/>
      <w:bookmarkStart w:id="396" w:name="_Toc43825511"/>
      <w:bookmarkStart w:id="397" w:name="_Toc43996247"/>
      <w:bookmarkStart w:id="398" w:name="_Toc43998506"/>
      <w:bookmarkStart w:id="399" w:name="_Toc43998433"/>
      <w:bookmarkStart w:id="400" w:name="_Toc44069955"/>
      <w:bookmarkStart w:id="401" w:name="_Toc44071359"/>
      <w:bookmarkStart w:id="402" w:name="_Toc44073483"/>
      <w:bookmarkStart w:id="403" w:name="_Toc44074623"/>
      <w:bookmarkStart w:id="404" w:name="_Toc44079512"/>
      <w:bookmarkStart w:id="405" w:name="_Toc44079807"/>
      <w:bookmarkStart w:id="406" w:name="_Toc44079942"/>
      <w:bookmarkStart w:id="407" w:name="_Toc44319853"/>
      <w:bookmarkStart w:id="408" w:name="_Toc44321561"/>
      <w:bookmarkStart w:id="409" w:name="_Toc44323728"/>
      <w:bookmarkStart w:id="410" w:name="_Toc44326191"/>
      <w:bookmarkStart w:id="411" w:name="_Toc44330513"/>
      <w:bookmarkStart w:id="412" w:name="_Toc44330755"/>
      <w:bookmarkStart w:id="413" w:name="_Toc44333187"/>
      <w:bookmarkStart w:id="414" w:name="_Toc44334818"/>
      <w:bookmarkStart w:id="415" w:name="_Toc45227424"/>
      <w:bookmarkStart w:id="416" w:name="_Toc45799025"/>
      <w:r w:rsidRPr="00713F51">
        <w:t>Take</w:t>
      </w:r>
      <w:r w:rsidR="00DE2760">
        <w:noBreakHyphen/>
      </w:r>
      <w:r w:rsidRPr="00713F51">
        <w:t>up and coverage</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D7AF763" w14:textId="7C0226A1" w:rsidR="005C51DB" w:rsidRPr="00D00D86" w:rsidRDefault="00FF7F10" w:rsidP="00FC6FDD">
      <w:pPr>
        <w:pStyle w:val="BodyText"/>
        <w:rPr>
          <w:color w:val="000000" w:themeColor="text1"/>
          <w:sz w:val="22"/>
          <w:szCs w:val="22"/>
        </w:rPr>
      </w:pPr>
      <w:r>
        <w:rPr>
          <w:color w:val="000000" w:themeColor="text1"/>
          <w:sz w:val="22"/>
          <w:szCs w:val="22"/>
        </w:rPr>
        <w:t xml:space="preserve">Organisations </w:t>
      </w:r>
      <w:r w:rsidR="006C0BE1">
        <w:rPr>
          <w:color w:val="000000" w:themeColor="text1"/>
          <w:sz w:val="22"/>
          <w:szCs w:val="22"/>
        </w:rPr>
        <w:t xml:space="preserve">and individuals </w:t>
      </w:r>
      <w:r w:rsidR="00582A21" w:rsidRPr="00D00D86">
        <w:rPr>
          <w:color w:val="000000" w:themeColor="text1"/>
          <w:sz w:val="22"/>
          <w:szCs w:val="22"/>
        </w:rPr>
        <w:t>across all industries have been supp</w:t>
      </w:r>
      <w:r w:rsidR="001272F1" w:rsidRPr="00D00D86">
        <w:rPr>
          <w:color w:val="000000" w:themeColor="text1"/>
          <w:sz w:val="22"/>
          <w:szCs w:val="22"/>
        </w:rPr>
        <w:t xml:space="preserve">orted by the JobKeeper Payment, but with significant variation. </w:t>
      </w:r>
      <w:r w:rsidR="00FC6FDD" w:rsidRPr="00D00D86">
        <w:rPr>
          <w:color w:val="000000" w:themeColor="text1"/>
          <w:sz w:val="22"/>
          <w:szCs w:val="22"/>
        </w:rPr>
        <w:t xml:space="preserve">From a program administration </w:t>
      </w:r>
      <w:r w:rsidR="005C51DB" w:rsidRPr="00D00D86">
        <w:rPr>
          <w:color w:val="000000" w:themeColor="text1"/>
          <w:sz w:val="22"/>
          <w:szCs w:val="22"/>
        </w:rPr>
        <w:t>perspective</w:t>
      </w:r>
      <w:r w:rsidR="00FC6FDD" w:rsidRPr="00D00D86">
        <w:rPr>
          <w:color w:val="000000" w:themeColor="text1"/>
          <w:sz w:val="22"/>
          <w:szCs w:val="22"/>
        </w:rPr>
        <w:t xml:space="preserve"> this arises from </w:t>
      </w:r>
      <w:r w:rsidR="005C51DB" w:rsidRPr="00D00D86">
        <w:rPr>
          <w:color w:val="000000" w:themeColor="text1"/>
          <w:sz w:val="22"/>
          <w:szCs w:val="22"/>
        </w:rPr>
        <w:t xml:space="preserve">the process of </w:t>
      </w:r>
      <w:r w:rsidR="00FC6FDD" w:rsidRPr="00D00D86">
        <w:rPr>
          <w:color w:val="000000" w:themeColor="text1"/>
          <w:sz w:val="22"/>
          <w:szCs w:val="22"/>
        </w:rPr>
        <w:t xml:space="preserve">applying the eligibility criteria to </w:t>
      </w:r>
      <w:r w:rsidR="006C0BE1">
        <w:rPr>
          <w:color w:val="000000" w:themeColor="text1"/>
          <w:sz w:val="22"/>
          <w:szCs w:val="22"/>
        </w:rPr>
        <w:t xml:space="preserve">organisations </w:t>
      </w:r>
      <w:r w:rsidR="00FC6FDD" w:rsidRPr="00D00D86">
        <w:rPr>
          <w:color w:val="000000" w:themeColor="text1"/>
          <w:sz w:val="22"/>
          <w:szCs w:val="22"/>
        </w:rPr>
        <w:t xml:space="preserve">and to </w:t>
      </w:r>
      <w:r w:rsidR="00200767">
        <w:rPr>
          <w:color w:val="000000" w:themeColor="text1"/>
          <w:sz w:val="22"/>
          <w:szCs w:val="22"/>
        </w:rPr>
        <w:t>individuals</w:t>
      </w:r>
      <w:r w:rsidR="00FC6FDD" w:rsidRPr="00D00D86">
        <w:rPr>
          <w:color w:val="000000" w:themeColor="text1"/>
          <w:sz w:val="22"/>
          <w:szCs w:val="22"/>
        </w:rPr>
        <w:t xml:space="preserve">. Whether </w:t>
      </w:r>
      <w:r w:rsidR="006C0BE1">
        <w:rPr>
          <w:color w:val="000000" w:themeColor="text1"/>
          <w:sz w:val="22"/>
          <w:szCs w:val="22"/>
        </w:rPr>
        <w:t xml:space="preserve">they </w:t>
      </w:r>
      <w:r w:rsidR="00FC6FDD" w:rsidRPr="00D00D86">
        <w:rPr>
          <w:color w:val="000000" w:themeColor="text1"/>
          <w:sz w:val="22"/>
          <w:szCs w:val="22"/>
        </w:rPr>
        <w:t xml:space="preserve">meet these criteria varies by industry </w:t>
      </w:r>
      <w:r w:rsidR="001C32E1" w:rsidRPr="00D00D86">
        <w:rPr>
          <w:color w:val="000000" w:themeColor="text1"/>
          <w:sz w:val="22"/>
          <w:szCs w:val="22"/>
        </w:rPr>
        <w:t xml:space="preserve">primarily </w:t>
      </w:r>
      <w:r w:rsidR="00FC6FDD" w:rsidRPr="00D00D86">
        <w:rPr>
          <w:color w:val="000000" w:themeColor="text1"/>
          <w:sz w:val="22"/>
          <w:szCs w:val="22"/>
        </w:rPr>
        <w:t xml:space="preserve">because of the nature of their activity and workforce composition. </w:t>
      </w:r>
    </w:p>
    <w:p w14:paraId="3FC863BE" w14:textId="537DDF65" w:rsidR="001272F1" w:rsidRPr="00D00D86" w:rsidRDefault="00FC6FDD" w:rsidP="00582A21">
      <w:pPr>
        <w:pStyle w:val="BodyText"/>
        <w:rPr>
          <w:color w:val="000000" w:themeColor="text1"/>
          <w:sz w:val="22"/>
          <w:szCs w:val="22"/>
        </w:rPr>
      </w:pPr>
      <w:r w:rsidRPr="00D00D86">
        <w:rPr>
          <w:color w:val="000000" w:themeColor="text1"/>
          <w:sz w:val="22"/>
          <w:szCs w:val="22"/>
        </w:rPr>
        <w:t>The</w:t>
      </w:r>
      <w:r w:rsidR="001272F1" w:rsidRPr="00D00D86">
        <w:rPr>
          <w:color w:val="000000" w:themeColor="text1"/>
          <w:sz w:val="22"/>
          <w:szCs w:val="22"/>
        </w:rPr>
        <w:t xml:space="preserve"> economic impact of the Coronavirus </w:t>
      </w:r>
      <w:r w:rsidR="00EF5593" w:rsidRPr="00D00D86">
        <w:rPr>
          <w:color w:val="000000" w:themeColor="text1"/>
          <w:sz w:val="22"/>
          <w:szCs w:val="22"/>
        </w:rPr>
        <w:t>has</w:t>
      </w:r>
      <w:r w:rsidR="001272F1" w:rsidRPr="00D00D86">
        <w:rPr>
          <w:color w:val="000000" w:themeColor="text1"/>
          <w:sz w:val="22"/>
          <w:szCs w:val="22"/>
        </w:rPr>
        <w:t xml:space="preserve"> differed a</w:t>
      </w:r>
      <w:r w:rsidR="00EF5593" w:rsidRPr="00D00D86">
        <w:rPr>
          <w:color w:val="000000" w:themeColor="text1"/>
          <w:sz w:val="22"/>
          <w:szCs w:val="22"/>
        </w:rPr>
        <w:t xml:space="preserve">cross industries; in particular, </w:t>
      </w:r>
      <w:r w:rsidR="00083D85" w:rsidRPr="00D00D86">
        <w:rPr>
          <w:color w:val="000000" w:themeColor="text1"/>
          <w:sz w:val="22"/>
          <w:szCs w:val="22"/>
        </w:rPr>
        <w:t xml:space="preserve">due to the nature of their activity </w:t>
      </w:r>
      <w:r w:rsidRPr="00D00D86">
        <w:rPr>
          <w:color w:val="000000" w:themeColor="text1"/>
          <w:sz w:val="22"/>
          <w:szCs w:val="22"/>
        </w:rPr>
        <w:t xml:space="preserve">some have been more exposed to public health restrictions than others. </w:t>
      </w:r>
      <w:r w:rsidR="005C51DB" w:rsidRPr="00D00D86">
        <w:rPr>
          <w:color w:val="000000" w:themeColor="text1"/>
          <w:sz w:val="22"/>
          <w:szCs w:val="22"/>
        </w:rPr>
        <w:t>In</w:t>
      </w:r>
      <w:r w:rsidR="00601175">
        <w:rPr>
          <w:color w:val="000000" w:themeColor="text1"/>
          <w:sz w:val="22"/>
          <w:szCs w:val="22"/>
        </w:rPr>
        <w:t> </w:t>
      </w:r>
      <w:r w:rsidR="005C51DB" w:rsidRPr="00D00D86">
        <w:rPr>
          <w:color w:val="000000" w:themeColor="text1"/>
          <w:sz w:val="22"/>
          <w:szCs w:val="22"/>
        </w:rPr>
        <w:t xml:space="preserve">industries with a relatively high reliance on casual employees and temporary migrants, such as hospitality, fewer employees will be eligible for JobKeeper </w:t>
      </w:r>
      <w:r w:rsidR="001C32E1" w:rsidRPr="00D00D86">
        <w:rPr>
          <w:color w:val="000000" w:themeColor="text1"/>
          <w:sz w:val="22"/>
          <w:szCs w:val="22"/>
        </w:rPr>
        <w:t xml:space="preserve">among </w:t>
      </w:r>
      <w:r w:rsidR="006C0BE1">
        <w:rPr>
          <w:color w:val="000000" w:themeColor="text1"/>
          <w:sz w:val="22"/>
          <w:szCs w:val="22"/>
        </w:rPr>
        <w:t xml:space="preserve">organisations </w:t>
      </w:r>
      <w:r w:rsidR="001C32E1" w:rsidRPr="00D00D86">
        <w:rPr>
          <w:color w:val="000000" w:themeColor="text1"/>
          <w:sz w:val="22"/>
          <w:szCs w:val="22"/>
        </w:rPr>
        <w:t>that meet</w:t>
      </w:r>
      <w:r w:rsidR="005C51DB" w:rsidRPr="00D00D86">
        <w:rPr>
          <w:color w:val="000000" w:themeColor="text1"/>
          <w:sz w:val="22"/>
          <w:szCs w:val="22"/>
        </w:rPr>
        <w:t xml:space="preserve"> the </w:t>
      </w:r>
      <w:r w:rsidR="00C66918" w:rsidRPr="00D00D86">
        <w:rPr>
          <w:color w:val="000000" w:themeColor="text1"/>
          <w:sz w:val="22"/>
          <w:szCs w:val="22"/>
        </w:rPr>
        <w:t xml:space="preserve">turnover </w:t>
      </w:r>
      <w:r w:rsidR="005C51DB" w:rsidRPr="00D00D86">
        <w:rPr>
          <w:color w:val="000000" w:themeColor="text1"/>
          <w:sz w:val="22"/>
          <w:szCs w:val="22"/>
        </w:rPr>
        <w:t>decline threshold.</w:t>
      </w:r>
      <w:r w:rsidR="001272F1" w:rsidRPr="00D00D86">
        <w:rPr>
          <w:color w:val="000000" w:themeColor="text1"/>
          <w:sz w:val="22"/>
          <w:szCs w:val="22"/>
        </w:rPr>
        <w:t xml:space="preserve"> </w:t>
      </w:r>
    </w:p>
    <w:p w14:paraId="4BE4C4F3" w14:textId="67AED233" w:rsidR="001C32E1" w:rsidRPr="00D00D86" w:rsidRDefault="001C32E1" w:rsidP="00582A21">
      <w:pPr>
        <w:pStyle w:val="BodyText"/>
        <w:rPr>
          <w:color w:val="000000" w:themeColor="text1"/>
          <w:sz w:val="22"/>
          <w:szCs w:val="22"/>
        </w:rPr>
      </w:pPr>
      <w:r w:rsidRPr="00D00D86">
        <w:rPr>
          <w:color w:val="000000" w:themeColor="text1"/>
          <w:sz w:val="22"/>
          <w:szCs w:val="22"/>
        </w:rPr>
        <w:t xml:space="preserve">The number of recipients </w:t>
      </w:r>
      <w:r w:rsidR="00632377" w:rsidRPr="00D00D86">
        <w:rPr>
          <w:color w:val="000000" w:themeColor="text1"/>
          <w:sz w:val="22"/>
          <w:szCs w:val="22"/>
        </w:rPr>
        <w:t>is</w:t>
      </w:r>
      <w:r w:rsidRPr="00D00D86">
        <w:rPr>
          <w:color w:val="000000" w:themeColor="text1"/>
          <w:sz w:val="22"/>
          <w:szCs w:val="22"/>
        </w:rPr>
        <w:t xml:space="preserve"> also determined by the respective size of different industries. Larger industries, either in terms of numbers of businesses or numbers</w:t>
      </w:r>
      <w:r w:rsidR="00B8357E" w:rsidRPr="00D00D86">
        <w:rPr>
          <w:color w:val="000000" w:themeColor="text1"/>
          <w:sz w:val="22"/>
          <w:szCs w:val="22"/>
        </w:rPr>
        <w:t xml:space="preserve"> of employees</w:t>
      </w:r>
      <w:r w:rsidRPr="00D00D86">
        <w:rPr>
          <w:color w:val="000000" w:themeColor="text1"/>
          <w:sz w:val="22"/>
          <w:szCs w:val="22"/>
        </w:rPr>
        <w:t xml:space="preserve"> will</w:t>
      </w:r>
      <w:r w:rsidR="00B8357E" w:rsidRPr="00D00D86">
        <w:rPr>
          <w:color w:val="000000" w:themeColor="text1"/>
          <w:sz w:val="22"/>
          <w:szCs w:val="22"/>
        </w:rPr>
        <w:t>,</w:t>
      </w:r>
      <w:r w:rsidRPr="00D00D86">
        <w:rPr>
          <w:color w:val="000000" w:themeColor="text1"/>
          <w:sz w:val="22"/>
          <w:szCs w:val="22"/>
        </w:rPr>
        <w:t xml:space="preserve"> all else equal</w:t>
      </w:r>
      <w:r w:rsidR="00B8357E" w:rsidRPr="00D00D86">
        <w:rPr>
          <w:color w:val="000000" w:themeColor="text1"/>
          <w:sz w:val="22"/>
          <w:szCs w:val="22"/>
        </w:rPr>
        <w:t>,</w:t>
      </w:r>
      <w:r w:rsidRPr="00D00D86">
        <w:rPr>
          <w:color w:val="000000" w:themeColor="text1"/>
          <w:sz w:val="22"/>
          <w:szCs w:val="22"/>
        </w:rPr>
        <w:t xml:space="preserve"> have higher take</w:t>
      </w:r>
      <w:r w:rsidR="00DE2760">
        <w:rPr>
          <w:color w:val="000000" w:themeColor="text1"/>
          <w:sz w:val="22"/>
          <w:szCs w:val="22"/>
        </w:rPr>
        <w:noBreakHyphen/>
      </w:r>
      <w:r w:rsidRPr="00D00D86">
        <w:rPr>
          <w:color w:val="000000" w:themeColor="text1"/>
          <w:sz w:val="22"/>
          <w:szCs w:val="22"/>
        </w:rPr>
        <w:t xml:space="preserve">up. </w:t>
      </w:r>
      <w:r w:rsidR="00B8357E" w:rsidRPr="00D00D86">
        <w:rPr>
          <w:color w:val="000000" w:themeColor="text1"/>
          <w:sz w:val="22"/>
          <w:szCs w:val="22"/>
        </w:rPr>
        <w:t>To take account of this, th</w:t>
      </w:r>
      <w:r w:rsidR="00985EA8" w:rsidRPr="00D00D86">
        <w:rPr>
          <w:color w:val="000000" w:themeColor="text1"/>
          <w:sz w:val="22"/>
          <w:szCs w:val="22"/>
        </w:rPr>
        <w:t xml:space="preserve">e report presents both </w:t>
      </w:r>
      <w:r w:rsidR="00B8357E" w:rsidRPr="00D00D86">
        <w:rPr>
          <w:color w:val="000000" w:themeColor="text1"/>
          <w:sz w:val="22"/>
          <w:szCs w:val="22"/>
        </w:rPr>
        <w:t>the number of</w:t>
      </w:r>
      <w:r w:rsidR="00853CBB">
        <w:rPr>
          <w:color w:val="000000" w:themeColor="text1"/>
          <w:sz w:val="22"/>
          <w:szCs w:val="22"/>
        </w:rPr>
        <w:t xml:space="preserve"> </w:t>
      </w:r>
      <w:r w:rsidR="001D45ED">
        <w:rPr>
          <w:color w:val="000000" w:themeColor="text1"/>
          <w:sz w:val="22"/>
          <w:szCs w:val="22"/>
        </w:rPr>
        <w:t xml:space="preserve">organisational </w:t>
      </w:r>
      <w:r w:rsidR="00853CBB">
        <w:rPr>
          <w:color w:val="000000" w:themeColor="text1"/>
          <w:sz w:val="22"/>
          <w:szCs w:val="22"/>
        </w:rPr>
        <w:t>and individual</w:t>
      </w:r>
      <w:r w:rsidR="00B8357E" w:rsidRPr="00D00D86">
        <w:rPr>
          <w:color w:val="000000" w:themeColor="text1"/>
          <w:sz w:val="22"/>
          <w:szCs w:val="22"/>
        </w:rPr>
        <w:t xml:space="preserve"> recipients in </w:t>
      </w:r>
      <w:r w:rsidR="00985EA8" w:rsidRPr="00D00D86">
        <w:rPr>
          <w:color w:val="000000" w:themeColor="text1"/>
          <w:sz w:val="22"/>
          <w:szCs w:val="22"/>
        </w:rPr>
        <w:t xml:space="preserve">each industry and coverage, </w:t>
      </w:r>
      <w:r w:rsidR="00B8357E" w:rsidRPr="00D00D86">
        <w:rPr>
          <w:color w:val="000000" w:themeColor="text1"/>
          <w:sz w:val="22"/>
          <w:szCs w:val="22"/>
        </w:rPr>
        <w:t>the number of</w:t>
      </w:r>
      <w:r w:rsidR="00853CBB">
        <w:rPr>
          <w:color w:val="000000" w:themeColor="text1"/>
          <w:sz w:val="22"/>
          <w:szCs w:val="22"/>
        </w:rPr>
        <w:t xml:space="preserve"> </w:t>
      </w:r>
      <w:r w:rsidR="00B8357E" w:rsidRPr="00D00D86">
        <w:rPr>
          <w:color w:val="000000" w:themeColor="text1"/>
          <w:sz w:val="22"/>
          <w:szCs w:val="22"/>
        </w:rPr>
        <w:t xml:space="preserve">recipients as a proportion of </w:t>
      </w:r>
      <w:r w:rsidR="00985EA8" w:rsidRPr="00D00D86">
        <w:rPr>
          <w:color w:val="000000" w:themeColor="text1"/>
          <w:sz w:val="22"/>
          <w:szCs w:val="22"/>
        </w:rPr>
        <w:t>all businesses or all employed persons in that industry</w:t>
      </w:r>
      <w:r w:rsidR="00B8357E" w:rsidRPr="00D00D86">
        <w:rPr>
          <w:color w:val="000000" w:themeColor="text1"/>
          <w:sz w:val="22"/>
          <w:szCs w:val="22"/>
        </w:rPr>
        <w:t xml:space="preserve">. </w:t>
      </w:r>
    </w:p>
    <w:p w14:paraId="6E32E162" w14:textId="49246CCF" w:rsidR="00B8357E" w:rsidRPr="00D00D86" w:rsidRDefault="00B8357E" w:rsidP="00582A21">
      <w:pPr>
        <w:pStyle w:val="BodyText"/>
        <w:rPr>
          <w:color w:val="000000" w:themeColor="text1"/>
          <w:sz w:val="22"/>
          <w:szCs w:val="22"/>
        </w:rPr>
      </w:pPr>
      <w:r w:rsidRPr="00D00D86">
        <w:rPr>
          <w:color w:val="000000" w:themeColor="text1"/>
          <w:sz w:val="22"/>
          <w:szCs w:val="22"/>
        </w:rPr>
        <w:t xml:space="preserve">As the </w:t>
      </w:r>
      <w:r w:rsidR="00635BD9">
        <w:rPr>
          <w:color w:val="000000" w:themeColor="text1"/>
          <w:sz w:val="22"/>
          <w:szCs w:val="22"/>
        </w:rPr>
        <w:t xml:space="preserve">organisational </w:t>
      </w:r>
      <w:r w:rsidRPr="00D00D86">
        <w:rPr>
          <w:color w:val="000000" w:themeColor="text1"/>
          <w:sz w:val="22"/>
          <w:szCs w:val="22"/>
        </w:rPr>
        <w:t xml:space="preserve">population is dominated by </w:t>
      </w:r>
      <w:r w:rsidR="005411CF" w:rsidRPr="00D00D86">
        <w:rPr>
          <w:color w:val="000000" w:themeColor="text1"/>
          <w:sz w:val="22"/>
          <w:szCs w:val="22"/>
        </w:rPr>
        <w:t xml:space="preserve">sole traders and other </w:t>
      </w:r>
      <w:r w:rsidRPr="00D00D86">
        <w:rPr>
          <w:color w:val="000000" w:themeColor="text1"/>
          <w:sz w:val="22"/>
          <w:szCs w:val="22"/>
        </w:rPr>
        <w:t xml:space="preserve">small businesses, it is important to take care in distinguishing between </w:t>
      </w:r>
      <w:r w:rsidR="001D45ED">
        <w:rPr>
          <w:color w:val="000000" w:themeColor="text1"/>
          <w:sz w:val="22"/>
          <w:szCs w:val="22"/>
        </w:rPr>
        <w:t xml:space="preserve">organisational </w:t>
      </w:r>
      <w:r w:rsidRPr="00D00D86">
        <w:rPr>
          <w:color w:val="000000" w:themeColor="text1"/>
          <w:sz w:val="22"/>
          <w:szCs w:val="22"/>
        </w:rPr>
        <w:t>recipients and individual recipients.</w:t>
      </w:r>
      <w:r w:rsidR="00A82744" w:rsidRPr="00D00D86">
        <w:rPr>
          <w:rStyle w:val="FootnoteReference"/>
          <w:color w:val="000000" w:themeColor="text1"/>
          <w:sz w:val="22"/>
          <w:szCs w:val="22"/>
        </w:rPr>
        <w:footnoteReference w:id="20"/>
      </w:r>
      <w:r w:rsidRPr="00D00D86">
        <w:rPr>
          <w:color w:val="000000" w:themeColor="text1"/>
          <w:sz w:val="22"/>
          <w:szCs w:val="22"/>
        </w:rPr>
        <w:t xml:space="preserve"> </w:t>
      </w:r>
      <w:r w:rsidR="009624B8" w:rsidRPr="00D00D86">
        <w:rPr>
          <w:color w:val="000000" w:themeColor="text1"/>
          <w:sz w:val="22"/>
          <w:szCs w:val="22"/>
        </w:rPr>
        <w:t xml:space="preserve">For example, </w:t>
      </w:r>
      <w:r w:rsidR="008A1251" w:rsidRPr="00D00D86">
        <w:rPr>
          <w:color w:val="000000" w:themeColor="text1"/>
          <w:sz w:val="22"/>
          <w:szCs w:val="22"/>
        </w:rPr>
        <w:t>sole traders</w:t>
      </w:r>
      <w:r w:rsidR="005411CF" w:rsidRPr="00D00D86">
        <w:rPr>
          <w:color w:val="000000" w:themeColor="text1"/>
          <w:sz w:val="22"/>
          <w:szCs w:val="22"/>
        </w:rPr>
        <w:t xml:space="preserve"> make up 40 per cent of organisations </w:t>
      </w:r>
      <w:r w:rsidR="00752557" w:rsidRPr="00D00D86">
        <w:rPr>
          <w:color w:val="000000" w:themeColor="text1"/>
          <w:sz w:val="22"/>
          <w:szCs w:val="22"/>
        </w:rPr>
        <w:t xml:space="preserve">which have received </w:t>
      </w:r>
      <w:r w:rsidR="005411CF" w:rsidRPr="00D00D86">
        <w:rPr>
          <w:color w:val="000000" w:themeColor="text1"/>
          <w:sz w:val="22"/>
          <w:szCs w:val="22"/>
        </w:rPr>
        <w:t>the JobKeeper Payment</w:t>
      </w:r>
      <w:r w:rsidR="00752557" w:rsidRPr="00D00D86">
        <w:rPr>
          <w:color w:val="000000" w:themeColor="text1"/>
          <w:sz w:val="22"/>
          <w:szCs w:val="22"/>
        </w:rPr>
        <w:t xml:space="preserve"> </w:t>
      </w:r>
      <w:r w:rsidR="00C66918" w:rsidRPr="00D00D86">
        <w:rPr>
          <w:color w:val="000000" w:themeColor="text1"/>
          <w:sz w:val="22"/>
          <w:szCs w:val="22"/>
        </w:rPr>
        <w:t xml:space="preserve">for </w:t>
      </w:r>
      <w:r w:rsidR="00752557" w:rsidRPr="00D00D86">
        <w:rPr>
          <w:color w:val="000000" w:themeColor="text1"/>
          <w:sz w:val="22"/>
          <w:szCs w:val="22"/>
        </w:rPr>
        <w:t>April</w:t>
      </w:r>
      <w:r w:rsidR="00B76BAF">
        <w:rPr>
          <w:rStyle w:val="FootnoteReference"/>
          <w:color w:val="000000" w:themeColor="text1"/>
          <w:sz w:val="22"/>
          <w:szCs w:val="22"/>
        </w:rPr>
        <w:footnoteReference w:id="21"/>
      </w:r>
      <w:r w:rsidR="005411CF" w:rsidRPr="00D00D86">
        <w:rPr>
          <w:color w:val="000000" w:themeColor="text1"/>
          <w:sz w:val="22"/>
          <w:szCs w:val="22"/>
        </w:rPr>
        <w:t>, but just 1</w:t>
      </w:r>
      <w:r w:rsidR="000C4E9F" w:rsidRPr="00D00D86">
        <w:rPr>
          <w:color w:val="000000" w:themeColor="text1"/>
          <w:sz w:val="22"/>
          <w:szCs w:val="22"/>
        </w:rPr>
        <w:t>2</w:t>
      </w:r>
      <w:r w:rsidR="005411CF" w:rsidRPr="00D00D86">
        <w:rPr>
          <w:color w:val="000000" w:themeColor="text1"/>
          <w:sz w:val="22"/>
          <w:szCs w:val="22"/>
        </w:rPr>
        <w:t xml:space="preserve"> per cent of individual recipients. </w:t>
      </w:r>
      <w:r w:rsidR="009624B8" w:rsidRPr="00D00D86">
        <w:rPr>
          <w:color w:val="000000" w:themeColor="text1"/>
          <w:sz w:val="22"/>
          <w:szCs w:val="22"/>
        </w:rPr>
        <w:t>This is reflected i</w:t>
      </w:r>
      <w:r w:rsidR="00E41315" w:rsidRPr="00D00D86">
        <w:rPr>
          <w:color w:val="000000" w:themeColor="text1"/>
          <w:sz w:val="22"/>
          <w:szCs w:val="22"/>
        </w:rPr>
        <w:t xml:space="preserve">n an industry like </w:t>
      </w:r>
      <w:r w:rsidR="002E26E0" w:rsidRPr="00D00D86">
        <w:rPr>
          <w:color w:val="000000" w:themeColor="text1"/>
          <w:sz w:val="22"/>
          <w:szCs w:val="22"/>
        </w:rPr>
        <w:t>C</w:t>
      </w:r>
      <w:r w:rsidR="00E41315" w:rsidRPr="00D00D86">
        <w:rPr>
          <w:color w:val="000000" w:themeColor="text1"/>
          <w:sz w:val="22"/>
          <w:szCs w:val="22"/>
        </w:rPr>
        <w:t>onstruction</w:t>
      </w:r>
      <w:r w:rsidR="00BC4BA4" w:rsidRPr="00D00D86">
        <w:rPr>
          <w:color w:val="000000" w:themeColor="text1"/>
          <w:sz w:val="22"/>
          <w:szCs w:val="22"/>
        </w:rPr>
        <w:t>,</w:t>
      </w:r>
      <w:r w:rsidR="009624B8" w:rsidRPr="00D00D86">
        <w:rPr>
          <w:color w:val="000000" w:themeColor="text1"/>
          <w:sz w:val="22"/>
          <w:szCs w:val="22"/>
        </w:rPr>
        <w:t xml:space="preserve"> which ha</w:t>
      </w:r>
      <w:r w:rsidR="00BC4BA4" w:rsidRPr="00D00D86">
        <w:rPr>
          <w:color w:val="000000" w:themeColor="text1"/>
          <w:sz w:val="22"/>
          <w:szCs w:val="22"/>
        </w:rPr>
        <w:t>d</w:t>
      </w:r>
      <w:r w:rsidR="009624B8" w:rsidRPr="00D00D86">
        <w:rPr>
          <w:color w:val="000000" w:themeColor="text1"/>
          <w:sz w:val="22"/>
          <w:szCs w:val="22"/>
        </w:rPr>
        <w:t xml:space="preserve"> </w:t>
      </w:r>
      <w:r w:rsidRPr="00D00D86">
        <w:rPr>
          <w:color w:val="000000" w:themeColor="text1"/>
          <w:sz w:val="22"/>
          <w:szCs w:val="22"/>
        </w:rPr>
        <w:t xml:space="preserve">the largest number of JobKeeper </w:t>
      </w:r>
      <w:r w:rsidR="00752557" w:rsidRPr="00D00D86">
        <w:rPr>
          <w:color w:val="000000" w:themeColor="text1"/>
          <w:sz w:val="22"/>
          <w:szCs w:val="22"/>
        </w:rPr>
        <w:t xml:space="preserve">applications </w:t>
      </w:r>
      <w:r w:rsidR="00BC4BA4" w:rsidRPr="00D00D86">
        <w:rPr>
          <w:color w:val="000000" w:themeColor="text1"/>
          <w:sz w:val="22"/>
          <w:szCs w:val="22"/>
        </w:rPr>
        <w:t xml:space="preserve">processed for April </w:t>
      </w:r>
      <w:r w:rsidRPr="00D00D86">
        <w:rPr>
          <w:color w:val="000000" w:themeColor="text1"/>
          <w:sz w:val="22"/>
          <w:szCs w:val="22"/>
        </w:rPr>
        <w:t>(</w:t>
      </w:r>
      <w:r w:rsidR="00E020DA">
        <w:rPr>
          <w:color w:val="000000" w:themeColor="text1"/>
          <w:sz w:val="22"/>
          <w:szCs w:val="22"/>
        </w:rPr>
        <w:t xml:space="preserve">around </w:t>
      </w:r>
      <w:r w:rsidRPr="00D00D86">
        <w:rPr>
          <w:color w:val="000000" w:themeColor="text1"/>
          <w:sz w:val="22"/>
          <w:szCs w:val="22"/>
        </w:rPr>
        <w:t>130,000</w:t>
      </w:r>
      <w:r w:rsidR="00BC4BA4" w:rsidRPr="00D00D86">
        <w:rPr>
          <w:color w:val="000000" w:themeColor="text1"/>
          <w:sz w:val="22"/>
          <w:szCs w:val="22"/>
        </w:rPr>
        <w:t> </w:t>
      </w:r>
      <w:r w:rsidR="00752557" w:rsidRPr="00D00D86">
        <w:rPr>
          <w:color w:val="000000" w:themeColor="text1"/>
          <w:sz w:val="22"/>
          <w:szCs w:val="22"/>
        </w:rPr>
        <w:t>organisations</w:t>
      </w:r>
      <w:r w:rsidRPr="00D00D86">
        <w:rPr>
          <w:color w:val="000000" w:themeColor="text1"/>
          <w:sz w:val="22"/>
          <w:szCs w:val="22"/>
        </w:rPr>
        <w:t>) but rank</w:t>
      </w:r>
      <w:r w:rsidR="00BC4BA4" w:rsidRPr="00D00D86">
        <w:rPr>
          <w:color w:val="000000" w:themeColor="text1"/>
          <w:sz w:val="22"/>
          <w:szCs w:val="22"/>
        </w:rPr>
        <w:t>ed</w:t>
      </w:r>
      <w:r w:rsidRPr="00D00D86">
        <w:rPr>
          <w:color w:val="000000" w:themeColor="text1"/>
          <w:sz w:val="22"/>
          <w:szCs w:val="22"/>
        </w:rPr>
        <w:t xml:space="preserve"> third in the number of individual recipients (</w:t>
      </w:r>
      <w:r w:rsidR="00E020DA">
        <w:rPr>
          <w:color w:val="000000" w:themeColor="text1"/>
          <w:sz w:val="22"/>
          <w:szCs w:val="22"/>
        </w:rPr>
        <w:t xml:space="preserve">around </w:t>
      </w:r>
      <w:r w:rsidRPr="00D00D86">
        <w:rPr>
          <w:color w:val="000000" w:themeColor="text1"/>
          <w:sz w:val="22"/>
          <w:szCs w:val="22"/>
        </w:rPr>
        <w:t>348,000</w:t>
      </w:r>
      <w:r w:rsidR="00672F99">
        <w:rPr>
          <w:color w:val="000000" w:themeColor="text1"/>
          <w:sz w:val="22"/>
          <w:szCs w:val="22"/>
        </w:rPr>
        <w:t xml:space="preserve"> people</w:t>
      </w:r>
      <w:r w:rsidRPr="00D00D86">
        <w:rPr>
          <w:color w:val="000000" w:themeColor="text1"/>
          <w:sz w:val="22"/>
          <w:szCs w:val="22"/>
        </w:rPr>
        <w:t>).</w:t>
      </w:r>
    </w:p>
    <w:p w14:paraId="4A4B49AF" w14:textId="168FCFEC" w:rsidR="006D2D16" w:rsidRPr="00D00D86" w:rsidRDefault="0097753C" w:rsidP="006D2D16">
      <w:pPr>
        <w:pStyle w:val="BodyText"/>
        <w:rPr>
          <w:color w:val="000000" w:themeColor="text1"/>
          <w:sz w:val="22"/>
          <w:szCs w:val="22"/>
        </w:rPr>
      </w:pPr>
      <w:r w:rsidRPr="00D00D86">
        <w:rPr>
          <w:b/>
          <w:color w:val="000000" w:themeColor="text1"/>
          <w:sz w:val="22"/>
          <w:szCs w:val="22"/>
        </w:rPr>
        <w:t>Figure</w:t>
      </w:r>
      <w:r w:rsidR="00CA4022" w:rsidRPr="00D00D86">
        <w:rPr>
          <w:b/>
          <w:color w:val="000000" w:themeColor="text1"/>
          <w:sz w:val="22"/>
          <w:szCs w:val="22"/>
        </w:rPr>
        <w:t xml:space="preserve"> 2</w:t>
      </w:r>
      <w:r w:rsidR="007F62E0" w:rsidRPr="00D00D86">
        <w:rPr>
          <w:color w:val="000000" w:themeColor="text1"/>
          <w:sz w:val="22"/>
          <w:szCs w:val="22"/>
        </w:rPr>
        <w:t xml:space="preserve"> illustrates take</w:t>
      </w:r>
      <w:r w:rsidR="00DE2760">
        <w:rPr>
          <w:color w:val="000000" w:themeColor="text1"/>
          <w:sz w:val="22"/>
          <w:szCs w:val="22"/>
        </w:rPr>
        <w:noBreakHyphen/>
      </w:r>
      <w:r w:rsidR="007F62E0" w:rsidRPr="00D00D86">
        <w:rPr>
          <w:color w:val="000000" w:themeColor="text1"/>
          <w:sz w:val="22"/>
          <w:szCs w:val="22"/>
        </w:rPr>
        <w:t xml:space="preserve">up across the range of </w:t>
      </w:r>
      <w:r w:rsidR="007971FB" w:rsidRPr="00D00D86">
        <w:rPr>
          <w:color w:val="000000" w:themeColor="text1"/>
          <w:sz w:val="22"/>
          <w:szCs w:val="22"/>
        </w:rPr>
        <w:t>industries</w:t>
      </w:r>
      <w:r w:rsidR="007F62E0" w:rsidRPr="00D00D86">
        <w:rPr>
          <w:color w:val="000000" w:themeColor="text1"/>
          <w:sz w:val="22"/>
          <w:szCs w:val="22"/>
        </w:rPr>
        <w:t xml:space="preserve"> in the economy.</w:t>
      </w:r>
      <w:r w:rsidR="00D629A9" w:rsidRPr="00D00D86">
        <w:rPr>
          <w:rStyle w:val="FootnoteReference"/>
          <w:color w:val="000000" w:themeColor="text1"/>
          <w:sz w:val="22"/>
          <w:szCs w:val="22"/>
        </w:rPr>
        <w:footnoteReference w:id="22"/>
      </w:r>
      <w:r w:rsidR="007D3398" w:rsidRPr="00D00D86">
        <w:rPr>
          <w:color w:val="000000" w:themeColor="text1"/>
          <w:sz w:val="22"/>
          <w:szCs w:val="22"/>
        </w:rPr>
        <w:t xml:space="preserve"> The top panel </w:t>
      </w:r>
      <w:r w:rsidR="00857FB0" w:rsidRPr="00D00D86">
        <w:rPr>
          <w:color w:val="000000" w:themeColor="text1"/>
          <w:sz w:val="22"/>
          <w:szCs w:val="22"/>
        </w:rPr>
        <w:t>(</w:t>
      </w:r>
      <w:r w:rsidR="00857FB0" w:rsidRPr="00D00D86">
        <w:rPr>
          <w:b/>
          <w:color w:val="000000" w:themeColor="text1"/>
          <w:sz w:val="22"/>
          <w:szCs w:val="22"/>
        </w:rPr>
        <w:t>Figure 2a</w:t>
      </w:r>
      <w:r w:rsidR="00857FB0" w:rsidRPr="00D00D86">
        <w:rPr>
          <w:color w:val="000000" w:themeColor="text1"/>
          <w:sz w:val="22"/>
          <w:szCs w:val="22"/>
        </w:rPr>
        <w:t xml:space="preserve">) </w:t>
      </w:r>
      <w:r w:rsidR="007D3398" w:rsidRPr="00D00D86">
        <w:rPr>
          <w:color w:val="000000" w:themeColor="text1"/>
          <w:sz w:val="22"/>
          <w:szCs w:val="22"/>
        </w:rPr>
        <w:t xml:space="preserve">shows the distribution </w:t>
      </w:r>
      <w:r w:rsidR="00C71A21" w:rsidRPr="00D00D86">
        <w:rPr>
          <w:color w:val="000000" w:themeColor="text1"/>
          <w:sz w:val="22"/>
          <w:szCs w:val="22"/>
        </w:rPr>
        <w:t xml:space="preserve">and </w:t>
      </w:r>
      <w:r w:rsidR="00FC393F" w:rsidRPr="00D00D86">
        <w:rPr>
          <w:color w:val="000000" w:themeColor="text1"/>
          <w:sz w:val="22"/>
          <w:szCs w:val="22"/>
        </w:rPr>
        <w:t>coverage by</w:t>
      </w:r>
      <w:r w:rsidR="00C71A21" w:rsidRPr="00D00D86">
        <w:rPr>
          <w:color w:val="000000" w:themeColor="text1"/>
          <w:sz w:val="22"/>
          <w:szCs w:val="22"/>
        </w:rPr>
        <w:t xml:space="preserve"> </w:t>
      </w:r>
      <w:r w:rsidR="00FC393F" w:rsidRPr="00D00D86">
        <w:rPr>
          <w:color w:val="000000" w:themeColor="text1"/>
          <w:sz w:val="22"/>
          <w:szCs w:val="22"/>
        </w:rPr>
        <w:t xml:space="preserve">industry </w:t>
      </w:r>
      <w:r w:rsidR="007D3398" w:rsidRPr="00D00D86">
        <w:rPr>
          <w:color w:val="000000" w:themeColor="text1"/>
          <w:sz w:val="22"/>
          <w:szCs w:val="22"/>
        </w:rPr>
        <w:t xml:space="preserve">of </w:t>
      </w:r>
      <w:r w:rsidR="007971FB" w:rsidRPr="00D00D86">
        <w:rPr>
          <w:color w:val="000000" w:themeColor="text1"/>
          <w:sz w:val="22"/>
          <w:szCs w:val="22"/>
        </w:rPr>
        <w:t>organisations</w:t>
      </w:r>
      <w:r w:rsidR="007D3398" w:rsidRPr="00D00D86">
        <w:rPr>
          <w:color w:val="000000" w:themeColor="text1"/>
          <w:sz w:val="22"/>
          <w:szCs w:val="22"/>
        </w:rPr>
        <w:t xml:space="preserve"> </w:t>
      </w:r>
      <w:r w:rsidR="00C71A21" w:rsidRPr="00D00D86">
        <w:rPr>
          <w:color w:val="000000" w:themeColor="text1"/>
          <w:sz w:val="22"/>
          <w:szCs w:val="22"/>
        </w:rPr>
        <w:t xml:space="preserve">with applications processed and the bottom panel </w:t>
      </w:r>
      <w:r w:rsidR="00857FB0" w:rsidRPr="00D00D86">
        <w:rPr>
          <w:color w:val="000000" w:themeColor="text1"/>
          <w:sz w:val="22"/>
          <w:szCs w:val="22"/>
        </w:rPr>
        <w:t>(</w:t>
      </w:r>
      <w:r w:rsidR="00857FB0" w:rsidRPr="00D00D86">
        <w:rPr>
          <w:b/>
          <w:color w:val="000000" w:themeColor="text1"/>
          <w:sz w:val="22"/>
          <w:szCs w:val="22"/>
        </w:rPr>
        <w:t>Figure 2b</w:t>
      </w:r>
      <w:r w:rsidR="00857FB0" w:rsidRPr="00D00D86">
        <w:rPr>
          <w:color w:val="000000" w:themeColor="text1"/>
          <w:sz w:val="22"/>
          <w:szCs w:val="22"/>
        </w:rPr>
        <w:t xml:space="preserve">) </w:t>
      </w:r>
      <w:r w:rsidR="00C71A21" w:rsidRPr="00D00D86">
        <w:rPr>
          <w:color w:val="000000" w:themeColor="text1"/>
          <w:sz w:val="22"/>
          <w:szCs w:val="22"/>
        </w:rPr>
        <w:t xml:space="preserve">shows the </w:t>
      </w:r>
      <w:r w:rsidR="0007618F" w:rsidRPr="00D00D86">
        <w:rPr>
          <w:color w:val="000000" w:themeColor="text1"/>
          <w:sz w:val="22"/>
          <w:szCs w:val="22"/>
        </w:rPr>
        <w:t xml:space="preserve">distribution and </w:t>
      </w:r>
      <w:r w:rsidR="00FC393F" w:rsidRPr="00D00D86">
        <w:rPr>
          <w:color w:val="000000" w:themeColor="text1"/>
          <w:sz w:val="22"/>
          <w:szCs w:val="22"/>
        </w:rPr>
        <w:t>coverage</w:t>
      </w:r>
      <w:r w:rsidR="0007618F" w:rsidRPr="00D00D86">
        <w:rPr>
          <w:color w:val="000000" w:themeColor="text1"/>
          <w:sz w:val="22"/>
          <w:szCs w:val="22"/>
        </w:rPr>
        <w:t xml:space="preserve"> </w:t>
      </w:r>
      <w:r w:rsidR="00FC393F" w:rsidRPr="00D00D86">
        <w:rPr>
          <w:color w:val="000000" w:themeColor="text1"/>
          <w:sz w:val="22"/>
          <w:szCs w:val="22"/>
        </w:rPr>
        <w:t xml:space="preserve">by industry </w:t>
      </w:r>
      <w:r w:rsidR="0007618F" w:rsidRPr="00D00D86">
        <w:rPr>
          <w:color w:val="000000" w:themeColor="text1"/>
          <w:sz w:val="22"/>
          <w:szCs w:val="22"/>
        </w:rPr>
        <w:t>of individual recipients during April.</w:t>
      </w:r>
    </w:p>
    <w:p w14:paraId="3E53A876" w14:textId="3730D31B" w:rsidR="00DE4DC8" w:rsidRPr="00D00D86" w:rsidRDefault="009624B8" w:rsidP="00DE4DC8">
      <w:pPr>
        <w:pStyle w:val="BodyText"/>
        <w:rPr>
          <w:color w:val="000000" w:themeColor="text1"/>
          <w:sz w:val="22"/>
          <w:szCs w:val="22"/>
        </w:rPr>
      </w:pPr>
      <w:r w:rsidRPr="00D00D86">
        <w:rPr>
          <w:color w:val="000000" w:themeColor="text1"/>
          <w:sz w:val="22"/>
          <w:szCs w:val="22"/>
        </w:rPr>
        <w:t xml:space="preserve">The industries with the largest </w:t>
      </w:r>
      <w:r w:rsidR="00985EA8" w:rsidRPr="00D00D86">
        <w:rPr>
          <w:color w:val="000000" w:themeColor="text1"/>
          <w:sz w:val="22"/>
          <w:szCs w:val="22"/>
        </w:rPr>
        <w:t>number</w:t>
      </w:r>
      <w:r w:rsidRPr="00D00D86">
        <w:rPr>
          <w:color w:val="000000" w:themeColor="text1"/>
          <w:sz w:val="22"/>
          <w:szCs w:val="22"/>
        </w:rPr>
        <w:t xml:space="preserve"> of recipients </w:t>
      </w:r>
      <w:r w:rsidR="00757F8A" w:rsidRPr="00D00D86">
        <w:rPr>
          <w:color w:val="000000" w:themeColor="text1"/>
          <w:sz w:val="22"/>
          <w:szCs w:val="22"/>
        </w:rPr>
        <w:t xml:space="preserve">by organisation </w:t>
      </w:r>
      <w:r w:rsidRPr="00D00D86">
        <w:rPr>
          <w:color w:val="000000" w:themeColor="text1"/>
          <w:sz w:val="22"/>
          <w:szCs w:val="22"/>
        </w:rPr>
        <w:t xml:space="preserve">are: </w:t>
      </w:r>
      <w:r w:rsidR="002E26E0" w:rsidRPr="00D00D86">
        <w:rPr>
          <w:color w:val="000000" w:themeColor="text1"/>
          <w:sz w:val="22"/>
          <w:szCs w:val="22"/>
        </w:rPr>
        <w:t>C</w:t>
      </w:r>
      <w:r w:rsidRPr="00D00D86">
        <w:rPr>
          <w:color w:val="000000" w:themeColor="text1"/>
          <w:sz w:val="22"/>
          <w:szCs w:val="22"/>
        </w:rPr>
        <w:t xml:space="preserve">onstruction; </w:t>
      </w:r>
      <w:r w:rsidR="002E26E0" w:rsidRPr="00D00D86">
        <w:rPr>
          <w:color w:val="000000" w:themeColor="text1"/>
          <w:sz w:val="22"/>
          <w:szCs w:val="22"/>
        </w:rPr>
        <w:t>P</w:t>
      </w:r>
      <w:r w:rsidRPr="00D00D86">
        <w:rPr>
          <w:color w:val="000000" w:themeColor="text1"/>
          <w:sz w:val="22"/>
          <w:szCs w:val="22"/>
        </w:rPr>
        <w:t xml:space="preserve">rofessional, scientific and technical services; and </w:t>
      </w:r>
      <w:r w:rsidR="002E26E0" w:rsidRPr="00D00D86">
        <w:rPr>
          <w:color w:val="000000" w:themeColor="text1"/>
          <w:sz w:val="22"/>
          <w:szCs w:val="22"/>
        </w:rPr>
        <w:t>O</w:t>
      </w:r>
      <w:r w:rsidRPr="00D00D86">
        <w:rPr>
          <w:color w:val="000000" w:themeColor="text1"/>
          <w:sz w:val="22"/>
          <w:szCs w:val="22"/>
        </w:rPr>
        <w:t>ther services</w:t>
      </w:r>
      <w:r w:rsidR="001F4B2D">
        <w:rPr>
          <w:color w:val="000000" w:themeColor="text1"/>
          <w:sz w:val="22"/>
          <w:szCs w:val="22"/>
        </w:rPr>
        <w:t xml:space="preserve">; followed by Health care and </w:t>
      </w:r>
      <w:r w:rsidR="001F4B2D">
        <w:rPr>
          <w:color w:val="000000" w:themeColor="text1"/>
          <w:sz w:val="22"/>
          <w:szCs w:val="22"/>
        </w:rPr>
        <w:lastRenderedPageBreak/>
        <w:t>social assistance</w:t>
      </w:r>
      <w:r w:rsidR="00A82744" w:rsidRPr="00D00D86">
        <w:rPr>
          <w:color w:val="000000" w:themeColor="text1"/>
          <w:sz w:val="22"/>
          <w:szCs w:val="22"/>
        </w:rPr>
        <w:t>.</w:t>
      </w:r>
      <w:r w:rsidR="00752557" w:rsidRPr="00D00D86">
        <w:rPr>
          <w:rStyle w:val="FootnoteReference"/>
          <w:color w:val="000000" w:themeColor="text1"/>
          <w:sz w:val="22"/>
          <w:szCs w:val="22"/>
        </w:rPr>
        <w:footnoteReference w:id="23"/>
      </w:r>
      <w:r w:rsidRPr="00D00D86">
        <w:rPr>
          <w:color w:val="000000" w:themeColor="text1"/>
          <w:sz w:val="22"/>
          <w:szCs w:val="22"/>
        </w:rPr>
        <w:t xml:space="preserve"> The industries with the greatest share of recipients </w:t>
      </w:r>
      <w:r w:rsidR="0015453B" w:rsidRPr="00D00D86">
        <w:rPr>
          <w:color w:val="000000" w:themeColor="text1"/>
          <w:sz w:val="22"/>
          <w:szCs w:val="22"/>
        </w:rPr>
        <w:t xml:space="preserve">by organisation </w:t>
      </w:r>
      <w:r w:rsidRPr="00D00D86">
        <w:rPr>
          <w:color w:val="000000" w:themeColor="text1"/>
          <w:sz w:val="22"/>
          <w:szCs w:val="22"/>
        </w:rPr>
        <w:t xml:space="preserve">are: </w:t>
      </w:r>
      <w:r w:rsidR="002E26E0" w:rsidRPr="00D00D86">
        <w:rPr>
          <w:color w:val="000000" w:themeColor="text1"/>
          <w:sz w:val="22"/>
          <w:szCs w:val="22"/>
        </w:rPr>
        <w:t>A</w:t>
      </w:r>
      <w:r w:rsidR="00E00078" w:rsidRPr="00D00D86">
        <w:rPr>
          <w:color w:val="000000" w:themeColor="text1"/>
          <w:sz w:val="22"/>
          <w:szCs w:val="22"/>
        </w:rPr>
        <w:t>ccommodation and food services;</w:t>
      </w:r>
      <w:r w:rsidRPr="00D00D86">
        <w:rPr>
          <w:color w:val="000000" w:themeColor="text1"/>
          <w:sz w:val="22"/>
          <w:szCs w:val="22"/>
        </w:rPr>
        <w:t xml:space="preserve"> </w:t>
      </w:r>
      <w:r w:rsidR="002E26E0" w:rsidRPr="00D00D86">
        <w:rPr>
          <w:color w:val="000000" w:themeColor="text1"/>
          <w:sz w:val="22"/>
          <w:szCs w:val="22"/>
        </w:rPr>
        <w:t>O</w:t>
      </w:r>
      <w:r w:rsidRPr="00D00D86">
        <w:rPr>
          <w:color w:val="000000" w:themeColor="text1"/>
          <w:sz w:val="22"/>
          <w:szCs w:val="22"/>
        </w:rPr>
        <w:t>t</w:t>
      </w:r>
      <w:r w:rsidR="00E00078" w:rsidRPr="00D00D86">
        <w:rPr>
          <w:color w:val="000000" w:themeColor="text1"/>
          <w:sz w:val="22"/>
          <w:szCs w:val="22"/>
        </w:rPr>
        <w:t>her</w:t>
      </w:r>
      <w:r w:rsidR="00672F99">
        <w:rPr>
          <w:color w:val="000000" w:themeColor="text1"/>
          <w:sz w:val="22"/>
          <w:szCs w:val="22"/>
        </w:rPr>
        <w:t> </w:t>
      </w:r>
      <w:r w:rsidR="00E00078" w:rsidRPr="00D00D86">
        <w:rPr>
          <w:color w:val="000000" w:themeColor="text1"/>
          <w:sz w:val="22"/>
          <w:szCs w:val="22"/>
        </w:rPr>
        <w:t>services;</w:t>
      </w:r>
      <w:r w:rsidRPr="00D00D86">
        <w:rPr>
          <w:color w:val="000000" w:themeColor="text1"/>
          <w:sz w:val="22"/>
          <w:szCs w:val="22"/>
        </w:rPr>
        <w:t xml:space="preserve"> and </w:t>
      </w:r>
      <w:r w:rsidR="002E26E0" w:rsidRPr="00D00D86">
        <w:rPr>
          <w:color w:val="000000" w:themeColor="text1"/>
          <w:sz w:val="22"/>
          <w:szCs w:val="22"/>
        </w:rPr>
        <w:t>H</w:t>
      </w:r>
      <w:r w:rsidRPr="00D00D86">
        <w:rPr>
          <w:color w:val="000000" w:themeColor="text1"/>
          <w:sz w:val="22"/>
          <w:szCs w:val="22"/>
        </w:rPr>
        <w:t>ealth care and social assistance.</w:t>
      </w:r>
      <w:bookmarkStart w:id="417" w:name="_Toc43389600"/>
      <w:bookmarkStart w:id="418" w:name="_Toc43462899"/>
      <w:bookmarkStart w:id="419" w:name="_Toc43466279"/>
      <w:bookmarkStart w:id="420" w:name="_Toc43469271"/>
      <w:bookmarkStart w:id="421" w:name="_Toc43469666"/>
      <w:bookmarkStart w:id="422" w:name="_Toc43469942"/>
      <w:bookmarkStart w:id="423" w:name="_Toc43469956"/>
      <w:bookmarkStart w:id="424" w:name="_Toc43729203"/>
      <w:bookmarkStart w:id="425" w:name="_Toc43730791"/>
      <w:bookmarkStart w:id="426" w:name="_Toc43731569"/>
      <w:bookmarkStart w:id="427" w:name="_Toc43732041"/>
      <w:bookmarkStart w:id="428" w:name="_Toc43733859"/>
      <w:bookmarkStart w:id="429" w:name="_Toc43734761"/>
      <w:bookmarkStart w:id="430" w:name="_Toc43738740"/>
      <w:bookmarkStart w:id="431" w:name="_Toc43743052"/>
      <w:r w:rsidR="00BC4BA4" w:rsidRPr="00D00D86">
        <w:rPr>
          <w:color w:val="000000" w:themeColor="text1"/>
          <w:sz w:val="22"/>
          <w:szCs w:val="22"/>
        </w:rPr>
        <w:t xml:space="preserve"> </w:t>
      </w:r>
      <w:r w:rsidR="00DE4DC8" w:rsidRPr="00D00D86">
        <w:rPr>
          <w:color w:val="000000" w:themeColor="text1"/>
          <w:sz w:val="22"/>
          <w:szCs w:val="22"/>
        </w:rPr>
        <w:t>From a</w:t>
      </w:r>
      <w:r w:rsidR="00B9724A">
        <w:rPr>
          <w:color w:val="000000" w:themeColor="text1"/>
          <w:sz w:val="22"/>
          <w:szCs w:val="22"/>
        </w:rPr>
        <w:t xml:space="preserve"> worker</w:t>
      </w:r>
      <w:r w:rsidR="00DE4DC8" w:rsidRPr="00D00D86">
        <w:rPr>
          <w:color w:val="000000" w:themeColor="text1"/>
          <w:sz w:val="22"/>
          <w:szCs w:val="22"/>
        </w:rPr>
        <w:t xml:space="preserve"> perspective, the industries with the largest </w:t>
      </w:r>
      <w:r w:rsidR="00985EA8" w:rsidRPr="00D00D86">
        <w:rPr>
          <w:color w:val="000000" w:themeColor="text1"/>
          <w:sz w:val="22"/>
          <w:szCs w:val="22"/>
        </w:rPr>
        <w:t>number</w:t>
      </w:r>
      <w:r w:rsidR="00DE4DC8" w:rsidRPr="00D00D86">
        <w:rPr>
          <w:color w:val="000000" w:themeColor="text1"/>
          <w:sz w:val="22"/>
          <w:szCs w:val="22"/>
        </w:rPr>
        <w:t xml:space="preserve"> of individual recipients are similar: </w:t>
      </w:r>
      <w:r w:rsidR="00DE5CBD" w:rsidRPr="00D00D86">
        <w:rPr>
          <w:color w:val="000000" w:themeColor="text1"/>
          <w:sz w:val="22"/>
          <w:szCs w:val="22"/>
        </w:rPr>
        <w:t>P</w:t>
      </w:r>
      <w:r w:rsidR="00DE4DC8" w:rsidRPr="00D00D86">
        <w:rPr>
          <w:color w:val="000000" w:themeColor="text1"/>
          <w:sz w:val="22"/>
          <w:szCs w:val="22"/>
        </w:rPr>
        <w:t xml:space="preserve">rofessional, scientific and technical services; </w:t>
      </w:r>
      <w:r w:rsidR="00DE5CBD" w:rsidRPr="00D00D86">
        <w:rPr>
          <w:color w:val="000000" w:themeColor="text1"/>
          <w:sz w:val="22"/>
          <w:szCs w:val="22"/>
        </w:rPr>
        <w:t>H</w:t>
      </w:r>
      <w:r w:rsidR="00DE4DC8" w:rsidRPr="00D00D86">
        <w:rPr>
          <w:color w:val="000000" w:themeColor="text1"/>
          <w:sz w:val="22"/>
          <w:szCs w:val="22"/>
        </w:rPr>
        <w:t>ealth care and social assistance</w:t>
      </w:r>
      <w:r w:rsidR="00186B26">
        <w:rPr>
          <w:color w:val="000000" w:themeColor="text1"/>
          <w:sz w:val="22"/>
          <w:szCs w:val="22"/>
        </w:rPr>
        <w:t xml:space="preserve">; and </w:t>
      </w:r>
      <w:r w:rsidR="00186B26" w:rsidRPr="00D00D86">
        <w:rPr>
          <w:color w:val="000000" w:themeColor="text1"/>
          <w:sz w:val="22"/>
          <w:szCs w:val="22"/>
        </w:rPr>
        <w:t>Construction</w:t>
      </w:r>
      <w:r w:rsidR="00DE4DC8" w:rsidRPr="00D00D86">
        <w:rPr>
          <w:color w:val="000000" w:themeColor="text1"/>
          <w:sz w:val="22"/>
          <w:szCs w:val="22"/>
        </w:rPr>
        <w:t>.</w:t>
      </w:r>
    </w:p>
    <w:p w14:paraId="5FB10121" w14:textId="221C97E4" w:rsidR="00FD1AA5" w:rsidRDefault="00DE4DC8" w:rsidP="00DE4DC8">
      <w:pPr>
        <w:pStyle w:val="BodyText"/>
        <w:rPr>
          <w:color w:val="000000" w:themeColor="text1"/>
          <w:sz w:val="22"/>
          <w:szCs w:val="22"/>
        </w:rPr>
      </w:pPr>
      <w:r w:rsidRPr="00D00D86">
        <w:rPr>
          <w:color w:val="000000" w:themeColor="text1"/>
          <w:sz w:val="22"/>
          <w:szCs w:val="22"/>
        </w:rPr>
        <w:t xml:space="preserve">To measure the share of individual recipients, the </w:t>
      </w:r>
      <w:r w:rsidR="00D32043" w:rsidRPr="00D00D86">
        <w:rPr>
          <w:color w:val="000000" w:themeColor="text1"/>
          <w:sz w:val="22"/>
          <w:szCs w:val="22"/>
        </w:rPr>
        <w:t>number</w:t>
      </w:r>
      <w:r w:rsidRPr="00D00D86">
        <w:rPr>
          <w:color w:val="000000" w:themeColor="text1"/>
          <w:sz w:val="22"/>
          <w:szCs w:val="22"/>
        </w:rPr>
        <w:t xml:space="preserve"> is shown as a proportion of the number of people employed in the private sector in February 2020, before the </w:t>
      </w:r>
      <w:r w:rsidR="00773537" w:rsidRPr="00D00D86">
        <w:rPr>
          <w:color w:val="000000" w:themeColor="text1"/>
          <w:sz w:val="22"/>
          <w:szCs w:val="22"/>
        </w:rPr>
        <w:t>Coronavirus outbreak</w:t>
      </w:r>
      <w:r w:rsidRPr="00D00D86">
        <w:rPr>
          <w:color w:val="000000" w:themeColor="text1"/>
          <w:sz w:val="22"/>
          <w:szCs w:val="22"/>
        </w:rPr>
        <w:t xml:space="preserve"> took hold.</w:t>
      </w:r>
      <w:r w:rsidRPr="00D00D86">
        <w:rPr>
          <w:rStyle w:val="FootnoteReference"/>
          <w:color w:val="000000" w:themeColor="text1"/>
          <w:sz w:val="22"/>
          <w:szCs w:val="22"/>
        </w:rPr>
        <w:footnoteReference w:id="24"/>
      </w:r>
      <w:r w:rsidRPr="00D00D86">
        <w:rPr>
          <w:color w:val="000000" w:themeColor="text1"/>
          <w:sz w:val="22"/>
          <w:szCs w:val="22"/>
        </w:rPr>
        <w:t xml:space="preserve"> It should be noted that this </w:t>
      </w:r>
      <w:r w:rsidR="00D32043" w:rsidRPr="00D00D86">
        <w:rPr>
          <w:color w:val="000000" w:themeColor="text1"/>
          <w:sz w:val="22"/>
          <w:szCs w:val="22"/>
        </w:rPr>
        <w:t>may</w:t>
      </w:r>
      <w:r w:rsidRPr="00D00D86">
        <w:rPr>
          <w:color w:val="000000" w:themeColor="text1"/>
          <w:sz w:val="22"/>
          <w:szCs w:val="22"/>
        </w:rPr>
        <w:t xml:space="preserve"> introduce some measurement error as the </w:t>
      </w:r>
      <w:r w:rsidR="002F029F" w:rsidRPr="00D00D86">
        <w:rPr>
          <w:color w:val="000000" w:themeColor="text1"/>
          <w:sz w:val="22"/>
          <w:szCs w:val="22"/>
        </w:rPr>
        <w:t xml:space="preserve">industry classification for the numerator is captured by the activity of the </w:t>
      </w:r>
      <w:r w:rsidR="00000F18">
        <w:rPr>
          <w:color w:val="000000" w:themeColor="text1"/>
          <w:sz w:val="22"/>
          <w:szCs w:val="22"/>
        </w:rPr>
        <w:t xml:space="preserve">organisation </w:t>
      </w:r>
      <w:r w:rsidR="002F029F" w:rsidRPr="00D00D86">
        <w:rPr>
          <w:color w:val="000000" w:themeColor="text1"/>
          <w:sz w:val="22"/>
          <w:szCs w:val="22"/>
        </w:rPr>
        <w:t>receiving JobKeeper,</w:t>
      </w:r>
      <w:r w:rsidR="00B9724A">
        <w:rPr>
          <w:color w:val="000000" w:themeColor="text1"/>
          <w:sz w:val="22"/>
          <w:szCs w:val="22"/>
        </w:rPr>
        <w:t xml:space="preserve"> and includes eligible business participants,</w:t>
      </w:r>
      <w:r w:rsidR="002F029F" w:rsidRPr="00D00D86">
        <w:rPr>
          <w:color w:val="000000" w:themeColor="text1"/>
          <w:sz w:val="22"/>
          <w:szCs w:val="22"/>
        </w:rPr>
        <w:t xml:space="preserve"> while the denominator is captured by the industry in which an employed person works in their main job.</w:t>
      </w:r>
      <w:r w:rsidRPr="00D00D86">
        <w:rPr>
          <w:rStyle w:val="FootnoteReference"/>
          <w:color w:val="000000" w:themeColor="text1"/>
          <w:sz w:val="22"/>
          <w:szCs w:val="22"/>
        </w:rPr>
        <w:footnoteReference w:id="25"/>
      </w:r>
      <w:r w:rsidRPr="00D00D86">
        <w:rPr>
          <w:color w:val="000000" w:themeColor="text1"/>
          <w:sz w:val="22"/>
          <w:szCs w:val="22"/>
        </w:rPr>
        <w:t xml:space="preserve"> The industries with the greatest share of individual recipients are: </w:t>
      </w:r>
      <w:r w:rsidR="00546C28" w:rsidRPr="00D00D86">
        <w:rPr>
          <w:color w:val="000000" w:themeColor="text1"/>
          <w:sz w:val="22"/>
          <w:szCs w:val="22"/>
        </w:rPr>
        <w:t>A</w:t>
      </w:r>
      <w:r w:rsidRPr="00D00D86">
        <w:rPr>
          <w:color w:val="000000" w:themeColor="text1"/>
          <w:sz w:val="22"/>
          <w:szCs w:val="22"/>
        </w:rPr>
        <w:t xml:space="preserve">rts and recreation services; </w:t>
      </w:r>
      <w:r w:rsidR="00546C28" w:rsidRPr="00D00D86">
        <w:rPr>
          <w:color w:val="000000" w:themeColor="text1"/>
          <w:sz w:val="22"/>
          <w:szCs w:val="22"/>
        </w:rPr>
        <w:t>O</w:t>
      </w:r>
      <w:r w:rsidRPr="00D00D86">
        <w:rPr>
          <w:color w:val="000000" w:themeColor="text1"/>
          <w:sz w:val="22"/>
          <w:szCs w:val="22"/>
        </w:rPr>
        <w:t>ther</w:t>
      </w:r>
      <w:r w:rsidR="008D1AA4">
        <w:rPr>
          <w:color w:val="000000" w:themeColor="text1"/>
          <w:sz w:val="22"/>
          <w:szCs w:val="22"/>
        </w:rPr>
        <w:t> </w:t>
      </w:r>
      <w:r w:rsidRPr="00D00D86">
        <w:rPr>
          <w:color w:val="000000" w:themeColor="text1"/>
          <w:sz w:val="22"/>
          <w:szCs w:val="22"/>
        </w:rPr>
        <w:t xml:space="preserve">services; and </w:t>
      </w:r>
      <w:r w:rsidR="00546C28" w:rsidRPr="00D00D86">
        <w:rPr>
          <w:color w:val="000000" w:themeColor="text1"/>
          <w:sz w:val="22"/>
          <w:szCs w:val="22"/>
        </w:rPr>
        <w:t>R</w:t>
      </w:r>
      <w:r w:rsidRPr="00D00D86">
        <w:rPr>
          <w:color w:val="000000" w:themeColor="text1"/>
          <w:sz w:val="22"/>
          <w:szCs w:val="22"/>
        </w:rPr>
        <w:t>ental</w:t>
      </w:r>
      <w:r w:rsidR="001D23FE">
        <w:rPr>
          <w:color w:val="000000" w:themeColor="text1"/>
          <w:sz w:val="22"/>
          <w:szCs w:val="22"/>
        </w:rPr>
        <w:t>, hiring and real estate</w:t>
      </w:r>
      <w:r w:rsidRPr="00D00D86">
        <w:rPr>
          <w:color w:val="000000" w:themeColor="text1"/>
          <w:sz w:val="22"/>
          <w:szCs w:val="22"/>
        </w:rPr>
        <w:t xml:space="preserve"> services.</w:t>
      </w:r>
      <w:r w:rsidRPr="00D00D86">
        <w:rPr>
          <w:rStyle w:val="FootnoteReference"/>
          <w:color w:val="000000" w:themeColor="text1"/>
          <w:sz w:val="22"/>
          <w:szCs w:val="22"/>
        </w:rPr>
        <w:footnoteReference w:id="26"/>
      </w:r>
    </w:p>
    <w:p w14:paraId="3B8CC2DE" w14:textId="359054D6" w:rsidR="00DE4DC8" w:rsidRDefault="00FD1AA5" w:rsidP="00C41B8D">
      <w:pPr>
        <w:spacing w:after="160"/>
        <w:rPr>
          <w:color w:val="000000" w:themeColor="text1"/>
        </w:rPr>
      </w:pPr>
      <w:r>
        <w:rPr>
          <w:color w:val="000000" w:themeColor="text1"/>
        </w:rPr>
        <w:br w:type="page"/>
      </w:r>
    </w:p>
    <w:p w14:paraId="236AA197" w14:textId="33C64B75" w:rsidR="00D61E9E" w:rsidRDefault="0001030B" w:rsidP="00D61E9E">
      <w:pPr>
        <w:pStyle w:val="Figureheading"/>
      </w:pPr>
      <w:r>
        <w:rPr>
          <w:noProof/>
          <w:lang w:eastAsia="en-AU"/>
        </w:rPr>
        <w:lastRenderedPageBreak/>
        <w:drawing>
          <wp:anchor distT="0" distB="0" distL="114300" distR="114300" simplePos="0" relativeHeight="251661312" behindDoc="1" locked="0" layoutInCell="1" allowOverlap="1" wp14:anchorId="1E9B13BE" wp14:editId="10354DA8">
            <wp:simplePos x="0" y="0"/>
            <wp:positionH relativeFrom="column">
              <wp:posOffset>3432175</wp:posOffset>
            </wp:positionH>
            <wp:positionV relativeFrom="paragraph">
              <wp:posOffset>360045</wp:posOffset>
            </wp:positionV>
            <wp:extent cx="2068830" cy="3577590"/>
            <wp:effectExtent l="0" t="0" r="7620" b="0"/>
            <wp:wrapNone/>
            <wp:docPr id="14" name="Chart 14" descr="This chart depicts the number of organisations with applications processed for the JobKeeper Payment in April 2020 by industry, and the percentage coverage of organisations in each industry. The chart is ordered from the industry with the largest coverage or share of organisational recipients down to the lowest, and shows that: Accommodation and Food Services had 57,650 organisations with applications processed and 55.9 per cent coverage; Other Services had 83,157 organisations and 42.9 per cent coverage; Health Care and Social Assistance had 78,191 organisations and 36.9 per cent coverage; Arts and recreation services had 36,209 organisations and 34.2 per cent coverage; Education and training had 25,152 organisations and 34.0 per cent coverage; Manufacturing had 42,727 organisations and 34.0 per cent coverage; Wholesale trade had 24,830 organisations and 32.5 per cent coverage; Transport Postal and Warehousing had 64,751 organisations and 31.6 per cent coverage; Retail trade had 55,113 organisations and 31.2 per cent coverage; Information media and telecommunications had 12,974 organisations and 30.2 per cent coverage; Professional, scientific and technical services had 121,605 organisations and 27.9 per cent coverage; Construction had 129,670 organisations and 26.2 per cent coverage; Administrative and support services had 42,653 organisations and 24.6 per cent coverage; Electricity gas water and waste services had 1,826 organisations and 22.4 per cent coverage; Public Administration and Safety had 3,065 organisations and 20.5 per cent coverage; Mining had 1,553 organisations and 15.7 per cent coverage; Agriculture Forestry and Fishing had 27,102 organisations and 12.9 per cent coverage; Rental, hiring and real estate services had 25,993 organisations and 6.8 per cent coverage; and Financial and insurance services had 14,611 organisations and 6.4 per cent coverage." title="Figure 2a: Organisations with applications processed in April 2020 — total number and share of total organisations by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0288" behindDoc="1" locked="0" layoutInCell="1" allowOverlap="1" wp14:anchorId="475A67B0" wp14:editId="4443827A">
            <wp:simplePos x="0" y="0"/>
            <wp:positionH relativeFrom="column">
              <wp:posOffset>-467581</wp:posOffset>
            </wp:positionH>
            <wp:positionV relativeFrom="paragraph">
              <wp:posOffset>432628</wp:posOffset>
            </wp:positionV>
            <wp:extent cx="4016375" cy="3625629"/>
            <wp:effectExtent l="0" t="0" r="0" b="0"/>
            <wp:wrapNone/>
            <wp:docPr id="24" name="Chart 24" descr="This chart depicts the number of organisations with applications processed for the JobKeeper Payment in April 2020 by industry, and the percentage coverage of organisations in each industry. The chart is ordered from the industry with the largest coverage or share of organisational recipients down to the lowest, and shows that: Accommodation and Food Services had 57,650 organisations with applications processed and 55.9 per cent coverage; Other Services had 83,157 organisations and 42.9 per cent coverage; Health Care and Social Assistance had 78,191 organisations and 36.9 per cent coverage; Arts and recreation services had 36,209 organisations and 34.2 per cent coverage; Education and training had 25,152 organisations and 34.0 per cent coverage; Manufacturing had 42,727 organisations and 34.0 per cent coverage; Wholesale trade had 24,830 organisations and 32.5 per cent coverage; Transport Postal and Warehousing had 64,751 organisations and 31.6 per cent coverage; Retail trade had 55,113 organisations and 31.2 per cent coverage; Information media and telecommunications had 12,974 organisations and 30.2 per cent coverage; Professional, scientific and technical services had 121,605 organisations and 27.9 per cent coverage; Construction had 129,670 organisations and 26.2 per cent coverage; Administrative and support services had 42,653 organisations and 24.6 per cent coverage; Electricity gas water and waste services had 1,826 organisations and 22.4 per cent coverage; Public Administration and Safety had 3,065 organisations and 20.5 per cent coverage; Mining had 1,553 organisations and 15.7 per cent coverage; Agriculture Forestry and Fishing had 27,102 organisations and 12.9 per cent coverage; Rental, hiring and real estate services had 25,993 organisations and 6.8 per cent coverage; and Financial and insurance services had 14,611 organisations and 6.4 per cent coverage." title="Figure 2a: Organisations with applications processed in April 2020 — total number and share of total organisations by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61E9E" w:rsidRPr="00772ECE">
        <w:t xml:space="preserve">Figure </w:t>
      </w:r>
      <w:r w:rsidR="00D61E9E">
        <w:t>2</w:t>
      </w:r>
      <w:r w:rsidR="00D61E9E" w:rsidRPr="00772ECE">
        <w:t xml:space="preserve">a: </w:t>
      </w:r>
      <w:r w:rsidR="00D61E9E">
        <w:t>O</w:t>
      </w:r>
      <w:r w:rsidR="00D61E9E" w:rsidRPr="00772ECE">
        <w:t>rganisations with applications processed in April 2020</w:t>
      </w:r>
      <w:r w:rsidR="00D61E9E">
        <w:t xml:space="preserve"> — </w:t>
      </w:r>
      <w:r w:rsidR="00D61E9E" w:rsidRPr="00772ECE">
        <w:t>total number and share of total organisations by industry</w:t>
      </w:r>
      <w:r w:rsidR="00D61E9E">
        <w:t xml:space="preserve"> </w:t>
      </w:r>
    </w:p>
    <w:p w14:paraId="4CC5E5DC" w14:textId="351C6C13" w:rsidR="00D61E9E" w:rsidRDefault="00D61E9E" w:rsidP="00761D98">
      <w:pPr>
        <w:pStyle w:val="BodyText"/>
      </w:pPr>
    </w:p>
    <w:p w14:paraId="5F10181D" w14:textId="4696589B" w:rsidR="00D61E9E" w:rsidRPr="00437DFC" w:rsidRDefault="00D61E9E" w:rsidP="00761D98">
      <w:pPr>
        <w:pStyle w:val="BodyText"/>
        <w:rPr>
          <w:sz w:val="28"/>
        </w:rPr>
      </w:pPr>
    </w:p>
    <w:p w14:paraId="0779FFA8" w14:textId="77777777" w:rsidR="00D61E9E" w:rsidRPr="00437DFC" w:rsidRDefault="00D61E9E" w:rsidP="00761D98">
      <w:pPr>
        <w:pStyle w:val="BodyText"/>
        <w:rPr>
          <w:sz w:val="36"/>
        </w:rPr>
      </w:pPr>
    </w:p>
    <w:p w14:paraId="6E5191D1" w14:textId="0A59488B" w:rsidR="00D61E9E" w:rsidRPr="00437DFC" w:rsidRDefault="00D61E9E" w:rsidP="00761D98">
      <w:pPr>
        <w:pStyle w:val="BodyText"/>
        <w:rPr>
          <w:sz w:val="28"/>
        </w:rPr>
      </w:pPr>
    </w:p>
    <w:p w14:paraId="1E619890" w14:textId="77777777" w:rsidR="00437DFC" w:rsidRDefault="00437DFC" w:rsidP="00761D98">
      <w:pPr>
        <w:pStyle w:val="BodyText"/>
      </w:pPr>
    </w:p>
    <w:p w14:paraId="4A53EB32" w14:textId="3BF309D7" w:rsidR="00D61E9E" w:rsidRDefault="00D61E9E" w:rsidP="00761D98">
      <w:pPr>
        <w:pStyle w:val="BodyText"/>
      </w:pPr>
    </w:p>
    <w:p w14:paraId="1072C924" w14:textId="0A259F3D" w:rsidR="00D61E9E" w:rsidRDefault="00D61E9E" w:rsidP="00761D98">
      <w:pPr>
        <w:pStyle w:val="BodyText"/>
      </w:pPr>
    </w:p>
    <w:p w14:paraId="11469939" w14:textId="5D9D415D" w:rsidR="00D61E9E" w:rsidRDefault="00D61E9E" w:rsidP="00761D98">
      <w:pPr>
        <w:pStyle w:val="BodyText"/>
        <w:rPr>
          <w:color w:val="000000" w:themeColor="text1"/>
          <w:sz w:val="22"/>
          <w:szCs w:val="22"/>
        </w:rPr>
      </w:pPr>
    </w:p>
    <w:p w14:paraId="12F57F65" w14:textId="5D9AEBF7" w:rsidR="00525585" w:rsidRPr="006B3B1B" w:rsidRDefault="00525585" w:rsidP="00761D98">
      <w:pPr>
        <w:pStyle w:val="BodyText"/>
        <w:rPr>
          <w:sz w:val="2"/>
        </w:rPr>
      </w:pPr>
      <w:bookmarkStart w:id="432" w:name="_Toc43462900"/>
      <w:bookmarkStart w:id="433" w:name="_Toc43466280"/>
      <w:bookmarkStart w:id="434" w:name="_Toc43469272"/>
      <w:bookmarkStart w:id="435" w:name="_Toc43469667"/>
      <w:bookmarkStart w:id="436" w:name="_Toc43469943"/>
      <w:bookmarkStart w:id="437" w:name="_Toc43469957"/>
      <w:bookmarkStart w:id="438" w:name="_Toc43729204"/>
      <w:bookmarkStart w:id="439" w:name="_Toc43730792"/>
      <w:bookmarkStart w:id="440" w:name="_Toc43731570"/>
      <w:bookmarkStart w:id="441" w:name="_Toc43732042"/>
      <w:bookmarkStart w:id="442" w:name="_Toc43733860"/>
      <w:bookmarkStart w:id="443" w:name="_Toc43734762"/>
      <w:bookmarkStart w:id="444" w:name="_Toc43738741"/>
      <w:bookmarkStart w:id="445" w:name="_Toc43743053"/>
      <w:bookmarkStart w:id="446" w:name="_Toc43996226"/>
      <w:bookmarkStart w:id="447" w:name="_Toc43998485"/>
      <w:bookmarkStart w:id="448" w:name="_Toc43998412"/>
      <w:bookmarkStart w:id="449" w:name="_Toc44069934"/>
      <w:bookmarkStart w:id="450" w:name="_Toc44071338"/>
      <w:bookmarkStart w:id="451" w:name="_Toc44073462"/>
      <w:bookmarkStart w:id="452" w:name="_Toc44074602"/>
      <w:bookmarkStart w:id="453" w:name="_Toc44079491"/>
      <w:bookmarkStart w:id="454" w:name="_Toc44079786"/>
      <w:bookmarkStart w:id="455" w:name="_Toc44079921"/>
      <w:bookmarkStart w:id="456" w:name="_Toc44319832"/>
      <w:bookmarkStart w:id="457" w:name="_Toc44321540"/>
      <w:bookmarkStart w:id="458" w:name="_Toc44323707"/>
      <w:bookmarkStart w:id="459" w:name="_Toc44326170"/>
      <w:bookmarkStart w:id="460" w:name="_Toc44330492"/>
      <w:bookmarkStart w:id="461" w:name="_Toc44330734"/>
      <w:bookmarkStart w:id="462" w:name="_Toc44333166"/>
      <w:bookmarkStart w:id="463" w:name="_Toc44334797"/>
      <w:bookmarkStart w:id="464" w:name="_Toc45227426"/>
      <w:bookmarkStart w:id="465" w:name="_Toc45798900"/>
      <w:bookmarkStart w:id="466" w:name="_Toc4579902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FF5180D" w14:textId="7FF64869" w:rsidR="00530F6A" w:rsidRDefault="00530F6A" w:rsidP="00761D98">
      <w:pPr>
        <w:pStyle w:val="BodyText"/>
      </w:pPr>
    </w:p>
    <w:p w14:paraId="2644EF10" w14:textId="303D247D" w:rsidR="00761D98" w:rsidRDefault="00761D98" w:rsidP="00761D98">
      <w:pPr>
        <w:pStyle w:val="BodyText"/>
        <w:rPr>
          <w:sz w:val="22"/>
        </w:rPr>
      </w:pPr>
    </w:p>
    <w:p w14:paraId="34AD98B2" w14:textId="77777777" w:rsidR="0001030B" w:rsidRPr="008B50CE" w:rsidRDefault="0001030B" w:rsidP="00761D98">
      <w:pPr>
        <w:pStyle w:val="BodyText"/>
        <w:rPr>
          <w:sz w:val="22"/>
        </w:rPr>
      </w:pPr>
    </w:p>
    <w:p w14:paraId="67124445" w14:textId="6FE87820" w:rsidR="00761D98" w:rsidRDefault="00761D98" w:rsidP="00761D98">
      <w:pPr>
        <w:pStyle w:val="BodyText"/>
      </w:pPr>
    </w:p>
    <w:p w14:paraId="53B51A79" w14:textId="1D701B2B" w:rsidR="00E30233" w:rsidRDefault="0001030B">
      <w:pPr>
        <w:pStyle w:val="Figureheading"/>
      </w:pPr>
      <w:r>
        <w:rPr>
          <w:noProof/>
          <w:lang w:eastAsia="en-AU"/>
        </w:rPr>
        <w:drawing>
          <wp:anchor distT="0" distB="0" distL="114300" distR="114300" simplePos="0" relativeHeight="251663360" behindDoc="1" locked="0" layoutInCell="1" allowOverlap="1" wp14:anchorId="2AFECB40" wp14:editId="4544A7B9">
            <wp:simplePos x="0" y="0"/>
            <wp:positionH relativeFrom="column">
              <wp:posOffset>3380547</wp:posOffset>
            </wp:positionH>
            <wp:positionV relativeFrom="paragraph">
              <wp:posOffset>515040</wp:posOffset>
            </wp:positionV>
            <wp:extent cx="1987660" cy="3816350"/>
            <wp:effectExtent l="0" t="0" r="0" b="0"/>
            <wp:wrapNone/>
            <wp:docPr id="16" name="Chart 16" descr="This chart shows the number of individual JobKeeper Payment recipients during April 2020 by industry, and the percentage coverage of individuals employed in each industry. The share of industry is calculated as a proportion of private sector employment in the industry in February 2020. The chart is ordered from the industry with the highest share of individual recipients down to the lowest and shows that: Arts and recreation services had 129,104 individual recipients making up 57.6 per cent of private sector employment in the industry; Other services had 233,367 individual recipients making up 48.0 of private sector employment; Rental, hiring and real estate services had 100,673 individual recipients making up 47.8 per cent of private sector employment; Administrative and support services had 188,531 individual recipients making up 42.3 per cent of private sector employment; Wholesale trade had 160,111 individual recipients making up 41.6 per cent of private sector employment; Professional, scientific and technical services had 396,424 individual recipients making up 34.6 per cent of private sector employment; Accommodation and food services had 313,528 individual recipients making up 33.9 per cent of private sector employment; Construction had 348,077 individual recipients making up 29.8 per cent of private sector employment; Health care and social assistance had 385,679 individual recipients making up 28.6 per cent of private sector employment; Manufacturing had 246,047 individual recipients making up 27.1 per cent of private sector employment; Information media and telecommunications had 50,761 individual recipients making up 27.0 per cent of private sector employment; Transport, postal and warehousing had 157,698 individual recipients making up 26.4 per cent of private sector employment; Retail trade had 313,357 individual recipients making up 24.9 per cent of private sector employment; Education and training had 124,034 individual recipients making up 24.5 per cent of private sector employment; Agriculture, forestry and fishing had 58,489 individual recipients making up 17.4 per cent of private sector employment; Public administration and safety had 19,137 individual recipients making up 13.4 per cent of private sector employment; Financial and insurance services had 58,426 individual recipients making up 12.4 per cent of private sector employment; Electricity, gas, water and waste services had 9,042 individual recipients making up 8.5 per cent of private sector employment; and Mining had 12,145 individual recipients making up 5.1 per cent of private sector employment." title="Figure 2b: Individual recipients in April 2020 — total number and share of private sector employment by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761D98">
        <w:rPr>
          <w:noProof/>
          <w:lang w:eastAsia="en-AU"/>
        </w:rPr>
        <w:drawing>
          <wp:anchor distT="0" distB="0" distL="114300" distR="114300" simplePos="0" relativeHeight="251662336" behindDoc="1" locked="0" layoutInCell="1" allowOverlap="1" wp14:anchorId="4FBBC672" wp14:editId="16CA4EFF">
            <wp:simplePos x="0" y="0"/>
            <wp:positionH relativeFrom="column">
              <wp:posOffset>-125978</wp:posOffset>
            </wp:positionH>
            <wp:positionV relativeFrom="paragraph">
              <wp:posOffset>515040</wp:posOffset>
            </wp:positionV>
            <wp:extent cx="3558540" cy="3816626"/>
            <wp:effectExtent l="0" t="0" r="0" b="0"/>
            <wp:wrapNone/>
            <wp:docPr id="20" name="Chart 20" descr="This chart shows the number of individual JobKeeper Payment recipients during April 2020 by industry, and the percentage coverage of individuals employed in each industry. The share of industry is calculated as a proportion of private sector employment in the industry in February 2020. The chart is ordered from the industry with the highest share of individual recipients down to the lowest and shows that: Arts and recreation services had 129,104 individual recipients making up 57.6 per cent of private sector employment in the industry; Other services had 233,367 individual recipients making up 48.0 of private sector employment; Rental, hiring and real estate services had 100,673 individual recipients making up 47.8 per cent of private sector employment; Administrative and support services had 188,531 individual recipients making up 42.3 per cent of private sector employment; Wholesale trade had 160,111 individual recipients making up 41.6 per cent of private sector employment; Professional, scientific and technical services had 396,424 individual recipients making up 34.6 per cent of private sector employment; Accommodation and food services had 313,528 individual recipients making up 33.9 per cent of private sector employment; Construction had 348,077 individual recipients making up 29.8 per cent of private sector employment; Health care and social assistance had 385,679 individual recipients making up 28.6 per cent of private sector employment; Manufacturing had 246,047 individual recipients making up 27.1 per cent of private sector employment; Information media and telecommunications had 50,761 individual recipients making up 27.0 per cent of private sector employment; Transport, postal and warehousing had 157,698 individual recipients making up 26.4 per cent of private sector employment; Retail trade had 313,357 individual recipients making up 24.9 per cent of private sector employment; Education and training had 124,034 individual recipients making up 24.5 per cent of private sector employment; Agriculture, forestry and fishing had 58,489 individual recipients making up 17.4 per cent of private sector employment; Public administration and safety had 19,137 individual recipients making up 13.4 per cent of private sector employment; Financial and insurance services had 58,426 individual recipients making up 12.4 per cent of private sector employment; Electricity, gas, water and waste services had 9,042 individual recipients making up 8.5 per cent of private sector employment; and Mining had 12,145 individual recipients making up 5.1 per cent of private sector employment." title="Figure 2b: Individual recipients in April 2020 — total number and share of private sector employment by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F36454" w:rsidRPr="00F36454">
        <w:t xml:space="preserve">Figure </w:t>
      </w:r>
      <w:r w:rsidR="00401A4B">
        <w:t>2</w:t>
      </w:r>
      <w:r w:rsidR="00F36454" w:rsidRPr="00F36454">
        <w:t>b: Individual recipients in April 2020</w:t>
      </w:r>
      <w:r w:rsidR="00DE2760">
        <w:t xml:space="preserve"> — </w:t>
      </w:r>
      <w:r w:rsidR="00F36454" w:rsidRPr="00F36454">
        <w:t>total number and share of private sector employment by industry</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F8E6BBE" w14:textId="7F15D85A" w:rsidR="00437DFC" w:rsidRDefault="00437DFC" w:rsidP="00761D98">
      <w:pPr>
        <w:pStyle w:val="BodyText"/>
      </w:pPr>
    </w:p>
    <w:p w14:paraId="7AA1B0C8" w14:textId="694B3820" w:rsidR="00530F6A" w:rsidRDefault="00530F6A" w:rsidP="00761D98">
      <w:pPr>
        <w:pStyle w:val="BodyText"/>
      </w:pPr>
    </w:p>
    <w:p w14:paraId="05B50629" w14:textId="1EC817D4" w:rsidR="00530F6A" w:rsidRDefault="00530F6A" w:rsidP="00761D98">
      <w:pPr>
        <w:pStyle w:val="BodyText"/>
      </w:pPr>
    </w:p>
    <w:p w14:paraId="7D46DEF4" w14:textId="57AA6AAF" w:rsidR="00530F6A" w:rsidRDefault="00530F6A" w:rsidP="00761D98">
      <w:pPr>
        <w:pStyle w:val="BodyText"/>
      </w:pPr>
    </w:p>
    <w:p w14:paraId="3FCBA6CC" w14:textId="03E0693C" w:rsidR="00530F6A" w:rsidRDefault="00530F6A" w:rsidP="00761D98">
      <w:pPr>
        <w:pStyle w:val="BodyText"/>
      </w:pPr>
    </w:p>
    <w:p w14:paraId="5331C4F7" w14:textId="0B490B1A" w:rsidR="00530F6A" w:rsidRDefault="00530F6A" w:rsidP="00761D98">
      <w:pPr>
        <w:pStyle w:val="BodyText"/>
      </w:pPr>
    </w:p>
    <w:p w14:paraId="0C3BA975" w14:textId="28317C01" w:rsidR="00530F6A" w:rsidRDefault="00530F6A" w:rsidP="00761D98">
      <w:pPr>
        <w:pStyle w:val="BodyText"/>
      </w:pPr>
    </w:p>
    <w:p w14:paraId="0D6EFA13" w14:textId="3AF4A64C" w:rsidR="00530F6A" w:rsidRDefault="00530F6A" w:rsidP="00761D98">
      <w:pPr>
        <w:pStyle w:val="BodyText"/>
      </w:pPr>
    </w:p>
    <w:p w14:paraId="569C8993" w14:textId="77777777" w:rsidR="00530F6A" w:rsidRDefault="00530F6A" w:rsidP="00761D98">
      <w:pPr>
        <w:pStyle w:val="BodyText"/>
      </w:pPr>
    </w:p>
    <w:p w14:paraId="5DE2E021" w14:textId="77777777" w:rsidR="00437DFC" w:rsidRDefault="00437DFC" w:rsidP="00086E40">
      <w:pPr>
        <w:pStyle w:val="FiguretableNote"/>
      </w:pPr>
    </w:p>
    <w:p w14:paraId="348B3551" w14:textId="77777777" w:rsidR="005C1849" w:rsidRDefault="005C1849" w:rsidP="00086E40">
      <w:pPr>
        <w:pStyle w:val="FiguretableNote"/>
      </w:pPr>
    </w:p>
    <w:p w14:paraId="6D3873F2" w14:textId="2CBBBA85" w:rsidR="005C1849" w:rsidRDefault="005C1849" w:rsidP="00086E40">
      <w:pPr>
        <w:pStyle w:val="FiguretableNote"/>
      </w:pPr>
    </w:p>
    <w:p w14:paraId="38EF44A7" w14:textId="69DCA8EF" w:rsidR="00761D98" w:rsidRDefault="00761D98" w:rsidP="00086E40">
      <w:pPr>
        <w:pStyle w:val="FiguretableNote"/>
      </w:pPr>
    </w:p>
    <w:p w14:paraId="5149C120" w14:textId="58995DDF" w:rsidR="00761D98" w:rsidRDefault="00761D98" w:rsidP="00086E40">
      <w:pPr>
        <w:pStyle w:val="FiguretableNote"/>
      </w:pPr>
    </w:p>
    <w:p w14:paraId="0EB311FA" w14:textId="7C7711DA" w:rsidR="00761D98" w:rsidRDefault="00761D98" w:rsidP="00086E40">
      <w:pPr>
        <w:pStyle w:val="FiguretableNote"/>
      </w:pPr>
    </w:p>
    <w:p w14:paraId="7EF4C403" w14:textId="44C54254" w:rsidR="00761D98" w:rsidRDefault="00761D98" w:rsidP="00086E40">
      <w:pPr>
        <w:pStyle w:val="FiguretableNote"/>
      </w:pPr>
    </w:p>
    <w:p w14:paraId="5E8E75E4" w14:textId="13051E22" w:rsidR="00761D98" w:rsidRDefault="00761D98" w:rsidP="00086E40">
      <w:pPr>
        <w:pStyle w:val="FiguretableNote"/>
      </w:pPr>
    </w:p>
    <w:p w14:paraId="4661CB87" w14:textId="2E016F9F" w:rsidR="00761D98" w:rsidRDefault="00761D98" w:rsidP="00086E40">
      <w:pPr>
        <w:pStyle w:val="FiguretableNote"/>
      </w:pPr>
    </w:p>
    <w:p w14:paraId="0823F01F" w14:textId="69C088DA" w:rsidR="00761D98" w:rsidRDefault="00761D98" w:rsidP="00086E40">
      <w:pPr>
        <w:pStyle w:val="FiguretableNote"/>
      </w:pPr>
    </w:p>
    <w:p w14:paraId="3D98A6BC" w14:textId="2F6A4131" w:rsidR="008B50CE" w:rsidRDefault="008B50CE" w:rsidP="00086E40">
      <w:pPr>
        <w:pStyle w:val="FiguretableNote"/>
      </w:pPr>
    </w:p>
    <w:p w14:paraId="3CB5BF7B" w14:textId="5309E4BA" w:rsidR="00685E88" w:rsidRPr="00D00D86" w:rsidRDefault="00EE4CB9" w:rsidP="00086E40">
      <w:pPr>
        <w:pStyle w:val="FiguretableNote"/>
      </w:pPr>
      <w:r w:rsidRPr="00D00D86">
        <w:t xml:space="preserve">Note: </w:t>
      </w:r>
      <w:r w:rsidR="00EB7A60" w:rsidRPr="00D00D86">
        <w:t>Organisations consist of businesses and not</w:t>
      </w:r>
      <w:r w:rsidR="00DE2760">
        <w:noBreakHyphen/>
      </w:r>
      <w:r w:rsidR="00EB7A60" w:rsidRPr="00D00D86">
        <w:t>for</w:t>
      </w:r>
      <w:r w:rsidR="00DE2760">
        <w:noBreakHyphen/>
      </w:r>
      <w:r w:rsidR="00EB7A60" w:rsidRPr="00D00D86">
        <w:t xml:space="preserve">profits; with businesses including all companies, </w:t>
      </w:r>
      <w:r w:rsidR="009C668E">
        <w:t xml:space="preserve">partnerships, </w:t>
      </w:r>
      <w:r w:rsidR="00EB7A60" w:rsidRPr="00D00D86">
        <w:t xml:space="preserve">trusts, plus individuals with business income (sole traders). </w:t>
      </w:r>
      <w:r w:rsidR="00454518" w:rsidRPr="00D00D86">
        <w:t>The share of total organisations in the industry is based on 2017</w:t>
      </w:r>
      <w:r w:rsidR="00DE2760">
        <w:noBreakHyphen/>
      </w:r>
      <w:r w:rsidR="00454518" w:rsidRPr="00D00D86">
        <w:t>18 income tax return and payment summary lodgements.</w:t>
      </w:r>
      <w:r w:rsidR="00DE4DC8" w:rsidRPr="00D00D86">
        <w:t xml:space="preserve"> The share of private sector employment by industry is calculated using February 2020 data to reflect pre</w:t>
      </w:r>
      <w:r w:rsidR="00DE2760">
        <w:noBreakHyphen/>
      </w:r>
      <w:r w:rsidR="00964E9D">
        <w:t>Coronavirus</w:t>
      </w:r>
      <w:r w:rsidR="00DE4DC8" w:rsidRPr="00D00D86">
        <w:t> levels of employment.</w:t>
      </w:r>
      <w:r w:rsidR="00454518" w:rsidRPr="00D00D86">
        <w:t xml:space="preserve"> </w:t>
      </w:r>
    </w:p>
    <w:p w14:paraId="1C210EFF" w14:textId="343E41F1" w:rsidR="00CA1AA9" w:rsidRDefault="00C16BF7" w:rsidP="00530F6A">
      <w:pPr>
        <w:pStyle w:val="FiguretableNote"/>
      </w:pPr>
      <w:r w:rsidRPr="00D00D86">
        <w:lastRenderedPageBreak/>
        <w:t xml:space="preserve">Source: </w:t>
      </w:r>
      <w:r w:rsidR="00B85383" w:rsidRPr="00D00D86">
        <w:t xml:space="preserve">Treasury analysis of </w:t>
      </w:r>
      <w:r w:rsidRPr="00D00D86">
        <w:t>ATO administrative data</w:t>
      </w:r>
      <w:r w:rsidR="00EE4CB9" w:rsidRPr="00D00D86">
        <w:t>; ABS</w:t>
      </w:r>
      <w:r w:rsidR="00B85383" w:rsidRPr="00D00D86">
        <w:t xml:space="preserve"> Labour Force, Australia, Detailed, Quarterly, </w:t>
      </w:r>
      <w:r w:rsidR="00D35431" w:rsidRPr="00D00D86">
        <w:t>May</w:t>
      </w:r>
      <w:r w:rsidR="00B85383" w:rsidRPr="00D00D86">
        <w:t xml:space="preserve"> 2020 (Cat. No. 6291.0.55.003)</w:t>
      </w:r>
      <w:r w:rsidR="00454518" w:rsidRPr="00D00D86">
        <w:t>.</w:t>
      </w:r>
      <w:r w:rsidRPr="00D00D86">
        <w:t xml:space="preserve"> </w:t>
      </w:r>
    </w:p>
    <w:p w14:paraId="53748C99" w14:textId="77777777" w:rsidR="00530F6A" w:rsidRPr="00530F6A" w:rsidRDefault="00530F6A" w:rsidP="00530F6A">
      <w:pPr>
        <w:pStyle w:val="FiguretableNote"/>
      </w:pPr>
    </w:p>
    <w:p w14:paraId="5F5A213F" w14:textId="1247E074" w:rsidR="002A0243" w:rsidRPr="00D00D86" w:rsidRDefault="00CB31DF" w:rsidP="002A0243">
      <w:pPr>
        <w:pStyle w:val="BodyText"/>
        <w:rPr>
          <w:color w:val="000000" w:themeColor="text1"/>
          <w:sz w:val="22"/>
          <w:szCs w:val="22"/>
        </w:rPr>
      </w:pPr>
      <w:r w:rsidRPr="00D00D86">
        <w:rPr>
          <w:b/>
          <w:color w:val="000000" w:themeColor="text1"/>
          <w:sz w:val="22"/>
          <w:szCs w:val="22"/>
        </w:rPr>
        <w:t>Figure 3</w:t>
      </w:r>
      <w:r w:rsidRPr="00D00D86">
        <w:rPr>
          <w:color w:val="000000" w:themeColor="text1"/>
          <w:sz w:val="22"/>
          <w:szCs w:val="22"/>
        </w:rPr>
        <w:t xml:space="preserve"> illustrates the distribution of JobKeeper take</w:t>
      </w:r>
      <w:r w:rsidR="00DE2760">
        <w:rPr>
          <w:color w:val="000000" w:themeColor="text1"/>
          <w:sz w:val="22"/>
          <w:szCs w:val="22"/>
        </w:rPr>
        <w:noBreakHyphen/>
      </w:r>
      <w:r w:rsidRPr="00D00D86">
        <w:rPr>
          <w:color w:val="000000" w:themeColor="text1"/>
          <w:sz w:val="22"/>
          <w:szCs w:val="22"/>
        </w:rPr>
        <w:t xml:space="preserve">up </w:t>
      </w:r>
      <w:r w:rsidR="005B05BE" w:rsidRPr="00D00D86">
        <w:rPr>
          <w:color w:val="000000" w:themeColor="text1"/>
          <w:sz w:val="22"/>
          <w:szCs w:val="22"/>
        </w:rPr>
        <w:t xml:space="preserve">by </w:t>
      </w:r>
      <w:r w:rsidRPr="00D00D86">
        <w:rPr>
          <w:color w:val="000000" w:themeColor="text1"/>
          <w:sz w:val="22"/>
          <w:szCs w:val="22"/>
        </w:rPr>
        <w:t>age group (</w:t>
      </w:r>
      <w:r w:rsidRPr="00D00D86">
        <w:rPr>
          <w:b/>
          <w:color w:val="000000" w:themeColor="text1"/>
          <w:sz w:val="22"/>
          <w:szCs w:val="22"/>
        </w:rPr>
        <w:t>Figure 3a</w:t>
      </w:r>
      <w:r w:rsidRPr="00D00D86">
        <w:rPr>
          <w:color w:val="000000" w:themeColor="text1"/>
          <w:sz w:val="22"/>
          <w:szCs w:val="22"/>
        </w:rPr>
        <w:t>) and gender (</w:t>
      </w:r>
      <w:r w:rsidRPr="00D00D86">
        <w:rPr>
          <w:b/>
          <w:color w:val="000000" w:themeColor="text1"/>
          <w:sz w:val="22"/>
          <w:szCs w:val="22"/>
        </w:rPr>
        <w:t>Figure 3b</w:t>
      </w:r>
      <w:r w:rsidRPr="00D00D86">
        <w:rPr>
          <w:color w:val="000000" w:themeColor="text1"/>
          <w:sz w:val="22"/>
          <w:szCs w:val="22"/>
        </w:rPr>
        <w:t>)</w:t>
      </w:r>
      <w:r w:rsidR="00E71E56" w:rsidRPr="00D00D86">
        <w:rPr>
          <w:color w:val="000000" w:themeColor="text1"/>
          <w:sz w:val="22"/>
          <w:szCs w:val="22"/>
        </w:rPr>
        <w:t>. Each group</w:t>
      </w:r>
      <w:r w:rsidR="00DE2760">
        <w:rPr>
          <w:color w:val="000000" w:themeColor="text1"/>
          <w:sz w:val="22"/>
          <w:szCs w:val="22"/>
        </w:rPr>
        <w:t>’</w:t>
      </w:r>
      <w:r w:rsidR="00E71E56" w:rsidRPr="00D00D86">
        <w:rPr>
          <w:color w:val="000000" w:themeColor="text1"/>
          <w:sz w:val="22"/>
          <w:szCs w:val="22"/>
        </w:rPr>
        <w:t>s share of</w:t>
      </w:r>
      <w:r w:rsidRPr="00D00D86">
        <w:rPr>
          <w:color w:val="000000" w:themeColor="text1"/>
          <w:sz w:val="22"/>
          <w:szCs w:val="22"/>
        </w:rPr>
        <w:t xml:space="preserve"> private sector employment (pre</w:t>
      </w:r>
      <w:r w:rsidR="00DE2760">
        <w:rPr>
          <w:color w:val="000000" w:themeColor="text1"/>
          <w:sz w:val="22"/>
          <w:szCs w:val="22"/>
        </w:rPr>
        <w:noBreakHyphen/>
      </w:r>
      <w:r w:rsidR="00385056" w:rsidRPr="00D00D86">
        <w:rPr>
          <w:color w:val="000000" w:themeColor="text1"/>
          <w:sz w:val="22"/>
          <w:szCs w:val="22"/>
        </w:rPr>
        <w:t>Coronavirus</w:t>
      </w:r>
      <w:r w:rsidRPr="00D00D86">
        <w:rPr>
          <w:color w:val="000000" w:themeColor="text1"/>
          <w:sz w:val="22"/>
          <w:szCs w:val="22"/>
        </w:rPr>
        <w:t>) and their share of the decline in employment between February and May</w:t>
      </w:r>
      <w:r w:rsidR="00E71E56" w:rsidRPr="00D00D86">
        <w:rPr>
          <w:color w:val="000000" w:themeColor="text1"/>
          <w:sz w:val="22"/>
          <w:szCs w:val="22"/>
        </w:rPr>
        <w:t xml:space="preserve"> </w:t>
      </w:r>
      <w:r w:rsidR="008D1AA4">
        <w:rPr>
          <w:color w:val="000000" w:themeColor="text1"/>
          <w:sz w:val="22"/>
          <w:szCs w:val="22"/>
        </w:rPr>
        <w:t xml:space="preserve">2020 </w:t>
      </w:r>
      <w:r w:rsidR="00E71E56" w:rsidRPr="00D00D86">
        <w:rPr>
          <w:color w:val="000000" w:themeColor="text1"/>
          <w:sz w:val="22"/>
          <w:szCs w:val="22"/>
        </w:rPr>
        <w:t xml:space="preserve">is </w:t>
      </w:r>
      <w:r w:rsidR="004D38C6" w:rsidRPr="00D00D86">
        <w:rPr>
          <w:color w:val="000000" w:themeColor="text1"/>
          <w:sz w:val="22"/>
          <w:szCs w:val="22"/>
        </w:rPr>
        <w:t>compared</w:t>
      </w:r>
      <w:r w:rsidR="00E71E56" w:rsidRPr="00D00D86">
        <w:rPr>
          <w:color w:val="000000" w:themeColor="text1"/>
          <w:sz w:val="22"/>
          <w:szCs w:val="22"/>
        </w:rPr>
        <w:t xml:space="preserve"> against their share of JobKeeper take</w:t>
      </w:r>
      <w:r w:rsidR="00DE2760">
        <w:rPr>
          <w:color w:val="000000" w:themeColor="text1"/>
          <w:sz w:val="22"/>
          <w:szCs w:val="22"/>
        </w:rPr>
        <w:noBreakHyphen/>
      </w:r>
      <w:r w:rsidR="00E71E56" w:rsidRPr="00D00D86">
        <w:rPr>
          <w:color w:val="000000" w:themeColor="text1"/>
          <w:sz w:val="22"/>
          <w:szCs w:val="22"/>
        </w:rPr>
        <w:t>up</w:t>
      </w:r>
      <w:r w:rsidRPr="00D00D86">
        <w:rPr>
          <w:color w:val="000000" w:themeColor="text1"/>
          <w:sz w:val="22"/>
          <w:szCs w:val="22"/>
        </w:rPr>
        <w:t xml:space="preserve">. Young people (under the age of 25) have been disproportionally affected by the current downturn in employment, as have females. </w:t>
      </w:r>
      <w:r w:rsidR="002A0243" w:rsidRPr="00D00D86">
        <w:rPr>
          <w:color w:val="000000" w:themeColor="text1"/>
          <w:sz w:val="22"/>
          <w:szCs w:val="22"/>
        </w:rPr>
        <w:t>C</w:t>
      </w:r>
      <w:r w:rsidR="007D28C5" w:rsidRPr="00D00D86">
        <w:rPr>
          <w:color w:val="000000" w:themeColor="text1"/>
          <w:sz w:val="22"/>
          <w:szCs w:val="22"/>
        </w:rPr>
        <w:t xml:space="preserve">ompared with </w:t>
      </w:r>
      <w:r w:rsidR="00666754" w:rsidRPr="00D00D86">
        <w:rPr>
          <w:color w:val="000000" w:themeColor="text1"/>
          <w:sz w:val="22"/>
          <w:szCs w:val="22"/>
        </w:rPr>
        <w:t>the pre</w:t>
      </w:r>
      <w:r w:rsidR="00DE2760">
        <w:rPr>
          <w:color w:val="000000" w:themeColor="text1"/>
          <w:sz w:val="22"/>
          <w:szCs w:val="22"/>
        </w:rPr>
        <w:noBreakHyphen/>
      </w:r>
      <w:r w:rsidR="00385056" w:rsidRPr="00D00D86">
        <w:rPr>
          <w:color w:val="000000" w:themeColor="text1"/>
          <w:sz w:val="22"/>
          <w:szCs w:val="22"/>
        </w:rPr>
        <w:t>Coronavirus</w:t>
      </w:r>
      <w:r w:rsidR="0049671D" w:rsidRPr="00D00D86">
        <w:rPr>
          <w:color w:val="000000" w:themeColor="text1"/>
          <w:sz w:val="22"/>
          <w:szCs w:val="22"/>
        </w:rPr>
        <w:t xml:space="preserve"> employment distribution</w:t>
      </w:r>
      <w:r w:rsidR="00666754" w:rsidRPr="00D00D86">
        <w:rPr>
          <w:color w:val="000000" w:themeColor="text1"/>
          <w:sz w:val="22"/>
          <w:szCs w:val="22"/>
        </w:rPr>
        <w:t xml:space="preserve">, </w:t>
      </w:r>
      <w:r w:rsidR="00A17780" w:rsidRPr="00D00D86">
        <w:rPr>
          <w:color w:val="000000" w:themeColor="text1"/>
          <w:sz w:val="22"/>
          <w:szCs w:val="22"/>
        </w:rPr>
        <w:t xml:space="preserve">those in the two youngest age groups </w:t>
      </w:r>
      <w:r w:rsidR="00DE2760">
        <w:rPr>
          <w:color w:val="000000" w:themeColor="text1"/>
          <w:sz w:val="22"/>
          <w:szCs w:val="22"/>
        </w:rPr>
        <w:t>(under the age of 25, and 25</w:t>
      </w:r>
      <w:r w:rsidR="00DE2760">
        <w:rPr>
          <w:color w:val="000000" w:themeColor="text1"/>
          <w:sz w:val="22"/>
          <w:szCs w:val="22"/>
        </w:rPr>
        <w:noBreakHyphen/>
        <w:t>34 </w:t>
      </w:r>
      <w:r w:rsidR="00A17780" w:rsidRPr="00D00D86">
        <w:rPr>
          <w:color w:val="000000" w:themeColor="text1"/>
          <w:sz w:val="22"/>
          <w:szCs w:val="22"/>
        </w:rPr>
        <w:t>years) are under</w:t>
      </w:r>
      <w:r w:rsidR="00DE2760">
        <w:rPr>
          <w:color w:val="000000" w:themeColor="text1"/>
          <w:sz w:val="22"/>
          <w:szCs w:val="22"/>
        </w:rPr>
        <w:noBreakHyphen/>
      </w:r>
      <w:r w:rsidR="00A17780" w:rsidRPr="00D00D86">
        <w:rPr>
          <w:color w:val="000000" w:themeColor="text1"/>
          <w:sz w:val="22"/>
          <w:szCs w:val="22"/>
        </w:rPr>
        <w:t>represented</w:t>
      </w:r>
      <w:r w:rsidR="00BC4BA4" w:rsidRPr="00D00D86">
        <w:rPr>
          <w:color w:val="000000" w:themeColor="text1"/>
          <w:sz w:val="22"/>
          <w:szCs w:val="22"/>
        </w:rPr>
        <w:t xml:space="preserve"> in the program</w:t>
      </w:r>
      <w:r w:rsidR="00A17780" w:rsidRPr="00D00D86">
        <w:rPr>
          <w:color w:val="000000" w:themeColor="text1"/>
          <w:sz w:val="22"/>
          <w:szCs w:val="22"/>
        </w:rPr>
        <w:t xml:space="preserve">, </w:t>
      </w:r>
      <w:r w:rsidR="00DE2760">
        <w:rPr>
          <w:color w:val="000000" w:themeColor="text1"/>
          <w:sz w:val="22"/>
          <w:szCs w:val="22"/>
        </w:rPr>
        <w:t>while females are slightly over</w:t>
      </w:r>
      <w:r w:rsidR="00DE2760">
        <w:rPr>
          <w:color w:val="000000" w:themeColor="text1"/>
          <w:sz w:val="22"/>
          <w:szCs w:val="22"/>
        </w:rPr>
        <w:noBreakHyphen/>
      </w:r>
      <w:r w:rsidR="00A17780" w:rsidRPr="00D00D86">
        <w:rPr>
          <w:color w:val="000000" w:themeColor="text1"/>
          <w:sz w:val="22"/>
          <w:szCs w:val="22"/>
        </w:rPr>
        <w:t>represented</w:t>
      </w:r>
      <w:r w:rsidR="00033A0E">
        <w:rPr>
          <w:color w:val="000000" w:themeColor="text1"/>
          <w:sz w:val="22"/>
          <w:szCs w:val="22"/>
        </w:rPr>
        <w:t xml:space="preserve"> in JobKeeper coverage</w:t>
      </w:r>
      <w:r w:rsidR="00A17780" w:rsidRPr="00D00D86">
        <w:rPr>
          <w:color w:val="000000" w:themeColor="text1"/>
          <w:sz w:val="22"/>
          <w:szCs w:val="22"/>
        </w:rPr>
        <w:t>.</w:t>
      </w:r>
    </w:p>
    <w:p w14:paraId="03A7C9D8" w14:textId="6C9ED395" w:rsidR="000E68EE" w:rsidRDefault="000E68EE" w:rsidP="00D41E96">
      <w:pPr>
        <w:pStyle w:val="Figureheading"/>
        <w:spacing w:after="120"/>
      </w:pPr>
      <w:bookmarkStart w:id="467" w:name="_Toc43729205"/>
      <w:bookmarkStart w:id="468" w:name="_Toc43730793"/>
      <w:bookmarkStart w:id="469" w:name="_Toc43731571"/>
      <w:bookmarkStart w:id="470" w:name="_Toc43732043"/>
      <w:bookmarkStart w:id="471" w:name="_Toc43733861"/>
      <w:bookmarkStart w:id="472" w:name="_Toc43734763"/>
      <w:bookmarkStart w:id="473" w:name="_Toc43738742"/>
      <w:bookmarkStart w:id="474" w:name="_Toc43743054"/>
      <w:bookmarkStart w:id="475" w:name="_Toc43996227"/>
      <w:bookmarkStart w:id="476" w:name="_Toc43998486"/>
      <w:bookmarkStart w:id="477" w:name="_Toc43998413"/>
      <w:bookmarkStart w:id="478" w:name="_Toc44069935"/>
      <w:bookmarkStart w:id="479" w:name="_Toc44071339"/>
      <w:bookmarkStart w:id="480" w:name="_Toc44073463"/>
      <w:bookmarkStart w:id="481" w:name="_Toc44074603"/>
      <w:bookmarkStart w:id="482" w:name="_Toc44079492"/>
      <w:bookmarkStart w:id="483" w:name="_Toc44079787"/>
      <w:bookmarkStart w:id="484" w:name="_Toc44079922"/>
      <w:bookmarkStart w:id="485" w:name="_Toc44319833"/>
      <w:bookmarkStart w:id="486" w:name="_Toc44321541"/>
      <w:bookmarkStart w:id="487" w:name="_Toc44323708"/>
      <w:bookmarkStart w:id="488" w:name="_Toc44326171"/>
      <w:bookmarkStart w:id="489" w:name="_Toc44330493"/>
      <w:bookmarkStart w:id="490" w:name="_Toc44330735"/>
      <w:bookmarkStart w:id="491" w:name="_Toc44333167"/>
      <w:bookmarkStart w:id="492" w:name="_Toc44334798"/>
      <w:bookmarkStart w:id="493" w:name="_Toc45227427"/>
      <w:bookmarkStart w:id="494" w:name="_Toc45798901"/>
      <w:bookmarkStart w:id="495" w:name="_Toc45799028"/>
      <w:r w:rsidRPr="00F36454">
        <w:t xml:space="preserve">Figure </w:t>
      </w:r>
      <w:r w:rsidR="00847D31">
        <w:t>3</w:t>
      </w:r>
      <w:r w:rsidRPr="00F36454">
        <w:t xml:space="preserve">: </w:t>
      </w:r>
      <w:r>
        <w:t>Distribution of private sector employment, decline in employment</w:t>
      </w:r>
      <w:r w:rsidR="006534AA">
        <w:t>,</w:t>
      </w:r>
      <w:r>
        <w:t xml:space="preserve"> and JobKeeper participants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0020579F">
        <w:t xml:space="preserve">, </w:t>
      </w:r>
      <w:r w:rsidR="006534AA">
        <w:t>early</w:t>
      </w:r>
      <w:r w:rsidR="0020579F">
        <w:t xml:space="preserve"> 2020</w:t>
      </w:r>
      <w:bookmarkEnd w:id="493"/>
      <w:bookmarkEnd w:id="494"/>
      <w:bookmarkEnd w:id="495"/>
    </w:p>
    <w:p w14:paraId="7369DAC5" w14:textId="3EA0F108" w:rsidR="006534AA" w:rsidRDefault="006534AA" w:rsidP="0064190D">
      <w:pPr>
        <w:pStyle w:val="Figureheading"/>
        <w:numPr>
          <w:ilvl w:val="0"/>
          <w:numId w:val="34"/>
        </w:numPr>
        <w:spacing w:before="0"/>
        <w:jc w:val="left"/>
      </w:pPr>
      <w:r>
        <w:t>Distributions by age</w:t>
      </w:r>
    </w:p>
    <w:p w14:paraId="30CF0D45" w14:textId="10315A4F" w:rsidR="00B84ABB" w:rsidRPr="00B84ABB" w:rsidRDefault="008C0906" w:rsidP="00501AFA">
      <w:pPr>
        <w:pStyle w:val="ChartGraphic"/>
      </w:pPr>
      <w:r>
        <w:rPr>
          <w:noProof/>
          <w:lang w:eastAsia="en-AU"/>
        </w:rPr>
        <w:drawing>
          <wp:inline distT="0" distB="0" distL="0" distR="0" wp14:anchorId="0716A1A6" wp14:editId="7683E88B">
            <wp:extent cx="5399405" cy="2619375"/>
            <wp:effectExtent l="0" t="0" r="0" b="0"/>
            <wp:docPr id="39" name="Chart 39" descr="This figure is in two parts. &#10;The first part of Figure 3 compares the distribution of private sector employment pre-Coronavirus, the decline in employment between February 2020 and May 2020, and the percentage share of JobKeeper participants by age group. Those aged 15 to 24 made up 16.6 per cent of private sector employment in February 2020, with a decline in private sector employment of 43.3 per cent, and accounted for 13.0 per cent of JobKeeper participants in April. Those aged 25 to 34 made up 24.1 per cent of private sector employment in February 2020, with a decline in private sector employment of 25.5 per cent, and accounted for 22.6 per cent of JobKeeper participants in April. Those aged 35 to 44 made up 21.1 per cent of private sector employment in February 2020, with a decline in private sector employment of 10.4 per cent, and accounted for 22.8 per cent of JobKeeper participants in April. Those aged 45 to 54 made up 19.5 per cent of private sector employment in February 2020, with a decline in private sector employment of 9.3 per cent, and accounted for 21.2 per cent of JobKeeper participants in April. Those aged 55 to 64 made up 14.1 per cent of private sector employment in February 2020, with a decline in private sector employment of 5.8 per cent, and accounted for 15.5 per cent of JobKeeper participants in April. Those aged 65 plus made up 4.6 per cent of private sector employment in February 2020, with a decline in private sector employment of 5.7 per cent, and accounted for 4.9 per cent of JobKeeper participants in April.&#10;The second part of Figure 3 compares the distribution of private sector employment pre-Coronavirus, the decline in employment between February 2020 and May 2020, and the percentage share of JobKeeper participants by gender. Males made up 55.1 per cent of private sector employment in February 2020, with a decline in private sector employment of 45.7 per cent, and accounted for 52.9 per cent of JobKeeper participants in April. Females made up 44.9 per cent of private sector employment in February 2020, with a decline in private sector employment of 54.3 per cent, and accounted for 47.1 per cent of JobKeeper participants in April.&#10;" title="Figure 3: Distribution of private sector employment, decline in employment, and JobKeeper participants, early 2020 a) Distributions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E8F596" w14:textId="25E3D3D9" w:rsidR="007E4B19" w:rsidRPr="003E5ACC" w:rsidRDefault="006534AA" w:rsidP="00D26CC6">
      <w:pPr>
        <w:pStyle w:val="Figureheading"/>
        <w:numPr>
          <w:ilvl w:val="0"/>
          <w:numId w:val="34"/>
        </w:numPr>
        <w:ind w:hanging="578"/>
        <w:jc w:val="left"/>
        <w:rPr>
          <w:sz w:val="20"/>
        </w:rPr>
      </w:pPr>
      <w:r>
        <w:t>Distributions by gender</w:t>
      </w:r>
    </w:p>
    <w:p w14:paraId="018D7981" w14:textId="2648A67C" w:rsidR="007E4B19" w:rsidRDefault="008C0906" w:rsidP="00A8532F">
      <w:pPr>
        <w:pStyle w:val="Figuregraphic"/>
      </w:pPr>
      <w:r>
        <w:rPr>
          <w:noProof/>
          <w:lang w:eastAsia="en-AU"/>
        </w:rPr>
        <w:drawing>
          <wp:inline distT="0" distB="0" distL="0" distR="0" wp14:anchorId="295AF2D3" wp14:editId="73847D65">
            <wp:extent cx="5399405" cy="2638425"/>
            <wp:effectExtent l="0" t="0" r="0" b="0"/>
            <wp:docPr id="40" name="Chart 40" descr="This figure is in two parts. &#10;The first part of Figure 3 compares the distribution of private sector employment pre-Coronavirus, the decline in employment between February 2020 and May 2020, and the percentage share of JobKeeper participants by age group. Those aged 15 to 24 made up 16.6 per cent of private sector employment in February 2020, with a decline in private sector employment of 43.3 per cent, and accounted for 13.0 per cent of JobKeeper participants in April. Those aged 25 to 34 made up 24.1 per cent of private sector employment in February 2020, with a decline in private sector employment of 25.5 per cent, and accounted for 22.6 per cent of JobKeeper participants in April. Those aged 35 to 44 made up 21.1 per cent of private sector employment in February 2020, with a decline in private sector employment of 10.4 per cent, and accounted for 22.8 per cent of JobKeeper participants in April. Those aged 45 to 54 made up 19.5 per cent of private sector employment in February 2020, with a decline in private sector employment of 9.3 per cent, and accounted for 21.2 per cent of JobKeeper participants in April. Those aged 55 to 64 made up 14.1 per cent of private sector employment in February 2020, with a decline in private sector employment of 5.8 per cent, and accounted for 15.5 per cent of JobKeeper participants in April. Those aged 65 plus made up 4.6 per cent of private sector employment in February 2020, with a decline in private sector employment of 5.7 per cent, and accounted for 4.9 per cent of JobKeeper participants in April.&#10;The second part of Figure 3 compares the distribution of private sector employment pre-Coronavirus, the decline in employment between February 2020 and May 2020, and the percentage share of JobKeeper participants by gender. Males made up 55.1 per cent of private sector employment in February 2020, with a decline in private sector employment of 45.7 per cent, and accounted for 52.9 per cent of JobKeeper participants in April. Females made up 44.9 per cent of private sector employment in February 2020, with a decline in private sector employment of 54.3 per cent, and accounted for 47.1 per cent of JobKeeper participants in April." title="Figure 3: Distribution of private sector employment, decline in employment, and JobKeeper participants, early 2020 b) Distributions by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26D7D8" w14:textId="3A3308F7" w:rsidR="009807ED" w:rsidRPr="00D41E96" w:rsidRDefault="00735362" w:rsidP="00D41E96">
      <w:pPr>
        <w:pStyle w:val="FiguretableNote"/>
      </w:pPr>
      <w:r w:rsidRPr="00D00D86">
        <w:t>Note: The sum of each of the coloured bars is 100 per cent</w:t>
      </w:r>
      <w:r w:rsidR="00847D31" w:rsidRPr="00D00D86">
        <w:t xml:space="preserve">. </w:t>
      </w:r>
      <w:r w:rsidRPr="00D00D86">
        <w:br/>
        <w:t>Source: ATO administrative data; ABS</w:t>
      </w:r>
      <w:r w:rsidR="0040255D" w:rsidRPr="00D00D86">
        <w:t xml:space="preserve"> </w:t>
      </w:r>
      <w:r w:rsidR="002D2725" w:rsidRPr="00D00D86">
        <w:t xml:space="preserve">Labour Force, Australia, Detailed, Quarterly, </w:t>
      </w:r>
      <w:r w:rsidR="00DB40A1" w:rsidRPr="00D00D86">
        <w:t>May</w:t>
      </w:r>
      <w:r w:rsidR="002D2725" w:rsidRPr="00D00D86">
        <w:t xml:space="preserve"> 2020 (Cat. N</w:t>
      </w:r>
      <w:r w:rsidR="0040255D" w:rsidRPr="00D00D86">
        <w:t xml:space="preserve">o. </w:t>
      </w:r>
      <w:r w:rsidR="002D2725" w:rsidRPr="00D00D86">
        <w:t>6291.0.55.003)</w:t>
      </w:r>
    </w:p>
    <w:p w14:paraId="378CB7F4" w14:textId="457F748E" w:rsidR="00F6536D" w:rsidRPr="00D00D86" w:rsidRDefault="00C55EA5" w:rsidP="009807ED">
      <w:pPr>
        <w:keepNext/>
        <w:rPr>
          <w:color w:val="000000" w:themeColor="text1"/>
        </w:rPr>
      </w:pPr>
      <w:r w:rsidRPr="00D00D86">
        <w:rPr>
          <w:color w:val="000000" w:themeColor="text1"/>
        </w:rPr>
        <w:lastRenderedPageBreak/>
        <w:t xml:space="preserve">Initial </w:t>
      </w:r>
      <w:r w:rsidR="00F657B3" w:rsidRPr="00D00D86">
        <w:rPr>
          <w:color w:val="000000" w:themeColor="text1"/>
        </w:rPr>
        <w:t xml:space="preserve">program data </w:t>
      </w:r>
      <w:r w:rsidRPr="00D00D86">
        <w:rPr>
          <w:color w:val="000000" w:themeColor="text1"/>
        </w:rPr>
        <w:t xml:space="preserve">suggest that </w:t>
      </w:r>
      <w:r w:rsidR="00F657B3" w:rsidRPr="00D00D86">
        <w:rPr>
          <w:color w:val="000000" w:themeColor="text1"/>
        </w:rPr>
        <w:t xml:space="preserve">individuals benefiting from JobKeeper cover a broad range of occupations, ranging from labourers </w:t>
      </w:r>
      <w:r w:rsidRPr="00D00D86">
        <w:rPr>
          <w:color w:val="000000" w:themeColor="text1"/>
        </w:rPr>
        <w:t xml:space="preserve">and sales workers to </w:t>
      </w:r>
      <w:r w:rsidR="00F657B3" w:rsidRPr="00D00D86">
        <w:rPr>
          <w:color w:val="000000" w:themeColor="text1"/>
        </w:rPr>
        <w:t>professionals and managers.</w:t>
      </w:r>
      <w:r w:rsidR="004E4FE2" w:rsidRPr="00D00D86">
        <w:rPr>
          <w:color w:val="000000" w:themeColor="text1"/>
        </w:rPr>
        <w:t xml:space="preserve"> This reflects the </w:t>
      </w:r>
      <w:r w:rsidR="00ED69BA" w:rsidRPr="00D00D86">
        <w:rPr>
          <w:color w:val="000000" w:themeColor="text1"/>
        </w:rPr>
        <w:t>economy</w:t>
      </w:r>
      <w:r w:rsidR="00EF4166">
        <w:rPr>
          <w:color w:val="000000" w:themeColor="text1"/>
        </w:rPr>
        <w:noBreakHyphen/>
      </w:r>
      <w:r w:rsidR="00ED69BA" w:rsidRPr="00D00D86">
        <w:rPr>
          <w:color w:val="000000" w:themeColor="text1"/>
        </w:rPr>
        <w:t>wide impact of the Coronavirus</w:t>
      </w:r>
      <w:r w:rsidR="004E4FE2" w:rsidRPr="00D00D86">
        <w:rPr>
          <w:color w:val="000000" w:themeColor="text1"/>
        </w:rPr>
        <w:t xml:space="preserve"> </w:t>
      </w:r>
      <w:r w:rsidR="00AA7FC2" w:rsidRPr="00D00D86">
        <w:rPr>
          <w:color w:val="000000" w:themeColor="text1"/>
        </w:rPr>
        <w:t xml:space="preserve">and the </w:t>
      </w:r>
      <w:r w:rsidR="00DE2760">
        <w:rPr>
          <w:color w:val="000000" w:themeColor="text1"/>
        </w:rPr>
        <w:t>‘</w:t>
      </w:r>
      <w:r w:rsidR="00AA7FC2" w:rsidRPr="00D00D86">
        <w:rPr>
          <w:color w:val="000000" w:themeColor="text1"/>
        </w:rPr>
        <w:t>one</w:t>
      </w:r>
      <w:r w:rsidR="006B0CAC" w:rsidRPr="00D00D86">
        <w:rPr>
          <w:color w:val="000000" w:themeColor="text1"/>
        </w:rPr>
        <w:t xml:space="preserve"> </w:t>
      </w:r>
      <w:r w:rsidR="00AA7FC2" w:rsidRPr="00D00D86">
        <w:rPr>
          <w:color w:val="000000" w:themeColor="text1"/>
        </w:rPr>
        <w:t>in, all</w:t>
      </w:r>
      <w:r w:rsidR="006B0CAC" w:rsidRPr="00D00D86">
        <w:rPr>
          <w:color w:val="000000" w:themeColor="text1"/>
        </w:rPr>
        <w:t xml:space="preserve"> </w:t>
      </w:r>
      <w:r w:rsidR="00AA7FC2" w:rsidRPr="00D00D86">
        <w:rPr>
          <w:color w:val="000000" w:themeColor="text1"/>
        </w:rPr>
        <w:t>in</w:t>
      </w:r>
      <w:r w:rsidR="00DE2760">
        <w:rPr>
          <w:color w:val="000000" w:themeColor="text1"/>
        </w:rPr>
        <w:t>’</w:t>
      </w:r>
      <w:r w:rsidR="00AA7FC2" w:rsidRPr="00D00D86">
        <w:rPr>
          <w:color w:val="000000" w:themeColor="text1"/>
        </w:rPr>
        <w:t xml:space="preserve"> </w:t>
      </w:r>
      <w:r w:rsidR="00AB1836" w:rsidRPr="00D00D86">
        <w:rPr>
          <w:color w:val="000000" w:themeColor="text1"/>
        </w:rPr>
        <w:t>principle</w:t>
      </w:r>
      <w:r w:rsidR="00AA7FC2" w:rsidRPr="00D00D86">
        <w:rPr>
          <w:color w:val="000000" w:themeColor="text1"/>
        </w:rPr>
        <w:t xml:space="preserve"> of the JobKeeper</w:t>
      </w:r>
      <w:r w:rsidR="00AB43D8" w:rsidRPr="00D00D86">
        <w:rPr>
          <w:color w:val="000000" w:themeColor="text1"/>
        </w:rPr>
        <w:t xml:space="preserve"> </w:t>
      </w:r>
      <w:r w:rsidR="00AA7FC2" w:rsidRPr="00D00D86">
        <w:rPr>
          <w:color w:val="000000" w:themeColor="text1"/>
        </w:rPr>
        <w:t>Payment.</w:t>
      </w:r>
      <w:r w:rsidR="00ED69BA" w:rsidRPr="00D00D86">
        <w:rPr>
          <w:rStyle w:val="FootnoteReference"/>
          <w:color w:val="000000" w:themeColor="text1"/>
        </w:rPr>
        <w:footnoteReference w:id="27"/>
      </w:r>
      <w:r w:rsidR="00AA7FC2" w:rsidRPr="00D00D86">
        <w:rPr>
          <w:color w:val="000000" w:themeColor="text1"/>
        </w:rPr>
        <w:t xml:space="preserve"> </w:t>
      </w:r>
      <w:r w:rsidR="006B0CAC" w:rsidRPr="00D00D86">
        <w:rPr>
          <w:color w:val="000000" w:themeColor="text1"/>
        </w:rPr>
        <w:t xml:space="preserve">Further </w:t>
      </w:r>
      <w:r w:rsidR="005C09CD">
        <w:rPr>
          <w:color w:val="000000" w:themeColor="text1"/>
        </w:rPr>
        <w:t xml:space="preserve">data </w:t>
      </w:r>
      <w:r w:rsidR="00615994">
        <w:rPr>
          <w:color w:val="000000" w:themeColor="text1"/>
        </w:rPr>
        <w:t>analysis</w:t>
      </w:r>
      <w:r w:rsidR="006B0CAC" w:rsidRPr="00D00D86">
        <w:rPr>
          <w:color w:val="000000" w:themeColor="text1"/>
        </w:rPr>
        <w:t xml:space="preserve"> </w:t>
      </w:r>
      <w:r w:rsidR="005C09CD">
        <w:rPr>
          <w:color w:val="000000" w:themeColor="text1"/>
        </w:rPr>
        <w:t xml:space="preserve">is </w:t>
      </w:r>
      <w:r w:rsidR="006B0CAC" w:rsidRPr="00D00D86">
        <w:rPr>
          <w:color w:val="000000" w:themeColor="text1"/>
        </w:rPr>
        <w:t xml:space="preserve">required to assess occupational patterns in the program and in the </w:t>
      </w:r>
      <w:r w:rsidR="00A37D74" w:rsidRPr="00D00D86">
        <w:rPr>
          <w:color w:val="000000" w:themeColor="text1"/>
        </w:rPr>
        <w:t xml:space="preserve">broader </w:t>
      </w:r>
      <w:r w:rsidR="006B0CAC" w:rsidRPr="00D00D86">
        <w:rPr>
          <w:color w:val="000000" w:themeColor="text1"/>
        </w:rPr>
        <w:t xml:space="preserve">labour market </w:t>
      </w:r>
      <w:r w:rsidR="00A37D74" w:rsidRPr="00D00D86">
        <w:rPr>
          <w:color w:val="000000" w:themeColor="text1"/>
        </w:rPr>
        <w:t>following the onset of the Coronavirus.</w:t>
      </w:r>
      <w:r w:rsidR="00A17780" w:rsidRPr="00D00D86">
        <w:rPr>
          <w:rStyle w:val="FootnoteReference"/>
          <w:color w:val="000000" w:themeColor="text1"/>
        </w:rPr>
        <w:footnoteReference w:id="28"/>
      </w:r>
      <w:r w:rsidR="00A37D74" w:rsidRPr="00D00D86">
        <w:rPr>
          <w:color w:val="000000" w:themeColor="text1"/>
        </w:rPr>
        <w:t xml:space="preserve"> </w:t>
      </w:r>
      <w:r w:rsidR="006B0CAC" w:rsidRPr="00D00D86">
        <w:rPr>
          <w:color w:val="000000" w:themeColor="text1"/>
        </w:rPr>
        <w:t xml:space="preserve"> </w:t>
      </w:r>
    </w:p>
    <w:p w14:paraId="5C25D089" w14:textId="552ECFC7" w:rsidR="00404B9F" w:rsidRDefault="0066166E">
      <w:pPr>
        <w:rPr>
          <w:color w:val="000000" w:themeColor="text1"/>
        </w:rPr>
      </w:pPr>
      <w:r w:rsidRPr="00D00D86">
        <w:rPr>
          <w:color w:val="000000" w:themeColor="text1"/>
        </w:rPr>
        <w:t>A</w:t>
      </w:r>
      <w:r w:rsidR="005C09CD">
        <w:rPr>
          <w:color w:val="000000" w:themeColor="text1"/>
        </w:rPr>
        <w:t xml:space="preserve">nother </w:t>
      </w:r>
      <w:r w:rsidRPr="00D00D86">
        <w:rPr>
          <w:color w:val="000000" w:themeColor="text1"/>
        </w:rPr>
        <w:t>important dimension of take</w:t>
      </w:r>
      <w:r w:rsidR="00DE2760">
        <w:rPr>
          <w:color w:val="000000" w:themeColor="text1"/>
        </w:rPr>
        <w:noBreakHyphen/>
      </w:r>
      <w:r w:rsidRPr="00D00D86">
        <w:rPr>
          <w:color w:val="000000" w:themeColor="text1"/>
        </w:rPr>
        <w:t xml:space="preserve">up is its spread across different parts of the country. Data on the number of organisations by postcode that have had their </w:t>
      </w:r>
      <w:r w:rsidR="001F4A89" w:rsidRPr="00D00D86">
        <w:rPr>
          <w:color w:val="000000" w:themeColor="text1"/>
        </w:rPr>
        <w:t xml:space="preserve">JobKeeper </w:t>
      </w:r>
      <w:r w:rsidRPr="00D00D86">
        <w:rPr>
          <w:color w:val="000000" w:themeColor="text1"/>
        </w:rPr>
        <w:t xml:space="preserve">applications processed for April suggest that </w:t>
      </w:r>
      <w:r w:rsidR="000E3E70">
        <w:rPr>
          <w:color w:val="000000" w:themeColor="text1"/>
        </w:rPr>
        <w:t xml:space="preserve">employers </w:t>
      </w:r>
      <w:r w:rsidRPr="00D00D86">
        <w:rPr>
          <w:color w:val="000000" w:themeColor="text1"/>
        </w:rPr>
        <w:t xml:space="preserve">and their workforces are being supported </w:t>
      </w:r>
      <w:r w:rsidR="001F4A89" w:rsidRPr="00D00D86">
        <w:rPr>
          <w:color w:val="000000" w:themeColor="text1"/>
        </w:rPr>
        <w:t>across all parts of Australia</w:t>
      </w:r>
      <w:r w:rsidRPr="00D00D86">
        <w:rPr>
          <w:color w:val="000000" w:themeColor="text1"/>
        </w:rPr>
        <w:t>.</w:t>
      </w:r>
      <w:r w:rsidRPr="00D00D86">
        <w:rPr>
          <w:rStyle w:val="FootnoteReference"/>
          <w:color w:val="000000" w:themeColor="text1"/>
        </w:rPr>
        <w:footnoteReference w:id="29"/>
      </w:r>
      <w:r w:rsidRPr="00D00D86">
        <w:rPr>
          <w:color w:val="000000" w:themeColor="text1"/>
        </w:rPr>
        <w:t xml:space="preserve"> </w:t>
      </w:r>
      <w:r w:rsidR="00AD2AAC" w:rsidRPr="00D00D86">
        <w:rPr>
          <w:color w:val="000000" w:themeColor="text1"/>
        </w:rPr>
        <w:t xml:space="preserve">Higher numbers of JobKeeper recipient </w:t>
      </w:r>
      <w:r w:rsidR="000E3E70">
        <w:rPr>
          <w:color w:val="000000" w:themeColor="text1"/>
        </w:rPr>
        <w:t>organis</w:t>
      </w:r>
      <w:r w:rsidR="00FB0B9F">
        <w:rPr>
          <w:color w:val="000000" w:themeColor="text1"/>
        </w:rPr>
        <w:t>a</w:t>
      </w:r>
      <w:r w:rsidR="000E3E70">
        <w:rPr>
          <w:color w:val="000000" w:themeColor="text1"/>
        </w:rPr>
        <w:t xml:space="preserve">tions </w:t>
      </w:r>
      <w:r w:rsidR="00AD2AAC" w:rsidRPr="00D00D86">
        <w:rPr>
          <w:color w:val="000000" w:themeColor="text1"/>
        </w:rPr>
        <w:t xml:space="preserve">tend to be found in postcodes with high numbers of operating employers. </w:t>
      </w:r>
      <w:r w:rsidR="005C09CD">
        <w:rPr>
          <w:color w:val="000000" w:themeColor="text1"/>
        </w:rPr>
        <w:t>However, f</w:t>
      </w:r>
      <w:r w:rsidR="006D0CD6" w:rsidRPr="00D00D86">
        <w:rPr>
          <w:color w:val="000000" w:themeColor="text1"/>
        </w:rPr>
        <w:t xml:space="preserve">urther </w:t>
      </w:r>
      <w:r w:rsidR="005C09CD">
        <w:rPr>
          <w:color w:val="000000" w:themeColor="text1"/>
        </w:rPr>
        <w:t xml:space="preserve">data </w:t>
      </w:r>
      <w:r w:rsidR="006D0CD6" w:rsidRPr="00D00D86">
        <w:rPr>
          <w:color w:val="000000" w:themeColor="text1"/>
        </w:rPr>
        <w:t xml:space="preserve">analysis is </w:t>
      </w:r>
      <w:r w:rsidR="009E7684" w:rsidRPr="00D00D86">
        <w:rPr>
          <w:color w:val="000000" w:themeColor="text1"/>
        </w:rPr>
        <w:t>required</w:t>
      </w:r>
      <w:r w:rsidR="006D0CD6" w:rsidRPr="00D00D86">
        <w:rPr>
          <w:color w:val="000000" w:themeColor="text1"/>
        </w:rPr>
        <w:t xml:space="preserve"> on </w:t>
      </w:r>
      <w:r w:rsidR="001F4A89" w:rsidRPr="00D00D86">
        <w:rPr>
          <w:color w:val="000000" w:themeColor="text1"/>
        </w:rPr>
        <w:t>regional</w:t>
      </w:r>
      <w:r w:rsidR="006B65B0" w:rsidRPr="00D00D86">
        <w:rPr>
          <w:color w:val="000000" w:themeColor="text1"/>
        </w:rPr>
        <w:t xml:space="preserve"> concentrations of JobKeeper recipients</w:t>
      </w:r>
      <w:r w:rsidR="006D0CD6" w:rsidRPr="00D00D86">
        <w:rPr>
          <w:color w:val="000000" w:themeColor="text1"/>
        </w:rPr>
        <w:t xml:space="preserve">. </w:t>
      </w:r>
    </w:p>
    <w:p w14:paraId="272A51B5" w14:textId="538171BE" w:rsidR="00404B9F" w:rsidRPr="00404B9F" w:rsidRDefault="00404B9F">
      <w:pPr>
        <w:rPr>
          <w:color w:val="000000" w:themeColor="text1"/>
        </w:rPr>
      </w:pPr>
      <w:r>
        <w:rPr>
          <w:color w:val="000000" w:themeColor="text1"/>
        </w:rPr>
        <w:t>Further breakdowns of JobKeeper take</w:t>
      </w:r>
      <w:r w:rsidR="00DE2760">
        <w:rPr>
          <w:color w:val="000000" w:themeColor="text1"/>
        </w:rPr>
        <w:noBreakHyphen/>
      </w:r>
      <w:r>
        <w:rPr>
          <w:color w:val="000000" w:themeColor="text1"/>
        </w:rPr>
        <w:t xml:space="preserve">up are provided in </w:t>
      </w:r>
      <w:r w:rsidRPr="00404B9F">
        <w:rPr>
          <w:b/>
          <w:color w:val="000000" w:themeColor="text1"/>
        </w:rPr>
        <w:t>Attachment A</w:t>
      </w:r>
      <w:r>
        <w:rPr>
          <w:color w:val="000000" w:themeColor="text1"/>
        </w:rPr>
        <w:t>.</w:t>
      </w:r>
    </w:p>
    <w:p w14:paraId="28A9A2DC" w14:textId="77777777" w:rsidR="005E78F4" w:rsidRDefault="005E78F4" w:rsidP="00755C53">
      <w:pPr>
        <w:pStyle w:val="Heading2"/>
      </w:pPr>
      <w:bookmarkStart w:id="496" w:name="_Toc43294084"/>
      <w:bookmarkStart w:id="497" w:name="_Toc43300429"/>
      <w:bookmarkStart w:id="498" w:name="_Toc43302282"/>
      <w:bookmarkStart w:id="499" w:name="_Toc43303721"/>
      <w:bookmarkStart w:id="500" w:name="_Toc43305332"/>
      <w:bookmarkStart w:id="501" w:name="_Toc43306303"/>
      <w:bookmarkStart w:id="502" w:name="_Toc43309511"/>
      <w:bookmarkStart w:id="503" w:name="_Toc43802498"/>
      <w:bookmarkStart w:id="504" w:name="_Toc43809346"/>
      <w:bookmarkStart w:id="505" w:name="_Toc43815611"/>
      <w:bookmarkStart w:id="506" w:name="_Toc43817544"/>
      <w:bookmarkStart w:id="507" w:name="_Toc43825315"/>
      <w:bookmarkStart w:id="508" w:name="_Toc43825419"/>
      <w:bookmarkStart w:id="509" w:name="_Toc43825512"/>
      <w:bookmarkStart w:id="510" w:name="_Toc43996248"/>
      <w:bookmarkStart w:id="511" w:name="_Toc43998507"/>
      <w:bookmarkStart w:id="512" w:name="_Toc43998434"/>
      <w:bookmarkStart w:id="513" w:name="_Toc44069956"/>
      <w:bookmarkStart w:id="514" w:name="_Toc44071360"/>
      <w:bookmarkStart w:id="515" w:name="_Toc44073484"/>
      <w:bookmarkStart w:id="516" w:name="_Toc44074624"/>
      <w:bookmarkStart w:id="517" w:name="_Toc44079513"/>
      <w:bookmarkStart w:id="518" w:name="_Toc44079808"/>
      <w:bookmarkStart w:id="519" w:name="_Toc44079943"/>
      <w:bookmarkStart w:id="520" w:name="_Toc44319854"/>
      <w:bookmarkStart w:id="521" w:name="_Toc44321562"/>
      <w:bookmarkStart w:id="522" w:name="_Toc44323729"/>
      <w:bookmarkStart w:id="523" w:name="_Toc44326192"/>
      <w:bookmarkStart w:id="524" w:name="_Toc44330514"/>
      <w:bookmarkStart w:id="525" w:name="_Toc44330756"/>
      <w:bookmarkStart w:id="526" w:name="_Toc44333188"/>
      <w:bookmarkStart w:id="527" w:name="_Toc44334819"/>
      <w:bookmarkStart w:id="528" w:name="_Toc45227429"/>
      <w:bookmarkStart w:id="529" w:name="_Toc45799030"/>
      <w:r>
        <w:t>Employers not participating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970D5F1" w14:textId="5694B3E6" w:rsidR="00DE11A6" w:rsidRPr="00D00D86" w:rsidRDefault="00DE11A6" w:rsidP="00DE11A6">
      <w:pPr>
        <w:pStyle w:val="BodyText"/>
        <w:rPr>
          <w:color w:val="000000" w:themeColor="text1"/>
          <w:sz w:val="22"/>
          <w:szCs w:val="22"/>
        </w:rPr>
      </w:pPr>
      <w:r w:rsidRPr="00D00D86">
        <w:rPr>
          <w:color w:val="000000" w:themeColor="text1"/>
          <w:sz w:val="22"/>
          <w:szCs w:val="22"/>
        </w:rPr>
        <w:t xml:space="preserve">Some businesses </w:t>
      </w:r>
      <w:r w:rsidR="006C19DF" w:rsidRPr="00D00D86">
        <w:rPr>
          <w:color w:val="000000" w:themeColor="text1"/>
          <w:sz w:val="22"/>
          <w:szCs w:val="22"/>
        </w:rPr>
        <w:t>may</w:t>
      </w:r>
      <w:r w:rsidRPr="00D00D86">
        <w:rPr>
          <w:color w:val="000000" w:themeColor="text1"/>
          <w:sz w:val="22"/>
          <w:szCs w:val="22"/>
        </w:rPr>
        <w:t xml:space="preserve"> </w:t>
      </w:r>
      <w:r w:rsidR="003A1937" w:rsidRPr="00D00D86">
        <w:rPr>
          <w:color w:val="000000" w:themeColor="text1"/>
          <w:sz w:val="22"/>
          <w:szCs w:val="22"/>
        </w:rPr>
        <w:t xml:space="preserve">have </w:t>
      </w:r>
      <w:r w:rsidRPr="00D00D86">
        <w:rPr>
          <w:color w:val="000000" w:themeColor="text1"/>
          <w:sz w:val="22"/>
          <w:szCs w:val="22"/>
        </w:rPr>
        <w:t>been eligible for JobKeeper but did not apply. Little information is available</w:t>
      </w:r>
      <w:r w:rsidR="0073007E" w:rsidRPr="00D00D86">
        <w:rPr>
          <w:color w:val="000000" w:themeColor="text1"/>
          <w:sz w:val="22"/>
          <w:szCs w:val="22"/>
        </w:rPr>
        <w:t xml:space="preserve"> to assess the scale of this</w:t>
      </w:r>
      <w:r w:rsidRPr="00D00D86">
        <w:rPr>
          <w:color w:val="000000" w:themeColor="text1"/>
          <w:sz w:val="22"/>
          <w:szCs w:val="22"/>
        </w:rPr>
        <w:t>.</w:t>
      </w:r>
    </w:p>
    <w:p w14:paraId="3E478E07" w14:textId="4FF20F8D" w:rsidR="00DE11A6" w:rsidRPr="00D00D86" w:rsidRDefault="00DE11A6" w:rsidP="00DE11A6">
      <w:pPr>
        <w:pStyle w:val="BodyText"/>
        <w:rPr>
          <w:color w:val="000000" w:themeColor="text1"/>
          <w:sz w:val="22"/>
          <w:szCs w:val="22"/>
        </w:rPr>
      </w:pPr>
      <w:r w:rsidRPr="00D00D86">
        <w:rPr>
          <w:color w:val="000000" w:themeColor="text1"/>
          <w:sz w:val="22"/>
          <w:szCs w:val="22"/>
        </w:rPr>
        <w:t xml:space="preserve">Industry stakeholders reported that some employers were dissuaded to apply because: they found the process to be cumbersome; they did not wish to be reliant on government support; </w:t>
      </w:r>
      <w:r w:rsidR="0046589F">
        <w:rPr>
          <w:color w:val="000000" w:themeColor="text1"/>
          <w:sz w:val="22"/>
          <w:szCs w:val="22"/>
        </w:rPr>
        <w:t xml:space="preserve">or </w:t>
      </w:r>
      <w:r w:rsidRPr="00D00D86">
        <w:rPr>
          <w:color w:val="000000" w:themeColor="text1"/>
          <w:sz w:val="22"/>
          <w:szCs w:val="22"/>
        </w:rPr>
        <w:t>they were unable or unwilling to secure additional finance to manage the four to five</w:t>
      </w:r>
      <w:r w:rsidR="00DE2760">
        <w:rPr>
          <w:color w:val="000000" w:themeColor="text1"/>
          <w:sz w:val="22"/>
          <w:szCs w:val="22"/>
        </w:rPr>
        <w:noBreakHyphen/>
      </w:r>
      <w:r w:rsidRPr="00D00D86">
        <w:rPr>
          <w:color w:val="000000" w:themeColor="text1"/>
          <w:sz w:val="22"/>
          <w:szCs w:val="22"/>
        </w:rPr>
        <w:t>week time lag between making JobKeeper payments to their workforce and being reimbursed by the ATO.</w:t>
      </w:r>
    </w:p>
    <w:p w14:paraId="5A2089B8" w14:textId="3CE6DD82" w:rsidR="00DE11A6" w:rsidRDefault="00540EB3" w:rsidP="00DE11A6">
      <w:pPr>
        <w:pStyle w:val="BodyText"/>
        <w:rPr>
          <w:color w:val="000000" w:themeColor="text1"/>
          <w:sz w:val="22"/>
          <w:szCs w:val="22"/>
        </w:rPr>
      </w:pPr>
      <w:r w:rsidRPr="00D00D86">
        <w:rPr>
          <w:color w:val="000000" w:themeColor="text1"/>
          <w:sz w:val="22"/>
          <w:szCs w:val="22"/>
        </w:rPr>
        <w:t>However, a</w:t>
      </w:r>
      <w:r w:rsidR="00DE11A6" w:rsidRPr="00D00D86">
        <w:rPr>
          <w:color w:val="000000" w:themeColor="text1"/>
          <w:sz w:val="22"/>
          <w:szCs w:val="22"/>
        </w:rPr>
        <w:t xml:space="preserve"> rapid survey of 2,000 businesses conducted in late April by the ABS found that</w:t>
      </w:r>
      <w:r w:rsidRPr="00D00D86">
        <w:rPr>
          <w:color w:val="000000" w:themeColor="text1"/>
          <w:sz w:val="22"/>
          <w:szCs w:val="22"/>
        </w:rPr>
        <w:t>,</w:t>
      </w:r>
      <w:r w:rsidR="00DE11A6" w:rsidRPr="00D00D86">
        <w:rPr>
          <w:color w:val="000000" w:themeColor="text1"/>
          <w:sz w:val="22"/>
          <w:szCs w:val="22"/>
        </w:rPr>
        <w:t xml:space="preserve"> </w:t>
      </w:r>
      <w:r w:rsidRPr="00D00D86">
        <w:rPr>
          <w:color w:val="000000" w:themeColor="text1"/>
          <w:sz w:val="22"/>
          <w:szCs w:val="22"/>
        </w:rPr>
        <w:t xml:space="preserve">of the </w:t>
      </w:r>
      <w:r w:rsidR="00DE11A6" w:rsidRPr="00D00D86">
        <w:rPr>
          <w:color w:val="000000" w:themeColor="text1"/>
          <w:sz w:val="22"/>
          <w:szCs w:val="22"/>
        </w:rPr>
        <w:t>one</w:t>
      </w:r>
      <w:r w:rsidR="0046589F">
        <w:rPr>
          <w:color w:val="000000" w:themeColor="text1"/>
          <w:sz w:val="22"/>
          <w:szCs w:val="22"/>
        </w:rPr>
        <w:t xml:space="preserve"> </w:t>
      </w:r>
      <w:r w:rsidR="00DE11A6" w:rsidRPr="00D00D86">
        <w:rPr>
          <w:color w:val="000000" w:themeColor="text1"/>
          <w:sz w:val="22"/>
          <w:szCs w:val="22"/>
        </w:rPr>
        <w:t xml:space="preserve">third </w:t>
      </w:r>
      <w:r w:rsidRPr="00D00D86">
        <w:rPr>
          <w:color w:val="000000" w:themeColor="text1"/>
          <w:sz w:val="22"/>
          <w:szCs w:val="22"/>
        </w:rPr>
        <w:t xml:space="preserve">of businesses that </w:t>
      </w:r>
      <w:r w:rsidR="00DE11A6" w:rsidRPr="00D00D86">
        <w:rPr>
          <w:color w:val="000000" w:themeColor="text1"/>
          <w:sz w:val="22"/>
          <w:szCs w:val="22"/>
        </w:rPr>
        <w:t>did not intend to apply for JobKeeper support</w:t>
      </w:r>
      <w:r w:rsidRPr="00D00D86">
        <w:rPr>
          <w:color w:val="000000" w:themeColor="text1"/>
          <w:sz w:val="22"/>
          <w:szCs w:val="22"/>
        </w:rPr>
        <w:t>, t</w:t>
      </w:r>
      <w:r w:rsidR="00DE11A6" w:rsidRPr="00D00D86">
        <w:rPr>
          <w:color w:val="000000" w:themeColor="text1"/>
          <w:sz w:val="22"/>
          <w:szCs w:val="22"/>
        </w:rPr>
        <w:t xml:space="preserve">he overwhelming reason for not applying was ineligibility. </w:t>
      </w:r>
      <w:r w:rsidRPr="00D00D86">
        <w:rPr>
          <w:color w:val="000000" w:themeColor="text1"/>
          <w:sz w:val="22"/>
          <w:szCs w:val="22"/>
        </w:rPr>
        <w:t>Only around</w:t>
      </w:r>
      <w:r w:rsidR="00DE11A6" w:rsidRPr="00D00D86">
        <w:rPr>
          <w:color w:val="000000" w:themeColor="text1"/>
          <w:sz w:val="22"/>
          <w:szCs w:val="22"/>
        </w:rPr>
        <w:t xml:space="preserve"> one in ten of those that did not apply cited complexity or insufficient cash flow.</w:t>
      </w:r>
      <w:r w:rsidR="00DE11A6" w:rsidRPr="00D00D86">
        <w:rPr>
          <w:rStyle w:val="FootnoteReference"/>
          <w:color w:val="000000" w:themeColor="text1"/>
          <w:sz w:val="22"/>
          <w:szCs w:val="22"/>
        </w:rPr>
        <w:footnoteReference w:id="3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66BCB" w14:paraId="5A0C639E" w14:textId="77777777" w:rsidTr="00F66BCB">
        <w:trPr>
          <w:cantSplit/>
        </w:trPr>
        <w:tc>
          <w:tcPr>
            <w:tcW w:w="8494" w:type="dxa"/>
            <w:shd w:val="clear" w:color="auto" w:fill="F2F6F6"/>
          </w:tcPr>
          <w:p w14:paraId="6E0EDDEF" w14:textId="12E1E585" w:rsidR="00F66BCB" w:rsidRPr="00F66BCB" w:rsidRDefault="00DE2760" w:rsidP="005B6873">
            <w:pPr>
              <w:pStyle w:val="Quote"/>
            </w:pPr>
            <w:r>
              <w:lastRenderedPageBreak/>
              <w:t>“</w:t>
            </w:r>
            <w:r w:rsidR="00F66BCB" w:rsidRPr="00F66BCB">
              <w:t>We desperately needed JobKeeper. It has allowed us to keep our jobs</w:t>
            </w:r>
            <w:r>
              <w:t xml:space="preserve"> — </w:t>
            </w:r>
            <w:r w:rsidR="00F66BCB" w:rsidRPr="00F66BCB">
              <w:t>we</w:t>
            </w:r>
            <w:r>
              <w:t>’</w:t>
            </w:r>
            <w:r w:rsidR="00F66BCB" w:rsidRPr="00F66BCB">
              <w:t xml:space="preserve">d all prefer to be working reduced hours </w:t>
            </w:r>
            <w:r w:rsidR="00F66BCB" w:rsidRPr="005B6873">
              <w:t>rather</w:t>
            </w:r>
            <w:r w:rsidR="00F66BCB" w:rsidRPr="00F66BCB">
              <w:t xml:space="preserve"> than have nothing to return to.</w:t>
            </w:r>
            <w:r>
              <w:t>”</w:t>
            </w:r>
          </w:p>
          <w:p w14:paraId="4B650E56" w14:textId="77777777" w:rsidR="00F66BCB" w:rsidRPr="00F66BCB" w:rsidRDefault="00F66BCB" w:rsidP="00F66BCB">
            <w:pPr>
              <w:pStyle w:val="Quoteexplainer"/>
            </w:pPr>
            <w:r w:rsidRPr="00F66BCB">
              <w:t>JobKeeper gave the business the breathing room to keep operating, with its remaining employees (after voluntary redundancies in March) eligible for the payment. The owners were pleasantly surprised at the simple application process and ease of ongoing administration.</w:t>
            </w:r>
          </w:p>
          <w:p w14:paraId="2A2B4BEC" w14:textId="43EF0126" w:rsidR="00F66BCB" w:rsidRPr="00F66BCB" w:rsidRDefault="00F66BCB" w:rsidP="00B84691">
            <w:pPr>
              <w:pStyle w:val="Quoteref"/>
              <w:rPr>
                <w:color w:val="000000" w:themeColor="text1"/>
              </w:rPr>
            </w:pPr>
            <w:r w:rsidRPr="00F66BCB">
              <w:t xml:space="preserve">~ </w:t>
            </w:r>
            <w:r w:rsidR="00B84691">
              <w:t>A s</w:t>
            </w:r>
            <w:r w:rsidRPr="00F66BCB">
              <w:t xml:space="preserve">mall </w:t>
            </w:r>
            <w:r w:rsidRPr="005B6873">
              <w:t>construction</w:t>
            </w:r>
            <w:r w:rsidRPr="00F66BCB">
              <w:t xml:space="preserve"> services business</w:t>
            </w:r>
          </w:p>
        </w:tc>
      </w:tr>
    </w:tbl>
    <w:p w14:paraId="2FAB7899" w14:textId="26E49EC4" w:rsidR="00416B08" w:rsidRDefault="00791BAA" w:rsidP="009B6E0C">
      <w:pPr>
        <w:pStyle w:val="Heading1"/>
      </w:pPr>
      <w:bookmarkStart w:id="530" w:name="_Toc43294086"/>
      <w:bookmarkStart w:id="531" w:name="_Toc43300431"/>
      <w:bookmarkStart w:id="532" w:name="_Toc43302284"/>
      <w:bookmarkStart w:id="533" w:name="_Toc43303723"/>
      <w:bookmarkStart w:id="534" w:name="_Toc43305334"/>
      <w:bookmarkStart w:id="535" w:name="_Toc43306305"/>
      <w:bookmarkStart w:id="536" w:name="_Toc43309513"/>
      <w:bookmarkStart w:id="537" w:name="_Toc43802499"/>
      <w:bookmarkStart w:id="538" w:name="_Toc43809347"/>
      <w:bookmarkStart w:id="539" w:name="_Toc43815612"/>
      <w:bookmarkStart w:id="540" w:name="_Toc43817545"/>
      <w:bookmarkStart w:id="541" w:name="_Toc43825316"/>
      <w:bookmarkStart w:id="542" w:name="_Toc43825420"/>
      <w:bookmarkStart w:id="543" w:name="_Toc43825513"/>
      <w:bookmarkStart w:id="544" w:name="_Toc43996249"/>
      <w:bookmarkStart w:id="545" w:name="_Toc43998508"/>
      <w:bookmarkStart w:id="546" w:name="_Toc43998435"/>
      <w:bookmarkStart w:id="547" w:name="_Toc44069957"/>
      <w:bookmarkStart w:id="548" w:name="_Toc44071361"/>
      <w:bookmarkStart w:id="549" w:name="_Toc44073485"/>
      <w:bookmarkStart w:id="550" w:name="_Toc44074625"/>
      <w:bookmarkStart w:id="551" w:name="_Toc44079514"/>
      <w:bookmarkStart w:id="552" w:name="_Toc44079809"/>
      <w:bookmarkStart w:id="553" w:name="_Toc44079944"/>
      <w:bookmarkStart w:id="554" w:name="_Toc44319855"/>
      <w:bookmarkStart w:id="555" w:name="_Toc44321563"/>
      <w:bookmarkStart w:id="556" w:name="_Toc44323730"/>
      <w:bookmarkStart w:id="557" w:name="_Toc44326193"/>
      <w:bookmarkStart w:id="558" w:name="_Toc44330515"/>
      <w:bookmarkStart w:id="559" w:name="_Toc44330757"/>
      <w:bookmarkStart w:id="560" w:name="_Toc44333189"/>
      <w:bookmarkStart w:id="561" w:name="_Toc44334820"/>
      <w:bookmarkStart w:id="562" w:name="_Toc45227430"/>
      <w:bookmarkStart w:id="563" w:name="_Toc45799031"/>
      <w:r>
        <w:lastRenderedPageBreak/>
        <w:t>Initial impacts of JobKeeper</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1CED579" w14:textId="60F4019B" w:rsidR="008D6DA4" w:rsidRDefault="007E738C" w:rsidP="00B6215E">
      <w:pPr>
        <w:rPr>
          <w:color w:val="000000" w:themeColor="text1"/>
        </w:rPr>
      </w:pPr>
      <w:bookmarkStart w:id="564" w:name="_Toc43294087"/>
      <w:r>
        <w:rPr>
          <w:color w:val="000000" w:themeColor="text1"/>
        </w:rPr>
        <w:t xml:space="preserve">The JobKeeper Payment had significant impacts on employment, hours of work and earnings. </w:t>
      </w:r>
      <w:r w:rsidR="00A47522" w:rsidRPr="00D00D86">
        <w:rPr>
          <w:color w:val="000000" w:themeColor="text1"/>
        </w:rPr>
        <w:t xml:space="preserve">The overall state of changes to the labour market were described in the section </w:t>
      </w:r>
      <w:r w:rsidR="00DE2760">
        <w:rPr>
          <w:color w:val="000000" w:themeColor="text1"/>
        </w:rPr>
        <w:t>‘</w:t>
      </w:r>
      <w:r w:rsidR="00A47522" w:rsidRPr="00D00D86">
        <w:rPr>
          <w:color w:val="000000" w:themeColor="text1"/>
        </w:rPr>
        <w:t>Coronavirus, health restrictions and economic impact</w:t>
      </w:r>
      <w:r w:rsidR="004820D2">
        <w:rPr>
          <w:color w:val="000000" w:themeColor="text1"/>
        </w:rPr>
        <w:t>s</w:t>
      </w:r>
      <w:r w:rsidR="00DE2760">
        <w:rPr>
          <w:color w:val="000000" w:themeColor="text1"/>
        </w:rPr>
        <w:t>’</w:t>
      </w:r>
      <w:r w:rsidR="005411CF" w:rsidRPr="00D00D86">
        <w:rPr>
          <w:color w:val="000000" w:themeColor="text1"/>
        </w:rPr>
        <w:t xml:space="preserve">. This section examines the </w:t>
      </w:r>
      <w:r w:rsidR="004820D2">
        <w:rPr>
          <w:color w:val="000000" w:themeColor="text1"/>
        </w:rPr>
        <w:t xml:space="preserve">initial </w:t>
      </w:r>
      <w:r w:rsidR="005411CF" w:rsidRPr="00D00D86">
        <w:rPr>
          <w:color w:val="000000" w:themeColor="text1"/>
        </w:rPr>
        <w:t xml:space="preserve">impact </w:t>
      </w:r>
      <w:r w:rsidR="003F33E2" w:rsidRPr="00D00D86">
        <w:rPr>
          <w:color w:val="000000" w:themeColor="text1"/>
        </w:rPr>
        <w:t xml:space="preserve">on employment, hours of work and earnings </w:t>
      </w:r>
      <w:r w:rsidR="005411CF" w:rsidRPr="00D00D86">
        <w:rPr>
          <w:color w:val="000000" w:themeColor="text1"/>
        </w:rPr>
        <w:t xml:space="preserve">that participation in JobKeeper has had on </w:t>
      </w:r>
      <w:r w:rsidR="002E22E4" w:rsidRPr="00D00D86">
        <w:rPr>
          <w:color w:val="000000" w:themeColor="text1"/>
        </w:rPr>
        <w:t>recipient</w:t>
      </w:r>
      <w:r w:rsidR="00EE36A4">
        <w:rPr>
          <w:color w:val="000000" w:themeColor="text1"/>
        </w:rPr>
        <w:t>s.</w:t>
      </w:r>
      <w:r w:rsidR="002E22E4" w:rsidRPr="00D00D86">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84D35" w14:paraId="610ACC20" w14:textId="77777777" w:rsidTr="00F84D35">
        <w:tc>
          <w:tcPr>
            <w:tcW w:w="8494" w:type="dxa"/>
            <w:shd w:val="clear" w:color="auto" w:fill="F2F6F6"/>
          </w:tcPr>
          <w:p w14:paraId="69C36D8D" w14:textId="72B49648" w:rsidR="00F84D35" w:rsidRDefault="00DE2760" w:rsidP="005B6873">
            <w:pPr>
              <w:pStyle w:val="Quote"/>
            </w:pPr>
            <w:r>
              <w:t>“</w:t>
            </w:r>
            <w:r w:rsidR="00F84D35">
              <w:t>JobKeeper is the only reason we</w:t>
            </w:r>
            <w:r>
              <w:t>’</w:t>
            </w:r>
            <w:r w:rsidR="00F84D35">
              <w:t xml:space="preserve">re open today. [It] fundamentally saved 50 per cent of jobs. My staff would say </w:t>
            </w:r>
            <w:r>
              <w:t>‘</w:t>
            </w:r>
            <w:r w:rsidR="00F84D35">
              <w:t>thank you</w:t>
            </w:r>
            <w:r>
              <w:t>’</w:t>
            </w:r>
            <w:r w:rsidR="00F84D35">
              <w:t>.</w:t>
            </w:r>
            <w:r>
              <w:t>”</w:t>
            </w:r>
          </w:p>
          <w:p w14:paraId="094EA29A" w14:textId="38FD7DC7" w:rsidR="00F84D35" w:rsidRDefault="00F84D35" w:rsidP="00F84D35">
            <w:pPr>
              <w:pStyle w:val="Quoteexplainer"/>
            </w:pPr>
            <w:r>
              <w:t>It was initially a challenge for the business to decide whether to apply for JobKeeper. Further, the business</w:t>
            </w:r>
            <w:r w:rsidR="00DE2760">
              <w:t>’</w:t>
            </w:r>
            <w:r>
              <w:t xml:space="preserve"> cash flow problems made it difficult to manage the payment</w:t>
            </w:r>
            <w:r w:rsidR="00DE2760">
              <w:noBreakHyphen/>
            </w:r>
            <w:r>
              <w:t>in</w:t>
            </w:r>
            <w:r w:rsidR="00DE2760">
              <w:noBreakHyphen/>
            </w:r>
            <w:r>
              <w:t>arrears design of the scheme and to pay wages upfront. Ultimately, the business decided to participate in JobKeeper for the sake of its staff. With restrictions being eased in late May and early June, JobKeeper has allowed the business to reopen and trade normal hours, re</w:t>
            </w:r>
            <w:r w:rsidR="00DE2760">
              <w:noBreakHyphen/>
            </w:r>
            <w:r>
              <w:t>engaging 100 per cent of its workforce.</w:t>
            </w:r>
          </w:p>
          <w:p w14:paraId="7D4BD3D7" w14:textId="52D5CE9F" w:rsidR="00F84D35" w:rsidRDefault="00F84D35">
            <w:pPr>
              <w:pStyle w:val="Quoteref"/>
            </w:pPr>
            <w:r>
              <w:t xml:space="preserve">~ </w:t>
            </w:r>
            <w:r w:rsidR="00B84691">
              <w:t>A s</w:t>
            </w:r>
            <w:r>
              <w:t xml:space="preserve">mall business in the </w:t>
            </w:r>
            <w:r w:rsidR="00123212">
              <w:t xml:space="preserve">accommodation </w:t>
            </w:r>
            <w:r>
              <w:t>and food services industry</w:t>
            </w:r>
          </w:p>
        </w:tc>
      </w:tr>
    </w:tbl>
    <w:p w14:paraId="6AD5D8D4" w14:textId="28AAFD5B" w:rsidR="00DF2951" w:rsidRPr="00755C53" w:rsidRDefault="00DF2951" w:rsidP="00755C53">
      <w:pPr>
        <w:pStyle w:val="Heading2"/>
      </w:pPr>
      <w:bookmarkStart w:id="565" w:name="_Toc43300432"/>
      <w:bookmarkStart w:id="566" w:name="_Toc43302285"/>
      <w:bookmarkStart w:id="567" w:name="_Toc43303724"/>
      <w:bookmarkStart w:id="568" w:name="_Toc43305335"/>
      <w:bookmarkStart w:id="569" w:name="_Toc43306306"/>
      <w:bookmarkStart w:id="570" w:name="_Toc43309514"/>
      <w:bookmarkStart w:id="571" w:name="_Toc43802500"/>
      <w:bookmarkStart w:id="572" w:name="_Toc43809348"/>
      <w:bookmarkStart w:id="573" w:name="_Toc43815613"/>
      <w:bookmarkStart w:id="574" w:name="_Toc43817546"/>
      <w:bookmarkStart w:id="575" w:name="_Toc43825317"/>
      <w:bookmarkStart w:id="576" w:name="_Toc43825421"/>
      <w:bookmarkStart w:id="577" w:name="_Toc43825514"/>
      <w:bookmarkStart w:id="578" w:name="_Toc43996250"/>
      <w:bookmarkStart w:id="579" w:name="_Toc43998509"/>
      <w:bookmarkStart w:id="580" w:name="_Toc43998436"/>
      <w:bookmarkStart w:id="581" w:name="_Toc44069958"/>
      <w:bookmarkStart w:id="582" w:name="_Toc44071362"/>
      <w:bookmarkStart w:id="583" w:name="_Toc44073486"/>
      <w:bookmarkStart w:id="584" w:name="_Toc44074626"/>
      <w:bookmarkStart w:id="585" w:name="_Toc44079515"/>
      <w:bookmarkStart w:id="586" w:name="_Toc44079810"/>
      <w:bookmarkStart w:id="587" w:name="_Toc44079945"/>
      <w:bookmarkStart w:id="588" w:name="_Toc44319856"/>
      <w:bookmarkStart w:id="589" w:name="_Toc44321564"/>
      <w:bookmarkStart w:id="590" w:name="_Toc44323731"/>
      <w:bookmarkStart w:id="591" w:name="_Toc44326194"/>
      <w:bookmarkStart w:id="592" w:name="_Toc44330516"/>
      <w:bookmarkStart w:id="593" w:name="_Toc44330758"/>
      <w:bookmarkStart w:id="594" w:name="_Toc44333190"/>
      <w:bookmarkStart w:id="595" w:name="_Toc44334821"/>
      <w:bookmarkStart w:id="596" w:name="_Toc45227431"/>
      <w:bookmarkStart w:id="597" w:name="_Toc45799032"/>
      <w:r w:rsidRPr="00755C53">
        <w:t>Impact of JobKeeper on employment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28EC21F2" w14:textId="1B5CD973" w:rsidR="00BE3A7D" w:rsidRPr="00D00D86" w:rsidRDefault="00BE3A7D" w:rsidP="00B6215E">
      <w:pPr>
        <w:rPr>
          <w:color w:val="000000" w:themeColor="text1"/>
        </w:rPr>
      </w:pPr>
      <w:r w:rsidRPr="00D00D86">
        <w:rPr>
          <w:color w:val="000000" w:themeColor="text1"/>
        </w:rPr>
        <w:t xml:space="preserve">The monthly Labour Force Survey </w:t>
      </w:r>
      <w:r w:rsidR="00BB753A" w:rsidRPr="00D00D86">
        <w:rPr>
          <w:color w:val="000000" w:themeColor="text1"/>
        </w:rPr>
        <w:t xml:space="preserve">produced by the ABS </w:t>
      </w:r>
      <w:r w:rsidRPr="00D00D86">
        <w:rPr>
          <w:color w:val="000000" w:themeColor="text1"/>
        </w:rPr>
        <w:t xml:space="preserve">is the best </w:t>
      </w:r>
      <w:r w:rsidR="00C1703A" w:rsidRPr="00D00D86">
        <w:rPr>
          <w:color w:val="000000" w:themeColor="text1"/>
        </w:rPr>
        <w:t xml:space="preserve">available </w:t>
      </w:r>
      <w:r w:rsidRPr="00D00D86">
        <w:rPr>
          <w:color w:val="000000" w:themeColor="text1"/>
        </w:rPr>
        <w:t>barometer o</w:t>
      </w:r>
      <w:r w:rsidR="00F97118">
        <w:rPr>
          <w:color w:val="000000" w:themeColor="text1"/>
        </w:rPr>
        <w:t>f</w:t>
      </w:r>
      <w:r w:rsidRPr="00D00D86">
        <w:rPr>
          <w:color w:val="000000" w:themeColor="text1"/>
        </w:rPr>
        <w:t xml:space="preserve"> labour market </w:t>
      </w:r>
      <w:r w:rsidR="00C1703A" w:rsidRPr="00D00D86">
        <w:rPr>
          <w:color w:val="000000" w:themeColor="text1"/>
        </w:rPr>
        <w:t>changes</w:t>
      </w:r>
      <w:r w:rsidR="00BC59C2" w:rsidRPr="00D00D86">
        <w:rPr>
          <w:color w:val="000000" w:themeColor="text1"/>
        </w:rPr>
        <w:t>, but a combination of its frequency and reporting lag means that it does not provide information on how the labour market is unfolding in real time; nor does it identify JobKeeper recipients.</w:t>
      </w:r>
      <w:r w:rsidR="000B03CE" w:rsidRPr="00D00D86">
        <w:rPr>
          <w:rStyle w:val="FootnoteReference"/>
          <w:color w:val="000000" w:themeColor="text1"/>
        </w:rPr>
        <w:footnoteReference w:id="31"/>
      </w:r>
    </w:p>
    <w:p w14:paraId="05DF0E2B" w14:textId="57D029FB" w:rsidR="00BC59C2" w:rsidRPr="00D00D86" w:rsidRDefault="00BC59C2" w:rsidP="00B6215E">
      <w:pPr>
        <w:rPr>
          <w:color w:val="000000" w:themeColor="text1"/>
        </w:rPr>
      </w:pPr>
      <w:r w:rsidRPr="00D00D86">
        <w:rPr>
          <w:color w:val="000000" w:themeColor="text1"/>
        </w:rPr>
        <w:t xml:space="preserve">To </w:t>
      </w:r>
      <w:r w:rsidR="00B44903" w:rsidRPr="00D00D86">
        <w:rPr>
          <w:color w:val="000000" w:themeColor="text1"/>
        </w:rPr>
        <w:t>complement and supplement existing data</w:t>
      </w:r>
      <w:r w:rsidRPr="00D00D86">
        <w:rPr>
          <w:color w:val="000000" w:themeColor="text1"/>
        </w:rPr>
        <w:t xml:space="preserve">, the </w:t>
      </w:r>
      <w:r w:rsidR="00BB753A" w:rsidRPr="00D00D86">
        <w:rPr>
          <w:color w:val="000000" w:themeColor="text1"/>
        </w:rPr>
        <w:t>ABS</w:t>
      </w:r>
      <w:r w:rsidRPr="00D00D86">
        <w:rPr>
          <w:color w:val="000000" w:themeColor="text1"/>
        </w:rPr>
        <w:t xml:space="preserve"> has begun to publish </w:t>
      </w:r>
      <w:r w:rsidR="009C74D3" w:rsidRPr="00D00D86">
        <w:rPr>
          <w:color w:val="000000" w:themeColor="text1"/>
        </w:rPr>
        <w:t xml:space="preserve">a </w:t>
      </w:r>
      <w:r w:rsidRPr="00D00D86">
        <w:rPr>
          <w:color w:val="000000" w:themeColor="text1"/>
        </w:rPr>
        <w:t xml:space="preserve">fortnightly </w:t>
      </w:r>
      <w:r w:rsidR="009C74D3" w:rsidRPr="00D00D86">
        <w:rPr>
          <w:color w:val="000000" w:themeColor="text1"/>
        </w:rPr>
        <w:t>series</w:t>
      </w:r>
      <w:r w:rsidRPr="00D00D86">
        <w:rPr>
          <w:color w:val="000000" w:themeColor="text1"/>
        </w:rPr>
        <w:t xml:space="preserve"> on payroll jobs and </w:t>
      </w:r>
      <w:r w:rsidR="002D2DF8" w:rsidRPr="00D00D86">
        <w:rPr>
          <w:color w:val="000000" w:themeColor="text1"/>
        </w:rPr>
        <w:t>wages</w:t>
      </w:r>
      <w:r w:rsidRPr="00D00D86">
        <w:rPr>
          <w:color w:val="000000" w:themeColor="text1"/>
        </w:rPr>
        <w:t xml:space="preserve">, based on </w:t>
      </w:r>
      <w:r w:rsidR="002D2DF8" w:rsidRPr="00D00D86">
        <w:rPr>
          <w:color w:val="000000" w:themeColor="text1"/>
        </w:rPr>
        <w:t xml:space="preserve">business </w:t>
      </w:r>
      <w:r w:rsidRPr="00D00D86">
        <w:rPr>
          <w:color w:val="000000" w:themeColor="text1"/>
        </w:rPr>
        <w:t xml:space="preserve">reporting to the </w:t>
      </w:r>
      <w:r w:rsidR="00BB753A" w:rsidRPr="00D00D86">
        <w:rPr>
          <w:color w:val="000000" w:themeColor="text1"/>
        </w:rPr>
        <w:t>ATO</w:t>
      </w:r>
      <w:r w:rsidR="00EB7A60" w:rsidRPr="00D00D86">
        <w:rPr>
          <w:color w:val="000000" w:themeColor="text1"/>
        </w:rPr>
        <w:t xml:space="preserve"> through </w:t>
      </w:r>
      <w:r w:rsidR="00B24F8C">
        <w:rPr>
          <w:color w:val="000000" w:themeColor="text1"/>
        </w:rPr>
        <w:t>STP</w:t>
      </w:r>
      <w:r w:rsidRPr="00D00D86">
        <w:rPr>
          <w:color w:val="000000" w:themeColor="text1"/>
        </w:rPr>
        <w:t xml:space="preserve">. </w:t>
      </w:r>
      <w:r w:rsidR="00791284" w:rsidRPr="00D00D86">
        <w:rPr>
          <w:color w:val="000000" w:themeColor="text1"/>
        </w:rPr>
        <w:t xml:space="preserve">Treasury is able to analyse </w:t>
      </w:r>
      <w:r w:rsidR="009C74D3" w:rsidRPr="00D00D86">
        <w:rPr>
          <w:color w:val="000000" w:themeColor="text1"/>
        </w:rPr>
        <w:t xml:space="preserve">the same </w:t>
      </w:r>
      <w:r w:rsidR="00791284" w:rsidRPr="00D00D86">
        <w:rPr>
          <w:color w:val="000000" w:themeColor="text1"/>
        </w:rPr>
        <w:t>data</w:t>
      </w:r>
      <w:r w:rsidR="00D2524A">
        <w:rPr>
          <w:color w:val="000000" w:themeColor="text1"/>
        </w:rPr>
        <w:t xml:space="preserve"> and is also able to distinguish</w:t>
      </w:r>
      <w:r w:rsidR="00791284" w:rsidRPr="00D00D86">
        <w:rPr>
          <w:color w:val="000000" w:themeColor="text1"/>
        </w:rPr>
        <w:t xml:space="preserve"> JobKeeper</w:t>
      </w:r>
      <w:r w:rsidR="00D2524A">
        <w:rPr>
          <w:color w:val="000000" w:themeColor="text1"/>
        </w:rPr>
        <w:t xml:space="preserve"> recipients</w:t>
      </w:r>
      <w:r w:rsidR="00791284" w:rsidRPr="00D00D86">
        <w:rPr>
          <w:color w:val="000000" w:themeColor="text1"/>
        </w:rPr>
        <w:t>, both employer</w:t>
      </w:r>
      <w:r w:rsidR="00D2524A">
        <w:rPr>
          <w:color w:val="000000" w:themeColor="text1"/>
        </w:rPr>
        <w:t>s</w:t>
      </w:r>
      <w:r w:rsidR="00791284" w:rsidRPr="00D00D86">
        <w:rPr>
          <w:color w:val="000000" w:themeColor="text1"/>
        </w:rPr>
        <w:t xml:space="preserve"> and employee</w:t>
      </w:r>
      <w:r w:rsidR="00D2524A">
        <w:rPr>
          <w:color w:val="000000" w:themeColor="text1"/>
        </w:rPr>
        <w:t>s</w:t>
      </w:r>
      <w:r w:rsidR="00791284" w:rsidRPr="00D00D86">
        <w:rPr>
          <w:color w:val="000000" w:themeColor="text1"/>
        </w:rPr>
        <w:t>.</w:t>
      </w:r>
      <w:r w:rsidR="00C1703A" w:rsidRPr="00D00D86">
        <w:rPr>
          <w:color w:val="000000" w:themeColor="text1"/>
        </w:rPr>
        <w:t xml:space="preserve"> Similar </w:t>
      </w:r>
      <w:r w:rsidR="00EF2315" w:rsidRPr="00D00D86">
        <w:rPr>
          <w:color w:val="000000" w:themeColor="text1"/>
        </w:rPr>
        <w:t>near real</w:t>
      </w:r>
      <w:r w:rsidR="00A6784D">
        <w:rPr>
          <w:color w:val="000000" w:themeColor="text1"/>
        </w:rPr>
        <w:noBreakHyphen/>
      </w:r>
      <w:r w:rsidR="00EF2315" w:rsidRPr="00D00D86">
        <w:rPr>
          <w:color w:val="000000" w:themeColor="text1"/>
        </w:rPr>
        <w:t>time</w:t>
      </w:r>
      <w:r w:rsidR="00C1703A" w:rsidRPr="00D00D86">
        <w:rPr>
          <w:color w:val="000000" w:themeColor="text1"/>
        </w:rPr>
        <w:t xml:space="preserve"> data ha</w:t>
      </w:r>
      <w:r w:rsidR="00BB2270">
        <w:rPr>
          <w:color w:val="000000" w:themeColor="text1"/>
        </w:rPr>
        <w:t>ve</w:t>
      </w:r>
      <w:r w:rsidR="00C1703A" w:rsidRPr="00D00D86">
        <w:rPr>
          <w:color w:val="000000" w:themeColor="text1"/>
        </w:rPr>
        <w:t xml:space="preserve"> been reported by Xero, a</w:t>
      </w:r>
      <w:r w:rsidR="00601175">
        <w:rPr>
          <w:color w:val="000000" w:themeColor="text1"/>
        </w:rPr>
        <w:t> </w:t>
      </w:r>
      <w:r w:rsidR="00C1703A" w:rsidRPr="00D00D86">
        <w:rPr>
          <w:color w:val="000000" w:themeColor="text1"/>
        </w:rPr>
        <w:t xml:space="preserve">small business software provider of accounting and human resource services. </w:t>
      </w:r>
    </w:p>
    <w:p w14:paraId="71DFC588" w14:textId="45138646" w:rsidR="00A632AB" w:rsidRPr="00D00D86" w:rsidRDefault="00C1703A" w:rsidP="00B6215E">
      <w:pPr>
        <w:rPr>
          <w:color w:val="000000" w:themeColor="text1"/>
        </w:rPr>
      </w:pPr>
      <w:r w:rsidRPr="00D00D86">
        <w:rPr>
          <w:color w:val="000000" w:themeColor="text1"/>
        </w:rPr>
        <w:t xml:space="preserve">It is apparent from these different sources that the introduction of JobKeeper put a brake on the rapid employment decline that commenced in </w:t>
      </w:r>
      <w:r w:rsidR="000E343A" w:rsidRPr="00D00D86">
        <w:rPr>
          <w:color w:val="000000" w:themeColor="text1"/>
        </w:rPr>
        <w:t>the second half of</w:t>
      </w:r>
      <w:r w:rsidRPr="00D00D86">
        <w:rPr>
          <w:color w:val="000000" w:themeColor="text1"/>
        </w:rPr>
        <w:t xml:space="preserve"> March</w:t>
      </w:r>
      <w:r w:rsidR="00B443A9">
        <w:rPr>
          <w:color w:val="000000" w:themeColor="text1"/>
        </w:rPr>
        <w:t xml:space="preserve"> 2020</w:t>
      </w:r>
      <w:r w:rsidRPr="00D00D86">
        <w:rPr>
          <w:color w:val="000000" w:themeColor="text1"/>
        </w:rPr>
        <w:t>.</w:t>
      </w:r>
      <w:r w:rsidR="000E343A" w:rsidRPr="00D00D86">
        <w:rPr>
          <w:color w:val="000000" w:themeColor="text1"/>
        </w:rPr>
        <w:t xml:space="preserve"> </w:t>
      </w:r>
      <w:r w:rsidR="00BE7569" w:rsidRPr="00D00D86">
        <w:rPr>
          <w:color w:val="000000" w:themeColor="text1"/>
        </w:rPr>
        <w:t xml:space="preserve">ABS data </w:t>
      </w:r>
      <w:r w:rsidR="008D7059" w:rsidRPr="00D00D86">
        <w:rPr>
          <w:color w:val="000000" w:themeColor="text1"/>
        </w:rPr>
        <w:t xml:space="preserve">in </w:t>
      </w:r>
      <w:r w:rsidR="008D7059" w:rsidRPr="00D00D86">
        <w:rPr>
          <w:b/>
          <w:color w:val="000000" w:themeColor="text1"/>
        </w:rPr>
        <w:t xml:space="preserve">Figure </w:t>
      </w:r>
      <w:r w:rsidR="00294341" w:rsidRPr="00D00D86">
        <w:rPr>
          <w:b/>
          <w:color w:val="000000" w:themeColor="text1"/>
        </w:rPr>
        <w:t>4</w:t>
      </w:r>
      <w:r w:rsidR="008D7059" w:rsidRPr="00D00D86">
        <w:rPr>
          <w:b/>
          <w:color w:val="000000" w:themeColor="text1"/>
        </w:rPr>
        <w:t xml:space="preserve"> </w:t>
      </w:r>
      <w:r w:rsidR="00BE7569" w:rsidRPr="00D00D86">
        <w:rPr>
          <w:color w:val="000000" w:themeColor="text1"/>
        </w:rPr>
        <w:t>show that p</w:t>
      </w:r>
      <w:r w:rsidR="000E343A" w:rsidRPr="00D00D86">
        <w:rPr>
          <w:color w:val="000000" w:themeColor="text1"/>
        </w:rPr>
        <w:t xml:space="preserve">ayroll jobs fell by </w:t>
      </w:r>
      <w:r w:rsidR="003132FB" w:rsidRPr="00D00D86">
        <w:rPr>
          <w:color w:val="000000" w:themeColor="text1"/>
        </w:rPr>
        <w:t>8.1</w:t>
      </w:r>
      <w:r w:rsidR="000E343A" w:rsidRPr="00D00D86">
        <w:rPr>
          <w:color w:val="000000" w:themeColor="text1"/>
        </w:rPr>
        <w:t xml:space="preserve"> per cent over a </w:t>
      </w:r>
      <w:r w:rsidR="00BB753A" w:rsidRPr="00D00D86">
        <w:rPr>
          <w:color w:val="000000" w:themeColor="text1"/>
        </w:rPr>
        <w:t>four</w:t>
      </w:r>
      <w:r w:rsidR="000E343A" w:rsidRPr="00D00D86">
        <w:rPr>
          <w:color w:val="000000" w:themeColor="text1"/>
        </w:rPr>
        <w:t xml:space="preserve"> week period </w:t>
      </w:r>
      <w:r w:rsidR="003132FB" w:rsidRPr="00D00D86">
        <w:rPr>
          <w:color w:val="000000" w:themeColor="text1"/>
        </w:rPr>
        <w:t xml:space="preserve">(ending 11 April) </w:t>
      </w:r>
      <w:r w:rsidR="000E343A" w:rsidRPr="00D00D86">
        <w:rPr>
          <w:color w:val="000000" w:themeColor="text1"/>
        </w:rPr>
        <w:t>and have been broadly stable since that time</w:t>
      </w:r>
      <w:r w:rsidR="003132FB" w:rsidRPr="00D00D86">
        <w:rPr>
          <w:color w:val="000000" w:themeColor="text1"/>
        </w:rPr>
        <w:t>, picking up by 1.0 per cent during May</w:t>
      </w:r>
      <w:r w:rsidR="000E343A" w:rsidRPr="00D00D86">
        <w:rPr>
          <w:color w:val="000000" w:themeColor="text1"/>
        </w:rPr>
        <w:t>.</w:t>
      </w:r>
      <w:r w:rsidR="00AA759E" w:rsidRPr="00D00D86">
        <w:rPr>
          <w:rStyle w:val="FootnoteReference"/>
          <w:color w:val="000000" w:themeColor="text1"/>
        </w:rPr>
        <w:footnoteReference w:id="32"/>
      </w:r>
      <w:r w:rsidR="00A632AB" w:rsidRPr="00D00D86">
        <w:rPr>
          <w:color w:val="000000" w:themeColor="text1"/>
        </w:rPr>
        <w:t xml:space="preserve"> </w:t>
      </w:r>
    </w:p>
    <w:p w14:paraId="63725D71" w14:textId="7F49DE02" w:rsidR="0045476B" w:rsidRPr="00D00D86" w:rsidRDefault="0045476B" w:rsidP="00B6215E">
      <w:pPr>
        <w:rPr>
          <w:color w:val="000000" w:themeColor="text1"/>
        </w:rPr>
      </w:pPr>
      <w:r w:rsidRPr="00D00D86">
        <w:rPr>
          <w:color w:val="000000" w:themeColor="text1"/>
        </w:rPr>
        <w:t xml:space="preserve">This relatively positive outcome may appear to be at odds with the widely reported </w:t>
      </w:r>
      <w:r w:rsidR="00A632AB" w:rsidRPr="00D00D86">
        <w:rPr>
          <w:color w:val="000000" w:themeColor="text1"/>
        </w:rPr>
        <w:t xml:space="preserve">May Labour Force Survey results </w:t>
      </w:r>
      <w:r w:rsidR="002E22E4" w:rsidRPr="00D00D86">
        <w:rPr>
          <w:color w:val="000000" w:themeColor="text1"/>
        </w:rPr>
        <w:t xml:space="preserve">released </w:t>
      </w:r>
      <w:r w:rsidR="00A632AB" w:rsidRPr="00D00D86">
        <w:rPr>
          <w:color w:val="000000" w:themeColor="text1"/>
        </w:rPr>
        <w:t xml:space="preserve">on 19 June, showing a 1.8 per cent fall in employment. </w:t>
      </w:r>
      <w:r w:rsidR="000C5395" w:rsidRPr="00D00D86">
        <w:rPr>
          <w:color w:val="000000" w:themeColor="text1"/>
        </w:rPr>
        <w:t>In fact, t</w:t>
      </w:r>
      <w:r w:rsidR="00A632AB" w:rsidRPr="00D00D86">
        <w:rPr>
          <w:color w:val="000000" w:themeColor="text1"/>
        </w:rPr>
        <w:t xml:space="preserve">he results in </w:t>
      </w:r>
      <w:r w:rsidR="00A632AB" w:rsidRPr="00D00D86">
        <w:rPr>
          <w:b/>
          <w:color w:val="000000" w:themeColor="text1"/>
        </w:rPr>
        <w:t>Figure 4</w:t>
      </w:r>
      <w:r w:rsidR="00A632AB" w:rsidRPr="00D00D86">
        <w:rPr>
          <w:color w:val="000000" w:themeColor="text1"/>
        </w:rPr>
        <w:t xml:space="preserve"> are</w:t>
      </w:r>
      <w:r w:rsidRPr="00D00D86">
        <w:rPr>
          <w:color w:val="000000" w:themeColor="text1"/>
        </w:rPr>
        <w:t xml:space="preserve"> broadly</w:t>
      </w:r>
      <w:r w:rsidR="00A632AB" w:rsidRPr="00D00D86">
        <w:rPr>
          <w:color w:val="000000" w:themeColor="text1"/>
        </w:rPr>
        <w:t xml:space="preserve"> consistent</w:t>
      </w:r>
      <w:r w:rsidR="00F97118">
        <w:rPr>
          <w:color w:val="000000" w:themeColor="text1"/>
        </w:rPr>
        <w:t>,</w:t>
      </w:r>
      <w:r w:rsidR="00A632AB" w:rsidRPr="00D00D86">
        <w:rPr>
          <w:color w:val="000000" w:themeColor="text1"/>
        </w:rPr>
        <w:t xml:space="preserve"> </w:t>
      </w:r>
      <w:r w:rsidR="002E22E4" w:rsidRPr="00D00D86">
        <w:rPr>
          <w:color w:val="000000" w:themeColor="text1"/>
        </w:rPr>
        <w:t>showing</w:t>
      </w:r>
      <w:r w:rsidRPr="00D00D86">
        <w:rPr>
          <w:color w:val="000000" w:themeColor="text1"/>
        </w:rPr>
        <w:t xml:space="preserve"> a fall of </w:t>
      </w:r>
      <w:r w:rsidR="000C5395" w:rsidRPr="00D00D86">
        <w:rPr>
          <w:color w:val="000000" w:themeColor="text1"/>
        </w:rPr>
        <w:t>1.0</w:t>
      </w:r>
      <w:r w:rsidR="00A632AB" w:rsidRPr="00D00D86">
        <w:rPr>
          <w:color w:val="000000" w:themeColor="text1"/>
        </w:rPr>
        <w:t xml:space="preserve"> per cent in payroll jobs </w:t>
      </w:r>
      <w:r w:rsidR="00C765C4">
        <w:rPr>
          <w:color w:val="000000" w:themeColor="text1"/>
        </w:rPr>
        <w:t>over</w:t>
      </w:r>
      <w:r w:rsidR="00A632AB" w:rsidRPr="00D00D86">
        <w:rPr>
          <w:color w:val="000000" w:themeColor="text1"/>
        </w:rPr>
        <w:t xml:space="preserve"> the </w:t>
      </w:r>
      <w:r w:rsidR="00A632AB" w:rsidRPr="00D00D86">
        <w:rPr>
          <w:color w:val="000000" w:themeColor="text1"/>
        </w:rPr>
        <w:lastRenderedPageBreak/>
        <w:t>fortnight ending 11 April</w:t>
      </w:r>
      <w:r w:rsidRPr="00D00D86">
        <w:rPr>
          <w:color w:val="000000" w:themeColor="text1"/>
        </w:rPr>
        <w:t xml:space="preserve"> </w:t>
      </w:r>
      <w:r w:rsidR="00C765C4">
        <w:rPr>
          <w:color w:val="000000" w:themeColor="text1"/>
        </w:rPr>
        <w:t xml:space="preserve">through to </w:t>
      </w:r>
      <w:r w:rsidR="00615E1B" w:rsidRPr="00D00D86">
        <w:rPr>
          <w:color w:val="000000" w:themeColor="text1"/>
        </w:rPr>
        <w:t xml:space="preserve">the fortnight ending </w:t>
      </w:r>
      <w:r w:rsidR="000C5395" w:rsidRPr="00D00D86">
        <w:rPr>
          <w:color w:val="000000" w:themeColor="text1"/>
        </w:rPr>
        <w:t>16</w:t>
      </w:r>
      <w:r w:rsidR="00A632AB" w:rsidRPr="00D00D86">
        <w:rPr>
          <w:color w:val="000000" w:themeColor="text1"/>
        </w:rPr>
        <w:t xml:space="preserve"> May</w:t>
      </w:r>
      <w:r w:rsidR="002E22E4" w:rsidRPr="00D00D86">
        <w:rPr>
          <w:color w:val="000000" w:themeColor="text1"/>
        </w:rPr>
        <w:t xml:space="preserve"> (</w:t>
      </w:r>
      <w:r w:rsidR="000C5395" w:rsidRPr="00D00D86">
        <w:rPr>
          <w:color w:val="000000" w:themeColor="text1"/>
        </w:rPr>
        <w:t xml:space="preserve">which </w:t>
      </w:r>
      <w:r w:rsidR="002E22E4" w:rsidRPr="00D00D86">
        <w:rPr>
          <w:color w:val="000000" w:themeColor="text1"/>
        </w:rPr>
        <w:t>match</w:t>
      </w:r>
      <w:r w:rsidR="000C5395" w:rsidRPr="00D00D86">
        <w:rPr>
          <w:color w:val="000000" w:themeColor="text1"/>
        </w:rPr>
        <w:t xml:space="preserve"> the Labour Force Survey reference periods in those months</w:t>
      </w:r>
      <w:r w:rsidR="002E22E4" w:rsidRPr="00D00D86">
        <w:rPr>
          <w:color w:val="000000" w:themeColor="text1"/>
        </w:rPr>
        <w:t>)</w:t>
      </w:r>
      <w:r w:rsidR="00A632AB" w:rsidRPr="00D00D86">
        <w:rPr>
          <w:color w:val="000000" w:themeColor="text1"/>
        </w:rPr>
        <w:t>.</w:t>
      </w:r>
      <w:r w:rsidR="00615E1B" w:rsidRPr="00D00D86">
        <w:rPr>
          <w:rStyle w:val="FootnoteReference"/>
          <w:color w:val="000000" w:themeColor="text1"/>
        </w:rPr>
        <w:footnoteReference w:id="33"/>
      </w:r>
      <w:r w:rsidRPr="00D00D86">
        <w:rPr>
          <w:color w:val="000000" w:themeColor="text1"/>
        </w:rPr>
        <w:t xml:space="preserve"> </w:t>
      </w:r>
    </w:p>
    <w:p w14:paraId="592F4583" w14:textId="7CCA432B" w:rsidR="00C1703A" w:rsidRPr="00D00D86" w:rsidRDefault="0045476B" w:rsidP="00B6215E">
      <w:pPr>
        <w:rPr>
          <w:color w:val="000000" w:themeColor="text1"/>
        </w:rPr>
      </w:pPr>
      <w:r w:rsidRPr="00D00D86">
        <w:rPr>
          <w:color w:val="000000" w:themeColor="text1"/>
        </w:rPr>
        <w:t xml:space="preserve">The timelier payroll jobs series provides good reason for judging that the employment decline </w:t>
      </w:r>
      <w:r w:rsidR="000C5395" w:rsidRPr="00D00D86">
        <w:rPr>
          <w:color w:val="000000" w:themeColor="text1"/>
        </w:rPr>
        <w:t xml:space="preserve">plateaued from </w:t>
      </w:r>
      <w:r w:rsidR="002E22E4" w:rsidRPr="00D00D86">
        <w:rPr>
          <w:color w:val="000000" w:themeColor="text1"/>
        </w:rPr>
        <w:t xml:space="preserve">around </w:t>
      </w:r>
      <w:r w:rsidR="000C5395" w:rsidRPr="00D00D86">
        <w:rPr>
          <w:color w:val="000000" w:themeColor="text1"/>
        </w:rPr>
        <w:t>the middle of April.</w:t>
      </w:r>
    </w:p>
    <w:p w14:paraId="70BA3CD2" w14:textId="03D3E675" w:rsidR="000E6E35" w:rsidRPr="00755C53" w:rsidRDefault="00740698" w:rsidP="00755C53">
      <w:pPr>
        <w:pStyle w:val="Figureheading"/>
      </w:pPr>
      <w:bookmarkStart w:id="598" w:name="_Toc43462901"/>
      <w:bookmarkStart w:id="599" w:name="_Toc43466281"/>
      <w:bookmarkStart w:id="600" w:name="_Toc43469273"/>
      <w:bookmarkStart w:id="601" w:name="_Toc43469668"/>
      <w:bookmarkStart w:id="602" w:name="_Toc43469944"/>
      <w:bookmarkStart w:id="603" w:name="_Toc43469958"/>
      <w:bookmarkStart w:id="604" w:name="_Toc43729206"/>
      <w:bookmarkStart w:id="605" w:name="_Toc43730794"/>
      <w:bookmarkStart w:id="606" w:name="_Toc43731572"/>
      <w:bookmarkStart w:id="607" w:name="_Toc43732044"/>
      <w:bookmarkStart w:id="608" w:name="_Toc43733862"/>
      <w:bookmarkStart w:id="609" w:name="_Toc43734764"/>
      <w:bookmarkStart w:id="610" w:name="_Toc43738744"/>
      <w:bookmarkStart w:id="611" w:name="_Toc43743056"/>
      <w:bookmarkStart w:id="612" w:name="_Toc43996229"/>
      <w:bookmarkStart w:id="613" w:name="_Toc43998488"/>
      <w:bookmarkStart w:id="614" w:name="_Toc43998415"/>
      <w:bookmarkStart w:id="615" w:name="_Toc44069937"/>
      <w:bookmarkStart w:id="616" w:name="_Toc44071341"/>
      <w:bookmarkStart w:id="617" w:name="_Toc44073465"/>
      <w:bookmarkStart w:id="618" w:name="_Toc44074605"/>
      <w:bookmarkStart w:id="619" w:name="_Toc44079494"/>
      <w:bookmarkStart w:id="620" w:name="_Toc44079789"/>
      <w:bookmarkStart w:id="621" w:name="_Toc44079924"/>
      <w:bookmarkStart w:id="622" w:name="_Toc44319835"/>
      <w:bookmarkStart w:id="623" w:name="_Toc44321543"/>
      <w:bookmarkStart w:id="624" w:name="_Toc44323710"/>
      <w:bookmarkStart w:id="625" w:name="_Toc44326173"/>
      <w:bookmarkStart w:id="626" w:name="_Toc44330495"/>
      <w:bookmarkStart w:id="627" w:name="_Toc44330737"/>
      <w:bookmarkStart w:id="628" w:name="_Toc44333169"/>
      <w:bookmarkStart w:id="629" w:name="_Toc44334800"/>
      <w:bookmarkStart w:id="630" w:name="_Toc45227432"/>
      <w:bookmarkStart w:id="631" w:name="_Toc45798906"/>
      <w:bookmarkStart w:id="632" w:name="_Toc45799033"/>
      <w:r w:rsidRPr="00755C53">
        <w:t xml:space="preserve">Figure </w:t>
      </w:r>
      <w:r w:rsidR="00294341" w:rsidRPr="00755C53">
        <w:t>4</w:t>
      </w:r>
      <w:r w:rsidRPr="00755C53">
        <w:t>: Changes in payroll jobs</w:t>
      </w:r>
      <w:r w:rsidR="00B443A9">
        <w:t>,</w:t>
      </w:r>
      <w:r w:rsidRPr="00755C53">
        <w:t xml:space="preserve"> mid</w:t>
      </w:r>
      <w:r w:rsidR="00DE2760">
        <w:noBreakHyphen/>
      </w:r>
      <w:r w:rsidRPr="00755C53">
        <w:t>March to end</w:t>
      </w:r>
      <w:r w:rsidR="008F0C91">
        <w:noBreakHyphen/>
      </w:r>
      <w:r w:rsidRPr="00755C53">
        <w:t>May 2020 (indexed)</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7A05C05E" w14:textId="6B0BBDCE" w:rsidR="00EC7002" w:rsidRPr="00EC7002" w:rsidRDefault="008C0906" w:rsidP="00A8532F">
      <w:pPr>
        <w:pStyle w:val="Figuregraphic"/>
      </w:pPr>
      <w:bookmarkStart w:id="633" w:name="_1653984219"/>
      <w:bookmarkStart w:id="634" w:name="_1653984783"/>
      <w:bookmarkStart w:id="635" w:name="_1653986911"/>
      <w:bookmarkStart w:id="636" w:name="_1653984581"/>
      <w:bookmarkStart w:id="637" w:name="_1653985084"/>
      <w:bookmarkStart w:id="638" w:name="_1653987072"/>
      <w:bookmarkStart w:id="639" w:name="_1653995654"/>
      <w:bookmarkStart w:id="640" w:name="_1653996261"/>
      <w:bookmarkStart w:id="641" w:name="_1653996547"/>
      <w:bookmarkStart w:id="642" w:name="_1653997152"/>
      <w:bookmarkStart w:id="643" w:name="_1653997911"/>
      <w:bookmarkEnd w:id="633"/>
      <w:bookmarkEnd w:id="634"/>
      <w:bookmarkEnd w:id="635"/>
      <w:bookmarkEnd w:id="636"/>
      <w:bookmarkEnd w:id="637"/>
      <w:bookmarkEnd w:id="638"/>
      <w:bookmarkEnd w:id="639"/>
      <w:bookmarkEnd w:id="640"/>
      <w:bookmarkEnd w:id="641"/>
      <w:bookmarkEnd w:id="642"/>
      <w:bookmarkEnd w:id="643"/>
      <w:r>
        <w:rPr>
          <w:noProof/>
          <w:lang w:eastAsia="en-AU"/>
        </w:rPr>
        <w:drawing>
          <wp:inline distT="0" distB="0" distL="0" distR="0" wp14:anchorId="3C7D838B" wp14:editId="5468B311">
            <wp:extent cx="5400000" cy="2520000"/>
            <wp:effectExtent l="0" t="0" r="0" b="0"/>
            <wp:docPr id="42" name="Chart 42" descr="This chart depicts the weekly changes in the level of payroll jobs between the week ending 14 March 2020 and the week ending 30 May 2020, with data represented as an index such that the level of jobs in the week ending 14 March 2020 is equal to 100. The index showed a decline in payroll jobs from 100 in the week ending 14 March 2020 to 97.1 in the week ending 28 March 2020, just before the announcement of the JobKeeper Payment. The payroll jobs index declined further to 91.1 in the week ending 18 April 2020 before plateauing, slightly increasing each week to reach 92.5 in the week ending 30 May 2020." title="Figure 4: Changes in payroll jobs, mid March to end May 2020 (index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CF1E5C" w14:textId="626FB329" w:rsidR="005411CF" w:rsidRDefault="00DF2951" w:rsidP="00F84D35">
      <w:pPr>
        <w:pStyle w:val="FiguretableNote"/>
        <w:rPr>
          <w:lang w:val="en"/>
        </w:rPr>
      </w:pPr>
      <w:r w:rsidRPr="00D00D86">
        <w:t xml:space="preserve">Source: ABS Weekly Payroll Jobs and Wages in Australia, Week ending 30 May 2020 (Cat. No. </w:t>
      </w:r>
      <w:r w:rsidRPr="00D00D86">
        <w:rPr>
          <w:lang w:val="en"/>
        </w:rPr>
        <w:t>6160.0.55.001)</w:t>
      </w:r>
    </w:p>
    <w:p w14:paraId="72390907" w14:textId="77777777" w:rsidR="00F84D35" w:rsidRPr="00D00D86" w:rsidRDefault="00F84D35" w:rsidP="00F84D35">
      <w:pPr>
        <w:pStyle w:val="Singleparagraph"/>
      </w:pPr>
    </w:p>
    <w:p w14:paraId="2D70DE92" w14:textId="7EE70246" w:rsidR="003F33E2" w:rsidRDefault="000B03CE" w:rsidP="00B6215E">
      <w:pPr>
        <w:rPr>
          <w:color w:val="000000" w:themeColor="text1"/>
        </w:rPr>
      </w:pPr>
      <w:r w:rsidRPr="00D00D86">
        <w:rPr>
          <w:color w:val="000000" w:themeColor="text1"/>
        </w:rPr>
        <w:t>Based on Treasury analysis of business microdata</w:t>
      </w:r>
      <w:r w:rsidR="002E22E4" w:rsidRPr="00D00D86">
        <w:rPr>
          <w:color w:val="000000" w:themeColor="text1"/>
        </w:rPr>
        <w:t>,</w:t>
      </w:r>
      <w:r w:rsidRPr="00D00D86">
        <w:rPr>
          <w:color w:val="000000" w:themeColor="text1"/>
        </w:rPr>
        <w:t xml:space="preserve"> it is possible to examine how </w:t>
      </w:r>
      <w:r w:rsidR="003F33E2" w:rsidRPr="00D00D86">
        <w:rPr>
          <w:color w:val="000000" w:themeColor="text1"/>
        </w:rPr>
        <w:t>jobs held and</w:t>
      </w:r>
      <w:r w:rsidRPr="00D00D86">
        <w:rPr>
          <w:color w:val="000000" w:themeColor="text1"/>
        </w:rPr>
        <w:t xml:space="preserve"> lost were distributed among </w:t>
      </w:r>
      <w:r w:rsidR="007979FA">
        <w:rPr>
          <w:color w:val="000000" w:themeColor="text1"/>
        </w:rPr>
        <w:t xml:space="preserve">organisations </w:t>
      </w:r>
      <w:r w:rsidR="003F33E2" w:rsidRPr="00903957">
        <w:rPr>
          <w:color w:val="000000" w:themeColor="text1"/>
        </w:rPr>
        <w:t>and employees</w:t>
      </w:r>
      <w:r w:rsidR="003F33E2" w:rsidRPr="00D00D86">
        <w:rPr>
          <w:color w:val="000000" w:themeColor="text1"/>
        </w:rPr>
        <w:t xml:space="preserve"> </w:t>
      </w:r>
      <w:r w:rsidRPr="00D00D86">
        <w:rPr>
          <w:color w:val="000000" w:themeColor="text1"/>
        </w:rPr>
        <w:t xml:space="preserve">that are JobKeeper recipients or not. This is shown in </w:t>
      </w:r>
      <w:r w:rsidRPr="00D00D86">
        <w:rPr>
          <w:b/>
          <w:color w:val="000000" w:themeColor="text1"/>
        </w:rPr>
        <w:t xml:space="preserve">Figure </w:t>
      </w:r>
      <w:r w:rsidR="00301B77" w:rsidRPr="00D00D86">
        <w:rPr>
          <w:b/>
          <w:color w:val="000000" w:themeColor="text1"/>
        </w:rPr>
        <w:t>5</w:t>
      </w:r>
      <w:r w:rsidRPr="00D00D86">
        <w:rPr>
          <w:color w:val="000000" w:themeColor="text1"/>
        </w:rPr>
        <w:t>.</w:t>
      </w:r>
      <w:r w:rsidR="00187E0E" w:rsidRPr="00D00D86">
        <w:rPr>
          <w:color w:val="000000" w:themeColor="text1"/>
        </w:rPr>
        <w:t xml:space="preserve"> </w:t>
      </w:r>
      <w:r w:rsidR="009C5305" w:rsidRPr="00D00D86">
        <w:rPr>
          <w:color w:val="000000" w:themeColor="text1"/>
        </w:rPr>
        <w:t>At the</w:t>
      </w:r>
      <w:r w:rsidR="00994A21" w:rsidRPr="00D00D86">
        <w:rPr>
          <w:color w:val="000000" w:themeColor="text1"/>
        </w:rPr>
        <w:t xml:space="preserve"> start of March, the anchor point in determining employee</w:t>
      </w:r>
      <w:r w:rsidR="00994A21" w:rsidRPr="00D00D86" w:rsidDel="00DA3EFC">
        <w:rPr>
          <w:color w:val="000000" w:themeColor="text1"/>
        </w:rPr>
        <w:t xml:space="preserve"> </w:t>
      </w:r>
      <w:r w:rsidR="00994A21" w:rsidRPr="00D00D86">
        <w:rPr>
          <w:color w:val="000000" w:themeColor="text1"/>
        </w:rPr>
        <w:t xml:space="preserve">eligibility for JobKeeper, 60 per cent of jobs were held by employees in </w:t>
      </w:r>
      <w:r w:rsidR="00903957">
        <w:rPr>
          <w:color w:val="000000" w:themeColor="text1"/>
        </w:rPr>
        <w:t xml:space="preserve">organisations </w:t>
      </w:r>
      <w:r w:rsidR="00994A21" w:rsidRPr="00D00D86">
        <w:rPr>
          <w:color w:val="000000" w:themeColor="text1"/>
        </w:rPr>
        <w:t xml:space="preserve">that </w:t>
      </w:r>
      <w:r w:rsidR="004A494B" w:rsidRPr="00D00D86">
        <w:rPr>
          <w:color w:val="000000" w:themeColor="text1"/>
        </w:rPr>
        <w:t xml:space="preserve">were ineligible or </w:t>
      </w:r>
      <w:r w:rsidR="00994A21" w:rsidRPr="00D00D86">
        <w:rPr>
          <w:color w:val="000000" w:themeColor="text1"/>
        </w:rPr>
        <w:t xml:space="preserve">did not apply for JobKeeper. </w:t>
      </w:r>
      <w:r w:rsidR="00033A0E">
        <w:rPr>
          <w:color w:val="000000" w:themeColor="text1"/>
        </w:rPr>
        <w:t xml:space="preserve">Of the 40 per cent of jobs </w:t>
      </w:r>
      <w:r w:rsidR="0026075A">
        <w:rPr>
          <w:color w:val="000000" w:themeColor="text1"/>
        </w:rPr>
        <w:t xml:space="preserve">in </w:t>
      </w:r>
      <w:r w:rsidR="00903957">
        <w:rPr>
          <w:color w:val="000000" w:themeColor="text1"/>
        </w:rPr>
        <w:t xml:space="preserve">organisations </w:t>
      </w:r>
      <w:r w:rsidR="0026075A">
        <w:rPr>
          <w:color w:val="000000" w:themeColor="text1"/>
        </w:rPr>
        <w:t>that became</w:t>
      </w:r>
      <w:r w:rsidR="00994A21" w:rsidRPr="00D00D86">
        <w:rPr>
          <w:color w:val="000000" w:themeColor="text1"/>
        </w:rPr>
        <w:t xml:space="preserve"> JobKeeper recipients, </w:t>
      </w:r>
      <w:r w:rsidR="00A177A5">
        <w:rPr>
          <w:color w:val="000000" w:themeColor="text1"/>
        </w:rPr>
        <w:t xml:space="preserve">around two thirds were </w:t>
      </w:r>
      <w:r w:rsidR="00994A21" w:rsidRPr="00D00D86">
        <w:rPr>
          <w:color w:val="000000" w:themeColor="text1"/>
        </w:rPr>
        <w:t xml:space="preserve">eligible </w:t>
      </w:r>
      <w:r w:rsidR="00994A21" w:rsidRPr="00903957">
        <w:rPr>
          <w:color w:val="000000" w:themeColor="text1"/>
        </w:rPr>
        <w:t>employees</w:t>
      </w:r>
      <w:r w:rsidR="00994A21" w:rsidRPr="00D00D86">
        <w:rPr>
          <w:color w:val="000000" w:themeColor="text1"/>
        </w:rPr>
        <w:t xml:space="preserve"> and </w:t>
      </w:r>
      <w:r w:rsidR="00A177A5">
        <w:rPr>
          <w:color w:val="000000" w:themeColor="text1"/>
        </w:rPr>
        <w:t xml:space="preserve">one third </w:t>
      </w:r>
      <w:r w:rsidR="00994A21" w:rsidRPr="00D00D86">
        <w:rPr>
          <w:color w:val="000000" w:themeColor="text1"/>
        </w:rPr>
        <w:t>were ineligible</w:t>
      </w:r>
      <w:r w:rsidR="004A494B" w:rsidRPr="00D00D86">
        <w:rPr>
          <w:color w:val="000000" w:themeColor="text1"/>
        </w:rPr>
        <w:t xml:space="preserve"> at the start of March</w:t>
      </w:r>
      <w:r w:rsidR="00994A21" w:rsidRPr="00D00D86">
        <w:rPr>
          <w:color w:val="000000" w:themeColor="text1"/>
        </w:rPr>
        <w:t>.</w:t>
      </w:r>
      <w:r w:rsidR="004A494B" w:rsidRPr="00D00D86">
        <w:rPr>
          <w:rStyle w:val="FootnoteReference"/>
          <w:color w:val="000000" w:themeColor="text1"/>
        </w:rPr>
        <w:footnoteReference w:id="34"/>
      </w:r>
      <w:r w:rsidR="00994A21" w:rsidRPr="00D00D86">
        <w:rPr>
          <w:color w:val="000000" w:themeColor="text1"/>
        </w:rPr>
        <w:t xml:space="preserve"> </w:t>
      </w:r>
    </w:p>
    <w:p w14:paraId="45D1B015" w14:textId="30F8E44A" w:rsidR="003F33E2" w:rsidRPr="00D00D86" w:rsidRDefault="003F33E2" w:rsidP="00B6215E">
      <w:pPr>
        <w:rPr>
          <w:color w:val="000000" w:themeColor="text1"/>
        </w:rPr>
      </w:pPr>
      <w:r w:rsidRPr="00D00D86">
        <w:rPr>
          <w:b/>
          <w:color w:val="000000" w:themeColor="text1"/>
        </w:rPr>
        <w:t>Figure 5</w:t>
      </w:r>
      <w:r w:rsidRPr="00D00D86">
        <w:rPr>
          <w:color w:val="000000" w:themeColor="text1"/>
        </w:rPr>
        <w:t xml:space="preserve"> also shows</w:t>
      </w:r>
      <w:r w:rsidR="009C5305" w:rsidRPr="00D00D86">
        <w:rPr>
          <w:color w:val="000000" w:themeColor="text1"/>
        </w:rPr>
        <w:t xml:space="preserve"> the pattern of job losses. </w:t>
      </w:r>
      <w:r w:rsidR="00187E0E" w:rsidRPr="00D00D86">
        <w:rPr>
          <w:color w:val="000000" w:themeColor="text1"/>
        </w:rPr>
        <w:t>Consistent with the ABS</w:t>
      </w:r>
      <w:r w:rsidR="00A20B6F">
        <w:rPr>
          <w:color w:val="000000" w:themeColor="text1"/>
        </w:rPr>
        <w:noBreakHyphen/>
      </w:r>
      <w:r w:rsidR="00187E0E" w:rsidRPr="00D00D86">
        <w:rPr>
          <w:color w:val="000000" w:themeColor="text1"/>
        </w:rPr>
        <w:t xml:space="preserve">reported data, the total decline in jobs from </w:t>
      </w:r>
      <w:r w:rsidR="007126BB" w:rsidRPr="00D00D86">
        <w:rPr>
          <w:color w:val="000000" w:themeColor="text1"/>
        </w:rPr>
        <w:t xml:space="preserve">the start of </w:t>
      </w:r>
      <w:r w:rsidR="00187E0E" w:rsidRPr="00D00D86">
        <w:rPr>
          <w:color w:val="000000" w:themeColor="text1"/>
        </w:rPr>
        <w:t xml:space="preserve">March to </w:t>
      </w:r>
      <w:r w:rsidR="007126BB" w:rsidRPr="00D00D86">
        <w:rPr>
          <w:color w:val="000000" w:themeColor="text1"/>
        </w:rPr>
        <w:t>late</w:t>
      </w:r>
      <w:r w:rsidR="00187E0E" w:rsidRPr="00D00D86">
        <w:rPr>
          <w:color w:val="000000" w:themeColor="text1"/>
        </w:rPr>
        <w:t xml:space="preserve"> May is </w:t>
      </w:r>
      <w:r w:rsidR="007126BB" w:rsidRPr="00D00D86">
        <w:rPr>
          <w:color w:val="000000" w:themeColor="text1"/>
        </w:rPr>
        <w:t xml:space="preserve">around </w:t>
      </w:r>
      <w:r w:rsidR="00187E0E" w:rsidRPr="00D00D86">
        <w:rPr>
          <w:color w:val="000000" w:themeColor="text1"/>
        </w:rPr>
        <w:t xml:space="preserve">7 per cent. </w:t>
      </w:r>
      <w:r w:rsidR="00903957">
        <w:rPr>
          <w:color w:val="000000" w:themeColor="text1"/>
        </w:rPr>
        <w:t xml:space="preserve">Organisations </w:t>
      </w:r>
      <w:r w:rsidR="00187E0E" w:rsidRPr="00D00D86">
        <w:rPr>
          <w:color w:val="000000" w:themeColor="text1"/>
        </w:rPr>
        <w:t xml:space="preserve">that are not JobKeeper recipients shed </w:t>
      </w:r>
      <w:r w:rsidR="007126BB" w:rsidRPr="00D00D86">
        <w:rPr>
          <w:color w:val="000000" w:themeColor="text1"/>
        </w:rPr>
        <w:t xml:space="preserve">around </w:t>
      </w:r>
      <w:r w:rsidR="00187E0E" w:rsidRPr="00D00D86">
        <w:rPr>
          <w:color w:val="000000" w:themeColor="text1"/>
        </w:rPr>
        <w:t xml:space="preserve">2 per cent of their jobs. </w:t>
      </w:r>
      <w:r w:rsidR="00EC4B94" w:rsidRPr="00D00D86">
        <w:rPr>
          <w:color w:val="000000" w:themeColor="text1"/>
        </w:rPr>
        <w:t xml:space="preserve">For </w:t>
      </w:r>
      <w:r w:rsidR="00903957">
        <w:rPr>
          <w:color w:val="000000" w:themeColor="text1"/>
        </w:rPr>
        <w:t xml:space="preserve">organisations </w:t>
      </w:r>
      <w:r w:rsidR="00EC4B94" w:rsidRPr="00D00D86">
        <w:rPr>
          <w:color w:val="000000" w:themeColor="text1"/>
        </w:rPr>
        <w:t xml:space="preserve">that are JobKeeper recipients, there was an initial 5 per cent drop in jobs held by </w:t>
      </w:r>
      <w:r w:rsidRPr="00903957">
        <w:rPr>
          <w:color w:val="000000" w:themeColor="text1"/>
        </w:rPr>
        <w:t>eligible</w:t>
      </w:r>
      <w:r w:rsidR="005312AC" w:rsidRPr="00903957">
        <w:rPr>
          <w:color w:val="000000" w:themeColor="text1"/>
        </w:rPr>
        <w:t xml:space="preserve"> </w:t>
      </w:r>
      <w:r w:rsidR="00EC4B94" w:rsidRPr="00903957">
        <w:rPr>
          <w:color w:val="000000" w:themeColor="text1"/>
        </w:rPr>
        <w:t>employees in</w:t>
      </w:r>
      <w:r w:rsidR="00EC4B94" w:rsidRPr="00D00D86">
        <w:rPr>
          <w:color w:val="000000" w:themeColor="text1"/>
        </w:rPr>
        <w:t xml:space="preserve"> the first fortnight after JobKeeper was introduced but these jobs have since been fully restored. The job losses have been </w:t>
      </w:r>
      <w:r w:rsidR="002E22E4" w:rsidRPr="00D00D86">
        <w:rPr>
          <w:color w:val="000000" w:themeColor="text1"/>
        </w:rPr>
        <w:t>largely</w:t>
      </w:r>
      <w:r w:rsidR="00EC4B94" w:rsidRPr="00D00D86">
        <w:rPr>
          <w:color w:val="000000" w:themeColor="text1"/>
        </w:rPr>
        <w:t xml:space="preserve"> borne by </w:t>
      </w:r>
      <w:r w:rsidRPr="00903957">
        <w:rPr>
          <w:color w:val="000000" w:themeColor="text1"/>
        </w:rPr>
        <w:t xml:space="preserve">ineligible </w:t>
      </w:r>
      <w:r w:rsidR="00EC4B94" w:rsidRPr="00903957">
        <w:rPr>
          <w:color w:val="000000" w:themeColor="text1"/>
        </w:rPr>
        <w:t>employees</w:t>
      </w:r>
      <w:r w:rsidR="005312AC" w:rsidRPr="00903957">
        <w:rPr>
          <w:color w:val="000000" w:themeColor="text1"/>
        </w:rPr>
        <w:t xml:space="preserve"> </w:t>
      </w:r>
      <w:r w:rsidR="00EC4B94" w:rsidRPr="00903957">
        <w:rPr>
          <w:color w:val="000000" w:themeColor="text1"/>
        </w:rPr>
        <w:t xml:space="preserve">in </w:t>
      </w:r>
      <w:r w:rsidR="00903957">
        <w:rPr>
          <w:color w:val="000000" w:themeColor="text1"/>
        </w:rPr>
        <w:t xml:space="preserve">organisations </w:t>
      </w:r>
      <w:r w:rsidR="00EC4B94" w:rsidRPr="00D00D86">
        <w:rPr>
          <w:color w:val="000000" w:themeColor="text1"/>
        </w:rPr>
        <w:t>that are JobKeeper recipients</w:t>
      </w:r>
      <w:r w:rsidR="002E22E4" w:rsidRPr="00D00D86">
        <w:rPr>
          <w:color w:val="000000" w:themeColor="text1"/>
        </w:rPr>
        <w:t>,</w:t>
      </w:r>
      <w:r w:rsidR="00EC4B94" w:rsidRPr="00D00D86">
        <w:rPr>
          <w:color w:val="000000" w:themeColor="text1"/>
        </w:rPr>
        <w:t xml:space="preserve"> which fell by half between mid</w:t>
      </w:r>
      <w:r w:rsidR="004372D5">
        <w:rPr>
          <w:color w:val="000000" w:themeColor="text1"/>
        </w:rPr>
        <w:t xml:space="preserve"> </w:t>
      </w:r>
      <w:r w:rsidR="00EC4B94" w:rsidRPr="00D00D86">
        <w:rPr>
          <w:color w:val="000000" w:themeColor="text1"/>
        </w:rPr>
        <w:t>March and the end of April</w:t>
      </w:r>
      <w:r w:rsidR="00DE2760">
        <w:rPr>
          <w:color w:val="000000" w:themeColor="text1"/>
        </w:rPr>
        <w:t xml:space="preserve">. </w:t>
      </w:r>
    </w:p>
    <w:p w14:paraId="6856CD56" w14:textId="389F7306" w:rsidR="00164232" w:rsidRDefault="00164232" w:rsidP="0055333A">
      <w:pPr>
        <w:keepLines/>
        <w:rPr>
          <w:color w:val="000000" w:themeColor="text1"/>
        </w:rPr>
      </w:pPr>
      <w:r w:rsidRPr="00D00D86">
        <w:rPr>
          <w:color w:val="000000" w:themeColor="text1"/>
        </w:rPr>
        <w:lastRenderedPageBreak/>
        <w:t xml:space="preserve">Among Xero subscribers, predominantly small businesses, employment fell by 13 per cent from the beginning of March </w:t>
      </w:r>
      <w:r w:rsidR="00A12A91">
        <w:rPr>
          <w:color w:val="000000" w:themeColor="text1"/>
        </w:rPr>
        <w:t xml:space="preserve">2020 </w:t>
      </w:r>
      <w:r w:rsidRPr="00D00D86">
        <w:rPr>
          <w:color w:val="000000" w:themeColor="text1"/>
        </w:rPr>
        <w:t>to the end of April</w:t>
      </w:r>
      <w:r w:rsidR="00A12A91">
        <w:rPr>
          <w:color w:val="000000" w:themeColor="text1"/>
        </w:rPr>
        <w:t>,</w:t>
      </w:r>
      <w:r w:rsidRPr="00D00D86">
        <w:rPr>
          <w:color w:val="000000" w:themeColor="text1"/>
        </w:rPr>
        <w:t xml:space="preserve"> with almost all of the fall concentrated in the second half of March. </w:t>
      </w:r>
      <w:r w:rsidR="002E22E4" w:rsidRPr="00D00D86">
        <w:rPr>
          <w:color w:val="000000" w:themeColor="text1"/>
        </w:rPr>
        <w:t>A feature of t</w:t>
      </w:r>
      <w:r w:rsidRPr="00D00D86">
        <w:rPr>
          <w:color w:val="000000" w:themeColor="text1"/>
        </w:rPr>
        <w:t xml:space="preserve">he Xero data </w:t>
      </w:r>
      <w:r w:rsidR="002E22E4" w:rsidRPr="00D00D86">
        <w:rPr>
          <w:color w:val="000000" w:themeColor="text1"/>
        </w:rPr>
        <w:t>is its ability</w:t>
      </w:r>
      <w:r w:rsidRPr="00D00D86">
        <w:rPr>
          <w:color w:val="000000" w:themeColor="text1"/>
        </w:rPr>
        <w:t xml:space="preserve"> to distinguish </w:t>
      </w:r>
      <w:r w:rsidR="00B65B6F">
        <w:rPr>
          <w:color w:val="000000" w:themeColor="text1"/>
        </w:rPr>
        <w:t xml:space="preserve">people </w:t>
      </w:r>
      <w:r w:rsidR="002E22E4" w:rsidRPr="00D00D86">
        <w:rPr>
          <w:color w:val="000000" w:themeColor="text1"/>
        </w:rPr>
        <w:t>by employment status, which shows</w:t>
      </w:r>
      <w:r w:rsidRPr="00D00D86">
        <w:rPr>
          <w:color w:val="000000" w:themeColor="text1"/>
        </w:rPr>
        <w:t xml:space="preserve"> that payroll jobs have fallen least for ongo</w:t>
      </w:r>
      <w:r w:rsidR="00DE2760">
        <w:rPr>
          <w:color w:val="000000" w:themeColor="text1"/>
        </w:rPr>
        <w:t>ing full</w:t>
      </w:r>
      <w:r w:rsidR="00DE2760">
        <w:rPr>
          <w:color w:val="000000" w:themeColor="text1"/>
        </w:rPr>
        <w:noBreakHyphen/>
        <w:t>time employees (down 2 </w:t>
      </w:r>
      <w:r w:rsidRPr="00D00D86">
        <w:rPr>
          <w:color w:val="000000" w:themeColor="text1"/>
        </w:rPr>
        <w:t xml:space="preserve">per cent) and </w:t>
      </w:r>
      <w:r w:rsidR="002E22E4" w:rsidRPr="00D00D86">
        <w:rPr>
          <w:color w:val="000000" w:themeColor="text1"/>
        </w:rPr>
        <w:t xml:space="preserve">ongoing </w:t>
      </w:r>
      <w:r w:rsidRPr="00D00D86">
        <w:rPr>
          <w:color w:val="000000" w:themeColor="text1"/>
        </w:rPr>
        <w:t>part</w:t>
      </w:r>
      <w:r w:rsidR="00DE2760">
        <w:rPr>
          <w:color w:val="000000" w:themeColor="text1"/>
        </w:rPr>
        <w:noBreakHyphen/>
      </w:r>
      <w:r w:rsidRPr="00D00D86">
        <w:rPr>
          <w:color w:val="000000" w:themeColor="text1"/>
        </w:rPr>
        <w:t>time employees (down 5 per cent) and by most for casual employees (down by 25</w:t>
      </w:r>
      <w:r w:rsidR="00AF0BE1">
        <w:rPr>
          <w:color w:val="000000" w:themeColor="text1"/>
        </w:rPr>
        <w:t> </w:t>
      </w:r>
      <w:r w:rsidRPr="00D00D86">
        <w:rPr>
          <w:color w:val="000000" w:themeColor="text1"/>
        </w:rPr>
        <w:t>per</w:t>
      </w:r>
      <w:r w:rsidR="00AF0BE1">
        <w:rPr>
          <w:color w:val="000000" w:themeColor="text1"/>
        </w:rPr>
        <w:t> </w:t>
      </w:r>
      <w:r w:rsidRPr="00D00D86">
        <w:rPr>
          <w:color w:val="000000" w:themeColor="text1"/>
        </w:rPr>
        <w:t>cent).</w:t>
      </w:r>
      <w:r w:rsidRPr="00D00D86">
        <w:rPr>
          <w:rStyle w:val="FootnoteReference"/>
          <w:color w:val="000000" w:themeColor="text1"/>
        </w:rPr>
        <w:footnoteReference w:id="35"/>
      </w:r>
      <w:r w:rsidRPr="00D00D86">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84D35" w14:paraId="481902F6" w14:textId="77777777" w:rsidTr="00F84D35">
        <w:tc>
          <w:tcPr>
            <w:tcW w:w="8494" w:type="dxa"/>
            <w:shd w:val="clear" w:color="auto" w:fill="F2F6F6"/>
          </w:tcPr>
          <w:p w14:paraId="406FAD7D" w14:textId="7B913A83" w:rsidR="00F84D35" w:rsidRDefault="00DE2760" w:rsidP="005B6873">
            <w:pPr>
              <w:pStyle w:val="Quote"/>
            </w:pPr>
            <w:r>
              <w:t>“</w:t>
            </w:r>
            <w:r w:rsidR="00F84D35">
              <w:t>We thought we were fighting for our lives [before JobKeeper]...</w:t>
            </w:r>
            <w:r>
              <w:t>”</w:t>
            </w:r>
            <w:r w:rsidR="00F84D35">
              <w:t xml:space="preserve"> </w:t>
            </w:r>
          </w:p>
          <w:p w14:paraId="175F7C90" w14:textId="417EB9D4" w:rsidR="00F84D35" w:rsidRDefault="00F84D35" w:rsidP="00F84D35">
            <w:pPr>
              <w:pStyle w:val="Quoteexplainer"/>
            </w:pPr>
            <w:r>
              <w:t>JobKeeper was instrumental in helping the business stay afloat and retain around two</w:t>
            </w:r>
            <w:r w:rsidR="00DE2760">
              <w:noBreakHyphen/>
            </w:r>
            <w:r>
              <w:t>thirds of their employees. The business made the decision to staff their outlets with JobKeeper</w:t>
            </w:r>
            <w:r w:rsidR="00DE2760">
              <w:noBreakHyphen/>
            </w:r>
            <w:r>
              <w:t>eligible employees wherever possible. Those let go were mainly casual staff that were not eligible for JobKeeper. Staff who were eligible for JobKeeper were happy to reduce their hours to match the value of the JobKeeper Payment.</w:t>
            </w:r>
          </w:p>
          <w:p w14:paraId="1921FDF9" w14:textId="35F6C62A" w:rsidR="00F84D35" w:rsidRDefault="00F84D35" w:rsidP="00DC56A9">
            <w:pPr>
              <w:pStyle w:val="Quoteref"/>
            </w:pPr>
            <w:r>
              <w:t xml:space="preserve">~ </w:t>
            </w:r>
            <w:r w:rsidR="00DC56A9">
              <w:t>A g</w:t>
            </w:r>
            <w:r>
              <w:t>roup of eight retail outlets</w:t>
            </w:r>
          </w:p>
        </w:tc>
      </w:tr>
    </w:tbl>
    <w:p w14:paraId="71D2641E" w14:textId="0979886E" w:rsidR="000B03CE" w:rsidRPr="00F7204B" w:rsidRDefault="000B03CE" w:rsidP="00755C53">
      <w:pPr>
        <w:pStyle w:val="Figureheading"/>
      </w:pPr>
      <w:bookmarkStart w:id="644" w:name="_Toc43462902"/>
      <w:bookmarkStart w:id="645" w:name="_Toc43466282"/>
      <w:bookmarkStart w:id="646" w:name="_Toc43469274"/>
      <w:bookmarkStart w:id="647" w:name="_Toc43469669"/>
      <w:bookmarkStart w:id="648" w:name="_Toc43469945"/>
      <w:bookmarkStart w:id="649" w:name="_Toc43469959"/>
      <w:bookmarkStart w:id="650" w:name="_Toc43729207"/>
      <w:bookmarkStart w:id="651" w:name="_Toc43730795"/>
      <w:bookmarkStart w:id="652" w:name="_Toc43731573"/>
      <w:bookmarkStart w:id="653" w:name="_Toc43732045"/>
      <w:bookmarkStart w:id="654" w:name="_Toc43733863"/>
      <w:bookmarkStart w:id="655" w:name="_Toc43734765"/>
      <w:bookmarkStart w:id="656" w:name="_Toc43738745"/>
      <w:bookmarkStart w:id="657" w:name="_Toc43743057"/>
      <w:bookmarkStart w:id="658" w:name="_Toc43996230"/>
      <w:bookmarkStart w:id="659" w:name="_Toc43998489"/>
      <w:bookmarkStart w:id="660" w:name="_Toc43998416"/>
      <w:bookmarkStart w:id="661" w:name="_Toc44069938"/>
      <w:bookmarkStart w:id="662" w:name="_Toc44071342"/>
      <w:bookmarkStart w:id="663" w:name="_Toc44073466"/>
      <w:bookmarkStart w:id="664" w:name="_Toc44074606"/>
      <w:bookmarkStart w:id="665" w:name="_Toc44079495"/>
      <w:bookmarkStart w:id="666" w:name="_Toc44079790"/>
      <w:bookmarkStart w:id="667" w:name="_Toc44079925"/>
      <w:bookmarkStart w:id="668" w:name="_Toc44319836"/>
      <w:bookmarkStart w:id="669" w:name="_Toc44321544"/>
      <w:bookmarkStart w:id="670" w:name="_Toc44323711"/>
      <w:bookmarkStart w:id="671" w:name="_Toc44326174"/>
      <w:bookmarkStart w:id="672" w:name="_Toc44330496"/>
      <w:bookmarkStart w:id="673" w:name="_Toc44330738"/>
      <w:bookmarkStart w:id="674" w:name="_Toc44333170"/>
      <w:bookmarkStart w:id="675" w:name="_Toc44334801"/>
      <w:bookmarkStart w:id="676" w:name="_Toc45227433"/>
      <w:bookmarkStart w:id="677" w:name="_Toc45798907"/>
      <w:bookmarkStart w:id="678" w:name="_Toc45799034"/>
      <w:r>
        <w:t xml:space="preserve">Figure </w:t>
      </w:r>
      <w:r w:rsidR="00301B77">
        <w:t>5</w:t>
      </w:r>
      <w:r w:rsidRPr="00740698">
        <w:t>: Changes in payroll jobs</w:t>
      </w:r>
      <w:r w:rsidR="00B443A9">
        <w:t>,</w:t>
      </w:r>
      <w:r w:rsidRPr="00740698">
        <w:t xml:space="preserve"> </w:t>
      </w:r>
      <w:r w:rsidR="00D4388B">
        <w:t xml:space="preserve">mid-February </w:t>
      </w:r>
      <w:r w:rsidRPr="00740698">
        <w:t>to end</w:t>
      </w:r>
      <w:r w:rsidR="00D4388B">
        <w:t>-</w:t>
      </w:r>
      <w:r w:rsidRPr="00740698">
        <w:t>May 2020</w:t>
      </w:r>
      <w:r>
        <w:t xml:space="preserve"> by JobKeeper status</w:t>
      </w:r>
      <w:r w:rsidR="00EC4B94">
        <w:t xml:space="preserve"> (indexed)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365D1B79" w14:textId="677B03C6" w:rsidR="000B03CE" w:rsidRDefault="008C0906" w:rsidP="00755C53">
      <w:pPr>
        <w:pStyle w:val="Figuregraphic"/>
        <w:spacing w:line="240" w:lineRule="auto"/>
      </w:pPr>
      <w:r>
        <w:rPr>
          <w:noProof/>
          <w:lang w:eastAsia="en-AU"/>
        </w:rPr>
        <w:drawing>
          <wp:inline distT="0" distB="0" distL="0" distR="0" wp14:anchorId="754CA0F6" wp14:editId="305DC324">
            <wp:extent cx="5400000" cy="2880000"/>
            <wp:effectExtent l="0" t="0" r="0" b="0"/>
            <wp:docPr id="43" name="Chart 43" descr="This chart depicts fortnightly changes in payroll jobs from the period of the fortnight ending 16 February 2020 to the fortnight ending 24 May 2020, indexed such that all payroll jobs in the fortnight ending 1 March 2020 sum to 100. Three different series are provided, representing payroll jobs for those in organisations that are not a recipient of the JobKeeper Payment, and payroll jobs in organisations that are in receipt of JobKeeper, split by eligible and ineligible employees. For organisations that are not a recipient of JobKeeper, the payroll jobs index was broadly steady: increasing from 58.8 in the fortnight ending 16 February 2020, to 60.0 in the fortnight ending 29 March (just before the announcement of JobKeeper), then decreased to 58.8 in the fortnight ending 24 May 2020. For eligible employees in organisations receiving JobKeeper, the payroll jobs index increased from 25.9 in the fortnight ending 16 February 2020 to 26.7 in the fortnight ending 29 March 2020, then increased to 27.1 in the fortnight ending 24 May 2020. For ineligible employees in organisations receiving JobKeeper, the payroll jobs index decreased from 13.5 in the fortnight ending 16 February 2020 to 12.5 in the fortnight ending 29 March 2020, then to 6.9 in the fortnight ending 24 May 2020." title="Figure 5: Changes in payroll jobs, mid-February to end-May 2020 by JobKeeper status (index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F9D7EF" w14:textId="291C6B83" w:rsidR="005312AC" w:rsidRPr="00D00D86" w:rsidRDefault="005312AC" w:rsidP="00755C53">
      <w:pPr>
        <w:pStyle w:val="FiguretableNote"/>
      </w:pPr>
      <w:r w:rsidRPr="00D00D86">
        <w:t xml:space="preserve">Note: Figure presents fortnightly time series, indexed </w:t>
      </w:r>
      <w:r w:rsidR="00752303" w:rsidRPr="00D00D86">
        <w:t>such that they sum to</w:t>
      </w:r>
      <w:r w:rsidRPr="00D00D86">
        <w:t xml:space="preserve"> 100 </w:t>
      </w:r>
      <w:r w:rsidR="005411CF" w:rsidRPr="00D00D86">
        <w:t xml:space="preserve">for all payroll jobs </w:t>
      </w:r>
      <w:r w:rsidRPr="00D00D86">
        <w:t>in the fortnight ending 1 March 2020. Payroll jobs include all employee</w:t>
      </w:r>
      <w:r w:rsidR="00DE2760">
        <w:noBreakHyphen/>
      </w:r>
      <w:r w:rsidRPr="00D00D86">
        <w:t>employer relationships with pay, including any JobKeeper amounts, in the given fortnight. Series are shown for: payroll jobs in non</w:t>
      </w:r>
      <w:r w:rsidR="00DE2760">
        <w:noBreakHyphen/>
      </w:r>
      <w:r w:rsidRPr="00D00D86">
        <w:t xml:space="preserve">recipient </w:t>
      </w:r>
      <w:r w:rsidR="00903957">
        <w:t>organisations</w:t>
      </w:r>
      <w:r w:rsidRPr="00D00D86">
        <w:t xml:space="preserve">; and payroll jobs in recipient </w:t>
      </w:r>
      <w:r w:rsidR="00903957">
        <w:t xml:space="preserve">organisations </w:t>
      </w:r>
      <w:r w:rsidRPr="00D00D86">
        <w:t>split by those now JobKeeper nominated versus those not JobKeeper nominated</w:t>
      </w:r>
      <w:r w:rsidR="00DE2760">
        <w:t xml:space="preserve">. </w:t>
      </w:r>
    </w:p>
    <w:p w14:paraId="4131968A" w14:textId="21614887" w:rsidR="00B24972" w:rsidRDefault="00E222C9" w:rsidP="00755C53">
      <w:pPr>
        <w:pStyle w:val="FiguretableNote"/>
      </w:pPr>
      <w:r w:rsidRPr="00D00D86">
        <w:t>Source: Treasury analysis of de</w:t>
      </w:r>
      <w:r w:rsidR="00DE2760">
        <w:noBreakHyphen/>
      </w:r>
      <w:r w:rsidRPr="00D00D86">
        <w:t>identified administrative data (S</w:t>
      </w:r>
      <w:r w:rsidR="00B24F8C">
        <w:t>TP</w:t>
      </w:r>
      <w:r w:rsidRPr="00D00D86">
        <w:t xml:space="preserve"> data linked to JobKeeper status).</w:t>
      </w:r>
    </w:p>
    <w:p w14:paraId="313923A4" w14:textId="77777777" w:rsidR="00755C53" w:rsidRPr="00D00D86" w:rsidRDefault="00755C53" w:rsidP="00755C53">
      <w:pPr>
        <w:pStyle w:val="Singleparagraph"/>
      </w:pPr>
    </w:p>
    <w:p w14:paraId="7A83ED3B" w14:textId="77777777" w:rsidR="007939C6" w:rsidRPr="00D00D86" w:rsidRDefault="007939C6" w:rsidP="0055333A">
      <w:pPr>
        <w:keepLines/>
        <w:rPr>
          <w:color w:val="000000" w:themeColor="text1"/>
        </w:rPr>
      </w:pPr>
      <w:r w:rsidRPr="00D00D86">
        <w:rPr>
          <w:color w:val="000000" w:themeColor="text1"/>
        </w:rPr>
        <w:lastRenderedPageBreak/>
        <w:t>Many casual workers hold multiple jobs. The ABS estimates from weekly payroll data that 29 per cent of the total jobs lost since mid</w:t>
      </w:r>
      <w:r w:rsidR="00DE2760">
        <w:rPr>
          <w:color w:val="000000" w:themeColor="text1"/>
        </w:rPr>
        <w:noBreakHyphen/>
      </w:r>
      <w:r w:rsidRPr="00D00D86">
        <w:rPr>
          <w:color w:val="000000" w:themeColor="text1"/>
        </w:rPr>
        <w:t xml:space="preserve">March have been secondary jobs of multiple job holders, </w:t>
      </w:r>
      <w:r w:rsidR="00BF3FEA">
        <w:rPr>
          <w:color w:val="000000" w:themeColor="text1"/>
        </w:rPr>
        <w:t>reflecting their largely</w:t>
      </w:r>
      <w:r w:rsidRPr="00D00D86">
        <w:rPr>
          <w:color w:val="000000" w:themeColor="text1"/>
        </w:rPr>
        <w:t xml:space="preserve"> casual status.</w:t>
      </w:r>
      <w:r w:rsidRPr="00D00D86">
        <w:rPr>
          <w:rStyle w:val="FootnoteReference"/>
          <w:color w:val="000000" w:themeColor="text1"/>
        </w:rPr>
        <w:footnoteReference w:id="36"/>
      </w:r>
      <w:r w:rsidRPr="00D00D86">
        <w:rPr>
          <w:color w:val="000000" w:themeColor="text1"/>
        </w:rPr>
        <w:t xml:space="preserve"> </w:t>
      </w:r>
      <w:r w:rsidR="00D27D5F">
        <w:rPr>
          <w:color w:val="000000" w:themeColor="text1"/>
        </w:rPr>
        <w:t xml:space="preserve">In </w:t>
      </w:r>
      <w:r w:rsidR="00BF3FEA">
        <w:rPr>
          <w:color w:val="000000" w:themeColor="text1"/>
        </w:rPr>
        <w:t>downturns, employers are likely to</w:t>
      </w:r>
      <w:r w:rsidR="00D27D5F">
        <w:rPr>
          <w:color w:val="000000" w:themeColor="text1"/>
        </w:rPr>
        <w:t xml:space="preserve"> scale back their employment of casual workers.</w:t>
      </w:r>
      <w:r w:rsidR="00C765C4">
        <w:rPr>
          <w:color w:val="000000" w:themeColor="text1"/>
        </w:rPr>
        <w:t xml:space="preserve"> </w:t>
      </w:r>
      <w:r w:rsidRPr="00D00D86">
        <w:rPr>
          <w:color w:val="000000" w:themeColor="text1"/>
        </w:rPr>
        <w:t xml:space="preserve">It </w:t>
      </w:r>
      <w:r w:rsidR="00C765C4">
        <w:rPr>
          <w:color w:val="000000" w:themeColor="text1"/>
        </w:rPr>
        <w:t>may</w:t>
      </w:r>
      <w:r w:rsidRPr="00D00D86">
        <w:rPr>
          <w:color w:val="000000" w:themeColor="text1"/>
        </w:rPr>
        <w:t xml:space="preserve"> also be a response to the JobKeeper requirement that nominated employees can only receive a payment from a single employer.</w:t>
      </w:r>
    </w:p>
    <w:p w14:paraId="2B700DF7" w14:textId="3D85C3A4" w:rsidR="009117E5" w:rsidRDefault="009117E5" w:rsidP="00755C53">
      <w:pPr>
        <w:pStyle w:val="Heading2"/>
      </w:pPr>
      <w:bookmarkStart w:id="679" w:name="_Toc43294088"/>
      <w:bookmarkStart w:id="680" w:name="_Toc43300433"/>
      <w:bookmarkStart w:id="681" w:name="_Toc43302286"/>
      <w:bookmarkStart w:id="682" w:name="_Toc43303725"/>
      <w:bookmarkStart w:id="683" w:name="_Toc43305336"/>
      <w:bookmarkStart w:id="684" w:name="_Toc43306307"/>
      <w:bookmarkStart w:id="685" w:name="_Toc43309515"/>
      <w:bookmarkStart w:id="686" w:name="_Toc43802501"/>
      <w:bookmarkStart w:id="687" w:name="_Toc43809349"/>
      <w:bookmarkStart w:id="688" w:name="_Toc43815614"/>
      <w:bookmarkStart w:id="689" w:name="_Toc43817547"/>
      <w:bookmarkStart w:id="690" w:name="_Toc43825318"/>
      <w:bookmarkStart w:id="691" w:name="_Toc43825422"/>
      <w:bookmarkStart w:id="692" w:name="_Toc43825515"/>
      <w:bookmarkStart w:id="693" w:name="_Toc43996251"/>
      <w:bookmarkStart w:id="694" w:name="_Toc43998510"/>
      <w:bookmarkStart w:id="695" w:name="_Toc43998437"/>
      <w:bookmarkStart w:id="696" w:name="_Toc44069959"/>
      <w:bookmarkStart w:id="697" w:name="_Toc44071363"/>
      <w:bookmarkStart w:id="698" w:name="_Toc44073487"/>
      <w:bookmarkStart w:id="699" w:name="_Toc44074627"/>
      <w:bookmarkStart w:id="700" w:name="_Toc44079516"/>
      <w:bookmarkStart w:id="701" w:name="_Toc44079811"/>
      <w:bookmarkStart w:id="702" w:name="_Toc44079946"/>
      <w:bookmarkStart w:id="703" w:name="_Toc44319857"/>
      <w:bookmarkStart w:id="704" w:name="_Toc44321565"/>
      <w:bookmarkStart w:id="705" w:name="_Toc44323732"/>
      <w:bookmarkStart w:id="706" w:name="_Toc44326195"/>
      <w:bookmarkStart w:id="707" w:name="_Toc44330517"/>
      <w:bookmarkStart w:id="708" w:name="_Toc44330759"/>
      <w:bookmarkStart w:id="709" w:name="_Toc44333191"/>
      <w:bookmarkStart w:id="710" w:name="_Toc44334822"/>
      <w:bookmarkStart w:id="711" w:name="_Toc45227434"/>
      <w:bookmarkStart w:id="712" w:name="_Toc45799035"/>
      <w:r>
        <w:t xml:space="preserve">Impact of JobKeeper on </w:t>
      </w:r>
      <w:bookmarkEnd w:id="679"/>
      <w:bookmarkEnd w:id="680"/>
      <w:bookmarkEnd w:id="681"/>
      <w:bookmarkEnd w:id="682"/>
      <w:bookmarkEnd w:id="683"/>
      <w:bookmarkEnd w:id="684"/>
      <w:bookmarkEnd w:id="685"/>
      <w:r w:rsidR="00EC4B94">
        <w:t>hours of work</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4D696CCB" w14:textId="18A91185" w:rsidR="002073BA" w:rsidRPr="00D00D86" w:rsidRDefault="009117E5" w:rsidP="002073BA">
      <w:pPr>
        <w:rPr>
          <w:color w:val="000000" w:themeColor="text1"/>
        </w:rPr>
      </w:pPr>
      <w:r w:rsidRPr="00D00D86">
        <w:rPr>
          <w:color w:val="000000" w:themeColor="text1"/>
        </w:rPr>
        <w:t xml:space="preserve">Most of the adjustment in labour demand that occurred over the course of late March and into </w:t>
      </w:r>
      <w:r w:rsidR="00313B3B" w:rsidRPr="00D00D86">
        <w:rPr>
          <w:color w:val="000000" w:themeColor="text1"/>
        </w:rPr>
        <w:t>May</w:t>
      </w:r>
      <w:r w:rsidRPr="00D00D86">
        <w:rPr>
          <w:color w:val="000000" w:themeColor="text1"/>
        </w:rPr>
        <w:t xml:space="preserve"> came through lower hours of work rather than cutting the number of employees. </w:t>
      </w:r>
      <w:r w:rsidR="002073BA" w:rsidRPr="00D00D86">
        <w:rPr>
          <w:color w:val="000000" w:themeColor="text1"/>
        </w:rPr>
        <w:t>An</w:t>
      </w:r>
      <w:r w:rsidR="003B5173">
        <w:rPr>
          <w:color w:val="000000" w:themeColor="text1"/>
        </w:rPr>
        <w:t> </w:t>
      </w:r>
      <w:r w:rsidR="002073BA" w:rsidRPr="00D00D86">
        <w:rPr>
          <w:color w:val="000000" w:themeColor="text1"/>
        </w:rPr>
        <w:t>ABS</w:t>
      </w:r>
      <w:r w:rsidR="00AC6542">
        <w:rPr>
          <w:color w:val="000000" w:themeColor="text1"/>
        </w:rPr>
        <w:t> </w:t>
      </w:r>
      <w:r w:rsidR="002073BA" w:rsidRPr="00D00D86">
        <w:rPr>
          <w:color w:val="000000" w:themeColor="text1"/>
        </w:rPr>
        <w:t xml:space="preserve">survey </w:t>
      </w:r>
      <w:r w:rsidR="00940149" w:rsidRPr="00D00D86">
        <w:rPr>
          <w:color w:val="000000" w:themeColor="text1"/>
        </w:rPr>
        <w:t>found that 44 per cent of businesses reported that the announcement of the JobKeeper Payment influenced their decision to continue to employ staff.</w:t>
      </w:r>
      <w:r w:rsidR="00940149" w:rsidRPr="00D00D86">
        <w:rPr>
          <w:rStyle w:val="FootnoteReference"/>
          <w:color w:val="000000" w:themeColor="text1"/>
        </w:rPr>
        <w:footnoteReference w:id="37"/>
      </w:r>
      <w:r w:rsidR="00940149" w:rsidRPr="00D00D86">
        <w:rPr>
          <w:color w:val="000000" w:themeColor="text1"/>
        </w:rPr>
        <w:t xml:space="preserve"> Further, </w:t>
      </w:r>
      <w:r w:rsidR="002073BA" w:rsidRPr="00D00D86">
        <w:rPr>
          <w:color w:val="000000" w:themeColor="text1"/>
        </w:rPr>
        <w:t xml:space="preserve">of businesses that made staffing changes in response to the Coronavirus outbreak, more than half (53 per cent) reported that hours worked by staff had reduced, while </w:t>
      </w:r>
      <w:r w:rsidR="00E64ECB">
        <w:rPr>
          <w:color w:val="000000" w:themeColor="text1"/>
        </w:rPr>
        <w:t xml:space="preserve">around </w:t>
      </w:r>
      <w:r w:rsidR="002073BA" w:rsidRPr="00D00D86">
        <w:rPr>
          <w:color w:val="000000" w:themeColor="text1"/>
        </w:rPr>
        <w:t>a quarter (24</w:t>
      </w:r>
      <w:r w:rsidR="00E64ECB">
        <w:rPr>
          <w:color w:val="000000" w:themeColor="text1"/>
        </w:rPr>
        <w:t> </w:t>
      </w:r>
      <w:r w:rsidR="002073BA" w:rsidRPr="00D00D86">
        <w:rPr>
          <w:color w:val="000000" w:themeColor="text1"/>
        </w:rPr>
        <w:t>per</w:t>
      </w:r>
      <w:r w:rsidR="00E64ECB">
        <w:rPr>
          <w:color w:val="000000" w:themeColor="text1"/>
        </w:rPr>
        <w:t> </w:t>
      </w:r>
      <w:r w:rsidR="002073BA" w:rsidRPr="00D00D86">
        <w:rPr>
          <w:color w:val="000000" w:themeColor="text1"/>
        </w:rPr>
        <w:t>cent) reported having reduced the total number of employees working for the business.</w:t>
      </w:r>
      <w:r w:rsidR="002073BA" w:rsidRPr="00D00D86">
        <w:rPr>
          <w:rStyle w:val="FootnoteReference"/>
          <w:color w:val="000000" w:themeColor="text1"/>
        </w:rPr>
        <w:footnoteReference w:id="38"/>
      </w:r>
      <w:r w:rsidR="002073BA" w:rsidRPr="00D00D86">
        <w:rPr>
          <w:color w:val="000000" w:themeColor="text1"/>
        </w:rPr>
        <w:t xml:space="preserve">  </w:t>
      </w:r>
    </w:p>
    <w:p w14:paraId="04D496F3" w14:textId="28DBB60C" w:rsidR="005A6F28" w:rsidRPr="00D00D86" w:rsidRDefault="00F95128" w:rsidP="00B6215E">
      <w:pPr>
        <w:rPr>
          <w:color w:val="000000" w:themeColor="text1"/>
        </w:rPr>
      </w:pPr>
      <w:r w:rsidRPr="00D00D86">
        <w:rPr>
          <w:color w:val="000000" w:themeColor="text1"/>
        </w:rPr>
        <w:t xml:space="preserve">Average hours </w:t>
      </w:r>
      <w:r w:rsidR="00BF3FEA">
        <w:rPr>
          <w:color w:val="000000" w:themeColor="text1"/>
        </w:rPr>
        <w:t xml:space="preserve">among those working </w:t>
      </w:r>
      <w:r w:rsidRPr="00D00D86">
        <w:rPr>
          <w:color w:val="000000" w:themeColor="text1"/>
        </w:rPr>
        <w:t>fell 4 per cent over April and May, reflecting a larger contraction in aggregate hours worked (down 10.2 per cent) t</w:t>
      </w:r>
      <w:r w:rsidR="00DE2760">
        <w:rPr>
          <w:color w:val="000000" w:themeColor="text1"/>
        </w:rPr>
        <w:t>han in employment (down 6.4 per </w:t>
      </w:r>
      <w:r w:rsidRPr="00D00D86">
        <w:rPr>
          <w:color w:val="000000" w:themeColor="text1"/>
        </w:rPr>
        <w:t>cent)</w:t>
      </w:r>
      <w:r w:rsidR="00134E0E" w:rsidRPr="00D00D86">
        <w:rPr>
          <w:color w:val="000000" w:themeColor="text1"/>
        </w:rPr>
        <w:t>.</w:t>
      </w:r>
      <w:r w:rsidR="0058012A" w:rsidRPr="00D00D86">
        <w:rPr>
          <w:rStyle w:val="FootnoteReference"/>
          <w:color w:val="000000" w:themeColor="text1"/>
        </w:rPr>
        <w:footnoteReference w:id="39"/>
      </w:r>
      <w:r w:rsidR="00FB3012" w:rsidRPr="00D00D86">
        <w:rPr>
          <w:color w:val="000000" w:themeColor="text1"/>
        </w:rPr>
        <w:t xml:space="preserve"> </w:t>
      </w:r>
    </w:p>
    <w:p w14:paraId="14EABBDA" w14:textId="07EAA356" w:rsidR="00BD38BD" w:rsidRPr="00D00D86" w:rsidRDefault="009A6BB7" w:rsidP="00BD38BD">
      <w:pPr>
        <w:pStyle w:val="BodyText"/>
        <w:rPr>
          <w:color w:val="000000" w:themeColor="text1"/>
          <w:sz w:val="22"/>
          <w:szCs w:val="22"/>
        </w:rPr>
      </w:pPr>
      <w:r w:rsidRPr="00D00D86">
        <w:rPr>
          <w:color w:val="000000" w:themeColor="text1"/>
          <w:sz w:val="22"/>
          <w:szCs w:val="22"/>
        </w:rPr>
        <w:t>Existing</w:t>
      </w:r>
      <w:r w:rsidR="002F763B" w:rsidRPr="00D00D86">
        <w:rPr>
          <w:color w:val="000000" w:themeColor="text1"/>
          <w:sz w:val="22"/>
          <w:szCs w:val="22"/>
        </w:rPr>
        <w:t xml:space="preserve"> stand down provisions </w:t>
      </w:r>
      <w:r w:rsidRPr="00D00D86">
        <w:rPr>
          <w:color w:val="000000" w:themeColor="text1"/>
          <w:sz w:val="22"/>
          <w:szCs w:val="22"/>
        </w:rPr>
        <w:t xml:space="preserve">in industrial relations law, </w:t>
      </w:r>
      <w:r w:rsidR="00E04F14" w:rsidRPr="00D00D86">
        <w:rPr>
          <w:color w:val="000000" w:themeColor="text1"/>
          <w:sz w:val="22"/>
          <w:szCs w:val="22"/>
        </w:rPr>
        <w:t>enabling employers to stand down employees without pay where</w:t>
      </w:r>
      <w:r w:rsidR="0066093F" w:rsidRPr="00D00D86">
        <w:rPr>
          <w:color w:val="000000" w:themeColor="text1"/>
          <w:sz w:val="22"/>
          <w:szCs w:val="22"/>
        </w:rPr>
        <w:t xml:space="preserve"> there is a stoppage of work in circumstances for which the employer cannot reasonably be held responsible</w:t>
      </w:r>
      <w:r w:rsidR="00324612" w:rsidRPr="00D00D86">
        <w:rPr>
          <w:color w:val="000000" w:themeColor="text1"/>
          <w:sz w:val="22"/>
          <w:szCs w:val="22"/>
        </w:rPr>
        <w:t>,</w:t>
      </w:r>
      <w:r w:rsidR="00E04F14" w:rsidRPr="00D00D86">
        <w:rPr>
          <w:rStyle w:val="FootnoteReference"/>
          <w:color w:val="000000" w:themeColor="text1"/>
          <w:sz w:val="22"/>
          <w:szCs w:val="22"/>
        </w:rPr>
        <w:footnoteReference w:id="40"/>
      </w:r>
      <w:r w:rsidRPr="00D00D86">
        <w:rPr>
          <w:color w:val="000000" w:themeColor="text1"/>
          <w:sz w:val="22"/>
          <w:szCs w:val="22"/>
        </w:rPr>
        <w:t xml:space="preserve"> were complemented with</w:t>
      </w:r>
      <w:r w:rsidR="002F763B" w:rsidRPr="00D00D86">
        <w:rPr>
          <w:color w:val="000000" w:themeColor="text1"/>
          <w:sz w:val="22"/>
          <w:szCs w:val="22"/>
        </w:rPr>
        <w:t xml:space="preserve"> temporary provisions</w:t>
      </w:r>
      <w:r w:rsidR="00BF3FEA" w:rsidRPr="00BF3FEA">
        <w:rPr>
          <w:color w:val="000000" w:themeColor="text1"/>
          <w:sz w:val="22"/>
          <w:szCs w:val="22"/>
        </w:rPr>
        <w:t xml:space="preserve"> </w:t>
      </w:r>
      <w:r w:rsidR="00CD058A">
        <w:rPr>
          <w:color w:val="000000" w:themeColor="text1"/>
          <w:sz w:val="22"/>
          <w:szCs w:val="22"/>
        </w:rPr>
        <w:t xml:space="preserve">in </w:t>
      </w:r>
      <w:r w:rsidR="00BF3FEA" w:rsidRPr="00D00D86">
        <w:rPr>
          <w:color w:val="000000" w:themeColor="text1"/>
          <w:sz w:val="22"/>
          <w:szCs w:val="22"/>
        </w:rPr>
        <w:t xml:space="preserve">the </w:t>
      </w:r>
      <w:r w:rsidR="00BF3FEA" w:rsidRPr="00D00D86">
        <w:rPr>
          <w:i/>
          <w:color w:val="000000" w:themeColor="text1"/>
          <w:sz w:val="22"/>
          <w:szCs w:val="22"/>
        </w:rPr>
        <w:t>Fair Work Act</w:t>
      </w:r>
      <w:r w:rsidR="005A028E">
        <w:rPr>
          <w:i/>
          <w:color w:val="000000" w:themeColor="text1"/>
          <w:sz w:val="22"/>
          <w:szCs w:val="22"/>
        </w:rPr>
        <w:t xml:space="preserve"> </w:t>
      </w:r>
      <w:r w:rsidR="005A028E" w:rsidRPr="00BA4186">
        <w:rPr>
          <w:i/>
          <w:color w:val="000000" w:themeColor="text1"/>
          <w:sz w:val="22"/>
          <w:szCs w:val="22"/>
        </w:rPr>
        <w:t>2009</w:t>
      </w:r>
      <w:r w:rsidR="004C54F2" w:rsidRPr="00BA4186">
        <w:rPr>
          <w:color w:val="000000" w:themeColor="text1"/>
          <w:sz w:val="22"/>
          <w:szCs w:val="22"/>
        </w:rPr>
        <w:t>.</w:t>
      </w:r>
      <w:r w:rsidR="004C54F2" w:rsidRPr="00D00D86">
        <w:rPr>
          <w:color w:val="000000" w:themeColor="text1"/>
          <w:sz w:val="22"/>
          <w:szCs w:val="22"/>
        </w:rPr>
        <w:t xml:space="preserve"> These provisions</w:t>
      </w:r>
      <w:r w:rsidR="002F763B" w:rsidRPr="00D00D86">
        <w:rPr>
          <w:color w:val="000000" w:themeColor="text1"/>
          <w:sz w:val="22"/>
          <w:szCs w:val="22"/>
        </w:rPr>
        <w:t xml:space="preserve"> enable</w:t>
      </w:r>
      <w:r w:rsidR="00CD058A">
        <w:rPr>
          <w:color w:val="000000" w:themeColor="text1"/>
          <w:sz w:val="22"/>
          <w:szCs w:val="22"/>
        </w:rPr>
        <w:t xml:space="preserve">, in part, </w:t>
      </w:r>
      <w:r w:rsidR="002F763B" w:rsidRPr="00D00D86">
        <w:rPr>
          <w:color w:val="000000" w:themeColor="text1"/>
          <w:sz w:val="22"/>
          <w:szCs w:val="22"/>
        </w:rPr>
        <w:t xml:space="preserve">JobKeeper qualifying employers to make directions to eligible employees to reduce their hours (including to zero) in response to business impacts of </w:t>
      </w:r>
      <w:r w:rsidR="00C85A46" w:rsidRPr="00D00D86">
        <w:rPr>
          <w:color w:val="000000" w:themeColor="text1"/>
          <w:sz w:val="22"/>
          <w:szCs w:val="22"/>
        </w:rPr>
        <w:t>the Coronavirus outbreak</w:t>
      </w:r>
      <w:r w:rsidR="002F763B" w:rsidRPr="00D00D86">
        <w:rPr>
          <w:color w:val="000000" w:themeColor="text1"/>
          <w:sz w:val="22"/>
          <w:szCs w:val="22"/>
        </w:rPr>
        <w:t>.</w:t>
      </w:r>
      <w:r w:rsidR="005A6F28" w:rsidRPr="00D00D86">
        <w:rPr>
          <w:rStyle w:val="FootnoteReference"/>
          <w:color w:val="000000" w:themeColor="text1"/>
          <w:sz w:val="22"/>
          <w:szCs w:val="22"/>
        </w:rPr>
        <w:footnoteReference w:id="41"/>
      </w:r>
      <w:r w:rsidR="00BD38BD" w:rsidRPr="00D00D86">
        <w:rPr>
          <w:color w:val="000000" w:themeColor="text1"/>
          <w:sz w:val="22"/>
          <w:szCs w:val="22"/>
        </w:rPr>
        <w:t xml:space="preserve"> An independent review of the operation of these provisions is to be undertaken separately for the Attorney</w:t>
      </w:r>
      <w:r w:rsidR="00DE2760">
        <w:rPr>
          <w:color w:val="000000" w:themeColor="text1"/>
          <w:sz w:val="22"/>
          <w:szCs w:val="22"/>
        </w:rPr>
        <w:noBreakHyphen/>
      </w:r>
      <w:r w:rsidR="00BD38BD" w:rsidRPr="00D00D86">
        <w:rPr>
          <w:color w:val="000000" w:themeColor="text1"/>
          <w:sz w:val="22"/>
          <w:szCs w:val="22"/>
        </w:rPr>
        <w:t>General and Minister for Industrial Relations</w:t>
      </w:r>
      <w:r w:rsidR="00DE2760">
        <w:rPr>
          <w:color w:val="000000" w:themeColor="text1"/>
          <w:sz w:val="22"/>
          <w:szCs w:val="22"/>
        </w:rPr>
        <w:t xml:space="preserve">. </w:t>
      </w:r>
    </w:p>
    <w:p w14:paraId="6C36A0F5" w14:textId="1116ECCA" w:rsidR="00134E0E" w:rsidRPr="00D00D86" w:rsidRDefault="00134E0E" w:rsidP="00B6215E">
      <w:pPr>
        <w:rPr>
          <w:color w:val="000000" w:themeColor="text1"/>
        </w:rPr>
      </w:pPr>
      <w:r w:rsidRPr="00D00D86">
        <w:rPr>
          <w:color w:val="000000" w:themeColor="text1"/>
        </w:rPr>
        <w:t xml:space="preserve">The </w:t>
      </w:r>
      <w:r w:rsidR="00CE3807" w:rsidRPr="00D00D86">
        <w:rPr>
          <w:color w:val="000000" w:themeColor="text1"/>
        </w:rPr>
        <w:t>ABS</w:t>
      </w:r>
      <w:r w:rsidRPr="00D00D86">
        <w:rPr>
          <w:color w:val="000000" w:themeColor="text1"/>
        </w:rPr>
        <w:t xml:space="preserve"> estimates that there were 1.8 million people who worked less than their usual hour</w:t>
      </w:r>
      <w:r w:rsidR="00AF24A5" w:rsidRPr="00D00D86">
        <w:rPr>
          <w:color w:val="000000" w:themeColor="text1"/>
        </w:rPr>
        <w:t>s in April</w:t>
      </w:r>
      <w:r w:rsidR="00AC405B" w:rsidRPr="00D00D86">
        <w:rPr>
          <w:color w:val="000000" w:themeColor="text1"/>
        </w:rPr>
        <w:t> </w:t>
      </w:r>
      <w:r w:rsidR="00AF24A5" w:rsidRPr="00D00D86">
        <w:rPr>
          <w:color w:val="000000" w:themeColor="text1"/>
        </w:rPr>
        <w:t>2020</w:t>
      </w:r>
      <w:r w:rsidR="009271FA" w:rsidRPr="00D00D86">
        <w:rPr>
          <w:color w:val="000000" w:themeColor="text1"/>
        </w:rPr>
        <w:t xml:space="preserve"> for </w:t>
      </w:r>
      <w:r w:rsidR="00DE2760">
        <w:rPr>
          <w:color w:val="000000" w:themeColor="text1"/>
        </w:rPr>
        <w:t>‘</w:t>
      </w:r>
      <w:r w:rsidR="009271FA" w:rsidRPr="00D00D86">
        <w:rPr>
          <w:color w:val="000000" w:themeColor="text1"/>
        </w:rPr>
        <w:t>economic reasons</w:t>
      </w:r>
      <w:r w:rsidR="00DE2760">
        <w:rPr>
          <w:color w:val="000000" w:themeColor="text1"/>
        </w:rPr>
        <w:t>’</w:t>
      </w:r>
      <w:r w:rsidR="00AF24A5" w:rsidRPr="00D00D86">
        <w:rPr>
          <w:color w:val="000000" w:themeColor="text1"/>
        </w:rPr>
        <w:t>,</w:t>
      </w:r>
      <w:r w:rsidR="00232FD1" w:rsidRPr="00D00D86">
        <w:rPr>
          <w:rStyle w:val="FootnoteReference"/>
          <w:color w:val="000000" w:themeColor="text1"/>
        </w:rPr>
        <w:footnoteReference w:id="42"/>
      </w:r>
      <w:r w:rsidR="00AF24A5" w:rsidRPr="00D00D86">
        <w:rPr>
          <w:color w:val="000000" w:themeColor="text1"/>
        </w:rPr>
        <w:t xml:space="preserve"> comprising 750,</w:t>
      </w:r>
      <w:r w:rsidRPr="00D00D86">
        <w:rPr>
          <w:color w:val="000000" w:themeColor="text1"/>
        </w:rPr>
        <w:t>0</w:t>
      </w:r>
      <w:r w:rsidR="00AF24A5" w:rsidRPr="00D00D86">
        <w:rPr>
          <w:color w:val="000000" w:themeColor="text1"/>
        </w:rPr>
        <w:t>00</w:t>
      </w:r>
      <w:r w:rsidRPr="00D00D86">
        <w:rPr>
          <w:color w:val="000000" w:themeColor="text1"/>
        </w:rPr>
        <w:t xml:space="preserve"> who were stood down on zero hours and </w:t>
      </w:r>
      <w:r w:rsidR="00AF24A5" w:rsidRPr="00D00D86">
        <w:rPr>
          <w:color w:val="000000" w:themeColor="text1"/>
        </w:rPr>
        <w:t>approximately</w:t>
      </w:r>
      <w:r w:rsidRPr="00D00D86">
        <w:rPr>
          <w:color w:val="000000" w:themeColor="text1"/>
        </w:rPr>
        <w:t xml:space="preserve"> 1</w:t>
      </w:r>
      <w:r w:rsidR="00AC405B" w:rsidRPr="00D00D86">
        <w:rPr>
          <w:color w:val="000000" w:themeColor="text1"/>
        </w:rPr>
        <w:t> </w:t>
      </w:r>
      <w:r w:rsidRPr="00D00D86">
        <w:rPr>
          <w:color w:val="000000" w:themeColor="text1"/>
        </w:rPr>
        <w:t>million people working fewer hours than usual.</w:t>
      </w:r>
      <w:r w:rsidR="003F30D9" w:rsidRPr="00D00D86">
        <w:rPr>
          <w:color w:val="000000" w:themeColor="text1"/>
        </w:rPr>
        <w:t xml:space="preserve"> By May this had </w:t>
      </w:r>
      <w:r w:rsidR="00AF24A5" w:rsidRPr="00D00D86">
        <w:rPr>
          <w:color w:val="000000" w:themeColor="text1"/>
        </w:rPr>
        <w:t xml:space="preserve">declined to </w:t>
      </w:r>
      <w:r w:rsidR="005B6BF4" w:rsidRPr="00D00D86">
        <w:rPr>
          <w:color w:val="000000" w:themeColor="text1"/>
        </w:rPr>
        <w:t>nearly</w:t>
      </w:r>
      <w:r w:rsidR="000544EF" w:rsidRPr="00D00D86">
        <w:rPr>
          <w:color w:val="000000" w:themeColor="text1"/>
        </w:rPr>
        <w:t xml:space="preserve"> </w:t>
      </w:r>
      <w:r w:rsidR="00AF24A5" w:rsidRPr="00D00D86">
        <w:rPr>
          <w:color w:val="000000" w:themeColor="text1"/>
        </w:rPr>
        <w:t>1.</w:t>
      </w:r>
      <w:r w:rsidR="005B6BF4" w:rsidRPr="00D00D86">
        <w:rPr>
          <w:color w:val="000000" w:themeColor="text1"/>
        </w:rPr>
        <w:t>6</w:t>
      </w:r>
      <w:r w:rsidR="00AF24A5" w:rsidRPr="00D00D86">
        <w:rPr>
          <w:color w:val="000000" w:themeColor="text1"/>
        </w:rPr>
        <w:t xml:space="preserve"> million people </w:t>
      </w:r>
      <w:r w:rsidR="00470EBE" w:rsidRPr="00D00D86">
        <w:rPr>
          <w:color w:val="000000" w:themeColor="text1"/>
        </w:rPr>
        <w:t xml:space="preserve">with a large decline in the number of people stood down to just </w:t>
      </w:r>
      <w:r w:rsidR="00AF24A5" w:rsidRPr="00D00D86">
        <w:rPr>
          <w:color w:val="000000" w:themeColor="text1"/>
        </w:rPr>
        <w:t>over 3</w:t>
      </w:r>
      <w:r w:rsidR="00F4173D" w:rsidRPr="00D00D86">
        <w:rPr>
          <w:color w:val="000000" w:themeColor="text1"/>
        </w:rPr>
        <w:t>6</w:t>
      </w:r>
      <w:r w:rsidR="00AF24A5" w:rsidRPr="00D00D86">
        <w:rPr>
          <w:color w:val="000000" w:themeColor="text1"/>
        </w:rPr>
        <w:t>0,000</w:t>
      </w:r>
      <w:r w:rsidR="00324612" w:rsidRPr="00D00D86">
        <w:rPr>
          <w:color w:val="000000" w:themeColor="text1"/>
        </w:rPr>
        <w:t>, with</w:t>
      </w:r>
      <w:r w:rsidR="00AF24A5" w:rsidRPr="00D00D86">
        <w:rPr>
          <w:color w:val="000000" w:themeColor="text1"/>
        </w:rPr>
        <w:t xml:space="preserve"> </w:t>
      </w:r>
      <w:r w:rsidR="00470EBE" w:rsidRPr="00D00D86">
        <w:rPr>
          <w:color w:val="000000" w:themeColor="text1"/>
        </w:rPr>
        <w:t>some of them switching into the category of working fewer hours than usual, which as a consequence rose to</w:t>
      </w:r>
      <w:r w:rsidR="00AF24A5" w:rsidRPr="00D00D86">
        <w:rPr>
          <w:color w:val="000000" w:themeColor="text1"/>
        </w:rPr>
        <w:t xml:space="preserve"> nearly 1.2 million </w:t>
      </w:r>
      <w:r w:rsidR="00470EBE" w:rsidRPr="00D00D86">
        <w:rPr>
          <w:color w:val="000000" w:themeColor="text1"/>
        </w:rPr>
        <w:t>people</w:t>
      </w:r>
      <w:r w:rsidR="00AF24A5" w:rsidRPr="00D00D86">
        <w:rPr>
          <w:color w:val="000000" w:themeColor="text1"/>
        </w:rPr>
        <w:t>.</w:t>
      </w:r>
      <w:r w:rsidR="00AF24A5" w:rsidRPr="00D00D86">
        <w:rPr>
          <w:rStyle w:val="FootnoteReference"/>
          <w:color w:val="000000" w:themeColor="text1"/>
        </w:rPr>
        <w:footnoteReference w:id="43"/>
      </w:r>
      <w:r w:rsidR="00AE46DC" w:rsidRPr="00D00D86">
        <w:rPr>
          <w:color w:val="000000" w:themeColor="text1"/>
        </w:rPr>
        <w:t xml:space="preserve"> </w:t>
      </w:r>
      <w:r w:rsidR="00AE46DC" w:rsidRPr="00D00D86">
        <w:rPr>
          <w:b/>
          <w:color w:val="000000" w:themeColor="text1"/>
        </w:rPr>
        <w:t>Table 1</w:t>
      </w:r>
      <w:r w:rsidR="00AE46DC" w:rsidRPr="00D00D86">
        <w:rPr>
          <w:color w:val="000000" w:themeColor="text1"/>
        </w:rPr>
        <w:t xml:space="preserve"> provide</w:t>
      </w:r>
      <w:r w:rsidR="00E64ECB">
        <w:rPr>
          <w:color w:val="000000" w:themeColor="text1"/>
        </w:rPr>
        <w:t>d</w:t>
      </w:r>
      <w:r w:rsidR="00AE46DC" w:rsidRPr="00D00D86">
        <w:rPr>
          <w:color w:val="000000" w:themeColor="text1"/>
        </w:rPr>
        <w:t xml:space="preserve"> a comparison of </w:t>
      </w:r>
      <w:r w:rsidR="00324612" w:rsidRPr="00D00D86">
        <w:rPr>
          <w:color w:val="000000" w:themeColor="text1"/>
        </w:rPr>
        <w:lastRenderedPageBreak/>
        <w:t xml:space="preserve">the </w:t>
      </w:r>
      <w:r w:rsidR="00AE46DC" w:rsidRPr="00D00D86">
        <w:rPr>
          <w:color w:val="000000" w:themeColor="text1"/>
        </w:rPr>
        <w:t xml:space="preserve">numbers of people working fewer or zero hours for </w:t>
      </w:r>
      <w:r w:rsidR="003014BE">
        <w:rPr>
          <w:color w:val="000000" w:themeColor="text1"/>
        </w:rPr>
        <w:t>‘</w:t>
      </w:r>
      <w:r w:rsidR="00AE46DC" w:rsidRPr="00D00D86">
        <w:rPr>
          <w:color w:val="000000" w:themeColor="text1"/>
        </w:rPr>
        <w:t>economic reasons</w:t>
      </w:r>
      <w:r w:rsidR="003014BE">
        <w:rPr>
          <w:color w:val="000000" w:themeColor="text1"/>
        </w:rPr>
        <w:t>’</w:t>
      </w:r>
      <w:r w:rsidR="00AE46DC" w:rsidRPr="00D00D86">
        <w:rPr>
          <w:color w:val="000000" w:themeColor="text1"/>
        </w:rPr>
        <w:t xml:space="preserve"> between February (prior</w:t>
      </w:r>
      <w:r w:rsidR="00AF0BE1">
        <w:rPr>
          <w:color w:val="000000" w:themeColor="text1"/>
        </w:rPr>
        <w:t> </w:t>
      </w:r>
      <w:r w:rsidR="00AE46DC" w:rsidRPr="00D00D86">
        <w:rPr>
          <w:color w:val="000000" w:themeColor="text1"/>
        </w:rPr>
        <w:t>to Coronavirus) and May 2020, to highlight the impact</w:t>
      </w:r>
      <w:r w:rsidR="00674678" w:rsidRPr="00D00D86">
        <w:rPr>
          <w:color w:val="000000" w:themeColor="text1"/>
        </w:rPr>
        <w:t xml:space="preserve"> of the Coronavirus</w:t>
      </w:r>
      <w:r w:rsidR="00AE46DC" w:rsidRPr="00D00D86">
        <w:rPr>
          <w:color w:val="000000" w:themeColor="text1"/>
        </w:rPr>
        <w:t>.</w:t>
      </w:r>
    </w:p>
    <w:p w14:paraId="6AAC0BC5" w14:textId="35D18F97" w:rsidR="00BD38BD" w:rsidRPr="00D00D86" w:rsidRDefault="00BD38BD" w:rsidP="00BD38BD">
      <w:pPr>
        <w:rPr>
          <w:color w:val="000000" w:themeColor="text1"/>
        </w:rPr>
      </w:pPr>
      <w:r w:rsidRPr="00D00D86">
        <w:rPr>
          <w:color w:val="000000" w:themeColor="text1"/>
        </w:rPr>
        <w:t xml:space="preserve">Treasury analysis of </w:t>
      </w:r>
      <w:r w:rsidRPr="007979FA">
        <w:rPr>
          <w:color w:val="000000" w:themeColor="text1"/>
        </w:rPr>
        <w:t>business m</w:t>
      </w:r>
      <w:r w:rsidRPr="00D00D86">
        <w:rPr>
          <w:color w:val="000000" w:themeColor="text1"/>
        </w:rPr>
        <w:t>icrodata allows for the estimation of JobKeeper nominated employees who have been stood down by looking at the proportion receiving no pay prior to any JobKeeper top</w:t>
      </w:r>
      <w:r w:rsidR="00DE2760">
        <w:rPr>
          <w:color w:val="000000" w:themeColor="text1"/>
        </w:rPr>
        <w:noBreakHyphen/>
      </w:r>
      <w:r w:rsidRPr="00D00D86">
        <w:rPr>
          <w:color w:val="000000" w:themeColor="text1"/>
        </w:rPr>
        <w:t>up amount. In the fortnight ending 24 May 2020 there were around 1</w:t>
      </w:r>
      <w:r w:rsidR="00DE2760">
        <w:rPr>
          <w:color w:val="000000" w:themeColor="text1"/>
        </w:rPr>
        <w:t>3 per </w:t>
      </w:r>
      <w:r w:rsidRPr="00D00D86">
        <w:rPr>
          <w:color w:val="000000" w:themeColor="text1"/>
        </w:rPr>
        <w:t>cent of employees who fell into this category. This analysis is based on a sub</w:t>
      </w:r>
      <w:r w:rsidR="00DE2760">
        <w:rPr>
          <w:color w:val="000000" w:themeColor="text1"/>
        </w:rPr>
        <w:noBreakHyphen/>
      </w:r>
      <w:r w:rsidRPr="00D00D86">
        <w:rPr>
          <w:color w:val="000000" w:themeColor="text1"/>
        </w:rPr>
        <w:t>sample of around three</w:t>
      </w:r>
      <w:r w:rsidR="00DE2760">
        <w:rPr>
          <w:color w:val="000000" w:themeColor="text1"/>
        </w:rPr>
        <w:noBreakHyphen/>
      </w:r>
      <w:r w:rsidRPr="00D00D86">
        <w:rPr>
          <w:color w:val="000000" w:themeColor="text1"/>
        </w:rPr>
        <w:t>fifths of the full population of employee recipients.</w:t>
      </w:r>
      <w:r w:rsidRPr="00D00D86">
        <w:rPr>
          <w:rStyle w:val="FootnoteReference"/>
          <w:color w:val="000000" w:themeColor="text1"/>
        </w:rPr>
        <w:footnoteReference w:id="44"/>
      </w:r>
      <w:r w:rsidRPr="00D00D86">
        <w:rPr>
          <w:color w:val="000000" w:themeColor="text1"/>
        </w:rPr>
        <w:t xml:space="preserve"> Extrapolated to the full population, this would amount to around 400,000 people stood down on JobKeeper payments, a slightly higher number than the ABS estimate of stood down employees from the May Labour Force Survey of 360,000.</w:t>
      </w:r>
    </w:p>
    <w:p w14:paraId="0E0F7226" w14:textId="68C3593C" w:rsidR="00BF3FEA" w:rsidRDefault="00BF3FEA" w:rsidP="00BF3FEA">
      <w:pPr>
        <w:rPr>
          <w:color w:val="000000" w:themeColor="text1"/>
        </w:rPr>
      </w:pPr>
      <w:r w:rsidRPr="00D00D86">
        <w:rPr>
          <w:color w:val="000000" w:themeColor="text1"/>
        </w:rPr>
        <w:t xml:space="preserve">Businesses and </w:t>
      </w:r>
      <w:r w:rsidR="00640E3E">
        <w:rPr>
          <w:color w:val="000000" w:themeColor="text1"/>
        </w:rPr>
        <w:t xml:space="preserve">individuals </w:t>
      </w:r>
      <w:r w:rsidRPr="00D00D86">
        <w:rPr>
          <w:color w:val="000000" w:themeColor="text1"/>
        </w:rPr>
        <w:t xml:space="preserve">have used the period of reduced </w:t>
      </w:r>
      <w:r>
        <w:rPr>
          <w:color w:val="000000" w:themeColor="text1"/>
        </w:rPr>
        <w:t>activity</w:t>
      </w:r>
      <w:r w:rsidRPr="00D00D86">
        <w:rPr>
          <w:color w:val="000000" w:themeColor="text1"/>
        </w:rPr>
        <w:t xml:space="preserve"> and the availability of the JobKeeper Payment, with its simple obligations, differently. While many have reduced or rebalanced hours in response to turnover</w:t>
      </w:r>
      <w:r>
        <w:rPr>
          <w:color w:val="000000" w:themeColor="text1"/>
        </w:rPr>
        <w:t xml:space="preserve"> changes</w:t>
      </w:r>
      <w:r w:rsidRPr="00D00D86">
        <w:rPr>
          <w:color w:val="000000" w:themeColor="text1"/>
        </w:rPr>
        <w:t>, only a small minority</w:t>
      </w:r>
      <w:r w:rsidR="00C05524">
        <w:rPr>
          <w:color w:val="000000" w:themeColor="text1"/>
        </w:rPr>
        <w:t xml:space="preserve"> (9 per cent)</w:t>
      </w:r>
      <w:r w:rsidRPr="00D00D86">
        <w:rPr>
          <w:color w:val="000000" w:themeColor="text1"/>
        </w:rPr>
        <w:t xml:space="preserve"> of the potential workforce (and, by association, their employers) have used time to add to their skill development.</w:t>
      </w:r>
      <w:r w:rsidRPr="00D00D86">
        <w:rPr>
          <w:rStyle w:val="FootnoteReference"/>
          <w:color w:val="000000" w:themeColor="text1"/>
        </w:rPr>
        <w:footnoteReference w:id="45"/>
      </w:r>
      <w:r w:rsidRPr="00D00D86">
        <w:rPr>
          <w:color w:val="000000" w:themeColor="text1"/>
        </w:rPr>
        <w:t xml:space="preserve"> This may reflect, in part, the challenges of undert</w:t>
      </w:r>
      <w:r w:rsidR="00DE2760">
        <w:rPr>
          <w:color w:val="000000" w:themeColor="text1"/>
        </w:rPr>
        <w:t>aking skill development during</w:t>
      </w:r>
      <w:r w:rsidR="008F0C91">
        <w:rPr>
          <w:color w:val="000000" w:themeColor="text1"/>
        </w:rPr>
        <w:t xml:space="preserve"> a</w:t>
      </w:r>
      <w:r w:rsidR="00DE2760">
        <w:rPr>
          <w:color w:val="000000" w:themeColor="text1"/>
        </w:rPr>
        <w:t xml:space="preserve"> </w:t>
      </w:r>
      <w:r w:rsidRPr="00D00D86">
        <w:rPr>
          <w:color w:val="000000" w:themeColor="text1"/>
        </w:rPr>
        <w:t>period of lockdown of unknown duration.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84D35" w14:paraId="3780BAF7" w14:textId="77777777" w:rsidTr="00F84D35">
        <w:tc>
          <w:tcPr>
            <w:tcW w:w="8494" w:type="dxa"/>
            <w:shd w:val="clear" w:color="auto" w:fill="F2F6F6"/>
          </w:tcPr>
          <w:p w14:paraId="18610E56" w14:textId="34F41EB4" w:rsidR="00F84D35" w:rsidRDefault="00DE2760" w:rsidP="005B6873">
            <w:pPr>
              <w:pStyle w:val="Quote"/>
            </w:pPr>
            <w:r>
              <w:t>“</w:t>
            </w:r>
            <w:r w:rsidR="00F84D35">
              <w:t>This is JobKeeper, not JobSleeper. The program has been a lifeline which meant I have not lost my house.</w:t>
            </w:r>
            <w:r>
              <w:t>”</w:t>
            </w:r>
          </w:p>
          <w:p w14:paraId="5E6FC4FE" w14:textId="7C57E872" w:rsidR="00F84D35" w:rsidRDefault="00F84D35" w:rsidP="00F84D35">
            <w:pPr>
              <w:pStyle w:val="Quoteexplainer"/>
            </w:pPr>
            <w:r>
              <w:t>Before COVID</w:t>
            </w:r>
            <w:r w:rsidR="00DE2760">
              <w:noBreakHyphen/>
            </w:r>
            <w:r>
              <w:t xml:space="preserve">19 hit, this group of businesses was already suffering by a drop in sales due to the 2019 bushfires. Almost 70 staff members are eligible for JobKeeper, around half of the workforce, with the remainder ineligible predominantly because they were casual employees who had been employed for less than 12 months. </w:t>
            </w:r>
          </w:p>
          <w:p w14:paraId="00E5369E" w14:textId="77777777" w:rsidR="00F84D35" w:rsidRDefault="00F84D35" w:rsidP="00F84D35">
            <w:pPr>
              <w:pStyle w:val="Quoteexplainer"/>
            </w:pPr>
            <w:r>
              <w:t xml:space="preserve">The group believes that, if not for JobKeeper, all outlets would have closed because of the size of the downturn. Instead, all outlets remained open. Most eligible employees typically earned more than the JobKeeper wage subsidy. Of the small group of eligible employees who typically earned less than $1,500 a fortnight, a majority were willing to increase their hours. </w:t>
            </w:r>
          </w:p>
          <w:p w14:paraId="6685D672" w14:textId="317C3D94" w:rsidR="00F84D35" w:rsidRDefault="00F84D35" w:rsidP="008F0C91">
            <w:pPr>
              <w:pStyle w:val="Quoteref"/>
            </w:pPr>
            <w:r>
              <w:t xml:space="preserve">~ </w:t>
            </w:r>
            <w:r w:rsidR="008F0C91">
              <w:t>A m</w:t>
            </w:r>
            <w:r>
              <w:t>edium</w:t>
            </w:r>
            <w:r w:rsidR="008F0C91">
              <w:t>-</w:t>
            </w:r>
            <w:r>
              <w:t>sized group of food service businesses</w:t>
            </w:r>
          </w:p>
        </w:tc>
      </w:tr>
    </w:tbl>
    <w:p w14:paraId="3FB7CC35" w14:textId="77777777" w:rsidR="0051088E" w:rsidRDefault="0051088E" w:rsidP="0051088E">
      <w:pPr>
        <w:pStyle w:val="Single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51088E" w14:paraId="2A23D6B5" w14:textId="77777777" w:rsidTr="00F84D35">
        <w:tc>
          <w:tcPr>
            <w:tcW w:w="8494" w:type="dxa"/>
            <w:shd w:val="clear" w:color="auto" w:fill="F2F6F6"/>
          </w:tcPr>
          <w:p w14:paraId="345DA565" w14:textId="77777777" w:rsidR="0051088E" w:rsidRDefault="0051088E" w:rsidP="0051088E">
            <w:pPr>
              <w:pStyle w:val="Quoteexplainer"/>
            </w:pPr>
            <w:r>
              <w:t>The fast food franchises expanded delivery sales to support business recovery. JobKeeper helped reduce payroll costs, despite only four employees being eligible. While the two owner</w:t>
            </w:r>
            <w:r>
              <w:noBreakHyphen/>
              <w:t xml:space="preserve">operators voluntarily took a 20 per cent pay cut, other employees did not need to with the support of JobKeeper. All managers and delivery drivers were retained and the company store only had to reduce hours for the teenage employees who were not eligible for JobKeeper. </w:t>
            </w:r>
          </w:p>
          <w:p w14:paraId="326A113B" w14:textId="5AB5C7B9" w:rsidR="0051088E" w:rsidRDefault="0051088E" w:rsidP="008F0C91">
            <w:pPr>
              <w:pStyle w:val="Quoteref"/>
            </w:pPr>
            <w:r>
              <w:t xml:space="preserve">~ </w:t>
            </w:r>
            <w:r w:rsidR="008F0C91">
              <w:t>A f</w:t>
            </w:r>
            <w:r>
              <w:t>ast food franchisor</w:t>
            </w:r>
          </w:p>
        </w:tc>
      </w:tr>
    </w:tbl>
    <w:p w14:paraId="06DC2ED1" w14:textId="1F173BCF" w:rsidR="0014439D" w:rsidRDefault="0014439D" w:rsidP="00755C53">
      <w:pPr>
        <w:pStyle w:val="Heading2"/>
      </w:pPr>
      <w:bookmarkStart w:id="713" w:name="_Toc43294089"/>
      <w:bookmarkStart w:id="714" w:name="_Toc43300434"/>
      <w:bookmarkStart w:id="715" w:name="_Toc43302287"/>
      <w:bookmarkStart w:id="716" w:name="_Toc43303726"/>
      <w:bookmarkStart w:id="717" w:name="_Toc43305337"/>
      <w:bookmarkStart w:id="718" w:name="_Toc43306308"/>
      <w:bookmarkStart w:id="719" w:name="_Toc43309516"/>
      <w:bookmarkStart w:id="720" w:name="_Toc43802502"/>
      <w:bookmarkStart w:id="721" w:name="_Toc43809350"/>
      <w:bookmarkStart w:id="722" w:name="_Toc43815615"/>
      <w:bookmarkStart w:id="723" w:name="_Toc43817548"/>
      <w:bookmarkStart w:id="724" w:name="_Toc43825319"/>
      <w:bookmarkStart w:id="725" w:name="_Toc43825423"/>
      <w:bookmarkStart w:id="726" w:name="_Toc43825516"/>
      <w:bookmarkStart w:id="727" w:name="_Toc43996252"/>
      <w:bookmarkStart w:id="728" w:name="_Toc43998511"/>
      <w:bookmarkStart w:id="729" w:name="_Toc43998438"/>
      <w:bookmarkStart w:id="730" w:name="_Toc44069960"/>
      <w:bookmarkStart w:id="731" w:name="_Toc44071364"/>
      <w:bookmarkStart w:id="732" w:name="_Toc44073488"/>
      <w:bookmarkStart w:id="733" w:name="_Toc44074628"/>
      <w:bookmarkStart w:id="734" w:name="_Toc44079517"/>
      <w:bookmarkStart w:id="735" w:name="_Toc44079812"/>
      <w:bookmarkStart w:id="736" w:name="_Toc44079947"/>
      <w:bookmarkStart w:id="737" w:name="_Toc44319858"/>
      <w:bookmarkStart w:id="738" w:name="_Toc44321566"/>
      <w:bookmarkStart w:id="739" w:name="_Toc44323733"/>
      <w:bookmarkStart w:id="740" w:name="_Toc44326196"/>
      <w:bookmarkStart w:id="741" w:name="_Toc44330518"/>
      <w:bookmarkStart w:id="742" w:name="_Toc44330760"/>
      <w:bookmarkStart w:id="743" w:name="_Toc44333192"/>
      <w:bookmarkStart w:id="744" w:name="_Toc44334823"/>
      <w:bookmarkStart w:id="745" w:name="_Toc45227435"/>
      <w:bookmarkStart w:id="746" w:name="_Toc45799036"/>
      <w:r>
        <w:lastRenderedPageBreak/>
        <w:t>Impact of JobKeeper on earnings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7FCC092" w14:textId="77777777" w:rsidR="00573A99" w:rsidRPr="00D00D86" w:rsidRDefault="00573A99">
      <w:pPr>
        <w:rPr>
          <w:color w:val="000000" w:themeColor="text1"/>
        </w:rPr>
      </w:pPr>
      <w:r w:rsidRPr="00D00D86">
        <w:rPr>
          <w:color w:val="000000" w:themeColor="text1"/>
        </w:rPr>
        <w:t xml:space="preserve">Over time, recessions can have significant effect on earnings, especially in pay relativities between declining and expanding sectors, one of the main mechanisms by which the labour market </w:t>
      </w:r>
      <w:r w:rsidR="00257B85" w:rsidRPr="00D00D86">
        <w:rPr>
          <w:color w:val="000000" w:themeColor="text1"/>
        </w:rPr>
        <w:t>adjusts to the shock.</w:t>
      </w:r>
      <w:r w:rsidRPr="00D00D86">
        <w:rPr>
          <w:color w:val="000000" w:themeColor="text1"/>
        </w:rPr>
        <w:t xml:space="preserve"> </w:t>
      </w:r>
    </w:p>
    <w:p w14:paraId="4674872B" w14:textId="1FE03DC8" w:rsidR="00257B85" w:rsidRPr="00D00D86" w:rsidRDefault="00573A99" w:rsidP="001E7945">
      <w:pPr>
        <w:rPr>
          <w:color w:val="000000" w:themeColor="text1"/>
        </w:rPr>
      </w:pPr>
      <w:r w:rsidRPr="00D00D86">
        <w:rPr>
          <w:color w:val="000000" w:themeColor="text1"/>
        </w:rPr>
        <w:t>In the short</w:t>
      </w:r>
      <w:r w:rsidR="00DE2760">
        <w:rPr>
          <w:color w:val="000000" w:themeColor="text1"/>
        </w:rPr>
        <w:noBreakHyphen/>
      </w:r>
      <w:r w:rsidRPr="00D00D86">
        <w:rPr>
          <w:color w:val="000000" w:themeColor="text1"/>
        </w:rPr>
        <w:t>term the main effect on earnings in a recession comes about through reduced hours of work</w:t>
      </w:r>
      <w:r w:rsidR="00257B85" w:rsidRPr="00D00D86">
        <w:rPr>
          <w:color w:val="000000" w:themeColor="text1"/>
        </w:rPr>
        <w:t xml:space="preserve"> (for workers whose hours can be reduced) as nominal wages are downwardly sticky</w:t>
      </w:r>
      <w:r w:rsidRPr="00D00D86">
        <w:rPr>
          <w:color w:val="000000" w:themeColor="text1"/>
        </w:rPr>
        <w:t>.</w:t>
      </w:r>
      <w:r w:rsidR="001E7945" w:rsidRPr="00D00D86">
        <w:rPr>
          <w:color w:val="000000" w:themeColor="text1"/>
        </w:rPr>
        <w:t xml:space="preserve"> </w:t>
      </w:r>
    </w:p>
    <w:p w14:paraId="7F724632" w14:textId="552E236C" w:rsidR="00257B85" w:rsidRPr="00D00D86" w:rsidRDefault="001E7945" w:rsidP="001E7945">
      <w:pPr>
        <w:rPr>
          <w:color w:val="000000" w:themeColor="text1"/>
        </w:rPr>
      </w:pPr>
      <w:r w:rsidRPr="00D00D86">
        <w:rPr>
          <w:color w:val="000000" w:themeColor="text1"/>
        </w:rPr>
        <w:t xml:space="preserve">JobKeeper will have partially disrupted this process by providing a </w:t>
      </w:r>
      <w:r w:rsidR="00573A99" w:rsidRPr="00D00D86">
        <w:rPr>
          <w:color w:val="000000" w:themeColor="text1"/>
        </w:rPr>
        <w:t xml:space="preserve">flat rate payment </w:t>
      </w:r>
      <w:r w:rsidRPr="00D00D86">
        <w:rPr>
          <w:color w:val="000000" w:themeColor="text1"/>
        </w:rPr>
        <w:t xml:space="preserve">to eligible </w:t>
      </w:r>
      <w:r w:rsidR="00D4388B">
        <w:rPr>
          <w:color w:val="000000" w:themeColor="text1"/>
        </w:rPr>
        <w:t xml:space="preserve">people </w:t>
      </w:r>
      <w:r w:rsidR="00573A99" w:rsidRPr="00D00D86">
        <w:rPr>
          <w:color w:val="000000" w:themeColor="text1"/>
        </w:rPr>
        <w:t>independent of hours worked.</w:t>
      </w:r>
      <w:r w:rsidRPr="00D00D86">
        <w:rPr>
          <w:color w:val="000000" w:themeColor="text1"/>
        </w:rPr>
        <w:t xml:space="preserve"> In particular, many part</w:t>
      </w:r>
      <w:r w:rsidR="00DE2760">
        <w:rPr>
          <w:color w:val="000000" w:themeColor="text1"/>
        </w:rPr>
        <w:noBreakHyphen/>
      </w:r>
      <w:r w:rsidRPr="00D00D86">
        <w:rPr>
          <w:color w:val="000000" w:themeColor="text1"/>
        </w:rPr>
        <w:t>time employees or casual workers doing part</w:t>
      </w:r>
      <w:r w:rsidR="00DE2760">
        <w:rPr>
          <w:color w:val="000000" w:themeColor="text1"/>
        </w:rPr>
        <w:noBreakHyphen/>
      </w:r>
      <w:r w:rsidRPr="00D00D86">
        <w:rPr>
          <w:color w:val="000000" w:themeColor="text1"/>
        </w:rPr>
        <w:t xml:space="preserve">time hours </w:t>
      </w:r>
      <w:r w:rsidR="00257B85" w:rsidRPr="00D00D86">
        <w:rPr>
          <w:color w:val="000000" w:themeColor="text1"/>
        </w:rPr>
        <w:t>will have experienced an increase in income</w:t>
      </w:r>
      <w:r w:rsidR="00E57FC8" w:rsidRPr="00D00D86">
        <w:rPr>
          <w:color w:val="000000" w:themeColor="text1"/>
        </w:rPr>
        <w:t xml:space="preserve"> from their JobKeeper employer</w:t>
      </w:r>
      <w:r w:rsidR="00257B85" w:rsidRPr="00D00D86">
        <w:rPr>
          <w:color w:val="000000" w:themeColor="text1"/>
        </w:rPr>
        <w:t>.</w:t>
      </w:r>
      <w:r w:rsidR="00E57FC8" w:rsidRPr="00D00D86">
        <w:rPr>
          <w:rStyle w:val="FootnoteReference"/>
          <w:color w:val="000000" w:themeColor="text1"/>
        </w:rPr>
        <w:footnoteReference w:id="46"/>
      </w:r>
      <w:r w:rsidR="00257B85" w:rsidRPr="00D00D86">
        <w:rPr>
          <w:color w:val="000000" w:themeColor="text1"/>
        </w:rPr>
        <w:t xml:space="preserve"> </w:t>
      </w:r>
    </w:p>
    <w:p w14:paraId="5DFBFA9A" w14:textId="0E68B725" w:rsidR="00DC6F7A" w:rsidRPr="00D00D86" w:rsidRDefault="00257B85" w:rsidP="001E7945">
      <w:pPr>
        <w:rPr>
          <w:color w:val="000000" w:themeColor="text1"/>
        </w:rPr>
      </w:pPr>
      <w:r w:rsidRPr="00D00D86">
        <w:rPr>
          <w:color w:val="000000" w:themeColor="text1"/>
        </w:rPr>
        <w:t xml:space="preserve">As yet, there are no available data sources that allow this matter to be investigated based on an </w:t>
      </w:r>
      <w:r w:rsidR="007979FA">
        <w:rPr>
          <w:color w:val="000000" w:themeColor="text1"/>
        </w:rPr>
        <w:t xml:space="preserve">individual’s </w:t>
      </w:r>
      <w:r w:rsidRPr="00D00D86">
        <w:rPr>
          <w:color w:val="000000" w:themeColor="text1"/>
        </w:rPr>
        <w:t xml:space="preserve">usual hours of work. </w:t>
      </w:r>
      <w:r w:rsidR="008F0C91">
        <w:rPr>
          <w:color w:val="000000" w:themeColor="text1"/>
        </w:rPr>
        <w:t>However, t</w:t>
      </w:r>
      <w:r w:rsidRPr="00D00D86">
        <w:rPr>
          <w:color w:val="000000" w:themeColor="text1"/>
        </w:rPr>
        <w:t>here are a couple of different ways of understanding the magnitude of the impact of JobKeeper.</w:t>
      </w:r>
    </w:p>
    <w:p w14:paraId="26C9CB53" w14:textId="214FDC10" w:rsidR="00DC6F7A" w:rsidRPr="00D00D86" w:rsidRDefault="00DC6F7A" w:rsidP="001E7945">
      <w:pPr>
        <w:rPr>
          <w:color w:val="000000" w:themeColor="text1"/>
        </w:rPr>
      </w:pPr>
      <w:r w:rsidRPr="00D00D86">
        <w:rPr>
          <w:color w:val="000000" w:themeColor="text1"/>
        </w:rPr>
        <w:t xml:space="preserve">The payroll jobs and </w:t>
      </w:r>
      <w:r w:rsidR="00C36BCA" w:rsidRPr="00D00D86">
        <w:rPr>
          <w:color w:val="000000" w:themeColor="text1"/>
        </w:rPr>
        <w:t>wages</w:t>
      </w:r>
      <w:r w:rsidRPr="00D00D86">
        <w:rPr>
          <w:color w:val="000000" w:themeColor="text1"/>
        </w:rPr>
        <w:t xml:space="preserve"> series reported by the </w:t>
      </w:r>
      <w:r w:rsidR="00AC6975" w:rsidRPr="00D00D86">
        <w:rPr>
          <w:color w:val="000000" w:themeColor="text1"/>
        </w:rPr>
        <w:t>ABS</w:t>
      </w:r>
      <w:r w:rsidRPr="00D00D86">
        <w:rPr>
          <w:color w:val="000000" w:themeColor="text1"/>
        </w:rPr>
        <w:t xml:space="preserve"> finds that payroll jobs declined by 7.5</w:t>
      </w:r>
      <w:r w:rsidR="00AF0BE1">
        <w:rPr>
          <w:color w:val="000000" w:themeColor="text1"/>
        </w:rPr>
        <w:t> </w:t>
      </w:r>
      <w:r w:rsidRPr="00D00D86">
        <w:rPr>
          <w:color w:val="000000" w:themeColor="text1"/>
        </w:rPr>
        <w:t>per</w:t>
      </w:r>
      <w:r w:rsidR="00AF0BE1">
        <w:rPr>
          <w:color w:val="000000" w:themeColor="text1"/>
        </w:rPr>
        <w:t> </w:t>
      </w:r>
      <w:r w:rsidRPr="00D00D86">
        <w:rPr>
          <w:color w:val="000000" w:themeColor="text1"/>
        </w:rPr>
        <w:t>cent between mid</w:t>
      </w:r>
      <w:r w:rsidR="00DE2760">
        <w:rPr>
          <w:color w:val="000000" w:themeColor="text1"/>
        </w:rPr>
        <w:noBreakHyphen/>
      </w:r>
      <w:r w:rsidRPr="00D00D86">
        <w:rPr>
          <w:color w:val="000000" w:themeColor="text1"/>
        </w:rPr>
        <w:t>March and the end of May</w:t>
      </w:r>
      <w:r w:rsidR="008F0C91">
        <w:rPr>
          <w:color w:val="000000" w:themeColor="text1"/>
        </w:rPr>
        <w:t>,</w:t>
      </w:r>
      <w:r w:rsidRPr="00D00D86">
        <w:rPr>
          <w:color w:val="000000" w:themeColor="text1"/>
        </w:rPr>
        <w:t xml:space="preserve"> while total </w:t>
      </w:r>
      <w:r w:rsidR="00C36BCA" w:rsidRPr="00D00D86">
        <w:rPr>
          <w:color w:val="000000" w:themeColor="text1"/>
        </w:rPr>
        <w:t>wages</w:t>
      </w:r>
      <w:r w:rsidRPr="00D00D86">
        <w:rPr>
          <w:color w:val="000000" w:themeColor="text1"/>
        </w:rPr>
        <w:t xml:space="preserve"> fell by 8.3</w:t>
      </w:r>
      <w:r w:rsidR="007C3561" w:rsidRPr="00D00D86">
        <w:rPr>
          <w:color w:val="000000" w:themeColor="text1"/>
        </w:rPr>
        <w:t> </w:t>
      </w:r>
      <w:r w:rsidRPr="00D00D86">
        <w:rPr>
          <w:color w:val="000000" w:themeColor="text1"/>
        </w:rPr>
        <w:t>per cent over the same period.</w:t>
      </w:r>
      <w:r w:rsidR="00A715FE" w:rsidRPr="00D00D86">
        <w:rPr>
          <w:rStyle w:val="FootnoteReference"/>
          <w:color w:val="000000" w:themeColor="text1"/>
        </w:rPr>
        <w:footnoteReference w:id="47"/>
      </w:r>
      <w:r w:rsidRPr="00D00D86">
        <w:rPr>
          <w:color w:val="000000" w:themeColor="text1"/>
        </w:rPr>
        <w:t xml:space="preserve"> </w:t>
      </w:r>
    </w:p>
    <w:p w14:paraId="080170FD" w14:textId="78DCD169" w:rsidR="0097680D" w:rsidRPr="00D00D86" w:rsidRDefault="00DC6F7A" w:rsidP="001E7945">
      <w:pPr>
        <w:rPr>
          <w:color w:val="000000" w:themeColor="text1"/>
        </w:rPr>
      </w:pPr>
      <w:r w:rsidRPr="00D00D86">
        <w:rPr>
          <w:color w:val="000000" w:themeColor="text1"/>
        </w:rPr>
        <w:t xml:space="preserve">When disaggregated by age group, as shown in </w:t>
      </w:r>
      <w:r w:rsidR="0097753C" w:rsidRPr="00D00D86">
        <w:rPr>
          <w:b/>
          <w:color w:val="000000" w:themeColor="text1"/>
        </w:rPr>
        <w:t>Figure</w:t>
      </w:r>
      <w:r w:rsidR="008B5E15" w:rsidRPr="00D00D86">
        <w:rPr>
          <w:b/>
          <w:color w:val="000000" w:themeColor="text1"/>
        </w:rPr>
        <w:t xml:space="preserve"> </w:t>
      </w:r>
      <w:r w:rsidR="00C12608" w:rsidRPr="00D00D86">
        <w:rPr>
          <w:b/>
          <w:color w:val="000000" w:themeColor="text1"/>
        </w:rPr>
        <w:t>6</w:t>
      </w:r>
      <w:r w:rsidRPr="00D00D86">
        <w:rPr>
          <w:color w:val="000000" w:themeColor="text1"/>
        </w:rPr>
        <w:t xml:space="preserve">, it can be seen that </w:t>
      </w:r>
      <w:r w:rsidR="00C36BCA" w:rsidRPr="00D00D86">
        <w:rPr>
          <w:color w:val="000000" w:themeColor="text1"/>
        </w:rPr>
        <w:t>people aged under</w:t>
      </w:r>
      <w:r w:rsidR="008F0C91">
        <w:rPr>
          <w:color w:val="000000" w:themeColor="text1"/>
        </w:rPr>
        <w:t> </w:t>
      </w:r>
      <w:r w:rsidR="00C36BCA" w:rsidRPr="00D00D86">
        <w:rPr>
          <w:color w:val="000000" w:themeColor="text1"/>
        </w:rPr>
        <w:t>20</w:t>
      </w:r>
      <w:r w:rsidR="00AF0BE1">
        <w:rPr>
          <w:color w:val="000000" w:themeColor="text1"/>
        </w:rPr>
        <w:t> </w:t>
      </w:r>
      <w:r w:rsidRPr="00D00D86">
        <w:rPr>
          <w:color w:val="000000" w:themeColor="text1"/>
        </w:rPr>
        <w:t xml:space="preserve">have seen a decline in jobs </w:t>
      </w:r>
      <w:r w:rsidR="000B4869" w:rsidRPr="00D00D86">
        <w:rPr>
          <w:color w:val="000000" w:themeColor="text1"/>
        </w:rPr>
        <w:t>and</w:t>
      </w:r>
      <w:r w:rsidRPr="00D00D86">
        <w:rPr>
          <w:color w:val="000000" w:themeColor="text1"/>
        </w:rPr>
        <w:t xml:space="preserve"> an increase in </w:t>
      </w:r>
      <w:r w:rsidR="00C36BCA" w:rsidRPr="00D00D86">
        <w:rPr>
          <w:color w:val="000000" w:themeColor="text1"/>
        </w:rPr>
        <w:t>total wages, while those in their</w:t>
      </w:r>
      <w:r w:rsidR="008F0C91">
        <w:rPr>
          <w:color w:val="000000" w:themeColor="text1"/>
        </w:rPr>
        <w:t> </w:t>
      </w:r>
      <w:r w:rsidR="00C36BCA" w:rsidRPr="00D00D86">
        <w:rPr>
          <w:color w:val="000000" w:themeColor="text1"/>
        </w:rPr>
        <w:t>20s</w:t>
      </w:r>
      <w:r w:rsidR="008F0C91">
        <w:rPr>
          <w:color w:val="000000" w:themeColor="text1"/>
        </w:rPr>
        <w:t> </w:t>
      </w:r>
      <w:r w:rsidR="00C36BCA" w:rsidRPr="00D00D86">
        <w:rPr>
          <w:color w:val="000000" w:themeColor="text1"/>
        </w:rPr>
        <w:t xml:space="preserve">have seen total wages fall </w:t>
      </w:r>
      <w:r w:rsidR="000B4869" w:rsidRPr="00D00D86">
        <w:rPr>
          <w:color w:val="000000" w:themeColor="text1"/>
        </w:rPr>
        <w:t>though</w:t>
      </w:r>
      <w:r w:rsidR="00C36BCA" w:rsidRPr="00D00D86">
        <w:rPr>
          <w:color w:val="000000" w:themeColor="text1"/>
        </w:rPr>
        <w:t xml:space="preserve"> not by as much as the fall in jobs</w:t>
      </w:r>
      <w:r w:rsidRPr="00D00D86">
        <w:rPr>
          <w:color w:val="000000" w:themeColor="text1"/>
        </w:rPr>
        <w:t>.</w:t>
      </w:r>
      <w:r w:rsidR="00786DAA" w:rsidRPr="00D00D86">
        <w:rPr>
          <w:rStyle w:val="FootnoteReference"/>
          <w:color w:val="000000" w:themeColor="text1"/>
        </w:rPr>
        <w:footnoteReference w:id="48"/>
      </w:r>
      <w:r w:rsidRPr="00D00D86">
        <w:rPr>
          <w:color w:val="000000" w:themeColor="text1"/>
        </w:rPr>
        <w:t xml:space="preserve"> Young people are concentrated in part</w:t>
      </w:r>
      <w:r w:rsidR="00DE2760">
        <w:rPr>
          <w:color w:val="000000" w:themeColor="text1"/>
        </w:rPr>
        <w:noBreakHyphen/>
      </w:r>
      <w:r w:rsidRPr="00D00D86">
        <w:rPr>
          <w:color w:val="000000" w:themeColor="text1"/>
        </w:rPr>
        <w:t xml:space="preserve">time and casual jobs, often at low hourly rates, </w:t>
      </w:r>
      <w:r w:rsidR="00975136" w:rsidRPr="00D00D86">
        <w:rPr>
          <w:color w:val="000000" w:themeColor="text1"/>
        </w:rPr>
        <w:t xml:space="preserve">typically to support themselves while studying. It is </w:t>
      </w:r>
      <w:r w:rsidR="00FA3E7A" w:rsidRPr="00D00D86">
        <w:rPr>
          <w:color w:val="000000" w:themeColor="text1"/>
        </w:rPr>
        <w:t xml:space="preserve">people in </w:t>
      </w:r>
      <w:r w:rsidR="00975136" w:rsidRPr="00D00D86">
        <w:rPr>
          <w:color w:val="000000" w:themeColor="text1"/>
        </w:rPr>
        <w:t xml:space="preserve">this group who </w:t>
      </w:r>
      <w:r w:rsidR="00C36BCA" w:rsidRPr="00D00D86">
        <w:rPr>
          <w:color w:val="000000" w:themeColor="text1"/>
        </w:rPr>
        <w:t>have been</w:t>
      </w:r>
      <w:r w:rsidR="00975136" w:rsidRPr="00D00D86">
        <w:rPr>
          <w:color w:val="000000" w:themeColor="text1"/>
        </w:rPr>
        <w:t xml:space="preserve"> the primary beneficiaries of </w:t>
      </w:r>
      <w:r w:rsidR="00E57FC8" w:rsidRPr="00D00D86">
        <w:rPr>
          <w:color w:val="000000" w:themeColor="text1"/>
        </w:rPr>
        <w:t>the flat rate</w:t>
      </w:r>
      <w:r w:rsidR="00975136" w:rsidRPr="00D00D86">
        <w:rPr>
          <w:color w:val="000000" w:themeColor="text1"/>
        </w:rPr>
        <w:t xml:space="preserve"> JobKeeper</w:t>
      </w:r>
      <w:r w:rsidR="00E57FC8" w:rsidRPr="00D00D86">
        <w:rPr>
          <w:color w:val="000000" w:themeColor="text1"/>
        </w:rPr>
        <w:t xml:space="preserve"> </w:t>
      </w:r>
      <w:r w:rsidR="00966C6C">
        <w:rPr>
          <w:color w:val="000000" w:themeColor="text1"/>
        </w:rPr>
        <w:t>Payment</w:t>
      </w:r>
      <w:r w:rsidR="00FA3E7A" w:rsidRPr="00D00D86">
        <w:rPr>
          <w:color w:val="000000" w:themeColor="text1"/>
        </w:rPr>
        <w:t xml:space="preserve"> </w:t>
      </w:r>
      <w:r w:rsidR="00955B86" w:rsidRPr="00D00D86">
        <w:rPr>
          <w:color w:val="000000" w:themeColor="text1"/>
        </w:rPr>
        <w:t>(</w:t>
      </w:r>
      <w:r w:rsidR="00FA3E7A" w:rsidRPr="00D00D86">
        <w:rPr>
          <w:color w:val="000000" w:themeColor="text1"/>
        </w:rPr>
        <w:t xml:space="preserve">if they are employed by a JobKeeper recipient </w:t>
      </w:r>
      <w:r w:rsidR="00023B50">
        <w:rPr>
          <w:color w:val="000000" w:themeColor="text1"/>
        </w:rPr>
        <w:t xml:space="preserve">organisation </w:t>
      </w:r>
      <w:r w:rsidR="00FA3E7A" w:rsidRPr="00D00D86">
        <w:rPr>
          <w:color w:val="000000" w:themeColor="text1"/>
        </w:rPr>
        <w:t>and are an eligible employee</w:t>
      </w:r>
      <w:r w:rsidR="00955B86" w:rsidRPr="00D00D86">
        <w:rPr>
          <w:color w:val="000000" w:themeColor="text1"/>
        </w:rPr>
        <w:t>)</w:t>
      </w:r>
      <w:r w:rsidR="00975136" w:rsidRPr="00D00D86">
        <w:rPr>
          <w:color w:val="000000" w:themeColor="text1"/>
        </w:rPr>
        <w:t>.</w:t>
      </w:r>
      <w:r w:rsidR="00955B86" w:rsidRPr="00D00D86">
        <w:rPr>
          <w:color w:val="000000" w:themeColor="text1"/>
        </w:rPr>
        <w:t xml:space="preserve"> </w:t>
      </w:r>
      <w:r w:rsidR="00BC4BA4" w:rsidRPr="00D00D86">
        <w:rPr>
          <w:color w:val="000000" w:themeColor="text1"/>
        </w:rPr>
        <w:t xml:space="preserve">Some </w:t>
      </w:r>
      <w:r w:rsidR="00955B86" w:rsidRPr="00D00D86">
        <w:rPr>
          <w:color w:val="000000" w:themeColor="text1"/>
        </w:rPr>
        <w:t xml:space="preserve">other young people who lost employment are </w:t>
      </w:r>
      <w:r w:rsidR="00D8489D" w:rsidRPr="00D00D86">
        <w:rPr>
          <w:color w:val="000000" w:themeColor="text1"/>
        </w:rPr>
        <w:t xml:space="preserve">also </w:t>
      </w:r>
      <w:r w:rsidR="00955B86" w:rsidRPr="00D00D86">
        <w:rPr>
          <w:color w:val="000000" w:themeColor="text1"/>
        </w:rPr>
        <w:t xml:space="preserve">now on higher incomes because of the enhanced income support available under JobSeeker. </w:t>
      </w:r>
    </w:p>
    <w:p w14:paraId="422B6264" w14:textId="1FC0B829" w:rsidR="0097680D" w:rsidRPr="0097680D" w:rsidRDefault="0097680D" w:rsidP="00755C53">
      <w:pPr>
        <w:pStyle w:val="Figureheading"/>
      </w:pPr>
      <w:bookmarkStart w:id="747" w:name="_Toc43462903"/>
      <w:bookmarkStart w:id="748" w:name="_Toc43466283"/>
      <w:bookmarkStart w:id="749" w:name="_Toc43469275"/>
      <w:bookmarkStart w:id="750" w:name="_Toc43469670"/>
      <w:bookmarkStart w:id="751" w:name="_Toc43469946"/>
      <w:bookmarkStart w:id="752" w:name="_Toc43469960"/>
      <w:bookmarkStart w:id="753" w:name="_Toc43729208"/>
      <w:bookmarkStart w:id="754" w:name="_Toc43730796"/>
      <w:bookmarkStart w:id="755" w:name="_Toc43731574"/>
      <w:bookmarkStart w:id="756" w:name="_Toc43732046"/>
      <w:bookmarkStart w:id="757" w:name="_Toc43733864"/>
      <w:bookmarkStart w:id="758" w:name="_Toc43734767"/>
      <w:bookmarkStart w:id="759" w:name="_Toc43738747"/>
      <w:bookmarkStart w:id="760" w:name="_Toc43743059"/>
      <w:bookmarkStart w:id="761" w:name="_Toc43996231"/>
      <w:bookmarkStart w:id="762" w:name="_Toc43998490"/>
      <w:bookmarkStart w:id="763" w:name="_Toc43998417"/>
      <w:bookmarkStart w:id="764" w:name="_Toc44069939"/>
      <w:bookmarkStart w:id="765" w:name="_Toc44071343"/>
      <w:bookmarkStart w:id="766" w:name="_Toc44073467"/>
      <w:bookmarkStart w:id="767" w:name="_Toc44074607"/>
      <w:bookmarkStart w:id="768" w:name="_Toc44079496"/>
      <w:bookmarkStart w:id="769" w:name="_Toc44079791"/>
      <w:bookmarkStart w:id="770" w:name="_Toc44079926"/>
      <w:bookmarkStart w:id="771" w:name="_Toc44319837"/>
      <w:bookmarkStart w:id="772" w:name="_Toc44321545"/>
      <w:bookmarkStart w:id="773" w:name="_Toc44323712"/>
      <w:bookmarkStart w:id="774" w:name="_Toc44326175"/>
      <w:bookmarkStart w:id="775" w:name="_Toc44330497"/>
      <w:bookmarkStart w:id="776" w:name="_Toc44330739"/>
      <w:bookmarkStart w:id="777" w:name="_Toc44333171"/>
      <w:bookmarkStart w:id="778" w:name="_Toc44334802"/>
      <w:bookmarkStart w:id="779" w:name="_Toc45227436"/>
      <w:bookmarkStart w:id="780" w:name="_Toc45798910"/>
      <w:bookmarkStart w:id="781" w:name="_Toc45799037"/>
      <w:r w:rsidRPr="0097680D">
        <w:lastRenderedPageBreak/>
        <w:t>Figu</w:t>
      </w:r>
      <w:r w:rsidR="008B5E15">
        <w:t xml:space="preserve">re </w:t>
      </w:r>
      <w:r w:rsidR="00C12608">
        <w:t>6</w:t>
      </w:r>
      <w:r w:rsidRPr="0097680D">
        <w:t xml:space="preserve">: </w:t>
      </w:r>
      <w:r w:rsidR="006741D1">
        <w:t>P</w:t>
      </w:r>
      <w:r w:rsidRPr="0097680D">
        <w:t>ayroll jobs and total wages</w:t>
      </w:r>
      <w:r w:rsidR="008F0C91">
        <w:t>,</w:t>
      </w:r>
      <w:r w:rsidRPr="0097680D">
        <w:t xml:space="preserve"> </w:t>
      </w:r>
      <w:r w:rsidR="001D182E">
        <w:t>c</w:t>
      </w:r>
      <w:r w:rsidR="006741D1">
        <w:t xml:space="preserve">hanges from </w:t>
      </w:r>
      <w:r w:rsidRPr="0097680D">
        <w:t>14 March to 30 May</w:t>
      </w:r>
      <w:r w:rsidR="008F0C91">
        <w:t xml:space="preserve"> 2020</w:t>
      </w:r>
      <w:r w:rsidRPr="0097680D">
        <w:t>, by age group</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4B4DFF78" w14:textId="36F3359D" w:rsidR="001A2C4B" w:rsidRDefault="008C0906" w:rsidP="00755C53">
      <w:pPr>
        <w:pStyle w:val="Figuregraphic"/>
      </w:pPr>
      <w:r>
        <w:rPr>
          <w:noProof/>
          <w:lang w:eastAsia="en-AU"/>
        </w:rPr>
        <w:drawing>
          <wp:inline distT="0" distB="0" distL="0" distR="0" wp14:anchorId="2B5CA3E6" wp14:editId="6EF7341F">
            <wp:extent cx="5490845" cy="2834005"/>
            <wp:effectExtent l="0" t="0" r="0" b="0"/>
            <wp:docPr id="44" name="Chart 44" descr="This chart provides a comparison of the changes in the level of total payroll jobs and total wages between 14 March and 30 May 2020, by age group. For those aged under 20, payroll jobs decreased by 16.5 per cent over this period, while total wages increased by 5.4 per cent. For those aged 20 to 29, payroll jobs decreased by 12.2 per cent, while total wages decreased by 7.5 per cent. For those aged 30 to 39, payroll jobs decreased by 5.8 per cent while total wages decreased by 8.3 per cent. For those aged 40 to 49, payroll jobs decreased by 4.2 per cent while total wages decreased by 9.5 per cent. For those aged 50 to 59, payroll jobs decreased by 3.9 per cent while total wages decreased by 8.6 per cent. For those aged 60 to 69, payroll jobs decreased by 5.9 per cent while total wages decreased by 7.7 per cent. For those aged over 70, payroll jobs decreased by 12.5 per cent while total wages decreased by 7.2 per cent. Across all ages, payroll jobs decreased by 7.5 per cent while total wages decreased by 8.3 per cent." title="Figure 6: Payroll jobs and total wages, changes from 14 March to 30 May 2020,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76FCF0" w14:textId="61B118F2" w:rsidR="00C65AE3" w:rsidRPr="00FA5543" w:rsidRDefault="00C36BCA" w:rsidP="00755C53">
      <w:pPr>
        <w:pStyle w:val="FiguretableNote"/>
      </w:pPr>
      <w:bookmarkStart w:id="782" w:name="_1653984222"/>
      <w:bookmarkStart w:id="783" w:name="_1653984786"/>
      <w:bookmarkStart w:id="784" w:name="_1653986917"/>
      <w:bookmarkStart w:id="785" w:name="_1653984590"/>
      <w:bookmarkStart w:id="786" w:name="_1653985089"/>
      <w:bookmarkStart w:id="787" w:name="_1653987081"/>
      <w:bookmarkStart w:id="788" w:name="_1653995658"/>
      <w:bookmarkStart w:id="789" w:name="_1653996265"/>
      <w:bookmarkStart w:id="790" w:name="_1653996551"/>
      <w:bookmarkStart w:id="791" w:name="_1653997157"/>
      <w:bookmarkStart w:id="792" w:name="_1653997923"/>
      <w:bookmarkEnd w:id="782"/>
      <w:bookmarkEnd w:id="783"/>
      <w:bookmarkEnd w:id="784"/>
      <w:bookmarkEnd w:id="785"/>
      <w:bookmarkEnd w:id="786"/>
      <w:bookmarkEnd w:id="787"/>
      <w:bookmarkEnd w:id="788"/>
      <w:bookmarkEnd w:id="789"/>
      <w:bookmarkEnd w:id="790"/>
      <w:bookmarkEnd w:id="791"/>
      <w:bookmarkEnd w:id="792"/>
      <w:r w:rsidRPr="00FA5543">
        <w:t xml:space="preserve">Source: ABS Weekly Payroll Jobs and Wages in Australia, Week ending 30 May 2020 (Cat. No. </w:t>
      </w:r>
      <w:r w:rsidRPr="00FA5543">
        <w:rPr>
          <w:lang w:val="en"/>
        </w:rPr>
        <w:t>6160.0.55.001)</w:t>
      </w:r>
    </w:p>
    <w:p w14:paraId="61D7AB9D" w14:textId="77777777" w:rsidR="005925CC" w:rsidRDefault="005925CC" w:rsidP="00D26CC6">
      <w:pPr>
        <w:pStyle w:val="FiguretableNote"/>
      </w:pPr>
    </w:p>
    <w:p w14:paraId="6DFB36C3" w14:textId="6328470D" w:rsidR="00E1609D" w:rsidRPr="00E1609D" w:rsidRDefault="00E1609D" w:rsidP="00E1609D">
      <w:pPr>
        <w:rPr>
          <w:color w:val="000000" w:themeColor="text1"/>
        </w:rPr>
      </w:pPr>
      <w:r>
        <w:rPr>
          <w:color w:val="000000" w:themeColor="text1"/>
        </w:rPr>
        <w:t xml:space="preserve">An ABS rapid household survey of </w:t>
      </w:r>
      <w:r w:rsidR="00CB5BE7">
        <w:rPr>
          <w:color w:val="000000" w:themeColor="text1"/>
        </w:rPr>
        <w:t xml:space="preserve">around </w:t>
      </w:r>
      <w:r>
        <w:rPr>
          <w:color w:val="000000" w:themeColor="text1"/>
        </w:rPr>
        <w:t xml:space="preserve">1,000 individuals in June </w:t>
      </w:r>
      <w:r w:rsidR="00746BE4">
        <w:rPr>
          <w:color w:val="000000" w:themeColor="text1"/>
        </w:rPr>
        <w:t xml:space="preserve">2020 </w:t>
      </w:r>
      <w:r>
        <w:rPr>
          <w:color w:val="000000" w:themeColor="text1"/>
        </w:rPr>
        <w:t>found that of those</w:t>
      </w:r>
      <w:r w:rsidRPr="00E1609D">
        <w:rPr>
          <w:shd w:val="clear" w:color="auto" w:fill="FFFFFF"/>
        </w:rPr>
        <w:t xml:space="preserve"> receiving the JobKeeper Pay</w:t>
      </w:r>
      <w:r>
        <w:rPr>
          <w:shd w:val="clear" w:color="auto" w:fill="FFFFFF"/>
        </w:rPr>
        <w:t xml:space="preserve">ment, approximately half </w:t>
      </w:r>
      <w:r w:rsidRPr="00E1609D">
        <w:rPr>
          <w:shd w:val="clear" w:color="auto" w:fill="FFFFFF"/>
        </w:rPr>
        <w:t>were receiving less income than th</w:t>
      </w:r>
      <w:r w:rsidR="00DE2760">
        <w:rPr>
          <w:shd w:val="clear" w:color="auto" w:fill="FFFFFF"/>
        </w:rPr>
        <w:t>eir usual pay, one </w:t>
      </w:r>
      <w:r>
        <w:rPr>
          <w:shd w:val="clear" w:color="auto" w:fill="FFFFFF"/>
        </w:rPr>
        <w:t xml:space="preserve">third </w:t>
      </w:r>
      <w:r w:rsidRPr="00E1609D">
        <w:rPr>
          <w:shd w:val="clear" w:color="auto" w:fill="FFFFFF"/>
        </w:rPr>
        <w:t xml:space="preserve">were receiving about </w:t>
      </w:r>
      <w:r>
        <w:rPr>
          <w:shd w:val="clear" w:color="auto" w:fill="FFFFFF"/>
        </w:rPr>
        <w:t xml:space="preserve">the same and one in five </w:t>
      </w:r>
      <w:r w:rsidRPr="00E1609D">
        <w:rPr>
          <w:shd w:val="clear" w:color="auto" w:fill="FFFFFF"/>
        </w:rPr>
        <w:t>were receiving more</w:t>
      </w:r>
      <w:r>
        <w:rPr>
          <w:shd w:val="clear" w:color="auto" w:fill="FFFFFF"/>
        </w:rPr>
        <w:t>.</w:t>
      </w:r>
      <w:r>
        <w:rPr>
          <w:rStyle w:val="FootnoteReference"/>
          <w:shd w:val="clear" w:color="auto" w:fill="FFFFFF"/>
        </w:rPr>
        <w:footnoteReference w:id="49"/>
      </w:r>
    </w:p>
    <w:p w14:paraId="601C5DAD" w14:textId="162F42A7" w:rsidR="00636D41" w:rsidRPr="00FA5543" w:rsidRDefault="00035D99" w:rsidP="001E7945">
      <w:pPr>
        <w:rPr>
          <w:color w:val="000000" w:themeColor="text1"/>
        </w:rPr>
      </w:pPr>
      <w:r w:rsidRPr="00FA5543">
        <w:rPr>
          <w:color w:val="000000" w:themeColor="text1"/>
        </w:rPr>
        <w:t xml:space="preserve">Treasury </w:t>
      </w:r>
      <w:r w:rsidR="00E47728">
        <w:rPr>
          <w:color w:val="000000" w:themeColor="text1"/>
        </w:rPr>
        <w:t>has used</w:t>
      </w:r>
      <w:r w:rsidRPr="00FA5543">
        <w:rPr>
          <w:color w:val="000000" w:themeColor="text1"/>
        </w:rPr>
        <w:t xml:space="preserve"> </w:t>
      </w:r>
      <w:r w:rsidRPr="007979FA">
        <w:rPr>
          <w:color w:val="000000" w:themeColor="text1"/>
        </w:rPr>
        <w:t>business</w:t>
      </w:r>
      <w:r w:rsidRPr="00FA5543">
        <w:rPr>
          <w:color w:val="000000" w:themeColor="text1"/>
        </w:rPr>
        <w:t xml:space="preserve"> microdata</w:t>
      </w:r>
      <w:r w:rsidR="00E47728">
        <w:rPr>
          <w:color w:val="000000" w:themeColor="text1"/>
        </w:rPr>
        <w:t xml:space="preserve"> to explore in more detail</w:t>
      </w:r>
      <w:r w:rsidRPr="00FA5543">
        <w:rPr>
          <w:color w:val="000000" w:themeColor="text1"/>
        </w:rPr>
        <w:t xml:space="preserve"> the incidence and scale of </w:t>
      </w:r>
      <w:r w:rsidR="002D7D19">
        <w:rPr>
          <w:color w:val="000000" w:themeColor="text1"/>
        </w:rPr>
        <w:t>income increases</w:t>
      </w:r>
      <w:r w:rsidR="007F3867" w:rsidRPr="00FA5543">
        <w:rPr>
          <w:color w:val="000000" w:themeColor="text1"/>
        </w:rPr>
        <w:t xml:space="preserve"> for</w:t>
      </w:r>
      <w:r w:rsidRPr="00FA5543">
        <w:rPr>
          <w:color w:val="000000" w:themeColor="text1"/>
        </w:rPr>
        <w:t xml:space="preserve"> individuals whose pay before March was below $1</w:t>
      </w:r>
      <w:r w:rsidR="008175DD" w:rsidRPr="00FA5543">
        <w:rPr>
          <w:color w:val="000000" w:themeColor="text1"/>
        </w:rPr>
        <w:t>,</w:t>
      </w:r>
      <w:r w:rsidRPr="00FA5543">
        <w:rPr>
          <w:color w:val="000000" w:themeColor="text1"/>
        </w:rPr>
        <w:t xml:space="preserve">500 per fortnight and who are now in receipt of JobKeeper payments. This has been estimated by examining </w:t>
      </w:r>
      <w:r w:rsidR="00533A97" w:rsidRPr="00FA5543">
        <w:rPr>
          <w:color w:val="000000" w:themeColor="text1"/>
        </w:rPr>
        <w:t xml:space="preserve">average </w:t>
      </w:r>
      <w:r w:rsidRPr="00FA5543">
        <w:rPr>
          <w:color w:val="000000" w:themeColor="text1"/>
        </w:rPr>
        <w:t xml:space="preserve">fortnightly pay in </w:t>
      </w:r>
      <w:r w:rsidR="00533A97" w:rsidRPr="00FA5543">
        <w:rPr>
          <w:color w:val="000000" w:themeColor="text1"/>
        </w:rPr>
        <w:t>February</w:t>
      </w:r>
      <w:r w:rsidR="00746BE4">
        <w:rPr>
          <w:color w:val="000000" w:themeColor="text1"/>
        </w:rPr>
        <w:t xml:space="preserve"> 2020</w:t>
      </w:r>
      <w:r w:rsidRPr="00FA5543">
        <w:rPr>
          <w:color w:val="000000" w:themeColor="text1"/>
        </w:rPr>
        <w:t xml:space="preserve"> and comparing that with </w:t>
      </w:r>
      <w:r w:rsidR="00533A97" w:rsidRPr="00FA5543">
        <w:rPr>
          <w:color w:val="000000" w:themeColor="text1"/>
        </w:rPr>
        <w:t>the $1</w:t>
      </w:r>
      <w:r w:rsidR="008175DD" w:rsidRPr="00FA5543">
        <w:rPr>
          <w:color w:val="000000" w:themeColor="text1"/>
        </w:rPr>
        <w:t>,</w:t>
      </w:r>
      <w:r w:rsidR="00533A97" w:rsidRPr="00FA5543">
        <w:rPr>
          <w:color w:val="000000" w:themeColor="text1"/>
        </w:rPr>
        <w:t>500 a</w:t>
      </w:r>
      <w:r w:rsidRPr="00FA5543">
        <w:rPr>
          <w:color w:val="000000" w:themeColor="text1"/>
        </w:rPr>
        <w:t xml:space="preserve"> fortnight </w:t>
      </w:r>
      <w:r w:rsidR="00533A97" w:rsidRPr="00FA5543">
        <w:rPr>
          <w:color w:val="000000" w:themeColor="text1"/>
        </w:rPr>
        <w:t>earn</w:t>
      </w:r>
      <w:r w:rsidR="005550A1" w:rsidRPr="00FA5543">
        <w:rPr>
          <w:color w:val="000000" w:themeColor="text1"/>
        </w:rPr>
        <w:t>ings floor for JobKeeper recipients</w:t>
      </w:r>
      <w:r w:rsidRPr="00FA5543">
        <w:rPr>
          <w:color w:val="000000" w:themeColor="text1"/>
        </w:rPr>
        <w:t>.</w:t>
      </w:r>
      <w:r w:rsidR="00926342" w:rsidRPr="00FA5543">
        <w:rPr>
          <w:rStyle w:val="FootnoteReference"/>
          <w:color w:val="000000" w:themeColor="text1"/>
        </w:rPr>
        <w:footnoteReference w:id="50"/>
      </w:r>
      <w:r w:rsidRPr="00FA5543">
        <w:rPr>
          <w:color w:val="000000" w:themeColor="text1"/>
        </w:rPr>
        <w:t xml:space="preserve"> </w:t>
      </w:r>
    </w:p>
    <w:p w14:paraId="635962EF" w14:textId="7459A152" w:rsidR="00A82744" w:rsidRPr="00FA5543" w:rsidRDefault="003A3736" w:rsidP="001E7945">
      <w:pPr>
        <w:rPr>
          <w:color w:val="000000" w:themeColor="text1"/>
        </w:rPr>
      </w:pPr>
      <w:r w:rsidRPr="00FA5543">
        <w:rPr>
          <w:color w:val="000000" w:themeColor="text1"/>
        </w:rPr>
        <w:t xml:space="preserve">This analysis finds that around </w:t>
      </w:r>
      <w:r w:rsidR="002D7D19">
        <w:rPr>
          <w:color w:val="000000" w:themeColor="text1"/>
        </w:rPr>
        <w:t>a quarter</w:t>
      </w:r>
      <w:r w:rsidRPr="00FA5543">
        <w:rPr>
          <w:color w:val="000000" w:themeColor="text1"/>
        </w:rPr>
        <w:t xml:space="preserve"> of JobKeeper recipients </w:t>
      </w:r>
      <w:r w:rsidR="002D7D19">
        <w:rPr>
          <w:color w:val="000000" w:themeColor="text1"/>
        </w:rPr>
        <w:t>had an income increase</w:t>
      </w:r>
      <w:r w:rsidRPr="00FA5543">
        <w:rPr>
          <w:color w:val="000000" w:themeColor="text1"/>
        </w:rPr>
        <w:t xml:space="preserve"> </w:t>
      </w:r>
      <w:r w:rsidR="005550A1" w:rsidRPr="00FA5543">
        <w:rPr>
          <w:color w:val="000000" w:themeColor="text1"/>
        </w:rPr>
        <w:t>in their JobKeeper job relative to their February earnings</w:t>
      </w:r>
      <w:r w:rsidR="005C5B79" w:rsidRPr="00FA5543">
        <w:rPr>
          <w:color w:val="000000" w:themeColor="text1"/>
        </w:rPr>
        <w:t xml:space="preserve"> in that </w:t>
      </w:r>
      <w:r w:rsidR="00EF2315" w:rsidRPr="00FA5543">
        <w:rPr>
          <w:color w:val="000000" w:themeColor="text1"/>
        </w:rPr>
        <w:t xml:space="preserve">same </w:t>
      </w:r>
      <w:r w:rsidR="005C5B79" w:rsidRPr="00FA5543">
        <w:rPr>
          <w:color w:val="000000" w:themeColor="text1"/>
        </w:rPr>
        <w:t>job. This is</w:t>
      </w:r>
      <w:r w:rsidR="00A82744" w:rsidRPr="00FA5543">
        <w:rPr>
          <w:color w:val="000000" w:themeColor="text1"/>
        </w:rPr>
        <w:t xml:space="preserve"> </w:t>
      </w:r>
      <w:r w:rsidR="00CA1AA9" w:rsidRPr="00FA5543">
        <w:rPr>
          <w:color w:val="000000" w:themeColor="text1"/>
        </w:rPr>
        <w:t xml:space="preserve">a little </w:t>
      </w:r>
      <w:r w:rsidR="00EF2315" w:rsidRPr="00FA5543">
        <w:rPr>
          <w:color w:val="000000" w:themeColor="text1"/>
        </w:rPr>
        <w:t>below</w:t>
      </w:r>
      <w:r w:rsidR="00A82744" w:rsidRPr="00FA5543">
        <w:rPr>
          <w:color w:val="000000" w:themeColor="text1"/>
        </w:rPr>
        <w:t xml:space="preserve"> the share of part</w:t>
      </w:r>
      <w:r w:rsidR="00DE2760">
        <w:rPr>
          <w:color w:val="000000" w:themeColor="text1"/>
        </w:rPr>
        <w:noBreakHyphen/>
      </w:r>
      <w:r w:rsidR="00A82744" w:rsidRPr="00FA5543">
        <w:rPr>
          <w:color w:val="000000" w:themeColor="text1"/>
        </w:rPr>
        <w:t>time jobs in the private sector</w:t>
      </w:r>
      <w:r w:rsidR="00CA1AA9" w:rsidRPr="00FA5543">
        <w:rPr>
          <w:color w:val="000000" w:themeColor="text1"/>
        </w:rPr>
        <w:t xml:space="preserve"> (at 32</w:t>
      </w:r>
      <w:r w:rsidR="005C5B79" w:rsidRPr="00FA5543">
        <w:rPr>
          <w:color w:val="000000" w:themeColor="text1"/>
        </w:rPr>
        <w:t xml:space="preserve"> per cent in February), indicating the scale of individuals receiving a</w:t>
      </w:r>
      <w:r w:rsidR="002D7D19">
        <w:rPr>
          <w:color w:val="000000" w:themeColor="text1"/>
        </w:rPr>
        <w:t>n</w:t>
      </w:r>
      <w:r w:rsidR="005C5B79" w:rsidRPr="00FA5543">
        <w:rPr>
          <w:color w:val="000000" w:themeColor="text1"/>
        </w:rPr>
        <w:t xml:space="preserve"> </w:t>
      </w:r>
      <w:r w:rsidR="002D7D19">
        <w:rPr>
          <w:color w:val="000000" w:themeColor="text1"/>
        </w:rPr>
        <w:t>income increase</w:t>
      </w:r>
      <w:r w:rsidR="005C5B79" w:rsidRPr="00FA5543">
        <w:rPr>
          <w:color w:val="000000" w:themeColor="text1"/>
        </w:rPr>
        <w:t xml:space="preserve"> is </w:t>
      </w:r>
      <w:r w:rsidR="00E378BA">
        <w:rPr>
          <w:color w:val="000000" w:themeColor="text1"/>
        </w:rPr>
        <w:t xml:space="preserve">broadly </w:t>
      </w:r>
      <w:r w:rsidR="00EF2315" w:rsidRPr="00FA5543">
        <w:rPr>
          <w:color w:val="000000" w:themeColor="text1"/>
        </w:rPr>
        <w:t>in line with expectations</w:t>
      </w:r>
      <w:r w:rsidR="005C5B79" w:rsidRPr="00FA5543">
        <w:rPr>
          <w:color w:val="000000" w:themeColor="text1"/>
        </w:rPr>
        <w:t xml:space="preserve"> given the flat rate payment design feature</w:t>
      </w:r>
      <w:r w:rsidR="00A82744" w:rsidRPr="00FA5543">
        <w:rPr>
          <w:color w:val="000000" w:themeColor="text1"/>
        </w:rPr>
        <w:t>.</w:t>
      </w:r>
      <w:r w:rsidR="005550A1" w:rsidRPr="00FA5543">
        <w:rPr>
          <w:color w:val="000000" w:themeColor="text1"/>
        </w:rPr>
        <w:t xml:space="preserve"> </w:t>
      </w:r>
    </w:p>
    <w:p w14:paraId="099D2EF4" w14:textId="22D949B2" w:rsidR="00E378BA" w:rsidRDefault="005550A1" w:rsidP="001E7945">
      <w:pPr>
        <w:rPr>
          <w:color w:val="000000" w:themeColor="text1"/>
        </w:rPr>
      </w:pPr>
      <w:r w:rsidRPr="00FA5543">
        <w:rPr>
          <w:color w:val="000000" w:themeColor="text1"/>
        </w:rPr>
        <w:t>Th</w:t>
      </w:r>
      <w:r w:rsidR="00A82744" w:rsidRPr="00FA5543">
        <w:rPr>
          <w:color w:val="000000" w:themeColor="text1"/>
        </w:rPr>
        <w:t xml:space="preserve">e value of the </w:t>
      </w:r>
      <w:r w:rsidR="002D7D19">
        <w:rPr>
          <w:color w:val="000000" w:themeColor="text1"/>
        </w:rPr>
        <w:t>i</w:t>
      </w:r>
      <w:r w:rsidR="00E378BA">
        <w:rPr>
          <w:color w:val="000000" w:themeColor="text1"/>
        </w:rPr>
        <w:t>ncome i</w:t>
      </w:r>
      <w:r w:rsidR="002D7D19">
        <w:rPr>
          <w:color w:val="000000" w:themeColor="text1"/>
        </w:rPr>
        <w:t>ncrease</w:t>
      </w:r>
      <w:r w:rsidR="00A82744" w:rsidRPr="00FA5543">
        <w:rPr>
          <w:color w:val="000000" w:themeColor="text1"/>
        </w:rPr>
        <w:t xml:space="preserve"> </w:t>
      </w:r>
      <w:r w:rsidR="005C5B79" w:rsidRPr="00FA5543">
        <w:rPr>
          <w:color w:val="000000" w:themeColor="text1"/>
        </w:rPr>
        <w:t>was</w:t>
      </w:r>
      <w:r w:rsidR="00E378BA">
        <w:rPr>
          <w:color w:val="000000" w:themeColor="text1"/>
        </w:rPr>
        <w:t xml:space="preserve"> around $130</w:t>
      </w:r>
      <w:r w:rsidRPr="00FA5543">
        <w:rPr>
          <w:color w:val="000000" w:themeColor="text1"/>
        </w:rPr>
        <w:t xml:space="preserve"> </w:t>
      </w:r>
      <w:r w:rsidR="00E378BA">
        <w:rPr>
          <w:color w:val="000000" w:themeColor="text1"/>
        </w:rPr>
        <w:t xml:space="preserve">when </w:t>
      </w:r>
      <w:r w:rsidR="00A82744" w:rsidRPr="00FA5543">
        <w:rPr>
          <w:color w:val="000000" w:themeColor="text1"/>
        </w:rPr>
        <w:t xml:space="preserve">averaged </w:t>
      </w:r>
      <w:r w:rsidRPr="00FA5543">
        <w:rPr>
          <w:color w:val="000000" w:themeColor="text1"/>
        </w:rPr>
        <w:t>across all JobKeeper recipients</w:t>
      </w:r>
      <w:r w:rsidR="00C75CD5" w:rsidRPr="00FA5543">
        <w:rPr>
          <w:color w:val="000000" w:themeColor="text1"/>
        </w:rPr>
        <w:t>,</w:t>
      </w:r>
      <w:r w:rsidRPr="00FA5543">
        <w:rPr>
          <w:color w:val="000000" w:themeColor="text1"/>
        </w:rPr>
        <w:t xml:space="preserve"> and</w:t>
      </w:r>
      <w:r w:rsidR="00E378BA">
        <w:rPr>
          <w:color w:val="000000" w:themeColor="text1"/>
        </w:rPr>
        <w:t xml:space="preserve"> around</w:t>
      </w:r>
      <w:r w:rsidRPr="00FA5543">
        <w:rPr>
          <w:color w:val="000000" w:themeColor="text1"/>
        </w:rPr>
        <w:t xml:space="preserve"> $</w:t>
      </w:r>
      <w:r w:rsidR="00E378BA">
        <w:rPr>
          <w:color w:val="000000" w:themeColor="text1"/>
        </w:rPr>
        <w:t>550</w:t>
      </w:r>
      <w:r w:rsidRPr="00FA5543">
        <w:rPr>
          <w:color w:val="000000" w:themeColor="text1"/>
        </w:rPr>
        <w:t xml:space="preserve"> f</w:t>
      </w:r>
      <w:r w:rsidR="00E378BA">
        <w:rPr>
          <w:color w:val="000000" w:themeColor="text1"/>
        </w:rPr>
        <w:t xml:space="preserve">or those receiving the </w:t>
      </w:r>
      <w:r w:rsidR="009F185C">
        <w:rPr>
          <w:color w:val="000000" w:themeColor="text1"/>
        </w:rPr>
        <w:t>increase in income</w:t>
      </w:r>
      <w:r w:rsidR="00DE2760">
        <w:rPr>
          <w:color w:val="000000" w:themeColor="text1"/>
        </w:rPr>
        <w:t xml:space="preserve"> — </w:t>
      </w:r>
      <w:r w:rsidR="00E378BA">
        <w:rPr>
          <w:color w:val="000000" w:themeColor="text1"/>
        </w:rPr>
        <w:t>the same fortnightly amount that</w:t>
      </w:r>
      <w:r w:rsidR="00E378BA" w:rsidRPr="00493DD8">
        <w:rPr>
          <w:color w:val="000000" w:themeColor="text1"/>
        </w:rPr>
        <w:t xml:space="preserve"> JobSeeker </w:t>
      </w:r>
      <w:r w:rsidR="00746BE4">
        <w:rPr>
          <w:color w:val="000000" w:themeColor="text1"/>
        </w:rPr>
        <w:t xml:space="preserve">Payment </w:t>
      </w:r>
      <w:r w:rsidR="00E378BA" w:rsidRPr="00493DD8">
        <w:rPr>
          <w:color w:val="000000" w:themeColor="text1"/>
        </w:rPr>
        <w:t>and You</w:t>
      </w:r>
      <w:r w:rsidR="00A82F9D">
        <w:rPr>
          <w:color w:val="000000" w:themeColor="text1"/>
        </w:rPr>
        <w:t>th Allowance recipients receive</w:t>
      </w:r>
      <w:r w:rsidR="00E378BA" w:rsidRPr="00493DD8">
        <w:rPr>
          <w:color w:val="000000" w:themeColor="text1"/>
        </w:rPr>
        <w:t xml:space="preserve"> </w:t>
      </w:r>
      <w:r w:rsidR="00E378BA">
        <w:rPr>
          <w:color w:val="000000" w:themeColor="text1"/>
        </w:rPr>
        <w:t xml:space="preserve">from the Coronavirus </w:t>
      </w:r>
      <w:r w:rsidR="003B5173">
        <w:rPr>
          <w:color w:val="000000" w:themeColor="text1"/>
        </w:rPr>
        <w:t>S</w:t>
      </w:r>
      <w:r w:rsidR="00E378BA">
        <w:rPr>
          <w:color w:val="000000" w:themeColor="text1"/>
        </w:rPr>
        <w:t>upplement</w:t>
      </w:r>
      <w:r w:rsidR="00E378BA" w:rsidRPr="00493DD8">
        <w:rPr>
          <w:color w:val="000000" w:themeColor="text1"/>
        </w:rPr>
        <w:t>.</w:t>
      </w:r>
    </w:p>
    <w:p w14:paraId="3B42AAA9" w14:textId="0E9FBB52" w:rsidR="00636D41" w:rsidRPr="00493DD8" w:rsidRDefault="00E378BA" w:rsidP="001E7945">
      <w:pPr>
        <w:rPr>
          <w:color w:val="000000" w:themeColor="text1"/>
        </w:rPr>
      </w:pPr>
      <w:r>
        <w:rPr>
          <w:color w:val="000000" w:themeColor="text1"/>
        </w:rPr>
        <w:t>It is likely that many of the individuals who have received an income increase in their JobKeeper job</w:t>
      </w:r>
      <w:r w:rsidR="00A82F9D">
        <w:rPr>
          <w:color w:val="000000" w:themeColor="text1"/>
        </w:rPr>
        <w:t xml:space="preserve"> </w:t>
      </w:r>
      <w:r w:rsidR="003A3736" w:rsidRPr="00FA5543">
        <w:rPr>
          <w:color w:val="000000" w:themeColor="text1"/>
        </w:rPr>
        <w:t>will have seen an income reduction from secondary jobs, which have fallen by 39 per cent since mid</w:t>
      </w:r>
      <w:r w:rsidR="003B5173">
        <w:rPr>
          <w:color w:val="000000" w:themeColor="text1"/>
        </w:rPr>
        <w:t xml:space="preserve"> </w:t>
      </w:r>
      <w:r w:rsidR="003A3736" w:rsidRPr="00FA5543">
        <w:rPr>
          <w:color w:val="000000" w:themeColor="text1"/>
        </w:rPr>
        <w:t>March.</w:t>
      </w:r>
      <w:r w:rsidR="002C59E7">
        <w:rPr>
          <w:rStyle w:val="FootnoteReference"/>
          <w:color w:val="000000" w:themeColor="text1"/>
        </w:rPr>
        <w:footnoteReference w:id="51"/>
      </w:r>
      <w:r w:rsidR="003A3736" w:rsidRPr="00FA5543">
        <w:rPr>
          <w:color w:val="000000" w:themeColor="text1"/>
        </w:rPr>
        <w:t xml:space="preserve"> Some of these individuals may have also moved off the welfare system with </w:t>
      </w:r>
      <w:r w:rsidR="003A3736" w:rsidRPr="00FA5543">
        <w:rPr>
          <w:color w:val="000000" w:themeColor="text1"/>
        </w:rPr>
        <w:lastRenderedPageBreak/>
        <w:t xml:space="preserve">the introduction of the </w:t>
      </w:r>
      <w:r w:rsidR="003A3736" w:rsidRPr="00493DD8">
        <w:rPr>
          <w:color w:val="000000" w:themeColor="text1"/>
        </w:rPr>
        <w:t xml:space="preserve">JobKeeper </w:t>
      </w:r>
      <w:r w:rsidR="00966C6C">
        <w:rPr>
          <w:color w:val="000000" w:themeColor="text1"/>
        </w:rPr>
        <w:t>Payment</w:t>
      </w:r>
      <w:r w:rsidR="003A3736" w:rsidRPr="00493DD8">
        <w:rPr>
          <w:color w:val="000000" w:themeColor="text1"/>
        </w:rPr>
        <w:t>, so the increase in income for this cohort would have also been lower</w:t>
      </w:r>
      <w:r w:rsidR="00DE2760">
        <w:rPr>
          <w:color w:val="000000" w:themeColor="text1"/>
        </w:rPr>
        <w:t xml:space="preserve">. </w:t>
      </w:r>
      <w:r>
        <w:rPr>
          <w:color w:val="000000" w:themeColor="text1"/>
        </w:rPr>
        <w:t xml:space="preserve"> </w:t>
      </w:r>
    </w:p>
    <w:p w14:paraId="56CF8EC9" w14:textId="120EBC44" w:rsidR="003145B2" w:rsidRDefault="003145B2" w:rsidP="003145B2">
      <w:pPr>
        <w:rPr>
          <w:color w:val="000000" w:themeColor="text1"/>
        </w:rPr>
      </w:pPr>
      <w:r>
        <w:rPr>
          <w:color w:val="000000" w:themeColor="text1"/>
        </w:rPr>
        <w:t xml:space="preserve">It is important to note that the </w:t>
      </w:r>
      <w:r w:rsidR="00746BE4">
        <w:rPr>
          <w:color w:val="000000" w:themeColor="text1"/>
        </w:rPr>
        <w:t xml:space="preserve">STP </w:t>
      </w:r>
      <w:r>
        <w:rPr>
          <w:color w:val="000000" w:themeColor="text1"/>
        </w:rPr>
        <w:t xml:space="preserve">data do not capture hours of work. </w:t>
      </w:r>
      <w:r w:rsidR="00F3645B">
        <w:rPr>
          <w:color w:val="000000" w:themeColor="text1"/>
        </w:rPr>
        <w:t xml:space="preserve">The review is </w:t>
      </w:r>
      <w:r>
        <w:rPr>
          <w:color w:val="000000" w:themeColor="text1"/>
        </w:rPr>
        <w:t>aware that some part</w:t>
      </w:r>
      <w:r w:rsidR="00DE2760">
        <w:rPr>
          <w:color w:val="000000" w:themeColor="text1"/>
        </w:rPr>
        <w:noBreakHyphen/>
      </w:r>
      <w:r>
        <w:rPr>
          <w:color w:val="000000" w:themeColor="text1"/>
        </w:rPr>
        <w:t xml:space="preserve">time employees in receipt of JobKeeper agreed to increase their hours of work so their pay for work undertaken would be more commensurate with the value of the JobKeeper </w:t>
      </w:r>
      <w:r w:rsidR="00966C6C">
        <w:rPr>
          <w:color w:val="000000" w:themeColor="text1"/>
        </w:rPr>
        <w:t>Payment</w:t>
      </w:r>
      <w:r>
        <w:rPr>
          <w:color w:val="000000" w:themeColor="text1"/>
        </w:rPr>
        <w:t>.</w:t>
      </w:r>
    </w:p>
    <w:p w14:paraId="3B7AAA92" w14:textId="39BCD4C6" w:rsidR="00CD4733" w:rsidRPr="00493DD8" w:rsidRDefault="00955B86" w:rsidP="00077FBA">
      <w:pPr>
        <w:rPr>
          <w:color w:val="000000" w:themeColor="text1"/>
        </w:rPr>
      </w:pPr>
      <w:r w:rsidRPr="00493DD8">
        <w:rPr>
          <w:color w:val="000000" w:themeColor="text1"/>
        </w:rPr>
        <w:t xml:space="preserve">The </w:t>
      </w:r>
      <w:r w:rsidR="003145B2">
        <w:rPr>
          <w:color w:val="000000" w:themeColor="text1"/>
        </w:rPr>
        <w:t>income increases</w:t>
      </w:r>
      <w:r w:rsidRPr="00493DD8">
        <w:rPr>
          <w:color w:val="000000" w:themeColor="text1"/>
        </w:rPr>
        <w:t xml:space="preserve"> received by this group </w:t>
      </w:r>
      <w:r w:rsidR="003145B2">
        <w:rPr>
          <w:color w:val="000000" w:themeColor="text1"/>
        </w:rPr>
        <w:t>of part</w:t>
      </w:r>
      <w:r w:rsidR="00DE2760">
        <w:rPr>
          <w:color w:val="000000" w:themeColor="text1"/>
        </w:rPr>
        <w:noBreakHyphen/>
      </w:r>
      <w:r w:rsidR="003145B2">
        <w:rPr>
          <w:color w:val="000000" w:themeColor="text1"/>
        </w:rPr>
        <w:t xml:space="preserve">time employees </w:t>
      </w:r>
      <w:r w:rsidRPr="00493DD8">
        <w:rPr>
          <w:color w:val="000000" w:themeColor="text1"/>
        </w:rPr>
        <w:t xml:space="preserve">constitute an income transfer, not a wage subsidy, as illustrated in </w:t>
      </w:r>
      <w:r w:rsidRPr="00493DD8">
        <w:rPr>
          <w:b/>
          <w:color w:val="000000" w:themeColor="text1"/>
        </w:rPr>
        <w:t>Figure 1</w:t>
      </w:r>
      <w:r w:rsidRPr="00493DD8">
        <w:rPr>
          <w:color w:val="000000" w:themeColor="text1"/>
        </w:rPr>
        <w:t>.</w:t>
      </w:r>
      <w:r w:rsidR="00CD36C1" w:rsidRPr="00493DD8">
        <w:rPr>
          <w:color w:val="000000" w:themeColor="text1"/>
        </w:rPr>
        <w:t xml:space="preserve"> Two other groups receiving income support via JobKeeper are stood down employees, and </w:t>
      </w:r>
      <w:r w:rsidR="008D3B64" w:rsidRPr="00493DD8">
        <w:rPr>
          <w:color w:val="000000" w:themeColor="text1"/>
        </w:rPr>
        <w:t>employees</w:t>
      </w:r>
      <w:r w:rsidR="00CD36C1" w:rsidRPr="00493DD8">
        <w:rPr>
          <w:color w:val="000000" w:themeColor="text1"/>
        </w:rPr>
        <w:t xml:space="preserve"> on reduced hours receiving top</w:t>
      </w:r>
      <w:r w:rsidR="00DE2760">
        <w:rPr>
          <w:color w:val="000000" w:themeColor="text1"/>
        </w:rPr>
        <w:noBreakHyphen/>
      </w:r>
      <w:r w:rsidR="00CD36C1" w:rsidRPr="00493DD8">
        <w:rPr>
          <w:color w:val="000000" w:themeColor="text1"/>
        </w:rPr>
        <w:t xml:space="preserve">up payments. </w:t>
      </w:r>
      <w:r w:rsidR="00636D41" w:rsidRPr="00493DD8">
        <w:rPr>
          <w:color w:val="000000" w:themeColor="text1"/>
        </w:rPr>
        <w:t>Overall, it is estimated that around a quarter of</w:t>
      </w:r>
      <w:r w:rsidR="00077A6C">
        <w:rPr>
          <w:color w:val="000000" w:themeColor="text1"/>
        </w:rPr>
        <w:t xml:space="preserve"> the total value of</w:t>
      </w:r>
      <w:r w:rsidR="00636D41" w:rsidRPr="00493DD8">
        <w:rPr>
          <w:color w:val="000000" w:themeColor="text1"/>
        </w:rPr>
        <w:t xml:space="preserve"> JobKeeper payments constitute</w:t>
      </w:r>
      <w:r w:rsidR="00077A6C">
        <w:rPr>
          <w:color w:val="000000" w:themeColor="text1"/>
        </w:rPr>
        <w:t>d</w:t>
      </w:r>
      <w:r w:rsidR="00636D41" w:rsidRPr="00493DD8">
        <w:rPr>
          <w:color w:val="000000" w:themeColor="text1"/>
        </w:rPr>
        <w:t xml:space="preserve"> income transfers to individuals</w:t>
      </w:r>
      <w:r w:rsidR="00CD4733" w:rsidRPr="00493DD8">
        <w:rPr>
          <w:color w:val="000000" w:themeColor="text1"/>
        </w:rPr>
        <w:t>, consistent with one of the three underlying objectives of JobKeeper to be an alternative means of income support while retaining the connection between employees and their employer</w:t>
      </w:r>
      <w:r w:rsidR="008A47DD" w:rsidRPr="00493DD8">
        <w:rPr>
          <w:color w:val="000000" w:themeColor="text1"/>
        </w:rPr>
        <w:t xml:space="preserve">. </w:t>
      </w:r>
    </w:p>
    <w:p w14:paraId="4933779D" w14:textId="374CC6A9" w:rsidR="00A2737E" w:rsidRDefault="008A47DD" w:rsidP="00077FBA">
      <w:r w:rsidRPr="00493DD8">
        <w:rPr>
          <w:color w:val="000000" w:themeColor="text1"/>
        </w:rPr>
        <w:t>B</w:t>
      </w:r>
      <w:r w:rsidR="00636D41" w:rsidRPr="00493DD8">
        <w:rPr>
          <w:color w:val="000000" w:themeColor="text1"/>
        </w:rPr>
        <w:t xml:space="preserve">y corollary, around three quarters of </w:t>
      </w:r>
      <w:r w:rsidRPr="00493DD8">
        <w:rPr>
          <w:color w:val="000000" w:themeColor="text1"/>
        </w:rPr>
        <w:t>JobKeeper payments constitute a wage subsidy to the employer.</w:t>
      </w:r>
      <w:r w:rsidR="00533A97" w:rsidRPr="00493DD8">
        <w:rPr>
          <w:color w:val="000000" w:themeColor="text1"/>
        </w:rPr>
        <w:t xml:space="preserve"> This split between income transfer and wage subsidy will </w:t>
      </w:r>
      <w:r w:rsidR="00CD4733" w:rsidRPr="00493DD8">
        <w:rPr>
          <w:color w:val="000000" w:themeColor="text1"/>
        </w:rPr>
        <w:t xml:space="preserve">vary with economic conditions. </w:t>
      </w:r>
      <w:r w:rsidR="00533A97" w:rsidRPr="00493DD8">
        <w:rPr>
          <w:color w:val="000000" w:themeColor="text1"/>
        </w:rPr>
        <w:t>As the labour market improves and the hours of stood down or reduced</w:t>
      </w:r>
      <w:r w:rsidR="0009273A">
        <w:rPr>
          <w:color w:val="000000" w:themeColor="text1"/>
        </w:rPr>
        <w:noBreakHyphen/>
      </w:r>
      <w:r w:rsidR="00533A97" w:rsidRPr="00493DD8">
        <w:rPr>
          <w:color w:val="000000" w:themeColor="text1"/>
        </w:rPr>
        <w:t xml:space="preserve">hours workers are increased, the wage subsidy share of JobKeeper payments will </w:t>
      </w:r>
      <w:r w:rsidR="006A601D" w:rsidRPr="00493DD8">
        <w:rPr>
          <w:color w:val="000000" w:themeColor="text1"/>
        </w:rPr>
        <w:t xml:space="preserve">begin to </w:t>
      </w:r>
      <w:r w:rsidR="00533A97" w:rsidRPr="00493DD8">
        <w:rPr>
          <w:color w:val="000000" w:themeColor="text1"/>
        </w:rPr>
        <w:t xml:space="preserve">rise and the </w:t>
      </w:r>
      <w:r w:rsidR="00620A57" w:rsidRPr="00493DD8">
        <w:rPr>
          <w:color w:val="000000" w:themeColor="text1"/>
        </w:rPr>
        <w:t>income transfer share will fall.</w:t>
      </w:r>
      <w:r w:rsidR="00620A5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84D35" w14:paraId="576DCC3B" w14:textId="77777777" w:rsidTr="00F84D35">
        <w:tc>
          <w:tcPr>
            <w:tcW w:w="8494" w:type="dxa"/>
            <w:shd w:val="clear" w:color="auto" w:fill="F2F6F6"/>
          </w:tcPr>
          <w:p w14:paraId="262E7D63" w14:textId="6E765897" w:rsidR="00F84D35" w:rsidRDefault="00DE2760" w:rsidP="005B6873">
            <w:pPr>
              <w:pStyle w:val="Quote"/>
            </w:pPr>
            <w:r>
              <w:t>“</w:t>
            </w:r>
            <w:r w:rsidR="00F84D35">
              <w:t>My turnover is in the negative</w:t>
            </w:r>
            <w:r>
              <w:t>”</w:t>
            </w:r>
          </w:p>
          <w:p w14:paraId="608CFC54" w14:textId="77777777" w:rsidR="00F84D35" w:rsidRDefault="00F84D35" w:rsidP="00F84D35">
            <w:pPr>
              <w:pStyle w:val="Quoteexplainer"/>
            </w:pPr>
            <w:r>
              <w:t xml:space="preserve">The business had no revenue due to travel restrictions, so if the Government had not provided wage support, they would have been forced to make the entire workforce redundant and put the business into hibernation. </w:t>
            </w:r>
          </w:p>
          <w:p w14:paraId="1BB919A7" w14:textId="77777777" w:rsidR="00F84D35" w:rsidRDefault="00F84D35" w:rsidP="00F84D35">
            <w:pPr>
              <w:pStyle w:val="Quoteexplainer"/>
            </w:pPr>
            <w:r>
              <w:t>JobKeeper allowed the business to keep paying the costs of nine eligible staff members, including their entire sales team, who agreed to take a 20 per cent pay cut to support the business. While three staff members were not eligible for the program, the business was able to retain these essential employees as JobKeeper covered the wages of their other staff members.</w:t>
            </w:r>
          </w:p>
          <w:p w14:paraId="1E059690" w14:textId="48639A2C" w:rsidR="00F84D35" w:rsidRDefault="00F84D35" w:rsidP="00317742">
            <w:pPr>
              <w:pStyle w:val="Quoteref"/>
            </w:pPr>
            <w:r>
              <w:t xml:space="preserve">~ </w:t>
            </w:r>
            <w:r w:rsidR="00317742">
              <w:t>A b</w:t>
            </w:r>
            <w:r>
              <w:t>outique travel agency</w:t>
            </w:r>
          </w:p>
        </w:tc>
      </w:tr>
    </w:tbl>
    <w:p w14:paraId="049BB480" w14:textId="68043026" w:rsidR="00791BAA" w:rsidRPr="00D26CC6" w:rsidRDefault="00791BAA" w:rsidP="001E7945">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C65AE3" w14:paraId="72E4E6CF" w14:textId="77777777" w:rsidTr="002A5E02">
        <w:tc>
          <w:tcPr>
            <w:tcW w:w="8494" w:type="dxa"/>
            <w:shd w:val="clear" w:color="auto" w:fill="F2F6F6"/>
          </w:tcPr>
          <w:p w14:paraId="063009DB" w14:textId="77777777" w:rsidR="00C65AE3" w:rsidRDefault="00C65AE3" w:rsidP="002A5E02">
            <w:pPr>
              <w:pStyle w:val="Quote"/>
            </w:pPr>
            <w:r>
              <w:t>“JobKeeper provided us security but was not make or break. It gave confidence to keep staff working to set the platform for the recovery.”</w:t>
            </w:r>
          </w:p>
          <w:p w14:paraId="7BF6C60F" w14:textId="77777777" w:rsidR="00C65AE3" w:rsidRDefault="00C65AE3" w:rsidP="002A5E02">
            <w:pPr>
              <w:pStyle w:val="Quoteexplainer"/>
            </w:pPr>
            <w:r>
              <w:t>The business applied for JobKeeper in April, when its revenue declined by 35</w:t>
            </w:r>
            <w:r>
              <w:noBreakHyphen/>
              <w:t>40 per cent. Before it knew about JobKeeper, the business was prepared to cut work hours if sales fell by 40 per cent, and to make redundancies if things got worse. JobKeeper meant that the business did not need to make the hard decisions to cut back on its workforce.</w:t>
            </w:r>
          </w:p>
          <w:p w14:paraId="451933CC" w14:textId="77777777" w:rsidR="00C65AE3" w:rsidRDefault="00C65AE3" w:rsidP="002A5E02">
            <w:pPr>
              <w:pStyle w:val="Quoteref"/>
            </w:pPr>
            <w:r>
              <w:t>~ A business manufacturing installations for public spaces</w:t>
            </w:r>
          </w:p>
        </w:tc>
      </w:tr>
    </w:tbl>
    <w:p w14:paraId="6891E3E4" w14:textId="74F52BEE" w:rsidR="005E78F4" w:rsidRDefault="005E78F4">
      <w:pPr>
        <w:rPr>
          <w:rFonts w:asciiTheme="majorHAnsi" w:eastAsiaTheme="majorEastAsia" w:hAnsiTheme="majorHAnsi" w:cstheme="majorBidi"/>
          <w:color w:val="002035" w:themeColor="accent1" w:themeShade="BF"/>
          <w:sz w:val="32"/>
          <w:szCs w:val="32"/>
        </w:rPr>
      </w:pPr>
      <w:bookmarkStart w:id="793" w:name="_Toc43294090"/>
      <w:bookmarkStart w:id="794" w:name="_Toc43300435"/>
      <w:bookmarkStart w:id="795" w:name="_Toc43302288"/>
      <w:bookmarkStart w:id="796" w:name="_Toc43303727"/>
      <w:bookmarkStart w:id="797" w:name="_Toc43305338"/>
      <w:bookmarkStart w:id="798" w:name="_Toc43306309"/>
      <w:bookmarkStart w:id="799" w:name="_Toc43309517"/>
    </w:p>
    <w:p w14:paraId="388136B3" w14:textId="7E14BEB2" w:rsidR="00791BAA" w:rsidRDefault="00791BAA" w:rsidP="009B6E0C">
      <w:pPr>
        <w:pStyle w:val="Heading1"/>
      </w:pPr>
      <w:bookmarkStart w:id="800" w:name="_Toc43802503"/>
      <w:bookmarkStart w:id="801" w:name="_Toc43809351"/>
      <w:bookmarkStart w:id="802" w:name="_Toc43815616"/>
      <w:bookmarkStart w:id="803" w:name="_Toc43817549"/>
      <w:bookmarkStart w:id="804" w:name="_Toc43825320"/>
      <w:bookmarkStart w:id="805" w:name="_Toc43825424"/>
      <w:bookmarkStart w:id="806" w:name="_Toc43825517"/>
      <w:bookmarkStart w:id="807" w:name="_Toc43996253"/>
      <w:bookmarkStart w:id="808" w:name="_Toc43998512"/>
      <w:bookmarkStart w:id="809" w:name="_Toc43998439"/>
      <w:bookmarkStart w:id="810" w:name="_Toc44069961"/>
      <w:bookmarkStart w:id="811" w:name="_Toc44071365"/>
      <w:bookmarkStart w:id="812" w:name="_Toc44073489"/>
      <w:bookmarkStart w:id="813" w:name="_Toc44074629"/>
      <w:bookmarkStart w:id="814" w:name="_Toc44079518"/>
      <w:bookmarkStart w:id="815" w:name="_Toc44079813"/>
      <w:bookmarkStart w:id="816" w:name="_Toc44079948"/>
      <w:bookmarkStart w:id="817" w:name="_Toc44319859"/>
      <w:bookmarkStart w:id="818" w:name="_Toc44321567"/>
      <w:bookmarkStart w:id="819" w:name="_Toc44323734"/>
      <w:bookmarkStart w:id="820" w:name="_Toc44326197"/>
      <w:bookmarkStart w:id="821" w:name="_Toc44330519"/>
      <w:bookmarkStart w:id="822" w:name="_Toc44330761"/>
      <w:bookmarkStart w:id="823" w:name="_Toc44333193"/>
      <w:bookmarkStart w:id="824" w:name="_Toc44334824"/>
      <w:bookmarkStart w:id="825" w:name="_Toc45227437"/>
      <w:bookmarkStart w:id="826" w:name="_Toc45799038"/>
      <w:r>
        <w:lastRenderedPageBreak/>
        <w:t xml:space="preserve">JobKeeper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00782375">
        <w:t>design elements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01C5308" w14:textId="69F203D1" w:rsidR="0072441A" w:rsidRPr="00493DD8" w:rsidRDefault="00F329CE" w:rsidP="00C01343">
      <w:pPr>
        <w:rPr>
          <w:color w:val="000000" w:themeColor="text1"/>
        </w:rPr>
      </w:pPr>
      <w:r w:rsidRPr="00493DD8">
        <w:rPr>
          <w:color w:val="000000" w:themeColor="text1"/>
        </w:rPr>
        <w:t xml:space="preserve">JobKeeper was designed in the second half of March </w:t>
      </w:r>
      <w:r w:rsidR="00317742">
        <w:rPr>
          <w:color w:val="000000" w:themeColor="text1"/>
        </w:rPr>
        <w:t xml:space="preserve">2020 </w:t>
      </w:r>
      <w:r w:rsidRPr="00493DD8">
        <w:rPr>
          <w:color w:val="000000" w:themeColor="text1"/>
        </w:rPr>
        <w:t>to staunch the decline in job loss and provide a confidence boost to both employers and employees. It was necessary for the program to be delivered quickly</w:t>
      </w:r>
      <w:r w:rsidR="00782375" w:rsidRPr="00493DD8">
        <w:rPr>
          <w:color w:val="000000" w:themeColor="text1"/>
        </w:rPr>
        <w:t xml:space="preserve">, and to work effectively with the JobSeeker </w:t>
      </w:r>
      <w:r w:rsidR="00BE34F0">
        <w:rPr>
          <w:color w:val="000000" w:themeColor="text1"/>
        </w:rPr>
        <w:t>P</w:t>
      </w:r>
      <w:r w:rsidR="00782375" w:rsidRPr="00493DD8">
        <w:rPr>
          <w:color w:val="000000" w:themeColor="text1"/>
        </w:rPr>
        <w:t>ayment.</w:t>
      </w:r>
      <w:r w:rsidRPr="00493DD8">
        <w:rPr>
          <w:color w:val="000000" w:themeColor="text1"/>
        </w:rPr>
        <w:t xml:space="preserve"> </w:t>
      </w:r>
      <w:r w:rsidR="00782375" w:rsidRPr="00493DD8">
        <w:rPr>
          <w:color w:val="000000" w:themeColor="text1"/>
        </w:rPr>
        <w:t>These</w:t>
      </w:r>
      <w:r w:rsidR="008B45AC" w:rsidRPr="00493DD8">
        <w:rPr>
          <w:color w:val="000000" w:themeColor="text1"/>
        </w:rPr>
        <w:t xml:space="preserve"> requirement</w:t>
      </w:r>
      <w:r w:rsidR="00782375" w:rsidRPr="00493DD8">
        <w:rPr>
          <w:color w:val="000000" w:themeColor="text1"/>
        </w:rPr>
        <w:t>s</w:t>
      </w:r>
      <w:r w:rsidR="008B45AC" w:rsidRPr="00493DD8">
        <w:rPr>
          <w:color w:val="000000" w:themeColor="text1"/>
        </w:rPr>
        <w:t xml:space="preserve"> helped</w:t>
      </w:r>
      <w:r w:rsidR="0072441A" w:rsidRPr="00493DD8">
        <w:rPr>
          <w:color w:val="000000" w:themeColor="text1"/>
        </w:rPr>
        <w:t xml:space="preserve"> </w:t>
      </w:r>
      <w:r w:rsidR="00062962" w:rsidRPr="00493DD8">
        <w:rPr>
          <w:color w:val="000000" w:themeColor="text1"/>
        </w:rPr>
        <w:t>shape</w:t>
      </w:r>
      <w:r w:rsidRPr="00493DD8">
        <w:rPr>
          <w:color w:val="000000" w:themeColor="text1"/>
        </w:rPr>
        <w:t xml:space="preserve"> a number of policy design choices made by the </w:t>
      </w:r>
      <w:r w:rsidR="00D13C70">
        <w:rPr>
          <w:color w:val="000000" w:themeColor="text1"/>
        </w:rPr>
        <w:t>G</w:t>
      </w:r>
      <w:r w:rsidRPr="00493DD8">
        <w:rPr>
          <w:color w:val="000000" w:themeColor="text1"/>
        </w:rPr>
        <w:t xml:space="preserve">overnment. </w:t>
      </w:r>
    </w:p>
    <w:p w14:paraId="69AA4A39" w14:textId="6F58ED69" w:rsidR="00F329CE" w:rsidRPr="00493DD8" w:rsidRDefault="003D6F4D" w:rsidP="00CE281E">
      <w:pPr>
        <w:rPr>
          <w:color w:val="000000" w:themeColor="text1"/>
        </w:rPr>
      </w:pPr>
      <w:r w:rsidRPr="00493DD8">
        <w:rPr>
          <w:color w:val="000000" w:themeColor="text1"/>
        </w:rPr>
        <w:t>Some of the</w:t>
      </w:r>
      <w:r w:rsidR="00F329CE" w:rsidRPr="00493DD8">
        <w:rPr>
          <w:color w:val="000000" w:themeColor="text1"/>
        </w:rPr>
        <w:t xml:space="preserve"> </w:t>
      </w:r>
      <w:r w:rsidR="00CE281E" w:rsidRPr="00493DD8">
        <w:rPr>
          <w:color w:val="000000" w:themeColor="text1"/>
        </w:rPr>
        <w:t>design elements</w:t>
      </w:r>
      <w:r w:rsidR="00F329CE" w:rsidRPr="00493DD8">
        <w:rPr>
          <w:color w:val="000000" w:themeColor="text1"/>
        </w:rPr>
        <w:t xml:space="preserve"> of JobKeeper that </w:t>
      </w:r>
      <w:r w:rsidRPr="00493DD8">
        <w:rPr>
          <w:color w:val="000000" w:themeColor="text1"/>
        </w:rPr>
        <w:t>enabled</w:t>
      </w:r>
      <w:r w:rsidR="00CE281E" w:rsidRPr="00493DD8">
        <w:rPr>
          <w:color w:val="000000" w:themeColor="text1"/>
        </w:rPr>
        <w:t xml:space="preserve"> it to </w:t>
      </w:r>
      <w:r w:rsidR="00F329CE" w:rsidRPr="00493DD8">
        <w:rPr>
          <w:color w:val="000000" w:themeColor="text1"/>
        </w:rPr>
        <w:t xml:space="preserve">function effectively on the downward part of the </w:t>
      </w:r>
      <w:r w:rsidRPr="00493DD8">
        <w:rPr>
          <w:color w:val="000000" w:themeColor="text1"/>
        </w:rPr>
        <w:t xml:space="preserve">economic cycle </w:t>
      </w:r>
      <w:r w:rsidR="00CE281E" w:rsidRPr="00493DD8">
        <w:rPr>
          <w:color w:val="000000" w:themeColor="text1"/>
        </w:rPr>
        <w:t xml:space="preserve">would </w:t>
      </w:r>
      <w:r w:rsidRPr="00493DD8">
        <w:rPr>
          <w:color w:val="000000" w:themeColor="text1"/>
        </w:rPr>
        <w:t xml:space="preserve">be expected to </w:t>
      </w:r>
      <w:r w:rsidR="00CE281E" w:rsidRPr="00493DD8">
        <w:rPr>
          <w:color w:val="000000" w:themeColor="text1"/>
        </w:rPr>
        <w:t>have adverse economic effects under regular conditions. These adverse effects may become more pronounced as the economy moves into a recovery phase</w:t>
      </w:r>
      <w:r w:rsidRPr="00493DD8">
        <w:rPr>
          <w:color w:val="000000" w:themeColor="text1"/>
        </w:rPr>
        <w:t xml:space="preserve"> and gathers pace</w:t>
      </w:r>
      <w:r w:rsidR="00F329CE" w:rsidRPr="00493DD8">
        <w:rPr>
          <w:color w:val="000000" w:themeColor="text1"/>
        </w:rPr>
        <w:t>.</w:t>
      </w:r>
    </w:p>
    <w:p w14:paraId="44EE5143" w14:textId="77777777" w:rsidR="00F329CE" w:rsidRDefault="00F329CE" w:rsidP="00755C53">
      <w:pPr>
        <w:pStyle w:val="Heading2"/>
      </w:pPr>
      <w:bookmarkStart w:id="827" w:name="_Toc43294091"/>
      <w:bookmarkStart w:id="828" w:name="_Toc43302289"/>
      <w:bookmarkStart w:id="829" w:name="_Toc43303728"/>
      <w:bookmarkStart w:id="830" w:name="_Toc43305339"/>
      <w:bookmarkStart w:id="831" w:name="_Toc43306310"/>
      <w:bookmarkStart w:id="832" w:name="_Toc43309518"/>
      <w:bookmarkStart w:id="833" w:name="_Toc43802504"/>
      <w:bookmarkStart w:id="834" w:name="_Toc43809352"/>
      <w:bookmarkStart w:id="835" w:name="_Toc43815617"/>
      <w:bookmarkStart w:id="836" w:name="_Toc43817550"/>
      <w:bookmarkStart w:id="837" w:name="_Toc43825321"/>
      <w:bookmarkStart w:id="838" w:name="_Toc43825425"/>
      <w:bookmarkStart w:id="839" w:name="_Toc43825518"/>
      <w:bookmarkStart w:id="840" w:name="_Toc43996254"/>
      <w:bookmarkStart w:id="841" w:name="_Toc43998513"/>
      <w:bookmarkStart w:id="842" w:name="_Toc43998440"/>
      <w:bookmarkStart w:id="843" w:name="_Toc44069962"/>
      <w:bookmarkStart w:id="844" w:name="_Toc44071366"/>
      <w:bookmarkStart w:id="845" w:name="_Toc44073490"/>
      <w:bookmarkStart w:id="846" w:name="_Toc44074630"/>
      <w:bookmarkStart w:id="847" w:name="_Toc44079519"/>
      <w:bookmarkStart w:id="848" w:name="_Toc44079814"/>
      <w:bookmarkStart w:id="849" w:name="_Toc44079949"/>
      <w:bookmarkStart w:id="850" w:name="_Toc44319860"/>
      <w:bookmarkStart w:id="851" w:name="_Toc44321568"/>
      <w:bookmarkStart w:id="852" w:name="_Toc44323735"/>
      <w:bookmarkStart w:id="853" w:name="_Toc44326198"/>
      <w:bookmarkStart w:id="854" w:name="_Toc44330520"/>
      <w:bookmarkStart w:id="855" w:name="_Toc44330762"/>
      <w:bookmarkStart w:id="856" w:name="_Toc44333194"/>
      <w:bookmarkStart w:id="857" w:name="_Toc44334825"/>
      <w:bookmarkStart w:id="858" w:name="_Toc45227438"/>
      <w:bookmarkStart w:id="859" w:name="_Toc45799039"/>
      <w:r>
        <w:t>Incentives to work</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4A400B72" w14:textId="06433263" w:rsidR="009B487F" w:rsidRPr="00493DD8" w:rsidRDefault="00BF2965" w:rsidP="007F3867">
      <w:pPr>
        <w:rPr>
          <w:color w:val="000000" w:themeColor="text1"/>
        </w:rPr>
      </w:pPr>
      <w:r w:rsidRPr="00493DD8">
        <w:rPr>
          <w:color w:val="000000" w:themeColor="text1"/>
        </w:rPr>
        <w:t xml:space="preserve">People undertake paid work for a wide variety </w:t>
      </w:r>
      <w:r w:rsidR="00ED3B71" w:rsidRPr="00493DD8">
        <w:rPr>
          <w:color w:val="000000" w:themeColor="text1"/>
        </w:rPr>
        <w:t>of reasons, but p</w:t>
      </w:r>
      <w:r w:rsidRPr="00493DD8">
        <w:rPr>
          <w:color w:val="000000" w:themeColor="text1"/>
        </w:rPr>
        <w:t xml:space="preserve">ay is paramount for many. Pay is ordinarily tied to hours of work. Casual workers are paid by the hour, while </w:t>
      </w:r>
      <w:r w:rsidR="00ED3B71" w:rsidRPr="00493DD8">
        <w:rPr>
          <w:color w:val="000000" w:themeColor="text1"/>
        </w:rPr>
        <w:t>most</w:t>
      </w:r>
      <w:r w:rsidRPr="00493DD8">
        <w:rPr>
          <w:color w:val="000000" w:themeColor="text1"/>
        </w:rPr>
        <w:t xml:space="preserve"> part</w:t>
      </w:r>
      <w:r w:rsidR="00DE2760">
        <w:rPr>
          <w:color w:val="000000" w:themeColor="text1"/>
        </w:rPr>
        <w:noBreakHyphen/>
      </w:r>
      <w:r w:rsidRPr="00493DD8">
        <w:rPr>
          <w:color w:val="000000" w:themeColor="text1"/>
        </w:rPr>
        <w:t>time and full</w:t>
      </w:r>
      <w:r w:rsidR="00DE2760">
        <w:rPr>
          <w:color w:val="000000" w:themeColor="text1"/>
        </w:rPr>
        <w:noBreakHyphen/>
      </w:r>
      <w:r w:rsidRPr="00493DD8">
        <w:rPr>
          <w:color w:val="000000" w:themeColor="text1"/>
        </w:rPr>
        <w:t xml:space="preserve">time workers are eligible for overtime payments if they exceed their regular hours. </w:t>
      </w:r>
      <w:r w:rsidR="009B487F" w:rsidRPr="00493DD8">
        <w:rPr>
          <w:color w:val="000000" w:themeColor="text1"/>
        </w:rPr>
        <w:t>For many people, t</w:t>
      </w:r>
      <w:r w:rsidRPr="00493DD8">
        <w:rPr>
          <w:color w:val="000000" w:themeColor="text1"/>
        </w:rPr>
        <w:t xml:space="preserve">he </w:t>
      </w:r>
      <w:r w:rsidR="009B487F" w:rsidRPr="00493DD8">
        <w:rPr>
          <w:color w:val="000000" w:themeColor="text1"/>
        </w:rPr>
        <w:t xml:space="preserve">impact of the Coronavirus and the </w:t>
      </w:r>
      <w:r w:rsidRPr="00493DD8">
        <w:rPr>
          <w:color w:val="000000" w:themeColor="text1"/>
        </w:rPr>
        <w:t xml:space="preserve">introduction of JobKeeper has altered </w:t>
      </w:r>
      <w:r w:rsidR="009B487F" w:rsidRPr="00493DD8">
        <w:rPr>
          <w:color w:val="000000" w:themeColor="text1"/>
        </w:rPr>
        <w:t>what they are paid</w:t>
      </w:r>
      <w:r w:rsidR="00CC41F9">
        <w:rPr>
          <w:color w:val="000000" w:themeColor="text1"/>
        </w:rPr>
        <w:t>,</w:t>
      </w:r>
      <w:r w:rsidR="009B487F" w:rsidRPr="00493DD8">
        <w:rPr>
          <w:color w:val="000000" w:themeColor="text1"/>
        </w:rPr>
        <w:t xml:space="preserve"> their working hours</w:t>
      </w:r>
      <w:r w:rsidR="00CC41F9">
        <w:rPr>
          <w:color w:val="000000" w:themeColor="text1"/>
        </w:rPr>
        <w:t>,</w:t>
      </w:r>
      <w:r w:rsidR="00ED3B71" w:rsidRPr="00493DD8">
        <w:rPr>
          <w:color w:val="000000" w:themeColor="text1"/>
        </w:rPr>
        <w:t xml:space="preserve"> or both</w:t>
      </w:r>
      <w:r w:rsidR="00BD069C" w:rsidRPr="00493DD8">
        <w:rPr>
          <w:color w:val="000000" w:themeColor="text1"/>
        </w:rPr>
        <w:t xml:space="preserve">. These changes have </w:t>
      </w:r>
      <w:r w:rsidR="009B487F" w:rsidRPr="00493DD8">
        <w:rPr>
          <w:color w:val="000000" w:themeColor="text1"/>
        </w:rPr>
        <w:t xml:space="preserve">potentially </w:t>
      </w:r>
      <w:r w:rsidR="00BD069C" w:rsidRPr="00493DD8">
        <w:rPr>
          <w:color w:val="000000" w:themeColor="text1"/>
        </w:rPr>
        <w:t>blunted</w:t>
      </w:r>
      <w:r w:rsidR="009B487F" w:rsidRPr="00493DD8">
        <w:rPr>
          <w:color w:val="000000" w:themeColor="text1"/>
        </w:rPr>
        <w:t xml:space="preserve"> their incentives to work</w:t>
      </w:r>
      <w:r w:rsidR="00BD069C" w:rsidRPr="00493DD8">
        <w:rPr>
          <w:color w:val="000000" w:themeColor="text1"/>
        </w:rPr>
        <w:t>,</w:t>
      </w:r>
      <w:r w:rsidR="009B487F" w:rsidRPr="00493DD8">
        <w:rPr>
          <w:color w:val="000000" w:themeColor="text1"/>
        </w:rPr>
        <w:t xml:space="preserve"> or to take on additional hours of work. In addition, the introduction of enhanced income support under JobSeeker may also be affecting incentives to work.</w:t>
      </w:r>
    </w:p>
    <w:p w14:paraId="05B0480B" w14:textId="297F41CC" w:rsidR="00F329CE" w:rsidRDefault="009B487F" w:rsidP="007F3867">
      <w:pPr>
        <w:rPr>
          <w:color w:val="000000" w:themeColor="text1"/>
        </w:rPr>
      </w:pPr>
      <w:r w:rsidRPr="00493DD8">
        <w:rPr>
          <w:color w:val="000000" w:themeColor="text1"/>
        </w:rPr>
        <w:t xml:space="preserve">Among JobKeeper employee recipients there are two groups whose incentives to work or to take on </w:t>
      </w:r>
      <w:r w:rsidR="00ED3B71" w:rsidRPr="00493DD8">
        <w:rPr>
          <w:color w:val="000000" w:themeColor="text1"/>
        </w:rPr>
        <w:t xml:space="preserve">additional hours may </w:t>
      </w:r>
      <w:r w:rsidR="00BD069C" w:rsidRPr="00493DD8">
        <w:rPr>
          <w:color w:val="000000" w:themeColor="text1"/>
        </w:rPr>
        <w:t xml:space="preserve">have </w:t>
      </w:r>
      <w:r w:rsidR="00ED3B71" w:rsidRPr="00493DD8">
        <w:rPr>
          <w:color w:val="000000" w:themeColor="text1"/>
        </w:rPr>
        <w:t>be</w:t>
      </w:r>
      <w:r w:rsidR="00BD069C" w:rsidRPr="00493DD8">
        <w:rPr>
          <w:color w:val="000000" w:themeColor="text1"/>
        </w:rPr>
        <w:t>en</w:t>
      </w:r>
      <w:r w:rsidR="00ED3B71" w:rsidRPr="00493DD8">
        <w:rPr>
          <w:color w:val="000000" w:themeColor="text1"/>
        </w:rPr>
        <w:t xml:space="preserve"> blunted: part</w:t>
      </w:r>
      <w:r w:rsidR="00DE2760">
        <w:rPr>
          <w:color w:val="000000" w:themeColor="text1"/>
        </w:rPr>
        <w:noBreakHyphen/>
      </w:r>
      <w:r w:rsidR="00ED3B71" w:rsidRPr="00493DD8">
        <w:rPr>
          <w:color w:val="000000" w:themeColor="text1"/>
        </w:rPr>
        <w:t xml:space="preserve">timers and casuals who have received </w:t>
      </w:r>
      <w:r w:rsidR="009F185C">
        <w:rPr>
          <w:color w:val="000000" w:themeColor="text1"/>
        </w:rPr>
        <w:t>an increase in income</w:t>
      </w:r>
      <w:r w:rsidR="00ED3B71" w:rsidRPr="00493DD8">
        <w:rPr>
          <w:color w:val="000000" w:themeColor="text1"/>
        </w:rPr>
        <w:t xml:space="preserve"> due to the flat rate payment, and employees who have been stood down. </w:t>
      </w:r>
      <w:r w:rsidR="00AA01A9" w:rsidRPr="00493DD8">
        <w:rPr>
          <w:color w:val="000000" w:themeColor="text1"/>
        </w:rPr>
        <w:t xml:space="preserve">Several industry stakeholders </w:t>
      </w:r>
      <w:r w:rsidR="00F3645B">
        <w:rPr>
          <w:color w:val="000000" w:themeColor="text1"/>
        </w:rPr>
        <w:t xml:space="preserve">have shared </w:t>
      </w:r>
      <w:r w:rsidR="00AA01A9" w:rsidRPr="00493DD8">
        <w:rPr>
          <w:color w:val="000000" w:themeColor="text1"/>
        </w:rPr>
        <w:t>instances where part</w:t>
      </w:r>
      <w:r w:rsidR="00DE2760">
        <w:rPr>
          <w:color w:val="000000" w:themeColor="text1"/>
        </w:rPr>
        <w:noBreakHyphen/>
      </w:r>
      <w:r w:rsidR="00AA01A9" w:rsidRPr="00493DD8">
        <w:rPr>
          <w:color w:val="000000" w:themeColor="text1"/>
        </w:rPr>
        <w:t xml:space="preserve">time workers have been reluctant to do additional hours of work more commensurate with the JobKeeper </w:t>
      </w:r>
      <w:r w:rsidR="00966C6C">
        <w:rPr>
          <w:color w:val="000000" w:themeColor="text1"/>
        </w:rPr>
        <w:t>Payment</w:t>
      </w:r>
      <w:r w:rsidR="00AA01A9" w:rsidRPr="00493DD8">
        <w:rPr>
          <w:color w:val="000000" w:themeColor="text1"/>
        </w:rPr>
        <w:t xml:space="preserve">, </w:t>
      </w:r>
      <w:r w:rsidR="00EA3A51" w:rsidRPr="00493DD8">
        <w:rPr>
          <w:color w:val="000000" w:themeColor="text1"/>
        </w:rPr>
        <w:t>as well as</w:t>
      </w:r>
      <w:r w:rsidR="00AA01A9" w:rsidRPr="00493DD8">
        <w:rPr>
          <w:color w:val="000000" w:themeColor="text1"/>
        </w:rPr>
        <w:t xml:space="preserve"> instances where stood down workers have been reluctant to take on any work hours as businesses have begun to re</w:t>
      </w:r>
      <w:r w:rsidR="00DE2760">
        <w:rPr>
          <w:color w:val="000000" w:themeColor="text1"/>
        </w:rPr>
        <w:noBreakHyphen/>
      </w:r>
      <w:r w:rsidR="00AA01A9" w:rsidRPr="00493DD8">
        <w:rPr>
          <w:color w:val="000000" w:themeColor="text1"/>
        </w:rPr>
        <w:t>open in recent weeks. No quantitative evidence has been presented on either of these matters.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CE70E5" w14:paraId="13C9F6D0" w14:textId="77777777" w:rsidTr="009F135E">
        <w:tc>
          <w:tcPr>
            <w:tcW w:w="8494" w:type="dxa"/>
            <w:shd w:val="clear" w:color="auto" w:fill="F2F6F6"/>
          </w:tcPr>
          <w:p w14:paraId="4508F6AD" w14:textId="77777777" w:rsidR="00CE70E5" w:rsidRDefault="00CE70E5" w:rsidP="009F135E">
            <w:pPr>
              <w:pStyle w:val="Quoteexplainer"/>
            </w:pPr>
            <w:r>
              <w:t>Since reopening, the owner has reported it has “been tough” with some employees not wanting to accept shifts and return to work. They said the JobKeeper design is leading to increased absenteeism among some employees who are paid a minimum of $1,500 a fortnight regardless of hours worked.</w:t>
            </w:r>
          </w:p>
          <w:p w14:paraId="03EC1ABA" w14:textId="77777777" w:rsidR="00CE70E5" w:rsidRDefault="00CE70E5" w:rsidP="009F135E">
            <w:pPr>
              <w:pStyle w:val="Quoteref"/>
            </w:pPr>
            <w:r>
              <w:t>~ A small business in the accommodation and food services industry</w:t>
            </w:r>
          </w:p>
        </w:tc>
      </w:tr>
    </w:tbl>
    <w:p w14:paraId="1022070E" w14:textId="58613D8C" w:rsidR="00C82A7E" w:rsidRPr="00493DD8" w:rsidRDefault="000A4AE7" w:rsidP="00CE70E5">
      <w:pPr>
        <w:spacing w:before="240"/>
        <w:rPr>
          <w:color w:val="000000" w:themeColor="text1"/>
        </w:rPr>
      </w:pPr>
      <w:r w:rsidRPr="00493DD8">
        <w:rPr>
          <w:color w:val="000000" w:themeColor="text1"/>
        </w:rPr>
        <w:t>Under current JobSeeker policy settings</w:t>
      </w:r>
      <w:r w:rsidR="00DE2760">
        <w:rPr>
          <w:color w:val="000000" w:themeColor="text1"/>
        </w:rPr>
        <w:t xml:space="preserve"> — </w:t>
      </w:r>
      <w:r w:rsidR="00D47813" w:rsidRPr="00493DD8">
        <w:rPr>
          <w:color w:val="000000" w:themeColor="text1"/>
        </w:rPr>
        <w:t xml:space="preserve">including no waiting period and a gradual reintroduction of </w:t>
      </w:r>
      <w:r w:rsidRPr="00493DD8">
        <w:rPr>
          <w:color w:val="000000" w:themeColor="text1"/>
        </w:rPr>
        <w:t>mutual obligation requirements</w:t>
      </w:r>
      <w:r w:rsidR="00D47813" w:rsidRPr="00493DD8">
        <w:rPr>
          <w:color w:val="000000" w:themeColor="text1"/>
        </w:rPr>
        <w:t xml:space="preserve"> from 9 June</w:t>
      </w:r>
      <w:r w:rsidR="00317742">
        <w:rPr>
          <w:color w:val="000000" w:themeColor="text1"/>
        </w:rPr>
        <w:t xml:space="preserve"> 2020</w:t>
      </w:r>
      <w:r w:rsidR="00DE2760">
        <w:rPr>
          <w:color w:val="000000" w:themeColor="text1"/>
        </w:rPr>
        <w:t xml:space="preserve"> — </w:t>
      </w:r>
      <w:r w:rsidR="00EA3A51" w:rsidRPr="00493DD8">
        <w:rPr>
          <w:color w:val="000000" w:themeColor="text1"/>
        </w:rPr>
        <w:t xml:space="preserve">the </w:t>
      </w:r>
      <w:r w:rsidR="00D47813" w:rsidRPr="00493DD8">
        <w:rPr>
          <w:color w:val="000000" w:themeColor="text1"/>
        </w:rPr>
        <w:t>$1,124.50</w:t>
      </w:r>
      <w:r w:rsidRPr="00493DD8">
        <w:rPr>
          <w:color w:val="000000" w:themeColor="text1"/>
        </w:rPr>
        <w:t xml:space="preserve"> per fortnight</w:t>
      </w:r>
      <w:r w:rsidR="00757811" w:rsidRPr="00493DD8">
        <w:rPr>
          <w:color w:val="000000" w:themeColor="text1"/>
        </w:rPr>
        <w:t xml:space="preserve"> </w:t>
      </w:r>
      <w:r w:rsidR="00D47813" w:rsidRPr="00493DD8">
        <w:rPr>
          <w:color w:val="000000" w:themeColor="text1"/>
        </w:rPr>
        <w:t xml:space="preserve">maximum </w:t>
      </w:r>
      <w:r w:rsidR="00915615" w:rsidRPr="00493DD8">
        <w:rPr>
          <w:color w:val="000000" w:themeColor="text1"/>
        </w:rPr>
        <w:t>payment</w:t>
      </w:r>
      <w:r w:rsidR="00D47813" w:rsidRPr="00493DD8">
        <w:rPr>
          <w:color w:val="000000" w:themeColor="text1"/>
        </w:rPr>
        <w:t xml:space="preserve"> </w:t>
      </w:r>
      <w:r w:rsidRPr="00493DD8">
        <w:rPr>
          <w:color w:val="000000" w:themeColor="text1"/>
        </w:rPr>
        <w:t xml:space="preserve">available to </w:t>
      </w:r>
      <w:r w:rsidR="00757811" w:rsidRPr="00493DD8">
        <w:rPr>
          <w:color w:val="000000" w:themeColor="text1"/>
        </w:rPr>
        <w:t>single</w:t>
      </w:r>
      <w:r w:rsidR="00D47813" w:rsidRPr="00493DD8">
        <w:rPr>
          <w:color w:val="000000" w:themeColor="text1"/>
        </w:rPr>
        <w:t>, no</w:t>
      </w:r>
      <w:r w:rsidR="00DE2760">
        <w:rPr>
          <w:color w:val="000000" w:themeColor="text1"/>
        </w:rPr>
        <w:noBreakHyphen/>
      </w:r>
      <w:r w:rsidR="00D47813" w:rsidRPr="00493DD8">
        <w:rPr>
          <w:color w:val="000000" w:themeColor="text1"/>
        </w:rPr>
        <w:t>dependent JobSeeker Payment</w:t>
      </w:r>
      <w:r w:rsidRPr="00493DD8">
        <w:rPr>
          <w:color w:val="000000" w:themeColor="text1"/>
        </w:rPr>
        <w:t xml:space="preserve"> recipients effectively fo</w:t>
      </w:r>
      <w:r w:rsidR="00723090" w:rsidRPr="00493DD8">
        <w:rPr>
          <w:color w:val="000000" w:themeColor="text1"/>
        </w:rPr>
        <w:t>rms a new reservation wage</w:t>
      </w:r>
      <w:r w:rsidR="008B45AC" w:rsidRPr="00493DD8">
        <w:rPr>
          <w:color w:val="000000" w:themeColor="text1"/>
        </w:rPr>
        <w:t xml:space="preserve"> or floor</w:t>
      </w:r>
      <w:r w:rsidR="00661BC1" w:rsidRPr="00493DD8">
        <w:rPr>
          <w:color w:val="000000" w:themeColor="text1"/>
        </w:rPr>
        <w:t xml:space="preserve"> for this group</w:t>
      </w:r>
      <w:r w:rsidR="008B45AC" w:rsidRPr="00493DD8">
        <w:rPr>
          <w:color w:val="000000" w:themeColor="text1"/>
        </w:rPr>
        <w:t xml:space="preserve">, </w:t>
      </w:r>
      <w:r w:rsidR="00723090" w:rsidRPr="00493DD8">
        <w:rPr>
          <w:color w:val="000000" w:themeColor="text1"/>
        </w:rPr>
        <w:t>the wage level below whic</w:t>
      </w:r>
      <w:r w:rsidR="008B45AC" w:rsidRPr="00493DD8">
        <w:rPr>
          <w:color w:val="000000" w:themeColor="text1"/>
        </w:rPr>
        <w:t>h there is no</w:t>
      </w:r>
      <w:r w:rsidR="00062962" w:rsidRPr="00493DD8">
        <w:rPr>
          <w:color w:val="000000" w:themeColor="text1"/>
        </w:rPr>
        <w:t xml:space="preserve"> direct financial</w:t>
      </w:r>
      <w:r w:rsidR="008B45AC" w:rsidRPr="00493DD8">
        <w:rPr>
          <w:color w:val="000000" w:themeColor="text1"/>
        </w:rPr>
        <w:t xml:space="preserve"> incentive to work</w:t>
      </w:r>
      <w:r w:rsidR="00723090" w:rsidRPr="00493DD8">
        <w:rPr>
          <w:color w:val="000000" w:themeColor="text1"/>
        </w:rPr>
        <w:t>.</w:t>
      </w:r>
      <w:r w:rsidR="00661BC1" w:rsidRPr="00493DD8">
        <w:rPr>
          <w:rStyle w:val="FootnoteReference"/>
          <w:color w:val="000000" w:themeColor="text1"/>
        </w:rPr>
        <w:footnoteReference w:id="52"/>
      </w:r>
      <w:r w:rsidR="00723090" w:rsidRPr="00493DD8">
        <w:rPr>
          <w:color w:val="000000" w:themeColor="text1"/>
        </w:rPr>
        <w:t xml:space="preserve"> In May 2018, </w:t>
      </w:r>
      <w:r w:rsidR="00D47813" w:rsidRPr="00493DD8">
        <w:rPr>
          <w:color w:val="000000" w:themeColor="text1"/>
        </w:rPr>
        <w:t>just under</w:t>
      </w:r>
      <w:r w:rsidR="00757811" w:rsidRPr="00493DD8">
        <w:rPr>
          <w:color w:val="000000" w:themeColor="text1"/>
        </w:rPr>
        <w:t xml:space="preserve"> a quarter</w:t>
      </w:r>
      <w:r w:rsidR="008B45AC" w:rsidRPr="00493DD8">
        <w:rPr>
          <w:color w:val="000000" w:themeColor="text1"/>
        </w:rPr>
        <w:t xml:space="preserve"> of all private </w:t>
      </w:r>
      <w:r w:rsidR="008B45AC" w:rsidRPr="00493DD8">
        <w:rPr>
          <w:color w:val="000000" w:themeColor="text1"/>
        </w:rPr>
        <w:lastRenderedPageBreak/>
        <w:t>sector employees earned below this floor</w:t>
      </w:r>
      <w:r w:rsidR="00723090" w:rsidRPr="00493DD8">
        <w:rPr>
          <w:color w:val="000000" w:themeColor="text1"/>
        </w:rPr>
        <w:t>.</w:t>
      </w:r>
      <w:r w:rsidR="008B45AC" w:rsidRPr="00493DD8">
        <w:rPr>
          <w:rStyle w:val="FootnoteReference"/>
          <w:color w:val="000000" w:themeColor="text1"/>
        </w:rPr>
        <w:footnoteReference w:id="53"/>
      </w:r>
      <w:r w:rsidR="001601DF" w:rsidRPr="00493DD8">
        <w:rPr>
          <w:color w:val="000000" w:themeColor="text1"/>
        </w:rPr>
        <w:t xml:space="preserve"> </w:t>
      </w:r>
      <w:r w:rsidR="00C82A7E" w:rsidRPr="00493DD8">
        <w:rPr>
          <w:color w:val="000000" w:themeColor="text1"/>
        </w:rPr>
        <w:t>Access to other benefits, such as Commonwealth Rent Assistance or the Health Care Card, may</w:t>
      </w:r>
      <w:r w:rsidR="00AF0BE1">
        <w:rPr>
          <w:color w:val="000000" w:themeColor="text1"/>
        </w:rPr>
        <w:t> </w:t>
      </w:r>
      <w:r w:rsidR="00C82A7E" w:rsidRPr="00493DD8">
        <w:rPr>
          <w:color w:val="000000" w:themeColor="text1"/>
        </w:rPr>
        <w:t>increase the reservation wage for some JobSeeker recipients. Conversely, jobseekers will be incentivised to find work as compliance and other work activity measures are gradually re</w:t>
      </w:r>
      <w:r w:rsidR="00DE2760">
        <w:rPr>
          <w:color w:val="000000" w:themeColor="text1"/>
        </w:rPr>
        <w:noBreakHyphen/>
      </w:r>
      <w:r w:rsidR="00C82A7E" w:rsidRPr="00493DD8">
        <w:rPr>
          <w:color w:val="000000" w:themeColor="text1"/>
        </w:rPr>
        <w:t xml:space="preserve">introduced into mutual obligations. </w:t>
      </w:r>
    </w:p>
    <w:p w14:paraId="37FADE60" w14:textId="6932BA4E" w:rsidR="00981152" w:rsidRPr="00493DD8" w:rsidRDefault="001601DF" w:rsidP="00C01343">
      <w:pPr>
        <w:rPr>
          <w:color w:val="000000" w:themeColor="text1"/>
        </w:rPr>
      </w:pPr>
      <w:r w:rsidRPr="00493DD8">
        <w:rPr>
          <w:color w:val="000000" w:themeColor="text1"/>
        </w:rPr>
        <w:t>For businesses that are beginning to recover and re</w:t>
      </w:r>
      <w:r w:rsidR="00DE2760">
        <w:rPr>
          <w:color w:val="000000" w:themeColor="text1"/>
        </w:rPr>
        <w:noBreakHyphen/>
      </w:r>
      <w:r w:rsidRPr="00493DD8">
        <w:rPr>
          <w:color w:val="000000" w:themeColor="text1"/>
        </w:rPr>
        <w:t xml:space="preserve">hire staff </w:t>
      </w:r>
      <w:r w:rsidR="00E22FE8" w:rsidRPr="00493DD8">
        <w:rPr>
          <w:color w:val="000000" w:themeColor="text1"/>
        </w:rPr>
        <w:t>who</w:t>
      </w:r>
      <w:r w:rsidRPr="00493DD8">
        <w:rPr>
          <w:color w:val="000000" w:themeColor="text1"/>
        </w:rPr>
        <w:t xml:space="preserve"> they may have made redundant, or looking to hire a replacement for a JobKeeper eligible employee who has quit their position, </w:t>
      </w:r>
      <w:r w:rsidR="001B65EC" w:rsidRPr="00493DD8">
        <w:rPr>
          <w:color w:val="000000" w:themeColor="text1"/>
        </w:rPr>
        <w:t>this floor may limit the available supply of labour depending on the hours and wage rate on offer.</w:t>
      </w:r>
      <w:r w:rsidR="00ED3B71" w:rsidRPr="00493DD8">
        <w:rPr>
          <w:color w:val="000000" w:themeColor="text1"/>
        </w:rPr>
        <w:t xml:space="preserve"> </w:t>
      </w:r>
    </w:p>
    <w:p w14:paraId="15B6BEE8" w14:textId="6DDE4B22" w:rsidR="00ED3B71" w:rsidRDefault="00ED3B71" w:rsidP="00C01343">
      <w:pPr>
        <w:rPr>
          <w:color w:val="000000" w:themeColor="text1"/>
        </w:rPr>
      </w:pPr>
      <w:r w:rsidRPr="00493DD8">
        <w:rPr>
          <w:color w:val="000000" w:themeColor="text1"/>
        </w:rPr>
        <w:t xml:space="preserve">While unemployment levels are high, and given the benefits other than income to working, the adverse impacts </w:t>
      </w:r>
      <w:r w:rsidR="00981152" w:rsidRPr="00493DD8">
        <w:rPr>
          <w:color w:val="000000" w:themeColor="text1"/>
        </w:rPr>
        <w:t xml:space="preserve">outlined above </w:t>
      </w:r>
      <w:r w:rsidRPr="00493DD8">
        <w:rPr>
          <w:color w:val="000000" w:themeColor="text1"/>
        </w:rPr>
        <w:t>would be expected to be modest, but they could rise over time.</w:t>
      </w:r>
      <w:r w:rsidR="00981152" w:rsidRPr="00493DD8">
        <w:rPr>
          <w:color w:val="000000" w:themeColor="text1"/>
        </w:rPr>
        <w:t xml:space="preserve"> This</w:t>
      </w:r>
      <w:r w:rsidR="00AF0BE1">
        <w:rPr>
          <w:color w:val="000000" w:themeColor="text1"/>
        </w:rPr>
        <w:t> </w:t>
      </w:r>
      <w:r w:rsidR="00981152" w:rsidRPr="00493DD8">
        <w:rPr>
          <w:color w:val="000000" w:themeColor="text1"/>
        </w:rPr>
        <w:t>is a key rationale for JobKeeper being a time</w:t>
      </w:r>
      <w:r w:rsidR="00DE2760">
        <w:rPr>
          <w:color w:val="000000" w:themeColor="text1"/>
        </w:rPr>
        <w:noBreakHyphen/>
      </w:r>
      <w:r w:rsidR="00981152" w:rsidRPr="00493DD8">
        <w:rPr>
          <w:color w:val="000000" w:themeColor="text1"/>
        </w:rPr>
        <w:t>limited, rather than ongoing, program</w:t>
      </w:r>
      <w:r w:rsidR="00DE2760">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F84D35" w14:paraId="0C9872EB" w14:textId="77777777" w:rsidTr="00F84D35">
        <w:tc>
          <w:tcPr>
            <w:tcW w:w="8494" w:type="dxa"/>
            <w:shd w:val="clear" w:color="auto" w:fill="F2F6F6"/>
          </w:tcPr>
          <w:p w14:paraId="3D3B6419" w14:textId="630D7FBB" w:rsidR="00F84D35" w:rsidRDefault="00F84D35" w:rsidP="009464B8">
            <w:pPr>
              <w:pStyle w:val="Quoteexplainer"/>
            </w:pPr>
            <w:r>
              <w:t>JobKeeper enabled the restaurant to re</w:t>
            </w:r>
            <w:r w:rsidR="00DE2760">
              <w:noBreakHyphen/>
            </w:r>
            <w:r>
              <w:t>open shortly after health restrictions allowed it to, despite these restrictions limiting the number of customers to a point that the business would not typically be viable. Of the restaurant</w:t>
            </w:r>
            <w:r w:rsidR="00DE2760">
              <w:t>’</w:t>
            </w:r>
            <w:r>
              <w:t>s ten full</w:t>
            </w:r>
            <w:r w:rsidR="00DE2760">
              <w:noBreakHyphen/>
            </w:r>
            <w:r>
              <w:t>time workers, six were eligible for JobKeeper (the remainder were ineligible temporary visa holders), and four staff chose to return to work. Two staff did not return to work and advised they would rather receive income support payments.</w:t>
            </w:r>
          </w:p>
          <w:p w14:paraId="2A7BE727" w14:textId="104E11CA" w:rsidR="00F84D35" w:rsidRDefault="00F84D35" w:rsidP="009464B8">
            <w:pPr>
              <w:pStyle w:val="Quoteexplainer"/>
            </w:pPr>
            <w:r>
              <w:t xml:space="preserve">Once restrictions relaxed in June, the business hired new casual employees as JobKeeper took the pressure off the payroll. While new hires do not attract the JobKeeper </w:t>
            </w:r>
            <w:r w:rsidR="00966C6C">
              <w:t>Payment</w:t>
            </w:r>
            <w:r>
              <w:t xml:space="preserve">, the owner has used the payments received for existing workers to support their wages. </w:t>
            </w:r>
          </w:p>
          <w:p w14:paraId="6A063E7F" w14:textId="3806CF26" w:rsidR="00F84D35" w:rsidRDefault="00F84D35" w:rsidP="00317742">
            <w:pPr>
              <w:pStyle w:val="Quoteref"/>
            </w:pPr>
            <w:r>
              <w:t xml:space="preserve">~ </w:t>
            </w:r>
            <w:r w:rsidR="00317742">
              <w:t>A r</w:t>
            </w:r>
            <w:r>
              <w:t>estaurant and entertainment venue</w:t>
            </w:r>
          </w:p>
        </w:tc>
      </w:tr>
    </w:tbl>
    <w:p w14:paraId="04F2DAEB" w14:textId="164AE34B" w:rsidR="0051088E" w:rsidRDefault="0051088E" w:rsidP="0051088E">
      <w:pPr>
        <w:pStyle w:val="Single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51088E" w14:paraId="5250A170" w14:textId="77777777" w:rsidTr="00F84D35">
        <w:tc>
          <w:tcPr>
            <w:tcW w:w="8494" w:type="dxa"/>
            <w:shd w:val="clear" w:color="auto" w:fill="F2F6F6"/>
          </w:tcPr>
          <w:p w14:paraId="4445DC70" w14:textId="77777777" w:rsidR="0051088E" w:rsidRDefault="0051088E" w:rsidP="0051088E">
            <w:pPr>
              <w:pStyle w:val="Quote"/>
            </w:pPr>
            <w:r>
              <w:t>“JobKeeper ensured we stayed breathing.”</w:t>
            </w:r>
          </w:p>
          <w:p w14:paraId="47269AF7" w14:textId="77777777" w:rsidR="0051088E" w:rsidRDefault="0051088E" w:rsidP="0051088E">
            <w:pPr>
              <w:pStyle w:val="Quoteexplainer"/>
            </w:pPr>
            <w:r>
              <w:t>Business turnover reduced by 65 per cent in March and 100 per cent in April and May. As the pipeline of construction work dropped off, employees have been kept occupied with administrative and non</w:t>
            </w:r>
            <w:r>
              <w:noBreakHyphen/>
              <w:t>billable work. The business reported no unintended consequences. Although one school</w:t>
            </w:r>
            <w:r>
              <w:noBreakHyphen/>
              <w:t>aged apprentice now receives 80 per cent more than their usual wage, they have remained motivated to come into work and have a clear understanding that they will return to their normal wage once JobKeeper ceases.</w:t>
            </w:r>
          </w:p>
          <w:p w14:paraId="101A0C25" w14:textId="54E8BD03" w:rsidR="0051088E" w:rsidRDefault="0051088E" w:rsidP="00043E33">
            <w:pPr>
              <w:pStyle w:val="Quoteref"/>
            </w:pPr>
            <w:r>
              <w:t xml:space="preserve">~ </w:t>
            </w:r>
            <w:r w:rsidR="00043E33">
              <w:t>A s</w:t>
            </w:r>
            <w:r>
              <w:t>mall building and construction business</w:t>
            </w:r>
          </w:p>
        </w:tc>
      </w:tr>
    </w:tbl>
    <w:p w14:paraId="62F6C954" w14:textId="4A1DC0AE" w:rsidR="008B45AC" w:rsidRDefault="008B45AC" w:rsidP="005D2628">
      <w:pPr>
        <w:pStyle w:val="Heading2"/>
      </w:pPr>
      <w:bookmarkStart w:id="860" w:name="_Toc43294092"/>
      <w:bookmarkStart w:id="861" w:name="_Toc43302290"/>
      <w:bookmarkStart w:id="862" w:name="_Toc43303729"/>
      <w:bookmarkStart w:id="863" w:name="_Toc43305340"/>
      <w:bookmarkStart w:id="864" w:name="_Toc43306311"/>
      <w:bookmarkStart w:id="865" w:name="_Toc43309519"/>
      <w:bookmarkStart w:id="866" w:name="_Toc43802505"/>
      <w:bookmarkStart w:id="867" w:name="_Toc43809353"/>
      <w:bookmarkStart w:id="868" w:name="_Toc43815618"/>
      <w:bookmarkStart w:id="869" w:name="_Toc43817551"/>
      <w:bookmarkStart w:id="870" w:name="_Toc43825322"/>
      <w:bookmarkStart w:id="871" w:name="_Toc43825426"/>
      <w:bookmarkStart w:id="872" w:name="_Toc43825519"/>
      <w:bookmarkStart w:id="873" w:name="_Toc43996255"/>
      <w:bookmarkStart w:id="874" w:name="_Toc43998514"/>
      <w:bookmarkStart w:id="875" w:name="_Toc43998441"/>
      <w:bookmarkStart w:id="876" w:name="_Toc44069963"/>
      <w:bookmarkStart w:id="877" w:name="_Toc44071367"/>
      <w:bookmarkStart w:id="878" w:name="_Toc44073491"/>
      <w:bookmarkStart w:id="879" w:name="_Toc44074631"/>
      <w:bookmarkStart w:id="880" w:name="_Toc44079520"/>
      <w:bookmarkStart w:id="881" w:name="_Toc44079815"/>
      <w:bookmarkStart w:id="882" w:name="_Toc44079950"/>
      <w:bookmarkStart w:id="883" w:name="_Toc44319861"/>
      <w:bookmarkStart w:id="884" w:name="_Toc44321569"/>
      <w:bookmarkStart w:id="885" w:name="_Toc44323736"/>
      <w:bookmarkStart w:id="886" w:name="_Toc44326199"/>
      <w:bookmarkStart w:id="887" w:name="_Toc44330521"/>
      <w:bookmarkStart w:id="888" w:name="_Toc44330763"/>
      <w:bookmarkStart w:id="889" w:name="_Toc44333195"/>
      <w:bookmarkStart w:id="890" w:name="_Toc44334826"/>
      <w:bookmarkStart w:id="891" w:name="_Toc45227439"/>
      <w:bookmarkStart w:id="892" w:name="_Toc45799040"/>
      <w:r>
        <w:lastRenderedPageBreak/>
        <w:t>Labour mobility</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7458F638" w14:textId="77400417" w:rsidR="003D6F4D" w:rsidRPr="00493DD8" w:rsidRDefault="003D6F4D" w:rsidP="005D2628">
      <w:pPr>
        <w:keepNext/>
        <w:rPr>
          <w:color w:val="000000" w:themeColor="text1"/>
        </w:rPr>
      </w:pPr>
      <w:r w:rsidRPr="00493DD8">
        <w:rPr>
          <w:color w:val="000000" w:themeColor="text1"/>
        </w:rPr>
        <w:t xml:space="preserve">An important part of the process of recovery from recession is to let economic resources flow to their most productive use. In the labour market this occurs through people switching jobs, moving from businesses that are struggling to those that are growing. </w:t>
      </w:r>
      <w:r w:rsidRPr="00493DD8">
        <w:rPr>
          <w:color w:val="000000" w:themeColor="text1"/>
        </w:rPr>
        <w:tab/>
      </w:r>
    </w:p>
    <w:p w14:paraId="0BB02C8D" w14:textId="14070735" w:rsidR="004374DA" w:rsidRPr="00493DD8" w:rsidRDefault="003D6F4D" w:rsidP="003D6F4D">
      <w:pPr>
        <w:rPr>
          <w:color w:val="000000" w:themeColor="text1"/>
        </w:rPr>
      </w:pPr>
      <w:r w:rsidRPr="00493DD8">
        <w:rPr>
          <w:color w:val="000000" w:themeColor="text1"/>
        </w:rPr>
        <w:t xml:space="preserve">JobKeeper </w:t>
      </w:r>
      <w:r w:rsidR="004374DA" w:rsidRPr="00493DD8">
        <w:rPr>
          <w:color w:val="000000" w:themeColor="text1"/>
        </w:rPr>
        <w:t>can hamper</w:t>
      </w:r>
      <w:r w:rsidRPr="00493DD8">
        <w:rPr>
          <w:color w:val="000000" w:themeColor="text1"/>
        </w:rPr>
        <w:t xml:space="preserve"> this process. </w:t>
      </w:r>
      <w:r w:rsidR="004374DA" w:rsidRPr="00493DD8">
        <w:rPr>
          <w:color w:val="000000" w:themeColor="text1"/>
        </w:rPr>
        <w:t>It ties eligible employees to their employer as of 1</w:t>
      </w:r>
      <w:r w:rsidR="00317742">
        <w:rPr>
          <w:color w:val="000000" w:themeColor="text1"/>
        </w:rPr>
        <w:t> </w:t>
      </w:r>
      <w:r w:rsidR="004374DA" w:rsidRPr="00493DD8">
        <w:rPr>
          <w:color w:val="000000" w:themeColor="text1"/>
        </w:rPr>
        <w:t>March</w:t>
      </w:r>
      <w:r w:rsidR="00317742">
        <w:rPr>
          <w:color w:val="000000" w:themeColor="text1"/>
        </w:rPr>
        <w:t> 2020</w:t>
      </w:r>
      <w:r w:rsidR="004374DA" w:rsidRPr="00493DD8">
        <w:rPr>
          <w:color w:val="000000" w:themeColor="text1"/>
        </w:rPr>
        <w:t xml:space="preserve">. While there is nothing to prevent </w:t>
      </w:r>
      <w:r w:rsidR="007667A9" w:rsidRPr="00493DD8">
        <w:rPr>
          <w:color w:val="000000" w:themeColor="text1"/>
        </w:rPr>
        <w:t>these employees</w:t>
      </w:r>
      <w:r w:rsidR="004374DA" w:rsidRPr="00493DD8">
        <w:rPr>
          <w:color w:val="000000" w:themeColor="text1"/>
        </w:rPr>
        <w:t xml:space="preserve"> switching</w:t>
      </w:r>
      <w:r w:rsidR="00FA7C18">
        <w:rPr>
          <w:color w:val="000000" w:themeColor="text1"/>
        </w:rPr>
        <w:t xml:space="preserve"> employers</w:t>
      </w:r>
      <w:r w:rsidR="00DE2760">
        <w:rPr>
          <w:color w:val="000000" w:themeColor="text1"/>
        </w:rPr>
        <w:t xml:space="preserve"> — </w:t>
      </w:r>
      <w:r w:rsidR="00E22FE8" w:rsidRPr="00493DD8">
        <w:rPr>
          <w:color w:val="000000" w:themeColor="text1"/>
        </w:rPr>
        <w:t>and it does not prevent employers from making staff redun</w:t>
      </w:r>
      <w:r w:rsidR="00FA7C18">
        <w:rPr>
          <w:color w:val="000000" w:themeColor="text1"/>
        </w:rPr>
        <w:t>dant</w:t>
      </w:r>
      <w:r w:rsidR="00DE2760">
        <w:rPr>
          <w:color w:val="000000" w:themeColor="text1"/>
        </w:rPr>
        <w:t xml:space="preserve"> — </w:t>
      </w:r>
      <w:r w:rsidR="00FA7C18">
        <w:rPr>
          <w:color w:val="000000" w:themeColor="text1"/>
        </w:rPr>
        <w:t>t</w:t>
      </w:r>
      <w:r w:rsidR="007667A9" w:rsidRPr="00493DD8">
        <w:rPr>
          <w:color w:val="000000" w:themeColor="text1"/>
        </w:rPr>
        <w:t xml:space="preserve">he wage subsidy does not </w:t>
      </w:r>
      <w:r w:rsidR="00DD4C80" w:rsidRPr="00493DD8">
        <w:rPr>
          <w:color w:val="000000" w:themeColor="text1"/>
        </w:rPr>
        <w:t>move</w:t>
      </w:r>
      <w:r w:rsidR="007667A9" w:rsidRPr="00493DD8">
        <w:rPr>
          <w:color w:val="000000" w:themeColor="text1"/>
        </w:rPr>
        <w:t xml:space="preserve"> with the</w:t>
      </w:r>
      <w:r w:rsidR="00E22FE8" w:rsidRPr="00493DD8">
        <w:rPr>
          <w:color w:val="000000" w:themeColor="text1"/>
        </w:rPr>
        <w:t xml:space="preserve"> employee</w:t>
      </w:r>
      <w:r w:rsidR="007667A9" w:rsidRPr="00493DD8">
        <w:rPr>
          <w:color w:val="000000" w:themeColor="text1"/>
        </w:rPr>
        <w:t>, and it is not retained by their original employer if they wished to hire a replacement.</w:t>
      </w:r>
    </w:p>
    <w:p w14:paraId="13EABEE1" w14:textId="5E2D11E5" w:rsidR="003D6F4D" w:rsidRPr="00493DD8" w:rsidRDefault="003D6F4D" w:rsidP="007667A9">
      <w:pPr>
        <w:rPr>
          <w:color w:val="000000" w:themeColor="text1"/>
        </w:rPr>
      </w:pPr>
      <w:r w:rsidRPr="00493DD8">
        <w:rPr>
          <w:color w:val="000000" w:themeColor="text1"/>
        </w:rPr>
        <w:t xml:space="preserve">It </w:t>
      </w:r>
      <w:r w:rsidR="007667A9" w:rsidRPr="00493DD8">
        <w:rPr>
          <w:color w:val="000000" w:themeColor="text1"/>
        </w:rPr>
        <w:t xml:space="preserve">also </w:t>
      </w:r>
      <w:r w:rsidRPr="00493DD8">
        <w:rPr>
          <w:color w:val="000000" w:themeColor="text1"/>
        </w:rPr>
        <w:t xml:space="preserve">gives </w:t>
      </w:r>
      <w:r w:rsidR="00B036ED">
        <w:rPr>
          <w:color w:val="000000" w:themeColor="text1"/>
        </w:rPr>
        <w:t xml:space="preserve">employers participating in </w:t>
      </w:r>
      <w:r w:rsidR="007667A9" w:rsidRPr="00493DD8">
        <w:rPr>
          <w:color w:val="000000" w:themeColor="text1"/>
        </w:rPr>
        <w:t xml:space="preserve">JobKeeper a labour cost advantage relative to other employers, </w:t>
      </w:r>
      <w:r w:rsidRPr="00493DD8">
        <w:rPr>
          <w:color w:val="000000" w:themeColor="text1"/>
        </w:rPr>
        <w:t>up to</w:t>
      </w:r>
      <w:r w:rsidR="00FE1CDF">
        <w:rPr>
          <w:color w:val="000000" w:themeColor="text1"/>
        </w:rPr>
        <w:t xml:space="preserve"> </w:t>
      </w:r>
      <w:r w:rsidRPr="00493DD8">
        <w:rPr>
          <w:color w:val="000000" w:themeColor="text1"/>
        </w:rPr>
        <w:t>$750</w:t>
      </w:r>
      <w:r w:rsidR="00AF0BE1">
        <w:rPr>
          <w:color w:val="000000" w:themeColor="text1"/>
        </w:rPr>
        <w:t> </w:t>
      </w:r>
      <w:r w:rsidRPr="00493DD8">
        <w:rPr>
          <w:color w:val="000000" w:themeColor="text1"/>
        </w:rPr>
        <w:t>per week for each eligible employee.</w:t>
      </w:r>
      <w:r w:rsidRPr="00493DD8">
        <w:rPr>
          <w:rStyle w:val="FootnoteReference"/>
          <w:color w:val="000000" w:themeColor="text1"/>
        </w:rPr>
        <w:footnoteReference w:id="54"/>
      </w:r>
      <w:r w:rsidRPr="00493DD8">
        <w:rPr>
          <w:color w:val="000000" w:themeColor="text1"/>
        </w:rPr>
        <w:t xml:space="preserve"> The </w:t>
      </w:r>
      <w:r w:rsidR="002A4A34" w:rsidRPr="00493DD8">
        <w:rPr>
          <w:color w:val="000000" w:themeColor="text1"/>
        </w:rPr>
        <w:t>JobKeeper</w:t>
      </w:r>
      <w:r w:rsidRPr="00493DD8">
        <w:rPr>
          <w:color w:val="000000" w:themeColor="text1"/>
        </w:rPr>
        <w:t xml:space="preserve"> employer can devote part of the JobKeeper </w:t>
      </w:r>
      <w:r w:rsidR="007667A9" w:rsidRPr="00493DD8">
        <w:rPr>
          <w:color w:val="000000" w:themeColor="text1"/>
        </w:rPr>
        <w:t>wage subsidy</w:t>
      </w:r>
      <w:r w:rsidRPr="00493DD8">
        <w:rPr>
          <w:color w:val="000000" w:themeColor="text1"/>
        </w:rPr>
        <w:t xml:space="preserve"> to increasing the wages of </w:t>
      </w:r>
      <w:r w:rsidR="00E22FE8" w:rsidRPr="00493DD8">
        <w:rPr>
          <w:color w:val="000000" w:themeColor="text1"/>
        </w:rPr>
        <w:t>other</w:t>
      </w:r>
      <w:r w:rsidRPr="00493DD8">
        <w:rPr>
          <w:color w:val="000000" w:themeColor="text1"/>
        </w:rPr>
        <w:t xml:space="preserve"> valuable employees so as to retain them, even if they </w:t>
      </w:r>
      <w:r w:rsidR="007667A9" w:rsidRPr="00493DD8">
        <w:rPr>
          <w:color w:val="000000" w:themeColor="text1"/>
        </w:rPr>
        <w:t>might</w:t>
      </w:r>
      <w:r w:rsidRPr="00493DD8">
        <w:rPr>
          <w:color w:val="000000" w:themeColor="text1"/>
        </w:rPr>
        <w:t xml:space="preserve"> be deployed more productively by </w:t>
      </w:r>
      <w:r w:rsidR="002A4A34" w:rsidRPr="00493DD8">
        <w:rPr>
          <w:color w:val="000000" w:themeColor="text1"/>
        </w:rPr>
        <w:t>other</w:t>
      </w:r>
      <w:r w:rsidRPr="00493DD8">
        <w:rPr>
          <w:color w:val="000000" w:themeColor="text1"/>
        </w:rPr>
        <w:t xml:space="preserve"> employer</w:t>
      </w:r>
      <w:r w:rsidR="002A4A34" w:rsidRPr="00493DD8">
        <w:rPr>
          <w:color w:val="000000" w:themeColor="text1"/>
        </w:rPr>
        <w:t>s</w:t>
      </w:r>
      <w:r w:rsidRPr="00493DD8">
        <w:rPr>
          <w:color w:val="000000" w:themeColor="text1"/>
        </w:rPr>
        <w:t>.</w:t>
      </w:r>
    </w:p>
    <w:p w14:paraId="0F1D546F" w14:textId="376BDFEC" w:rsidR="002A4A34" w:rsidRPr="00493DD8" w:rsidRDefault="004374DA" w:rsidP="003D6F4D">
      <w:pPr>
        <w:rPr>
          <w:color w:val="000000" w:themeColor="text1"/>
        </w:rPr>
      </w:pPr>
      <w:r w:rsidRPr="00493DD8">
        <w:rPr>
          <w:color w:val="000000" w:themeColor="text1"/>
        </w:rPr>
        <w:t xml:space="preserve">Treasury analysis </w:t>
      </w:r>
      <w:r w:rsidRPr="00DA1BED">
        <w:rPr>
          <w:color w:val="000000" w:themeColor="text1"/>
        </w:rPr>
        <w:t>of business</w:t>
      </w:r>
      <w:r w:rsidRPr="00493DD8">
        <w:rPr>
          <w:color w:val="000000" w:themeColor="text1"/>
        </w:rPr>
        <w:t xml:space="preserve"> microdata has been used to examine trends in labour mobility up to late May.</w:t>
      </w:r>
      <w:r w:rsidR="005C06E3" w:rsidRPr="00493DD8">
        <w:rPr>
          <w:color w:val="000000" w:themeColor="text1"/>
        </w:rPr>
        <w:t xml:space="preserve"> The results are presented in </w:t>
      </w:r>
      <w:r w:rsidR="005C06E3" w:rsidRPr="00493DD8">
        <w:rPr>
          <w:b/>
          <w:color w:val="000000" w:themeColor="text1"/>
        </w:rPr>
        <w:t>Figure 7</w:t>
      </w:r>
      <w:r w:rsidR="005C06E3" w:rsidRPr="00493DD8">
        <w:rPr>
          <w:color w:val="000000" w:themeColor="text1"/>
        </w:rPr>
        <w:t>.</w:t>
      </w:r>
    </w:p>
    <w:p w14:paraId="6C284CDA" w14:textId="29F56EA2" w:rsidR="005C06E3" w:rsidRPr="00493DD8" w:rsidRDefault="005C06E3" w:rsidP="005C06E3">
      <w:pPr>
        <w:rPr>
          <w:color w:val="000000" w:themeColor="text1"/>
        </w:rPr>
      </w:pPr>
      <w:r w:rsidRPr="00493DD8">
        <w:rPr>
          <w:color w:val="000000" w:themeColor="text1"/>
        </w:rPr>
        <w:t xml:space="preserve">In aggregate the rate of job reallocation (the sum of hires </w:t>
      </w:r>
      <w:r w:rsidRPr="00493DD8">
        <w:rPr>
          <w:i/>
          <w:color w:val="000000" w:themeColor="text1"/>
        </w:rPr>
        <w:t>plus</w:t>
      </w:r>
      <w:r w:rsidRPr="00493DD8">
        <w:rPr>
          <w:color w:val="000000" w:themeColor="text1"/>
        </w:rPr>
        <w:t xml:space="preserve"> separations) among </w:t>
      </w:r>
      <w:r w:rsidR="00DA1BED">
        <w:rPr>
          <w:color w:val="000000" w:themeColor="text1"/>
        </w:rPr>
        <w:t xml:space="preserve">businesses </w:t>
      </w:r>
      <w:r w:rsidRPr="00493DD8">
        <w:rPr>
          <w:color w:val="000000" w:themeColor="text1"/>
        </w:rPr>
        <w:t xml:space="preserve">in May was around half the level that it was in February. Job reallocation rates typically fall in a recession, as businesses reduce hiring and individuals bunker down. The rate of job reallocation </w:t>
      </w:r>
      <w:r w:rsidR="00B42A48" w:rsidRPr="00493DD8">
        <w:rPr>
          <w:color w:val="000000" w:themeColor="text1"/>
        </w:rPr>
        <w:t>was</w:t>
      </w:r>
      <w:r w:rsidRPr="00493DD8">
        <w:rPr>
          <w:color w:val="000000" w:themeColor="text1"/>
        </w:rPr>
        <w:t xml:space="preserve"> </w:t>
      </w:r>
      <w:r w:rsidR="00641761" w:rsidRPr="00493DD8">
        <w:rPr>
          <w:color w:val="000000" w:themeColor="text1"/>
        </w:rPr>
        <w:t>considerably lower in</w:t>
      </w:r>
      <w:r w:rsidR="00B42A48" w:rsidRPr="00493DD8">
        <w:rPr>
          <w:color w:val="000000" w:themeColor="text1"/>
        </w:rPr>
        <w:t xml:space="preserve"> May </w:t>
      </w:r>
      <w:r w:rsidR="0032217B" w:rsidRPr="00493DD8">
        <w:rPr>
          <w:color w:val="000000" w:themeColor="text1"/>
        </w:rPr>
        <w:t>among</w:t>
      </w:r>
      <w:r w:rsidR="00641761" w:rsidRPr="00493DD8">
        <w:rPr>
          <w:color w:val="000000" w:themeColor="text1"/>
        </w:rPr>
        <w:t xml:space="preserve"> JobKeeper recipient</w:t>
      </w:r>
      <w:r w:rsidR="00DA1BED">
        <w:rPr>
          <w:color w:val="000000" w:themeColor="text1"/>
        </w:rPr>
        <w:t xml:space="preserve"> businesses </w:t>
      </w:r>
      <w:r w:rsidR="00641761" w:rsidRPr="00493DD8">
        <w:rPr>
          <w:color w:val="000000" w:themeColor="text1"/>
        </w:rPr>
        <w:t xml:space="preserve">than </w:t>
      </w:r>
      <w:r w:rsidR="0032217B" w:rsidRPr="00493DD8">
        <w:rPr>
          <w:color w:val="000000" w:themeColor="text1"/>
        </w:rPr>
        <w:t xml:space="preserve">in </w:t>
      </w:r>
      <w:r w:rsidR="00641761" w:rsidRPr="00493DD8">
        <w:rPr>
          <w:color w:val="000000" w:themeColor="text1"/>
        </w:rPr>
        <w:t xml:space="preserve">other </w:t>
      </w:r>
      <w:r w:rsidR="00DA1BED">
        <w:rPr>
          <w:color w:val="000000" w:themeColor="text1"/>
        </w:rPr>
        <w:t>businesses</w:t>
      </w:r>
      <w:r w:rsidR="00641761" w:rsidRPr="00493DD8">
        <w:rPr>
          <w:color w:val="000000" w:themeColor="text1"/>
        </w:rPr>
        <w:t xml:space="preserve">, </w:t>
      </w:r>
      <w:r w:rsidR="00EC2CB2" w:rsidRPr="00493DD8">
        <w:rPr>
          <w:color w:val="000000" w:themeColor="text1"/>
        </w:rPr>
        <w:t>reflecting</w:t>
      </w:r>
      <w:r w:rsidR="00641761" w:rsidRPr="00493DD8">
        <w:rPr>
          <w:color w:val="000000" w:themeColor="text1"/>
        </w:rPr>
        <w:t xml:space="preserve"> a lower rate of both separations and hiring. This suggests that the objective of preserving the employment relationship is being met. </w:t>
      </w:r>
      <w:r w:rsidR="0032217B" w:rsidRPr="00493DD8">
        <w:rPr>
          <w:color w:val="000000" w:themeColor="text1"/>
        </w:rPr>
        <w:t>As businesses begin to recover and their cash flow situation improves</w:t>
      </w:r>
      <w:r w:rsidR="00146531" w:rsidRPr="00493DD8">
        <w:rPr>
          <w:color w:val="000000" w:themeColor="text1"/>
        </w:rPr>
        <w:t xml:space="preserve"> it is likely that hiring rates will pick up, and many JobKeeper employers might be expected to offer new positions to some of those that lost their jobs during March and April.</w:t>
      </w:r>
    </w:p>
    <w:p w14:paraId="77E6A586" w14:textId="544DD82E" w:rsidR="0012659A" w:rsidRPr="00493DD8" w:rsidRDefault="008B5E15">
      <w:pPr>
        <w:rPr>
          <w:b/>
          <w:color w:val="000000" w:themeColor="text1"/>
          <w:szCs w:val="18"/>
        </w:rPr>
      </w:pPr>
      <w:r w:rsidRPr="00493DD8">
        <w:rPr>
          <w:b/>
          <w:color w:val="000000" w:themeColor="text1"/>
        </w:rPr>
        <w:t xml:space="preserve">Figure </w:t>
      </w:r>
      <w:r w:rsidR="009D2A74" w:rsidRPr="00493DD8">
        <w:rPr>
          <w:b/>
          <w:color w:val="000000" w:themeColor="text1"/>
        </w:rPr>
        <w:t>7</w:t>
      </w:r>
      <w:r w:rsidR="00BA2D39" w:rsidRPr="00493DD8">
        <w:rPr>
          <w:color w:val="000000" w:themeColor="text1"/>
        </w:rPr>
        <w:t xml:space="preserve"> </w:t>
      </w:r>
      <w:r w:rsidR="00641761" w:rsidRPr="00493DD8">
        <w:rPr>
          <w:color w:val="000000" w:themeColor="text1"/>
        </w:rPr>
        <w:t xml:space="preserve">also </w:t>
      </w:r>
      <w:r w:rsidR="00BA2D39" w:rsidRPr="00493DD8">
        <w:rPr>
          <w:color w:val="000000" w:themeColor="text1"/>
        </w:rPr>
        <w:t xml:space="preserve">shows that </w:t>
      </w:r>
      <w:r w:rsidR="00B42A48" w:rsidRPr="00493DD8">
        <w:rPr>
          <w:color w:val="000000" w:themeColor="text1"/>
        </w:rPr>
        <w:t xml:space="preserve">the introduction of JobKeeper brought a very sudden reversal to a large spike in separations in businesses strongly affected by the slowdown. The separation rate for these businesses (that went on to become JobKeeper recipients) doubled in late March, </w:t>
      </w:r>
      <w:r w:rsidR="00EC2CB2" w:rsidRPr="00493DD8">
        <w:rPr>
          <w:color w:val="000000" w:themeColor="text1"/>
        </w:rPr>
        <w:t>dropped</w:t>
      </w:r>
      <w:r w:rsidR="00B42A48" w:rsidRPr="00493DD8">
        <w:rPr>
          <w:color w:val="000000" w:themeColor="text1"/>
        </w:rPr>
        <w:t xml:space="preserve"> immediately following the JobKeeper announcement, and by May was less than half the rate</w:t>
      </w:r>
      <w:r w:rsidR="00EC2CB2" w:rsidRPr="00493DD8">
        <w:rPr>
          <w:color w:val="000000" w:themeColor="text1"/>
        </w:rPr>
        <w:t xml:space="preserve"> of early March</w:t>
      </w:r>
      <w:r w:rsidR="00B77431" w:rsidRPr="00493DD8">
        <w:rPr>
          <w:color w:val="000000" w:themeColor="text1"/>
        </w:rPr>
        <w:t xml:space="preserve">. </w:t>
      </w:r>
      <w:bookmarkStart w:id="893" w:name="_Toc43462904"/>
      <w:bookmarkStart w:id="894" w:name="_Toc43466284"/>
      <w:bookmarkStart w:id="895" w:name="_Toc43469276"/>
      <w:bookmarkStart w:id="896" w:name="_Toc43469671"/>
      <w:bookmarkStart w:id="897" w:name="_Toc43469947"/>
      <w:bookmarkStart w:id="898" w:name="_Toc43469961"/>
      <w:bookmarkStart w:id="899" w:name="_Toc43729210"/>
      <w:bookmarkStart w:id="900" w:name="_Toc43730798"/>
      <w:bookmarkStart w:id="901" w:name="_Toc43731576"/>
      <w:bookmarkStart w:id="902" w:name="_Toc43732048"/>
      <w:bookmarkStart w:id="903" w:name="_Toc43733866"/>
      <w:bookmarkStart w:id="904" w:name="_Toc43734769"/>
      <w:bookmarkStart w:id="905" w:name="_Toc43738749"/>
      <w:bookmarkStart w:id="906" w:name="_Toc43743061"/>
    </w:p>
    <w:p w14:paraId="312FAF78" w14:textId="47AB3BD0" w:rsidR="00E27844" w:rsidRPr="000A1449" w:rsidRDefault="008B5E15" w:rsidP="00DE2760">
      <w:pPr>
        <w:pStyle w:val="Figureheading"/>
      </w:pPr>
      <w:bookmarkStart w:id="907" w:name="_Toc43996232"/>
      <w:bookmarkStart w:id="908" w:name="_Toc43998491"/>
      <w:bookmarkStart w:id="909" w:name="_Toc43998418"/>
      <w:bookmarkStart w:id="910" w:name="_Toc44069940"/>
      <w:bookmarkStart w:id="911" w:name="_Toc44071344"/>
      <w:bookmarkStart w:id="912" w:name="_Toc44073468"/>
      <w:bookmarkStart w:id="913" w:name="_Toc44074608"/>
      <w:bookmarkStart w:id="914" w:name="_Toc44079497"/>
      <w:bookmarkStart w:id="915" w:name="_Toc44079792"/>
      <w:bookmarkStart w:id="916" w:name="_Toc44079927"/>
      <w:bookmarkStart w:id="917" w:name="_Toc44319838"/>
      <w:bookmarkStart w:id="918" w:name="_Toc44321546"/>
      <w:bookmarkStart w:id="919" w:name="_Toc44323713"/>
      <w:bookmarkStart w:id="920" w:name="_Toc44326176"/>
      <w:bookmarkStart w:id="921" w:name="_Toc44330498"/>
      <w:bookmarkStart w:id="922" w:name="_Toc44330740"/>
      <w:bookmarkStart w:id="923" w:name="_Toc44333172"/>
      <w:bookmarkStart w:id="924" w:name="_Toc44334803"/>
      <w:bookmarkStart w:id="925" w:name="_Toc45227440"/>
      <w:bookmarkStart w:id="926" w:name="_Toc45799041"/>
      <w:r>
        <w:lastRenderedPageBreak/>
        <w:t xml:space="preserve">Figure </w:t>
      </w:r>
      <w:r w:rsidR="009D2A74">
        <w:t>7</w:t>
      </w:r>
      <w:r w:rsidR="000A1449" w:rsidRPr="000A1449">
        <w:t>: Employment flows (indexed) by JobKeeper status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6DB2D9CE" w14:textId="51F51656" w:rsidR="00D9379C" w:rsidRPr="00D26CC6" w:rsidRDefault="00F21774">
      <w:pPr>
        <w:pStyle w:val="Figuresecondheading"/>
        <w:rPr>
          <w:b/>
        </w:rPr>
      </w:pPr>
      <w:r w:rsidRPr="00D26CC6">
        <w:rPr>
          <w:b/>
          <w:noProof/>
          <w:lang w:eastAsia="en-AU"/>
        </w:rPr>
        <mc:AlternateContent>
          <mc:Choice Requires="wps">
            <w:drawing>
              <wp:anchor distT="0" distB="0" distL="114300" distR="114300" simplePos="0" relativeHeight="251658240" behindDoc="0" locked="0" layoutInCell="1" allowOverlap="1" wp14:anchorId="38336D89" wp14:editId="0307F1E3">
                <wp:simplePos x="0" y="0"/>
                <wp:positionH relativeFrom="column">
                  <wp:posOffset>-68580</wp:posOffset>
                </wp:positionH>
                <wp:positionV relativeFrom="paragraph">
                  <wp:posOffset>310791</wp:posOffset>
                </wp:positionV>
                <wp:extent cx="1251952" cy="205873"/>
                <wp:effectExtent l="0" t="0" r="0" b="3810"/>
                <wp:wrapNone/>
                <wp:docPr id="52" name="TextBox 3"/>
                <wp:cNvGraphicFramePr/>
                <a:graphic xmlns:a="http://schemas.openxmlformats.org/drawingml/2006/main">
                  <a:graphicData uri="http://schemas.microsoft.com/office/word/2010/wordprocessingShape">
                    <wps:wsp>
                      <wps:cNvSpPr txBox="1"/>
                      <wps:spPr>
                        <a:xfrm>
                          <a:off x="0" y="0"/>
                          <a:ext cx="1251952" cy="20587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F7EF63" w14:textId="77777777" w:rsidR="009F135E" w:rsidRDefault="009F135E" w:rsidP="00DE2760">
                            <w:r>
                              <w:rPr>
                                <w:rFonts w:ascii="Arial" w:hAnsi="Arial" w:cs="Arial"/>
                                <w:color w:val="000000" w:themeColor="dark1"/>
                                <w:sz w:val="16"/>
                                <w:szCs w:val="16"/>
                                <w:lang w:val="en-US"/>
                              </w:rPr>
                              <w:t>Index (100 = 1 March)</w:t>
                            </w:r>
                          </w:p>
                        </w:txbxContent>
                      </wps:txbx>
                      <wps:bodyPr vertOverflow="clip" horzOverflow="clip" wrap="square" rtlCol="0" anchor="t"/>
                    </wps:wsp>
                  </a:graphicData>
                </a:graphic>
              </wp:anchor>
            </w:drawing>
          </mc:Choice>
          <mc:Fallback>
            <w:pict>
              <v:shapetype w14:anchorId="38336D89" id="_x0000_t202" coordsize="21600,21600" o:spt="202" path="m,l,21600r21600,l21600,xe">
                <v:stroke joinstyle="miter"/>
                <v:path gradientshapeok="t" o:connecttype="rect"/>
              </v:shapetype>
              <v:shape id="TextBox 3" o:spid="_x0000_s1026" type="#_x0000_t202" style="position:absolute;left:0;text-align:left;margin-left:-5.4pt;margin-top:24.45pt;width:98.6pt;height:1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" filled="f" stroked="f">
                <v:textbox>
                  <w:txbxContent>
                    <w:p w14:paraId="52F7EF63" w14:textId="77777777" w:rsidR="009F135E" w:rsidRDefault="009F135E" w:rsidP="00DE2760">
                      <w:r>
                        <w:rPr>
                          <w:rFonts w:ascii="Arial" w:hAnsi="Arial" w:cs="Arial"/>
                          <w:color w:val="000000" w:themeColor="dark1"/>
                          <w:sz w:val="16"/>
                          <w:szCs w:val="16"/>
                          <w:lang w:val="en-US"/>
                        </w:rPr>
                        <w:t>Index (100 = 1 March)</w:t>
                      </w:r>
                    </w:p>
                  </w:txbxContent>
                </v:textbox>
              </v:shape>
            </w:pict>
          </mc:Fallback>
        </mc:AlternateContent>
      </w:r>
      <w:r w:rsidR="004708F6" w:rsidRPr="00D26CC6">
        <w:rPr>
          <w:b/>
        </w:rPr>
        <w:t>A</w:t>
      </w:r>
      <w:r w:rsidR="00631AF3" w:rsidRPr="00D26CC6">
        <w:rPr>
          <w:b/>
        </w:rPr>
        <w:t>ll businesses</w:t>
      </w:r>
      <w:r w:rsidR="008B5E15" w:rsidRPr="00D26CC6">
        <w:rPr>
          <w:b/>
        </w:rPr>
        <w:tab/>
      </w:r>
      <w:r w:rsidR="008B5E15" w:rsidRPr="00D26CC6">
        <w:rPr>
          <w:b/>
        </w:rPr>
        <w:tab/>
      </w:r>
      <w:r w:rsidR="004708F6" w:rsidRPr="00D26CC6">
        <w:rPr>
          <w:b/>
        </w:rPr>
        <w:t>N</w:t>
      </w:r>
      <w:r w:rsidR="008B5E15" w:rsidRPr="00D26CC6">
        <w:rPr>
          <w:b/>
        </w:rPr>
        <w:t>ot JobKeeper recipients</w:t>
      </w:r>
      <w:r w:rsidR="008B5E15" w:rsidRPr="00D26CC6">
        <w:rPr>
          <w:b/>
        </w:rPr>
        <w:tab/>
      </w:r>
      <w:r w:rsidR="008B5E15" w:rsidRPr="00D26CC6">
        <w:rPr>
          <w:b/>
        </w:rPr>
        <w:tab/>
        <w:t>JobKeeper recipients</w:t>
      </w:r>
      <w:r w:rsidR="00714F98" w:rsidRPr="00D26CC6">
        <w:rPr>
          <w:b/>
        </w:rPr>
        <w:t xml:space="preserve"> </w:t>
      </w:r>
    </w:p>
    <w:p w14:paraId="79309DF2" w14:textId="49F68560" w:rsidR="00791BD4" w:rsidRPr="00802148" w:rsidRDefault="00F21774" w:rsidP="00DE2760">
      <w:pPr>
        <w:pStyle w:val="Figuregraphic"/>
        <w:keepNext/>
        <w:keepLines/>
        <w:rPr>
          <w:noProof/>
          <w:lang w:eastAsia="en-AU"/>
        </w:rPr>
      </w:pPr>
      <w:r>
        <w:rPr>
          <w:noProof/>
          <w:lang w:eastAsia="en-AU"/>
        </w:rPr>
        <w:drawing>
          <wp:inline distT="0" distB="0" distL="0" distR="0" wp14:anchorId="0C3AFE21" wp14:editId="0541B440">
            <wp:extent cx="1801003" cy="2872480"/>
            <wp:effectExtent l="0" t="0" r="8890" b="0"/>
            <wp:docPr id="53" name="Chart 53" descr="This figure has three parallel parts. It depicts employment flows for all businesses, JobKeeper recipient businesses, and businesses that are not JobKeeper recipients. &#10;For each group, a comparison of hires and separations in jobs is provided for the period of the fortnight ending 16 February 2020 to the fortnight ending 24 May 2020. The fortnightly time series are indexed to equal 100 in the fortnight ending 1 March 2020. &#10;For all businesses, hires decreased from 105.7 in the fortnight ending 16 February 2020 to 82.3 in the fortnight ending 29 March 2020 (prior to the announcement of JobKeeper). Hires for this group further decreased to 53.9 in the fortnight ending 12 April 2020, then down to 41.0 in the fortnight ending 24 May 2020. For all businesses, the rate of separations increased from 96.3 in the fortnight ending 16 February 2020 to 150.1 in the fortnight ending 29 March 2020, before declining to 56.7 in the fortnight ending 24 May 2020. &#10;For businesses that are not JobKeeper recipients, hires decreased from 109.0 in the fortnight ending 16 February 2020 to 108.2 in the fortnight ending 29 March 2020, and then dropped to 54.3 in the fortnight ending 24 May 2020. For this group, the rate of separations increased from 97.9 in the fortnight ending 16 February 2020 to 104.1 in the fortnight ending 29 March 2020, before decreasing to 69.4 in the fortnight ending 24 May 2020. &#10;For businesses that were JobKeeper recipients, hires decreased from 102.6 in the fortnight ending 16 February 2020 to 58.3 in the fortnight ending 29 March, and then down to 28.6 in the fortnight ending 24 May 2020. For JobKeeper recipients, the rate of separations increased from 94.7 in the fortnight ending 16 February 2020 to 201.4 in the fortnight ending 29 March 2020, before declining to 42.6 in the fortnight ending 24 May 2020.&#10;" title="Figure 7: Employment flows (indexed) by JobKeeper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en-AU"/>
        </w:rPr>
        <w:t xml:space="preserve">  </w:t>
      </w:r>
      <w:r>
        <w:rPr>
          <w:noProof/>
          <w:lang w:eastAsia="en-AU"/>
        </w:rPr>
        <w:drawing>
          <wp:inline distT="0" distB="0" distL="0" distR="0" wp14:anchorId="457855E9" wp14:editId="1BB4F440">
            <wp:extent cx="1799498" cy="2872480"/>
            <wp:effectExtent l="0" t="0" r="0" b="0"/>
            <wp:docPr id="54" name="Chart 54" descr="This figure has three parallel parts. It depicts employment flows for all businesses, JobKeeper recipient businesses, and businesses that are not JobKeeper recipients. &#10;For each group, a comparison of hires and separations in jobs is provided for the period of the fortnight ending 16 February 2020 to the fortnight ending 24 May 2020. The fortnightly time series are indexed to equal 100 in the fortnight ending 1 March 2020. &#10;For all businesses, hires decreased from 105.7 in the fortnight ending 16 February 2020 to 82.3 in the fortnight ending 29 March 2020 (prior to the announcement of JobKeeper). Hires for this group further decreased to 53.9 in the fortnight ending 12 April 2020, then down to 41.0 in the fortnight ending 24 May 2020. For all businesses, the rate of separations increased from 96.3 in the fortnight ending 16 February 2020 to 150.1 in the fortnight ending 29 March 2020, before declining to 56.7 in the fortnight ending 24 May 2020. &#10;For businesses that are not JobKeeper recipients, hires decreased from 109.0 in the fortnight ending 16 February 2020 to 108.2 in the fortnight ending 29 March 2020, and then dropped to 54.3 in the fortnight ending 24 May 2020. For this group, the rate of separations increased from 97.9 in the fortnight ending 16 February 2020 to 104.1 in the fortnight ending 29 March 2020, before decreasing to 69.4 in the fortnight ending 24 May 2020. &#10;For businesses that were JobKeeper recipients, hires decreased from 102.6 in the fortnight ending 16 February 2020 to 58.3 in the fortnight ending 29 March, and then down to 28.6 in the fortnight ending 24 May 2020. For JobKeeper recipients, the rate of separations increased from 94.7 in the fortnight ending 16 February 2020 to 201.4 in the fortnight ending 29 March 2020, before declining to 42.6 in the fortnight ending 24 May 2020.&#10;" title="Figure 7: Employment flows (indexed) by JobKeeper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C95115">
        <w:rPr>
          <w:noProof/>
          <w:lang w:eastAsia="en-AU"/>
        </w:rPr>
        <w:t xml:space="preserve"> </w:t>
      </w:r>
      <w:r>
        <w:rPr>
          <w:noProof/>
          <w:lang w:eastAsia="en-AU"/>
        </w:rPr>
        <w:drawing>
          <wp:inline distT="0" distB="0" distL="0" distR="0" wp14:anchorId="4351474C" wp14:editId="0822DF45">
            <wp:extent cx="1802130" cy="2951618"/>
            <wp:effectExtent l="0" t="0" r="0" b="0"/>
            <wp:docPr id="55" name="Chart 55" descr="This figure has three parallel parts. It depicts employment flows for all businesses, JobKeeper recipient businesses, and businesses that are not JobKeeper recipients. &#10;For each group, a comparison of hires and separations in jobs is provided for the period of the fortnight ending 16 February 2020 to the fortnight ending 24 May 2020. The fortnightly time series are indexed to equal 100 in the fortnight ending 1 March 2020. &#10;For all businesses, hires decreased from 105.7 in the fortnight ending 16 February 2020 to 82.3 in the fortnight ending 29 March 2020 (prior to the announcement of JobKeeper). Hires for this group further decreased to 53.9 in the fortnight ending 12 April 2020, then down to 41.0 in the fortnight ending 24 May 2020. For all businesses, the rate of separations increased from 96.3 in the fortnight ending 16 February 2020 to 150.1 in the fortnight ending 29 March 2020, before declining to 56.7 in the fortnight ending 24 May 2020. &#10;For businesses that are not JobKeeper recipients, hires decreased from 109.0 in the fortnight ending 16 February 2020 to 108.2 in the fortnight ending 29 March 2020, and then dropped to 54.3 in the fortnight ending 24 May 2020. For this group, the rate of separations increased from 97.9 in the fortnight ending 16 February 2020 to 104.1 in the fortnight ending 29 March 2020, before decreasing to 69.4 in the fortnight ending 24 May 2020. &#10;For businesses that were JobKeeper recipients, hires decreased from 102.6 in the fortnight ending 16 February 2020 to 58.3 in the fortnight ending 29 March, and then down to 28.6 in the fortnight ending 24 May 2020. For JobKeeper recipients, the rate of separations increased from 94.7 in the fortnight ending 16 February 2020 to 201.4 in the fortnight ending 29 March 2020, before declining to 42.6 in the fortnight ending 24 May 2020.&#10;" title="Figure 7: Employment flows (indexed) by JobKeeper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4ACC3B1" w14:textId="5B8153F0" w:rsidR="00223B02" w:rsidRPr="00493DD8" w:rsidRDefault="00223B02" w:rsidP="00DE2760">
      <w:pPr>
        <w:pStyle w:val="FiguretableNote"/>
        <w:keepLines/>
      </w:pPr>
      <w:r w:rsidRPr="00493DD8">
        <w:t>Note: Figure presents fortnightly time series, indexed to equal 100 in the fortnight ending 1 March 2020. Hires and separations are based on start and cease dates for a worker</w:t>
      </w:r>
      <w:r w:rsidR="00DE2760">
        <w:t>’</w:t>
      </w:r>
      <w:r w:rsidRPr="00493DD8">
        <w:t>s employment relationship with a</w:t>
      </w:r>
      <w:r w:rsidR="00EA49D7">
        <w:t xml:space="preserve"> business</w:t>
      </w:r>
      <w:r w:rsidRPr="00493DD8">
        <w:t>. These include relationships with zero pay, which is one reason why the separations index can remain above the hiring index, despite paid payroll job levels having stabilised</w:t>
      </w:r>
      <w:r w:rsidR="00DE2760">
        <w:t xml:space="preserve"> — </w:t>
      </w:r>
      <w:r w:rsidRPr="00493DD8">
        <w:t>an employment rel</w:t>
      </w:r>
      <w:r w:rsidR="00EC2CB2" w:rsidRPr="00493DD8">
        <w:t>ationship can formally end some</w:t>
      </w:r>
      <w:r w:rsidRPr="00493DD8">
        <w:t>time after paid work has ceased.</w:t>
      </w:r>
      <w:r w:rsidR="005A111C">
        <w:t xml:space="preserve"> Dashed lines relate to the announcement of the JobKeeper Payment on 30 March 2020.</w:t>
      </w:r>
    </w:p>
    <w:p w14:paraId="34FC82C1" w14:textId="2302B518" w:rsidR="00CF6300" w:rsidRPr="00493DD8" w:rsidRDefault="00CF6300" w:rsidP="00DE2760">
      <w:pPr>
        <w:pStyle w:val="FiguretableNote"/>
        <w:keepLines/>
      </w:pPr>
      <w:r w:rsidRPr="00493DD8">
        <w:t>Source: Treasury analysis of de</w:t>
      </w:r>
      <w:r w:rsidR="00DE2760">
        <w:noBreakHyphen/>
      </w:r>
      <w:r w:rsidRPr="00493DD8">
        <w:t>identified administrative data (S</w:t>
      </w:r>
      <w:r w:rsidR="00B24F8C">
        <w:t>TP</w:t>
      </w:r>
      <w:r w:rsidRPr="00493DD8">
        <w:t xml:space="preserve"> data linked to JobKeeper status).</w:t>
      </w:r>
    </w:p>
    <w:p w14:paraId="6DF28F88" w14:textId="1EF4FCE5" w:rsidR="001E3B9A" w:rsidRDefault="001E3B9A" w:rsidP="00755C53">
      <w:pPr>
        <w:pStyle w:val="Heading2"/>
      </w:pPr>
      <w:bookmarkStart w:id="927" w:name="_Toc43294093"/>
      <w:bookmarkStart w:id="928" w:name="_Toc43302291"/>
      <w:bookmarkStart w:id="929" w:name="_Toc43303730"/>
      <w:bookmarkStart w:id="930" w:name="_Toc43305341"/>
      <w:bookmarkStart w:id="931" w:name="_Toc43306312"/>
      <w:bookmarkStart w:id="932" w:name="_Toc43309520"/>
      <w:bookmarkStart w:id="933" w:name="_Toc43802506"/>
      <w:bookmarkStart w:id="934" w:name="_Toc43809354"/>
      <w:bookmarkStart w:id="935" w:name="_Toc43815619"/>
      <w:bookmarkStart w:id="936" w:name="_Toc43817552"/>
      <w:bookmarkStart w:id="937" w:name="_Toc43825323"/>
      <w:bookmarkStart w:id="938" w:name="_Toc43825427"/>
      <w:bookmarkStart w:id="939" w:name="_Toc43825520"/>
      <w:bookmarkStart w:id="940" w:name="_Toc43996256"/>
      <w:bookmarkStart w:id="941" w:name="_Toc43998515"/>
      <w:bookmarkStart w:id="942" w:name="_Toc43998442"/>
      <w:bookmarkStart w:id="943" w:name="_Toc44069964"/>
      <w:bookmarkStart w:id="944" w:name="_Toc44071368"/>
      <w:bookmarkStart w:id="945" w:name="_Toc44073492"/>
      <w:bookmarkStart w:id="946" w:name="_Toc44074632"/>
      <w:bookmarkStart w:id="947" w:name="_Toc44079521"/>
      <w:bookmarkStart w:id="948" w:name="_Toc44079816"/>
      <w:bookmarkStart w:id="949" w:name="_Toc44079951"/>
      <w:bookmarkStart w:id="950" w:name="_Toc44319862"/>
      <w:bookmarkStart w:id="951" w:name="_Toc44321570"/>
      <w:bookmarkStart w:id="952" w:name="_Toc44323737"/>
      <w:bookmarkStart w:id="953" w:name="_Toc44326200"/>
      <w:bookmarkStart w:id="954" w:name="_Toc44330522"/>
      <w:bookmarkStart w:id="955" w:name="_Toc44330764"/>
      <w:bookmarkStart w:id="956" w:name="_Toc44333196"/>
      <w:bookmarkStart w:id="957" w:name="_Toc44334827"/>
      <w:bookmarkStart w:id="958" w:name="_Toc45227441"/>
      <w:bookmarkStart w:id="959" w:name="_Toc45799042"/>
      <w:r>
        <w:t>Business viability</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D79360B" w14:textId="359AF4E6" w:rsidR="001E3B9A" w:rsidRPr="00493DD8" w:rsidRDefault="007D1EFE" w:rsidP="00B6215E">
      <w:pPr>
        <w:rPr>
          <w:color w:val="000000" w:themeColor="text1"/>
        </w:rPr>
      </w:pPr>
      <w:r w:rsidRPr="00493DD8">
        <w:rPr>
          <w:color w:val="000000" w:themeColor="text1"/>
        </w:rPr>
        <w:t xml:space="preserve">One of the purposes of JobKeeper was to </w:t>
      </w:r>
      <w:r w:rsidRPr="00340799">
        <w:rPr>
          <w:color w:val="000000" w:themeColor="text1"/>
        </w:rPr>
        <w:t xml:space="preserve">protect </w:t>
      </w:r>
      <w:r w:rsidR="00B549FE" w:rsidRPr="00340799">
        <w:rPr>
          <w:color w:val="000000" w:themeColor="text1"/>
        </w:rPr>
        <w:t>businesses that</w:t>
      </w:r>
      <w:r w:rsidR="00B549FE" w:rsidRPr="00493DD8">
        <w:rPr>
          <w:color w:val="000000" w:themeColor="text1"/>
        </w:rPr>
        <w:t>, through no fault of their own, had to cease or wind back their operations because of the public health restrictions</w:t>
      </w:r>
      <w:r w:rsidRPr="00493DD8">
        <w:rPr>
          <w:color w:val="000000" w:themeColor="text1"/>
        </w:rPr>
        <w:t>.</w:t>
      </w:r>
    </w:p>
    <w:p w14:paraId="6CB74204" w14:textId="32EE99C5" w:rsidR="00146531" w:rsidRPr="00340799" w:rsidRDefault="00146531" w:rsidP="007D1EFE">
      <w:pPr>
        <w:rPr>
          <w:color w:val="000000" w:themeColor="text1"/>
        </w:rPr>
      </w:pPr>
      <w:r w:rsidRPr="00493DD8">
        <w:rPr>
          <w:color w:val="000000" w:themeColor="text1"/>
        </w:rPr>
        <w:t xml:space="preserve">As the economy moves into a recovery phase, there are two issues that need to be addressed around business viability. The first relates </w:t>
      </w:r>
      <w:r w:rsidRPr="00340799">
        <w:rPr>
          <w:color w:val="000000" w:themeColor="text1"/>
        </w:rPr>
        <w:t xml:space="preserve">to businesses that have begun to recover, and whether they should continue to be supported. </w:t>
      </w:r>
      <w:r w:rsidR="00931298" w:rsidRPr="00340799">
        <w:rPr>
          <w:color w:val="000000" w:themeColor="text1"/>
        </w:rPr>
        <w:t>The second relates to businesses that have not begun to recover and whether they remain viable without ongoing support.</w:t>
      </w:r>
    </w:p>
    <w:p w14:paraId="7E1AEB2E" w14:textId="65872C20" w:rsidR="007D1EFE" w:rsidRPr="00340799" w:rsidRDefault="007D1EFE" w:rsidP="007D1EFE">
      <w:pPr>
        <w:rPr>
          <w:color w:val="000000" w:themeColor="text1"/>
        </w:rPr>
      </w:pPr>
      <w:r w:rsidRPr="00340799">
        <w:rPr>
          <w:color w:val="000000" w:themeColor="text1"/>
        </w:rPr>
        <w:t xml:space="preserve">The easing of </w:t>
      </w:r>
      <w:r w:rsidR="009A1F69" w:rsidRPr="00340799">
        <w:rPr>
          <w:color w:val="000000" w:themeColor="text1"/>
        </w:rPr>
        <w:t xml:space="preserve">baseline </w:t>
      </w:r>
      <w:r w:rsidRPr="00340799">
        <w:rPr>
          <w:color w:val="000000" w:themeColor="text1"/>
        </w:rPr>
        <w:t>public health restrictions earlier than anticipated</w:t>
      </w:r>
      <w:r w:rsidR="009A1F69" w:rsidRPr="00340799">
        <w:rPr>
          <w:color w:val="000000" w:themeColor="text1"/>
        </w:rPr>
        <w:t xml:space="preserve">, subject to local </w:t>
      </w:r>
      <w:r w:rsidR="00191C41" w:rsidRPr="00340799">
        <w:rPr>
          <w:color w:val="000000" w:themeColor="text1"/>
        </w:rPr>
        <w:t>circumstances</w:t>
      </w:r>
      <w:r w:rsidR="009A1F69" w:rsidRPr="00340799">
        <w:rPr>
          <w:color w:val="000000" w:themeColor="text1"/>
        </w:rPr>
        <w:t>,</w:t>
      </w:r>
      <w:r w:rsidRPr="00340799">
        <w:rPr>
          <w:color w:val="000000" w:themeColor="text1"/>
        </w:rPr>
        <w:t xml:space="preserve"> raises the question of whether some businesses might fully recover to their pre</w:t>
      </w:r>
      <w:r w:rsidR="00DE2760" w:rsidRPr="00340799">
        <w:rPr>
          <w:color w:val="000000" w:themeColor="text1"/>
        </w:rPr>
        <w:noBreakHyphen/>
      </w:r>
      <w:r w:rsidRPr="00340799">
        <w:rPr>
          <w:color w:val="000000" w:themeColor="text1"/>
        </w:rPr>
        <w:t>March level of activity wel</w:t>
      </w:r>
      <w:r w:rsidR="00EB01EC" w:rsidRPr="00340799">
        <w:rPr>
          <w:color w:val="000000" w:themeColor="text1"/>
        </w:rPr>
        <w:t xml:space="preserve">l ahead of the </w:t>
      </w:r>
      <w:r w:rsidR="00931298" w:rsidRPr="00340799">
        <w:rPr>
          <w:color w:val="000000" w:themeColor="text1"/>
        </w:rPr>
        <w:t>expected six month duration of restrictions</w:t>
      </w:r>
      <w:r w:rsidR="00EB01EC" w:rsidRPr="00340799">
        <w:rPr>
          <w:color w:val="000000" w:themeColor="text1"/>
        </w:rPr>
        <w:t>.</w:t>
      </w:r>
    </w:p>
    <w:p w14:paraId="69BD43D6" w14:textId="00BFD7DF" w:rsidR="00EB01EC" w:rsidRPr="00493DD8" w:rsidRDefault="00931298" w:rsidP="00931298">
      <w:pPr>
        <w:rPr>
          <w:color w:val="000000" w:themeColor="text1"/>
        </w:rPr>
      </w:pPr>
      <w:r w:rsidRPr="00340799">
        <w:rPr>
          <w:color w:val="000000" w:themeColor="text1"/>
        </w:rPr>
        <w:t xml:space="preserve">It is not possible to properly address this question based on the data to hand. This is limited to examining changes </w:t>
      </w:r>
      <w:r w:rsidR="00AA34CE" w:rsidRPr="00340799">
        <w:rPr>
          <w:color w:val="000000" w:themeColor="text1"/>
        </w:rPr>
        <w:t xml:space="preserve">in turnover </w:t>
      </w:r>
      <w:r w:rsidR="00881638" w:rsidRPr="00340799">
        <w:rPr>
          <w:color w:val="000000" w:themeColor="text1"/>
        </w:rPr>
        <w:t xml:space="preserve">for the month of April </w:t>
      </w:r>
      <w:r w:rsidR="00241A1B" w:rsidRPr="00340799">
        <w:rPr>
          <w:color w:val="000000" w:themeColor="text1"/>
        </w:rPr>
        <w:t xml:space="preserve">2020 </w:t>
      </w:r>
      <w:r w:rsidRPr="00340799">
        <w:rPr>
          <w:color w:val="000000" w:themeColor="text1"/>
        </w:rPr>
        <w:t>among a subset of JobKeeper businesses, those</w:t>
      </w:r>
      <w:r w:rsidRPr="00493DD8">
        <w:rPr>
          <w:color w:val="000000" w:themeColor="text1"/>
        </w:rPr>
        <w:t xml:space="preserve"> </w:t>
      </w:r>
      <w:r w:rsidR="00EB01EC" w:rsidRPr="00493DD8">
        <w:rPr>
          <w:color w:val="000000" w:themeColor="text1"/>
        </w:rPr>
        <w:t>who report their Busi</w:t>
      </w:r>
      <w:r w:rsidR="003F5251" w:rsidRPr="00493DD8">
        <w:rPr>
          <w:color w:val="000000" w:themeColor="text1"/>
        </w:rPr>
        <w:t>n</w:t>
      </w:r>
      <w:r w:rsidRPr="00493DD8">
        <w:rPr>
          <w:color w:val="000000" w:themeColor="text1"/>
        </w:rPr>
        <w:t xml:space="preserve">ess Activity Statement </w:t>
      </w:r>
      <w:r w:rsidR="00241A1B">
        <w:rPr>
          <w:color w:val="000000" w:themeColor="text1"/>
        </w:rPr>
        <w:t xml:space="preserve">(BAS) </w:t>
      </w:r>
      <w:r w:rsidRPr="00493DD8">
        <w:rPr>
          <w:color w:val="000000" w:themeColor="text1"/>
        </w:rPr>
        <w:t xml:space="preserve">monthly. These are </w:t>
      </w:r>
      <w:r w:rsidR="003F5251" w:rsidRPr="00493DD8">
        <w:rPr>
          <w:color w:val="000000" w:themeColor="text1"/>
        </w:rPr>
        <w:t>typically larger businesses</w:t>
      </w:r>
      <w:r w:rsidR="00EB01EC" w:rsidRPr="00493DD8">
        <w:rPr>
          <w:color w:val="000000" w:themeColor="text1"/>
        </w:rPr>
        <w:t>.</w:t>
      </w:r>
    </w:p>
    <w:p w14:paraId="65E7F773" w14:textId="4DD08DF0" w:rsidR="003F5251" w:rsidRPr="00493DD8" w:rsidRDefault="004F2DE6" w:rsidP="005D2628">
      <w:pPr>
        <w:keepNext/>
        <w:rPr>
          <w:color w:val="000000" w:themeColor="text1"/>
        </w:rPr>
      </w:pPr>
      <w:r w:rsidRPr="00493DD8">
        <w:rPr>
          <w:b/>
          <w:color w:val="000000" w:themeColor="text1"/>
        </w:rPr>
        <w:t xml:space="preserve">Table </w:t>
      </w:r>
      <w:r w:rsidR="00D27E7C" w:rsidRPr="00493DD8">
        <w:rPr>
          <w:b/>
          <w:color w:val="000000" w:themeColor="text1"/>
        </w:rPr>
        <w:t>2</w:t>
      </w:r>
      <w:r w:rsidR="00EB01EC" w:rsidRPr="00493DD8">
        <w:rPr>
          <w:color w:val="000000" w:themeColor="text1"/>
        </w:rPr>
        <w:t xml:space="preserve"> compares the year</w:t>
      </w:r>
      <w:r w:rsidR="00DE2760">
        <w:rPr>
          <w:color w:val="000000" w:themeColor="text1"/>
        </w:rPr>
        <w:noBreakHyphen/>
      </w:r>
      <w:r w:rsidR="00EB01EC" w:rsidRPr="00493DD8">
        <w:rPr>
          <w:color w:val="000000" w:themeColor="text1"/>
        </w:rPr>
        <w:t>on</w:t>
      </w:r>
      <w:r w:rsidR="00DE2760">
        <w:rPr>
          <w:color w:val="000000" w:themeColor="text1"/>
        </w:rPr>
        <w:noBreakHyphen/>
      </w:r>
      <w:r w:rsidR="00EB01EC" w:rsidRPr="00493DD8">
        <w:rPr>
          <w:color w:val="000000" w:themeColor="text1"/>
        </w:rPr>
        <w:t>year</w:t>
      </w:r>
      <w:r w:rsidR="00EB01EC" w:rsidRPr="00493DD8" w:rsidDel="00AA34CE">
        <w:rPr>
          <w:color w:val="000000" w:themeColor="text1"/>
        </w:rPr>
        <w:t xml:space="preserve"> </w:t>
      </w:r>
      <w:r w:rsidR="00EB01EC" w:rsidRPr="00493DD8">
        <w:rPr>
          <w:color w:val="000000" w:themeColor="text1"/>
        </w:rPr>
        <w:t xml:space="preserve">change </w:t>
      </w:r>
      <w:r w:rsidR="00AA34CE" w:rsidRPr="00493DD8">
        <w:rPr>
          <w:color w:val="000000" w:themeColor="text1"/>
        </w:rPr>
        <w:t xml:space="preserve">in turnover </w:t>
      </w:r>
      <w:r w:rsidR="00EB01EC" w:rsidRPr="00493DD8">
        <w:rPr>
          <w:color w:val="000000" w:themeColor="text1"/>
        </w:rPr>
        <w:t xml:space="preserve">for these </w:t>
      </w:r>
      <w:r w:rsidR="007E469D" w:rsidRPr="00493DD8">
        <w:rPr>
          <w:color w:val="000000" w:themeColor="text1"/>
        </w:rPr>
        <w:t xml:space="preserve">larger </w:t>
      </w:r>
      <w:r w:rsidR="00427E8E" w:rsidRPr="00493DD8">
        <w:rPr>
          <w:color w:val="000000" w:themeColor="text1"/>
        </w:rPr>
        <w:t xml:space="preserve">businesses </w:t>
      </w:r>
      <w:r w:rsidR="007E469D" w:rsidRPr="00493DD8">
        <w:rPr>
          <w:color w:val="000000" w:themeColor="text1"/>
        </w:rPr>
        <w:t xml:space="preserve">in </w:t>
      </w:r>
      <w:r w:rsidR="003F5251" w:rsidRPr="00493DD8">
        <w:rPr>
          <w:color w:val="000000" w:themeColor="text1"/>
        </w:rPr>
        <w:t xml:space="preserve">April, first for all with monthly reporting, and second for </w:t>
      </w:r>
      <w:r w:rsidR="00931298" w:rsidRPr="00493DD8">
        <w:rPr>
          <w:color w:val="000000" w:themeColor="text1"/>
        </w:rPr>
        <w:t xml:space="preserve">the very largest </w:t>
      </w:r>
      <w:r w:rsidR="003F5251" w:rsidRPr="00493DD8">
        <w:rPr>
          <w:color w:val="000000" w:themeColor="text1"/>
        </w:rPr>
        <w:t>businesses</w:t>
      </w:r>
      <w:r w:rsidR="007E469D" w:rsidRPr="00493DD8">
        <w:rPr>
          <w:color w:val="000000" w:themeColor="text1"/>
        </w:rPr>
        <w:t>, those</w:t>
      </w:r>
      <w:r w:rsidR="003F5251" w:rsidRPr="00493DD8">
        <w:rPr>
          <w:color w:val="000000" w:themeColor="text1"/>
        </w:rPr>
        <w:t xml:space="preserve"> whose </w:t>
      </w:r>
      <w:r w:rsidR="003F5251" w:rsidRPr="00493DD8">
        <w:rPr>
          <w:color w:val="000000" w:themeColor="text1"/>
        </w:rPr>
        <w:lastRenderedPageBreak/>
        <w:t>2018</w:t>
      </w:r>
      <w:r w:rsidR="00DE2760">
        <w:rPr>
          <w:color w:val="000000" w:themeColor="text1"/>
        </w:rPr>
        <w:noBreakHyphen/>
      </w:r>
      <w:r w:rsidR="003F5251" w:rsidRPr="00493DD8">
        <w:rPr>
          <w:color w:val="000000" w:themeColor="text1"/>
        </w:rPr>
        <w:t>19</w:t>
      </w:r>
      <w:r w:rsidR="00D8489D" w:rsidRPr="00493DD8">
        <w:rPr>
          <w:color w:val="000000" w:themeColor="text1"/>
        </w:rPr>
        <w:t> </w:t>
      </w:r>
      <w:r w:rsidR="000E6FD8" w:rsidRPr="00493DD8">
        <w:rPr>
          <w:color w:val="000000" w:themeColor="text1"/>
        </w:rPr>
        <w:t xml:space="preserve">turnover </w:t>
      </w:r>
      <w:r w:rsidR="003F5251" w:rsidRPr="00493DD8">
        <w:rPr>
          <w:color w:val="000000" w:themeColor="text1"/>
        </w:rPr>
        <w:t xml:space="preserve">exceeded $1 billion. This latter group </w:t>
      </w:r>
      <w:r w:rsidR="00931298" w:rsidRPr="00493DD8">
        <w:rPr>
          <w:color w:val="000000" w:themeColor="text1"/>
        </w:rPr>
        <w:t>are</w:t>
      </w:r>
      <w:r w:rsidR="003F5251" w:rsidRPr="00493DD8">
        <w:rPr>
          <w:color w:val="000000" w:themeColor="text1"/>
        </w:rPr>
        <w:t xml:space="preserve"> subject to a stricter threshold of 50</w:t>
      </w:r>
      <w:r w:rsidR="0093092A">
        <w:rPr>
          <w:color w:val="000000" w:themeColor="text1"/>
        </w:rPr>
        <w:t> </w:t>
      </w:r>
      <w:r w:rsidR="003F5251" w:rsidRPr="00493DD8">
        <w:rPr>
          <w:color w:val="000000" w:themeColor="text1"/>
        </w:rPr>
        <w:t>per</w:t>
      </w:r>
      <w:r w:rsidR="0093092A">
        <w:rPr>
          <w:color w:val="000000" w:themeColor="text1"/>
        </w:rPr>
        <w:t> </w:t>
      </w:r>
      <w:r w:rsidR="003F5251" w:rsidRPr="00493DD8">
        <w:rPr>
          <w:color w:val="000000" w:themeColor="text1"/>
        </w:rPr>
        <w:t xml:space="preserve">cent </w:t>
      </w:r>
      <w:r w:rsidR="00AA34CE" w:rsidRPr="00493DD8">
        <w:rPr>
          <w:color w:val="000000" w:themeColor="text1"/>
        </w:rPr>
        <w:t xml:space="preserve">decline in turnover </w:t>
      </w:r>
      <w:r w:rsidR="003F5251" w:rsidRPr="00493DD8">
        <w:rPr>
          <w:color w:val="000000" w:themeColor="text1"/>
        </w:rPr>
        <w:t xml:space="preserve">to be eligible for </w:t>
      </w:r>
      <w:r w:rsidR="000C7368">
        <w:rPr>
          <w:color w:val="000000" w:themeColor="text1"/>
        </w:rPr>
        <w:t xml:space="preserve">the </w:t>
      </w:r>
      <w:r w:rsidR="003F5251" w:rsidRPr="00493DD8">
        <w:rPr>
          <w:color w:val="000000" w:themeColor="text1"/>
        </w:rPr>
        <w:t xml:space="preserve">JobKeeper </w:t>
      </w:r>
      <w:r w:rsidR="000C7368">
        <w:rPr>
          <w:color w:val="000000" w:themeColor="text1"/>
        </w:rPr>
        <w:t>P</w:t>
      </w:r>
      <w:r w:rsidR="003F5251" w:rsidRPr="00493DD8">
        <w:rPr>
          <w:color w:val="000000" w:themeColor="text1"/>
        </w:rPr>
        <w:t xml:space="preserve">ayment. </w:t>
      </w:r>
    </w:p>
    <w:p w14:paraId="1F8EA6B7" w14:textId="7930A2E7" w:rsidR="00E91092" w:rsidRPr="00493DD8" w:rsidRDefault="007E469D" w:rsidP="005D2628">
      <w:pPr>
        <w:keepNext/>
        <w:rPr>
          <w:color w:val="000000" w:themeColor="text1"/>
        </w:rPr>
      </w:pPr>
      <w:r w:rsidRPr="00493DD8">
        <w:rPr>
          <w:color w:val="000000" w:themeColor="text1"/>
        </w:rPr>
        <w:t>The results suggest</w:t>
      </w:r>
      <w:r w:rsidR="00E91092" w:rsidRPr="00493DD8">
        <w:rPr>
          <w:color w:val="000000" w:themeColor="text1"/>
        </w:rPr>
        <w:t xml:space="preserve"> that the program is well targeted to distressed businesses.</w:t>
      </w:r>
      <w:r w:rsidRPr="00493DD8">
        <w:rPr>
          <w:color w:val="000000" w:themeColor="text1"/>
        </w:rPr>
        <w:t xml:space="preserve"> As a group, the businesses that are JobKeeper recipients experienced sizeable </w:t>
      </w:r>
      <w:r w:rsidR="00AA34CE" w:rsidRPr="00493DD8">
        <w:rPr>
          <w:color w:val="000000" w:themeColor="text1"/>
        </w:rPr>
        <w:t xml:space="preserve">turnover </w:t>
      </w:r>
      <w:r w:rsidRPr="00493DD8">
        <w:rPr>
          <w:color w:val="000000" w:themeColor="text1"/>
        </w:rPr>
        <w:t xml:space="preserve">declines, </w:t>
      </w:r>
      <w:r w:rsidR="00DD4C80" w:rsidRPr="00493DD8">
        <w:rPr>
          <w:color w:val="000000" w:themeColor="text1"/>
        </w:rPr>
        <w:t xml:space="preserve">while other businesses </w:t>
      </w:r>
      <w:r w:rsidR="0047609C" w:rsidRPr="00493DD8">
        <w:rPr>
          <w:color w:val="000000" w:themeColor="text1"/>
        </w:rPr>
        <w:t>had much smaller declines.</w:t>
      </w:r>
    </w:p>
    <w:p w14:paraId="244BDC49" w14:textId="7EB4E6E0" w:rsidR="00636B57" w:rsidRPr="00493DD8" w:rsidRDefault="00636B57" w:rsidP="00755C53">
      <w:pPr>
        <w:pStyle w:val="Tableheading"/>
      </w:pPr>
      <w:bookmarkStart w:id="960" w:name="_Toc43462905"/>
      <w:bookmarkStart w:id="961" w:name="_Toc43466285"/>
      <w:bookmarkStart w:id="962" w:name="_Toc43469277"/>
      <w:bookmarkStart w:id="963" w:name="_Toc43469672"/>
      <w:bookmarkStart w:id="964" w:name="_Toc43469948"/>
      <w:bookmarkStart w:id="965" w:name="_Toc43469962"/>
      <w:bookmarkStart w:id="966" w:name="_Toc43729211"/>
      <w:bookmarkStart w:id="967" w:name="_Toc43730303"/>
      <w:bookmarkStart w:id="968" w:name="_Toc43730799"/>
      <w:bookmarkStart w:id="969" w:name="_Toc43731577"/>
      <w:bookmarkStart w:id="970" w:name="_Toc43732049"/>
      <w:bookmarkStart w:id="971" w:name="_Toc43733867"/>
      <w:bookmarkStart w:id="972" w:name="_Toc43734770"/>
      <w:bookmarkStart w:id="973" w:name="_Toc43738750"/>
      <w:bookmarkStart w:id="974" w:name="_Toc43743062"/>
      <w:bookmarkStart w:id="975" w:name="_Toc43996233"/>
      <w:bookmarkStart w:id="976" w:name="_Toc43998492"/>
      <w:bookmarkStart w:id="977" w:name="_Toc43998419"/>
      <w:bookmarkStart w:id="978" w:name="_Toc44069941"/>
      <w:bookmarkStart w:id="979" w:name="_Toc44071345"/>
      <w:bookmarkStart w:id="980" w:name="_Toc44073469"/>
      <w:bookmarkStart w:id="981" w:name="_Toc44074609"/>
      <w:bookmarkStart w:id="982" w:name="_Toc44079498"/>
      <w:bookmarkStart w:id="983" w:name="_Toc44079793"/>
      <w:bookmarkStart w:id="984" w:name="_Toc44079928"/>
      <w:bookmarkStart w:id="985" w:name="_Toc44319839"/>
      <w:bookmarkStart w:id="986" w:name="_Toc44321547"/>
      <w:bookmarkStart w:id="987" w:name="_Toc44323714"/>
      <w:bookmarkStart w:id="988" w:name="_Toc44326177"/>
      <w:bookmarkStart w:id="989" w:name="_Toc44330499"/>
      <w:bookmarkStart w:id="990" w:name="_Toc44330741"/>
      <w:bookmarkStart w:id="991" w:name="_Toc44333173"/>
      <w:bookmarkStart w:id="992" w:name="_Toc44334804"/>
      <w:bookmarkStart w:id="993" w:name="_Toc45227442"/>
      <w:bookmarkStart w:id="994" w:name="_Toc45799043"/>
      <w:r w:rsidRPr="00493DD8">
        <w:t xml:space="preserve">Table </w:t>
      </w:r>
      <w:r w:rsidR="003D4089" w:rsidRPr="00493DD8">
        <w:t>2</w:t>
      </w:r>
      <w:r w:rsidRPr="00493DD8">
        <w:t xml:space="preserve">: </w:t>
      </w:r>
      <w:r w:rsidR="006C3E3D">
        <w:t>Business</w:t>
      </w:r>
      <w:r w:rsidR="00AA34CE" w:rsidRPr="00493DD8">
        <w:t xml:space="preserve"> </w:t>
      </w:r>
      <w:r w:rsidR="003D650F">
        <w:t>t</w:t>
      </w:r>
      <w:r w:rsidR="00AA34CE" w:rsidRPr="00755C53">
        <w:t>urnover</w:t>
      </w:r>
      <w:r w:rsidR="00A815A9" w:rsidRPr="00493DD8">
        <w:t xml:space="preserve">, </w:t>
      </w:r>
      <w:r w:rsidR="00F12F5A">
        <w:t>c</w:t>
      </w:r>
      <w:r w:rsidR="006C3E3D">
        <w:t xml:space="preserve">hange over the year to </w:t>
      </w:r>
      <w:r w:rsidR="00A815A9" w:rsidRPr="00493DD8">
        <w:t xml:space="preserve">April </w:t>
      </w:r>
      <w:r w:rsidRPr="00493DD8">
        <w:t>2020 (per cent)</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tbl>
      <w:tblPr>
        <w:tblW w:w="5000" w:type="pct"/>
        <w:jc w:val="center"/>
        <w:tblCellMar>
          <w:left w:w="0" w:type="dxa"/>
          <w:right w:w="0" w:type="dxa"/>
        </w:tblCellMar>
        <w:tblLook w:val="04A0" w:firstRow="1" w:lastRow="0" w:firstColumn="1" w:lastColumn="0" w:noHBand="0" w:noVBand="1"/>
        <w:tblCaption w:val="Table 2: Business turnover, change over the year to April 2020 (per cent)"/>
        <w:tblDescription w:val="This table compares the median and mean year on year growth in turnover for larger businesses in April 2020, as well as for very large businesses whose turnover in the 2018-19 financial year exceeded 1 billion dollars. For JobKeeper recipient businesses, the median year on year change in turnover was a decrease of 38.9 per cent for larger businesses, and a decrease of 51.5 per cent for very large businesses. The mean year on year change in turnover for JobKeeper recipient businesses was a decrease of 37.0 per cent for larger businesses and a decrease of 50.4 per cent for very large businesses. For businesses that were not a JobKeeper recipient, the median year on year change in turnover was zero for larger businesses, and a decrease of 5.8 per cent for very large businesses. For this group, the mean year on year change in turnover was a decrease of 3.8 per cent for larger businesses, and a decrease of 14.4 per cent for very large businesses."/>
      </w:tblPr>
      <w:tblGrid>
        <w:gridCol w:w="1979"/>
        <w:gridCol w:w="1624"/>
        <w:gridCol w:w="1624"/>
        <w:gridCol w:w="200"/>
        <w:gridCol w:w="1596"/>
        <w:gridCol w:w="1624"/>
      </w:tblGrid>
      <w:tr w:rsidR="00A15319" w14:paraId="7DC2C886" w14:textId="77777777" w:rsidTr="00310135">
        <w:trPr>
          <w:trHeight w:val="289"/>
          <w:jc w:val="center"/>
        </w:trPr>
        <w:tc>
          <w:tcPr>
            <w:tcW w:w="2127" w:type="dxa"/>
            <w:tcBorders>
              <w:top w:val="single" w:sz="12" w:space="0" w:color="002C47" w:themeColor="accent1"/>
            </w:tcBorders>
            <w:tcMar>
              <w:top w:w="0" w:type="dxa"/>
              <w:left w:w="108" w:type="dxa"/>
              <w:bottom w:w="0" w:type="dxa"/>
              <w:right w:w="108" w:type="dxa"/>
            </w:tcMar>
            <w:vAlign w:val="center"/>
          </w:tcPr>
          <w:p w14:paraId="175B1879" w14:textId="77777777" w:rsidR="00A15319" w:rsidRPr="00493DD8" w:rsidRDefault="00A15319" w:rsidP="00310135">
            <w:pPr>
              <w:pStyle w:val="Tablecolumnheadingcentre"/>
            </w:pPr>
          </w:p>
        </w:tc>
        <w:tc>
          <w:tcPr>
            <w:tcW w:w="3402" w:type="dxa"/>
            <w:gridSpan w:val="2"/>
            <w:tcBorders>
              <w:top w:val="single" w:sz="12" w:space="0" w:color="002C47" w:themeColor="accent1"/>
              <w:bottom w:val="single" w:sz="4" w:space="0" w:color="auto"/>
            </w:tcBorders>
            <w:tcMar>
              <w:top w:w="0" w:type="dxa"/>
              <w:left w:w="108" w:type="dxa"/>
              <w:bottom w:w="0" w:type="dxa"/>
              <w:right w:w="108" w:type="dxa"/>
            </w:tcMar>
            <w:vAlign w:val="center"/>
          </w:tcPr>
          <w:p w14:paraId="1CC68FD5" w14:textId="77777777" w:rsidR="00A15319" w:rsidRPr="00493DD8" w:rsidRDefault="00A15319" w:rsidP="00310135">
            <w:pPr>
              <w:pStyle w:val="Tablecolumnheadingcentre"/>
            </w:pPr>
            <w:r w:rsidRPr="00493DD8">
              <w:t>Median</w:t>
            </w:r>
          </w:p>
        </w:tc>
        <w:tc>
          <w:tcPr>
            <w:tcW w:w="229" w:type="dxa"/>
            <w:tcBorders>
              <w:top w:val="single" w:sz="12" w:space="0" w:color="002C47" w:themeColor="accent1"/>
            </w:tcBorders>
            <w:vAlign w:val="center"/>
          </w:tcPr>
          <w:p w14:paraId="18791A8E" w14:textId="77777777" w:rsidR="00A15319" w:rsidRPr="00493DD8" w:rsidRDefault="00A15319" w:rsidP="00310135">
            <w:pPr>
              <w:pStyle w:val="Tabletextcentred"/>
            </w:pPr>
          </w:p>
        </w:tc>
        <w:tc>
          <w:tcPr>
            <w:tcW w:w="3402" w:type="dxa"/>
            <w:gridSpan w:val="2"/>
            <w:tcBorders>
              <w:top w:val="single" w:sz="12" w:space="0" w:color="002C47" w:themeColor="accent1"/>
              <w:bottom w:val="single" w:sz="4" w:space="0" w:color="auto"/>
            </w:tcBorders>
            <w:vAlign w:val="center"/>
          </w:tcPr>
          <w:p w14:paraId="0888A8DD" w14:textId="2A444789" w:rsidR="00A15319" w:rsidRPr="00493DD8" w:rsidRDefault="00A15319" w:rsidP="00310135">
            <w:pPr>
              <w:pStyle w:val="Tablecolumnheadingcentre"/>
            </w:pPr>
            <w:r w:rsidRPr="00493DD8">
              <w:t>Mean</w:t>
            </w:r>
          </w:p>
        </w:tc>
      </w:tr>
      <w:tr w:rsidR="00A15319" w14:paraId="367318C4" w14:textId="77777777" w:rsidTr="00310135">
        <w:trPr>
          <w:trHeight w:val="289"/>
          <w:jc w:val="center"/>
        </w:trPr>
        <w:tc>
          <w:tcPr>
            <w:tcW w:w="2127" w:type="dxa"/>
            <w:tcBorders>
              <w:bottom w:val="single" w:sz="4" w:space="0" w:color="002C47" w:themeColor="accent1"/>
            </w:tcBorders>
            <w:tcMar>
              <w:top w:w="0" w:type="dxa"/>
              <w:left w:w="108" w:type="dxa"/>
              <w:bottom w:w="0" w:type="dxa"/>
              <w:right w:w="108" w:type="dxa"/>
            </w:tcMar>
            <w:vAlign w:val="center"/>
          </w:tcPr>
          <w:p w14:paraId="3493BD42" w14:textId="77777777" w:rsidR="00A15319" w:rsidRPr="00493DD8" w:rsidRDefault="00A15319" w:rsidP="00310135">
            <w:pPr>
              <w:pStyle w:val="Tablecolumnheadingcentre"/>
            </w:pPr>
          </w:p>
        </w:tc>
        <w:tc>
          <w:tcPr>
            <w:tcW w:w="1701" w:type="dxa"/>
            <w:tcBorders>
              <w:top w:val="single" w:sz="4" w:space="0" w:color="002C47" w:themeColor="accent1"/>
              <w:bottom w:val="single" w:sz="4" w:space="0" w:color="002C47" w:themeColor="accent1"/>
            </w:tcBorders>
            <w:tcMar>
              <w:top w:w="0" w:type="dxa"/>
              <w:left w:w="108" w:type="dxa"/>
              <w:bottom w:w="0" w:type="dxa"/>
              <w:right w:w="108" w:type="dxa"/>
            </w:tcMar>
            <w:vAlign w:val="center"/>
            <w:hideMark/>
          </w:tcPr>
          <w:p w14:paraId="22D05B21" w14:textId="721CBF96" w:rsidR="00A15319" w:rsidRPr="00493DD8" w:rsidRDefault="007E469D" w:rsidP="00310135">
            <w:pPr>
              <w:pStyle w:val="Tablecolumnheadingcentre"/>
            </w:pPr>
            <w:r w:rsidRPr="00493DD8">
              <w:t>Larger</w:t>
            </w:r>
            <w:r w:rsidR="00A815A9" w:rsidRPr="00493DD8">
              <w:t xml:space="preserve"> businesses</w:t>
            </w:r>
          </w:p>
        </w:tc>
        <w:tc>
          <w:tcPr>
            <w:tcW w:w="1701" w:type="dxa"/>
            <w:tcBorders>
              <w:top w:val="single" w:sz="4" w:space="0" w:color="auto"/>
              <w:bottom w:val="single" w:sz="4" w:space="0" w:color="002C47" w:themeColor="accent1"/>
            </w:tcBorders>
            <w:tcMar>
              <w:top w:w="0" w:type="dxa"/>
              <w:left w:w="108" w:type="dxa"/>
              <w:bottom w:w="0" w:type="dxa"/>
              <w:right w:w="108" w:type="dxa"/>
            </w:tcMar>
            <w:vAlign w:val="center"/>
            <w:hideMark/>
          </w:tcPr>
          <w:p w14:paraId="2E44C5C6" w14:textId="55D57535" w:rsidR="00A15319" w:rsidRPr="00493DD8" w:rsidRDefault="007E469D" w:rsidP="00310135">
            <w:pPr>
              <w:pStyle w:val="Tablecolumnheadingcentre"/>
            </w:pPr>
            <w:r w:rsidRPr="00493DD8">
              <w:t>Very l</w:t>
            </w:r>
            <w:r w:rsidR="00A815A9" w:rsidRPr="00493DD8">
              <w:t>arge businesses</w:t>
            </w:r>
          </w:p>
        </w:tc>
        <w:tc>
          <w:tcPr>
            <w:tcW w:w="229" w:type="dxa"/>
            <w:tcBorders>
              <w:bottom w:val="single" w:sz="4" w:space="0" w:color="auto"/>
            </w:tcBorders>
            <w:vAlign w:val="center"/>
          </w:tcPr>
          <w:p w14:paraId="2049BE22" w14:textId="77777777" w:rsidR="00A15319" w:rsidRPr="00493DD8" w:rsidRDefault="00A15319" w:rsidP="00310135">
            <w:pPr>
              <w:pStyle w:val="Tabletextcentred"/>
            </w:pPr>
          </w:p>
        </w:tc>
        <w:tc>
          <w:tcPr>
            <w:tcW w:w="1701" w:type="dxa"/>
            <w:tcBorders>
              <w:top w:val="single" w:sz="4" w:space="0" w:color="002C47" w:themeColor="accent1"/>
              <w:bottom w:val="single" w:sz="4" w:space="0" w:color="002C47" w:themeColor="accent1"/>
            </w:tcBorders>
            <w:vAlign w:val="center"/>
          </w:tcPr>
          <w:p w14:paraId="55B505C4" w14:textId="77777777" w:rsidR="003D1EF1" w:rsidRDefault="007E469D">
            <w:pPr>
              <w:pStyle w:val="Tablecolumnheadingcentre"/>
            </w:pPr>
            <w:r w:rsidRPr="00493DD8">
              <w:t>Larger</w:t>
            </w:r>
            <w:r w:rsidR="00A815A9" w:rsidRPr="00493DD8">
              <w:t xml:space="preserve"> </w:t>
            </w:r>
          </w:p>
          <w:p w14:paraId="1F640D08" w14:textId="02219AA9" w:rsidR="00A15319" w:rsidRPr="00493DD8" w:rsidRDefault="00A815A9">
            <w:pPr>
              <w:pStyle w:val="Tablecolumnheadingcentre"/>
            </w:pPr>
            <w:r w:rsidRPr="00493DD8">
              <w:t>businesses</w:t>
            </w:r>
          </w:p>
        </w:tc>
        <w:tc>
          <w:tcPr>
            <w:tcW w:w="1701" w:type="dxa"/>
            <w:tcBorders>
              <w:top w:val="single" w:sz="4" w:space="0" w:color="auto"/>
              <w:bottom w:val="single" w:sz="4" w:space="0" w:color="002C47" w:themeColor="accent1"/>
            </w:tcBorders>
            <w:tcMar>
              <w:top w:w="0" w:type="dxa"/>
              <w:left w:w="108" w:type="dxa"/>
              <w:bottom w:w="0" w:type="dxa"/>
              <w:right w:w="108" w:type="dxa"/>
            </w:tcMar>
            <w:vAlign w:val="center"/>
            <w:hideMark/>
          </w:tcPr>
          <w:p w14:paraId="5C54A60D" w14:textId="4C82B891" w:rsidR="00A15319" w:rsidRPr="00493DD8" w:rsidRDefault="007E469D" w:rsidP="00310135">
            <w:pPr>
              <w:pStyle w:val="Tablecolumnheadingcentre"/>
            </w:pPr>
            <w:r w:rsidRPr="00493DD8">
              <w:t>Very l</w:t>
            </w:r>
            <w:r w:rsidR="00A815A9" w:rsidRPr="00493DD8">
              <w:t>arge businesses</w:t>
            </w:r>
          </w:p>
        </w:tc>
      </w:tr>
      <w:tr w:rsidR="00A815A9" w14:paraId="08CFECCF" w14:textId="77777777" w:rsidTr="00310135">
        <w:trPr>
          <w:trHeight w:val="289"/>
          <w:jc w:val="center"/>
        </w:trPr>
        <w:tc>
          <w:tcPr>
            <w:tcW w:w="2127" w:type="dxa"/>
            <w:tcBorders>
              <w:top w:val="single" w:sz="4" w:space="0" w:color="002C47" w:themeColor="accent1"/>
            </w:tcBorders>
            <w:tcMar>
              <w:top w:w="0" w:type="dxa"/>
              <w:left w:w="108" w:type="dxa"/>
              <w:bottom w:w="0" w:type="dxa"/>
              <w:right w:w="108" w:type="dxa"/>
            </w:tcMar>
            <w:vAlign w:val="center"/>
            <w:hideMark/>
          </w:tcPr>
          <w:p w14:paraId="7889DB16" w14:textId="77777777" w:rsidR="00A815A9" w:rsidRPr="00493DD8" w:rsidRDefault="00A815A9" w:rsidP="00310135">
            <w:pPr>
              <w:pStyle w:val="Tabletextleft"/>
            </w:pPr>
            <w:r w:rsidRPr="00493DD8">
              <w:t>JobKeeper recipient</w:t>
            </w:r>
          </w:p>
        </w:tc>
        <w:tc>
          <w:tcPr>
            <w:tcW w:w="1701" w:type="dxa"/>
            <w:tcBorders>
              <w:top w:val="single" w:sz="4" w:space="0" w:color="002C47" w:themeColor="accent1"/>
            </w:tcBorders>
            <w:tcMar>
              <w:top w:w="0" w:type="dxa"/>
              <w:left w:w="108" w:type="dxa"/>
              <w:bottom w:w="0" w:type="dxa"/>
              <w:right w:w="108" w:type="dxa"/>
            </w:tcMar>
            <w:vAlign w:val="center"/>
          </w:tcPr>
          <w:p w14:paraId="5BA6CA8F" w14:textId="4CB0CC0B" w:rsidR="00A815A9" w:rsidRPr="00493DD8" w:rsidRDefault="00DE2760" w:rsidP="00310135">
            <w:pPr>
              <w:pStyle w:val="Tabletextcentred"/>
            </w:pPr>
            <w:r>
              <w:noBreakHyphen/>
            </w:r>
            <w:r w:rsidR="00A815A9" w:rsidRPr="00493DD8">
              <w:t>38.9</w:t>
            </w:r>
          </w:p>
        </w:tc>
        <w:tc>
          <w:tcPr>
            <w:tcW w:w="1701" w:type="dxa"/>
            <w:tcBorders>
              <w:top w:val="single" w:sz="4" w:space="0" w:color="002C47" w:themeColor="accent1"/>
            </w:tcBorders>
            <w:tcMar>
              <w:top w:w="0" w:type="dxa"/>
              <w:left w:w="108" w:type="dxa"/>
              <w:bottom w:w="0" w:type="dxa"/>
              <w:right w:w="108" w:type="dxa"/>
            </w:tcMar>
            <w:vAlign w:val="center"/>
          </w:tcPr>
          <w:p w14:paraId="28B5BB9F" w14:textId="0A4694EE" w:rsidR="00A815A9" w:rsidRPr="00493DD8" w:rsidRDefault="00DE2760" w:rsidP="00310135">
            <w:pPr>
              <w:pStyle w:val="Tabletextcentred"/>
            </w:pPr>
            <w:r>
              <w:noBreakHyphen/>
            </w:r>
            <w:r w:rsidR="00A815A9" w:rsidRPr="00493DD8">
              <w:t>51.5</w:t>
            </w:r>
          </w:p>
        </w:tc>
        <w:tc>
          <w:tcPr>
            <w:tcW w:w="229" w:type="dxa"/>
            <w:tcBorders>
              <w:top w:val="single" w:sz="4" w:space="0" w:color="auto"/>
            </w:tcBorders>
            <w:vAlign w:val="center"/>
          </w:tcPr>
          <w:p w14:paraId="0D43BDAA" w14:textId="77777777" w:rsidR="00A815A9" w:rsidRPr="00493DD8" w:rsidRDefault="00A815A9" w:rsidP="00310135">
            <w:pPr>
              <w:pStyle w:val="Tabletextcentred"/>
            </w:pPr>
          </w:p>
        </w:tc>
        <w:tc>
          <w:tcPr>
            <w:tcW w:w="1701" w:type="dxa"/>
            <w:tcBorders>
              <w:top w:val="single" w:sz="4" w:space="0" w:color="002C47" w:themeColor="accent1"/>
            </w:tcBorders>
            <w:vAlign w:val="center"/>
          </w:tcPr>
          <w:p w14:paraId="5EEB9D46" w14:textId="4518E503" w:rsidR="00A815A9" w:rsidRPr="00493DD8" w:rsidRDefault="00DE2760" w:rsidP="00310135">
            <w:pPr>
              <w:pStyle w:val="Tabletextcentred"/>
            </w:pPr>
            <w:r>
              <w:noBreakHyphen/>
            </w:r>
            <w:r w:rsidR="00A815A9" w:rsidRPr="00493DD8">
              <w:t>37.0</w:t>
            </w:r>
          </w:p>
        </w:tc>
        <w:tc>
          <w:tcPr>
            <w:tcW w:w="1701" w:type="dxa"/>
            <w:tcBorders>
              <w:top w:val="single" w:sz="4" w:space="0" w:color="002C47" w:themeColor="accent1"/>
            </w:tcBorders>
            <w:tcMar>
              <w:top w:w="0" w:type="dxa"/>
              <w:left w:w="108" w:type="dxa"/>
              <w:bottom w:w="0" w:type="dxa"/>
              <w:right w:w="108" w:type="dxa"/>
            </w:tcMar>
            <w:vAlign w:val="center"/>
          </w:tcPr>
          <w:p w14:paraId="0FFD7075" w14:textId="6334F8CA" w:rsidR="00A815A9" w:rsidRPr="00493DD8" w:rsidRDefault="00DE2760" w:rsidP="00310135">
            <w:pPr>
              <w:pStyle w:val="Tabletextcentred"/>
            </w:pPr>
            <w:r>
              <w:noBreakHyphen/>
            </w:r>
            <w:r w:rsidR="00A815A9" w:rsidRPr="00493DD8">
              <w:t>50.4</w:t>
            </w:r>
          </w:p>
        </w:tc>
      </w:tr>
      <w:tr w:rsidR="00A815A9" w14:paraId="4D6EAF59" w14:textId="77777777" w:rsidTr="00310135">
        <w:trPr>
          <w:trHeight w:val="289"/>
          <w:jc w:val="center"/>
        </w:trPr>
        <w:tc>
          <w:tcPr>
            <w:tcW w:w="2127" w:type="dxa"/>
            <w:tcMar>
              <w:top w:w="0" w:type="dxa"/>
              <w:left w:w="108" w:type="dxa"/>
              <w:bottom w:w="0" w:type="dxa"/>
              <w:right w:w="108" w:type="dxa"/>
            </w:tcMar>
            <w:vAlign w:val="center"/>
            <w:hideMark/>
          </w:tcPr>
          <w:p w14:paraId="2BBC6C6F" w14:textId="77777777" w:rsidR="00A815A9" w:rsidRPr="00493DD8" w:rsidRDefault="00A815A9" w:rsidP="00310135">
            <w:pPr>
              <w:pStyle w:val="Tabletextleft"/>
            </w:pPr>
            <w:r w:rsidRPr="00493DD8">
              <w:t>Not a recipient</w:t>
            </w:r>
          </w:p>
        </w:tc>
        <w:tc>
          <w:tcPr>
            <w:tcW w:w="1701" w:type="dxa"/>
            <w:tcMar>
              <w:top w:w="0" w:type="dxa"/>
              <w:left w:w="108" w:type="dxa"/>
              <w:bottom w:w="0" w:type="dxa"/>
              <w:right w:w="108" w:type="dxa"/>
            </w:tcMar>
            <w:vAlign w:val="center"/>
          </w:tcPr>
          <w:p w14:paraId="7698B0BE" w14:textId="5DC2EC74" w:rsidR="00A815A9" w:rsidRPr="00493DD8" w:rsidRDefault="00A815A9" w:rsidP="00310135">
            <w:pPr>
              <w:pStyle w:val="Tabletextcentred"/>
            </w:pPr>
            <w:r w:rsidRPr="00493DD8">
              <w:t>0.0</w:t>
            </w:r>
          </w:p>
        </w:tc>
        <w:tc>
          <w:tcPr>
            <w:tcW w:w="1701" w:type="dxa"/>
            <w:tcMar>
              <w:top w:w="0" w:type="dxa"/>
              <w:left w:w="108" w:type="dxa"/>
              <w:bottom w:w="0" w:type="dxa"/>
              <w:right w:w="108" w:type="dxa"/>
            </w:tcMar>
            <w:vAlign w:val="center"/>
          </w:tcPr>
          <w:p w14:paraId="5AC161BB" w14:textId="69DA026D" w:rsidR="00A815A9" w:rsidRPr="00493DD8" w:rsidRDefault="00DE2760" w:rsidP="00310135">
            <w:pPr>
              <w:pStyle w:val="Tabletextcentred"/>
            </w:pPr>
            <w:r>
              <w:noBreakHyphen/>
            </w:r>
            <w:r w:rsidR="00A815A9" w:rsidRPr="00493DD8">
              <w:t>5.8</w:t>
            </w:r>
          </w:p>
        </w:tc>
        <w:tc>
          <w:tcPr>
            <w:tcW w:w="229" w:type="dxa"/>
            <w:vAlign w:val="center"/>
          </w:tcPr>
          <w:p w14:paraId="69B44827" w14:textId="77777777" w:rsidR="00A815A9" w:rsidRPr="00493DD8" w:rsidRDefault="00A815A9" w:rsidP="00310135">
            <w:pPr>
              <w:pStyle w:val="Tabletextcentred"/>
            </w:pPr>
          </w:p>
        </w:tc>
        <w:tc>
          <w:tcPr>
            <w:tcW w:w="1701" w:type="dxa"/>
            <w:vAlign w:val="center"/>
          </w:tcPr>
          <w:p w14:paraId="47CF34C0" w14:textId="5AB5AF90" w:rsidR="00A815A9" w:rsidRPr="00493DD8" w:rsidRDefault="00DE2760" w:rsidP="00310135">
            <w:pPr>
              <w:pStyle w:val="Tabletextcentred"/>
            </w:pPr>
            <w:r>
              <w:noBreakHyphen/>
            </w:r>
            <w:r w:rsidR="00A815A9" w:rsidRPr="00493DD8">
              <w:t>3.8</w:t>
            </w:r>
          </w:p>
        </w:tc>
        <w:tc>
          <w:tcPr>
            <w:tcW w:w="1701" w:type="dxa"/>
            <w:tcMar>
              <w:top w:w="0" w:type="dxa"/>
              <w:left w:w="108" w:type="dxa"/>
              <w:bottom w:w="0" w:type="dxa"/>
              <w:right w:w="108" w:type="dxa"/>
            </w:tcMar>
            <w:vAlign w:val="center"/>
          </w:tcPr>
          <w:p w14:paraId="73278037" w14:textId="01CA23ED" w:rsidR="00A815A9" w:rsidRPr="00493DD8" w:rsidRDefault="00DE2760" w:rsidP="00310135">
            <w:pPr>
              <w:pStyle w:val="Tabletextcentred"/>
            </w:pPr>
            <w:r>
              <w:noBreakHyphen/>
            </w:r>
            <w:r w:rsidR="00A815A9" w:rsidRPr="00493DD8">
              <w:t>14.4</w:t>
            </w:r>
          </w:p>
        </w:tc>
      </w:tr>
      <w:tr w:rsidR="00A815A9" w14:paraId="0EEE6F2A" w14:textId="77777777" w:rsidTr="00310135">
        <w:trPr>
          <w:trHeight w:val="289"/>
          <w:jc w:val="center"/>
        </w:trPr>
        <w:tc>
          <w:tcPr>
            <w:tcW w:w="2127" w:type="dxa"/>
            <w:tcBorders>
              <w:bottom w:val="single" w:sz="12" w:space="0" w:color="002C47" w:themeColor="accent1"/>
            </w:tcBorders>
            <w:tcMar>
              <w:top w:w="0" w:type="dxa"/>
              <w:left w:w="108" w:type="dxa"/>
              <w:bottom w:w="0" w:type="dxa"/>
              <w:right w:w="108" w:type="dxa"/>
            </w:tcMar>
            <w:vAlign w:val="center"/>
          </w:tcPr>
          <w:p w14:paraId="2A49BC6E" w14:textId="0F64C670" w:rsidR="00A815A9" w:rsidRPr="00493DD8" w:rsidRDefault="007E469D" w:rsidP="00310135">
            <w:pPr>
              <w:pStyle w:val="Tabletextleft"/>
            </w:pPr>
            <w:r w:rsidRPr="00493DD8">
              <w:t>Total</w:t>
            </w:r>
          </w:p>
        </w:tc>
        <w:tc>
          <w:tcPr>
            <w:tcW w:w="1701" w:type="dxa"/>
            <w:tcBorders>
              <w:bottom w:val="single" w:sz="12" w:space="0" w:color="002C47" w:themeColor="accent1"/>
            </w:tcBorders>
            <w:tcMar>
              <w:top w:w="0" w:type="dxa"/>
              <w:left w:w="108" w:type="dxa"/>
              <w:bottom w:w="0" w:type="dxa"/>
              <w:right w:w="108" w:type="dxa"/>
            </w:tcMar>
            <w:vAlign w:val="center"/>
          </w:tcPr>
          <w:p w14:paraId="69CE8C4B" w14:textId="6446501C" w:rsidR="00A815A9" w:rsidRPr="00493DD8" w:rsidRDefault="00DE2760" w:rsidP="00310135">
            <w:pPr>
              <w:pStyle w:val="Tabletextcentred"/>
            </w:pPr>
            <w:r>
              <w:noBreakHyphen/>
            </w:r>
            <w:r w:rsidR="00A815A9" w:rsidRPr="00493DD8">
              <w:t>16.5</w:t>
            </w:r>
          </w:p>
        </w:tc>
        <w:tc>
          <w:tcPr>
            <w:tcW w:w="1701" w:type="dxa"/>
            <w:tcBorders>
              <w:bottom w:val="single" w:sz="12" w:space="0" w:color="002C47" w:themeColor="accent1"/>
            </w:tcBorders>
            <w:tcMar>
              <w:top w:w="0" w:type="dxa"/>
              <w:left w:w="108" w:type="dxa"/>
              <w:bottom w:w="0" w:type="dxa"/>
              <w:right w:w="108" w:type="dxa"/>
            </w:tcMar>
            <w:vAlign w:val="center"/>
          </w:tcPr>
          <w:p w14:paraId="33E90C43" w14:textId="4EDDB325" w:rsidR="00A815A9" w:rsidRPr="00493DD8" w:rsidRDefault="00DE2760" w:rsidP="00310135">
            <w:pPr>
              <w:pStyle w:val="Tabletextcentred"/>
            </w:pPr>
            <w:r>
              <w:noBreakHyphen/>
            </w:r>
            <w:r w:rsidR="00A815A9" w:rsidRPr="00493DD8">
              <w:t>10.9</w:t>
            </w:r>
          </w:p>
        </w:tc>
        <w:tc>
          <w:tcPr>
            <w:tcW w:w="229" w:type="dxa"/>
            <w:tcBorders>
              <w:bottom w:val="single" w:sz="12" w:space="0" w:color="002C47" w:themeColor="accent1"/>
            </w:tcBorders>
            <w:vAlign w:val="center"/>
          </w:tcPr>
          <w:p w14:paraId="7D8322C3" w14:textId="77777777" w:rsidR="00A815A9" w:rsidRPr="00493DD8" w:rsidRDefault="00A815A9" w:rsidP="00310135">
            <w:pPr>
              <w:pStyle w:val="Tabletextcentred"/>
            </w:pPr>
          </w:p>
        </w:tc>
        <w:tc>
          <w:tcPr>
            <w:tcW w:w="1701" w:type="dxa"/>
            <w:tcBorders>
              <w:bottom w:val="single" w:sz="12" w:space="0" w:color="002C47" w:themeColor="accent1"/>
            </w:tcBorders>
            <w:vAlign w:val="center"/>
          </w:tcPr>
          <w:p w14:paraId="0E883937" w14:textId="543BBDF6" w:rsidR="00A815A9" w:rsidRPr="00493DD8" w:rsidRDefault="00DE2760" w:rsidP="00310135">
            <w:pPr>
              <w:pStyle w:val="Tabletextcentred"/>
            </w:pPr>
            <w:r>
              <w:noBreakHyphen/>
            </w:r>
            <w:r w:rsidR="00A815A9" w:rsidRPr="00493DD8">
              <w:t>17.5</w:t>
            </w:r>
          </w:p>
        </w:tc>
        <w:tc>
          <w:tcPr>
            <w:tcW w:w="1701" w:type="dxa"/>
            <w:tcBorders>
              <w:bottom w:val="single" w:sz="12" w:space="0" w:color="002C47" w:themeColor="accent1"/>
            </w:tcBorders>
            <w:tcMar>
              <w:top w:w="0" w:type="dxa"/>
              <w:left w:w="108" w:type="dxa"/>
              <w:bottom w:w="0" w:type="dxa"/>
              <w:right w:w="108" w:type="dxa"/>
            </w:tcMar>
            <w:vAlign w:val="center"/>
          </w:tcPr>
          <w:p w14:paraId="1B07A26A" w14:textId="20A44190" w:rsidR="00A815A9" w:rsidRPr="00493DD8" w:rsidRDefault="00DE2760" w:rsidP="00310135">
            <w:pPr>
              <w:pStyle w:val="Tabletextcentred"/>
            </w:pPr>
            <w:r>
              <w:noBreakHyphen/>
            </w:r>
            <w:r w:rsidR="00A815A9" w:rsidRPr="00493DD8">
              <w:t>18.5</w:t>
            </w:r>
          </w:p>
        </w:tc>
      </w:tr>
    </w:tbl>
    <w:p w14:paraId="6C2B49A4" w14:textId="0C7F3801" w:rsidR="00810FBA" w:rsidRPr="00493DD8" w:rsidRDefault="00810FBA" w:rsidP="00482A5D">
      <w:pPr>
        <w:spacing w:after="0"/>
        <w:rPr>
          <w:color w:val="000000" w:themeColor="text1"/>
          <w:sz w:val="18"/>
          <w:szCs w:val="18"/>
        </w:rPr>
      </w:pPr>
      <w:r w:rsidRPr="00493DD8">
        <w:rPr>
          <w:rFonts w:cstheme="minorHAnsi"/>
          <w:color w:val="000000" w:themeColor="text1"/>
          <w:sz w:val="18"/>
        </w:rPr>
        <w:t xml:space="preserve">Note: Includes </w:t>
      </w:r>
      <w:r w:rsidR="00EA49D7">
        <w:rPr>
          <w:rFonts w:cstheme="minorHAnsi"/>
          <w:color w:val="000000" w:themeColor="text1"/>
          <w:sz w:val="18"/>
        </w:rPr>
        <w:t>businesses</w:t>
      </w:r>
      <w:r w:rsidRPr="00493DD8">
        <w:rPr>
          <w:rFonts w:cstheme="minorHAnsi"/>
          <w:color w:val="000000" w:themeColor="text1"/>
          <w:sz w:val="18"/>
        </w:rPr>
        <w:t xml:space="preserve"> with sales growth between </w:t>
      </w:r>
      <w:r w:rsidR="00DE2760">
        <w:rPr>
          <w:rFonts w:cstheme="minorHAnsi"/>
          <w:color w:val="000000" w:themeColor="text1"/>
          <w:sz w:val="18"/>
        </w:rPr>
        <w:noBreakHyphen/>
      </w:r>
      <w:r w:rsidRPr="00493DD8">
        <w:rPr>
          <w:rFonts w:cstheme="minorHAnsi"/>
          <w:color w:val="000000" w:themeColor="text1"/>
          <w:sz w:val="18"/>
        </w:rPr>
        <w:t>100 per cent and 100 per cent. Sample covers 26,000 recipients and 37,000 non</w:t>
      </w:r>
      <w:r w:rsidR="00DE2760">
        <w:rPr>
          <w:rFonts w:cstheme="minorHAnsi"/>
          <w:color w:val="000000" w:themeColor="text1"/>
          <w:sz w:val="18"/>
        </w:rPr>
        <w:noBreakHyphen/>
      </w:r>
      <w:r w:rsidRPr="00493DD8">
        <w:rPr>
          <w:rFonts w:cstheme="minorHAnsi"/>
          <w:color w:val="000000" w:themeColor="text1"/>
          <w:sz w:val="18"/>
        </w:rPr>
        <w:t>recipients.</w:t>
      </w:r>
      <w:r w:rsidR="007E469D" w:rsidRPr="00493DD8">
        <w:rPr>
          <w:rFonts w:cstheme="minorHAnsi"/>
          <w:color w:val="000000" w:themeColor="text1"/>
          <w:sz w:val="18"/>
        </w:rPr>
        <w:t xml:space="preserve"> Very l</w:t>
      </w:r>
      <w:r w:rsidR="00A815A9" w:rsidRPr="00493DD8">
        <w:rPr>
          <w:rFonts w:cstheme="minorHAnsi"/>
          <w:color w:val="000000" w:themeColor="text1"/>
          <w:sz w:val="18"/>
        </w:rPr>
        <w:t>arge businesses are those that are part of a gro</w:t>
      </w:r>
      <w:r w:rsidR="003F5251" w:rsidRPr="00493DD8">
        <w:rPr>
          <w:rFonts w:cstheme="minorHAnsi"/>
          <w:color w:val="000000" w:themeColor="text1"/>
          <w:sz w:val="18"/>
        </w:rPr>
        <w:t xml:space="preserve">up with </w:t>
      </w:r>
      <w:r w:rsidR="000E6FD8" w:rsidRPr="00493DD8">
        <w:rPr>
          <w:rFonts w:cstheme="minorHAnsi"/>
          <w:color w:val="000000" w:themeColor="text1"/>
          <w:sz w:val="18"/>
        </w:rPr>
        <w:t>turnover</w:t>
      </w:r>
      <w:r w:rsidR="003F5251" w:rsidRPr="00493DD8">
        <w:rPr>
          <w:rFonts w:cstheme="minorHAnsi"/>
          <w:color w:val="000000" w:themeColor="text1"/>
          <w:sz w:val="18"/>
        </w:rPr>
        <w:t xml:space="preserve"> above</w:t>
      </w:r>
      <w:r w:rsidR="00310135">
        <w:rPr>
          <w:rFonts w:cstheme="minorHAnsi"/>
          <w:color w:val="000000" w:themeColor="text1"/>
          <w:sz w:val="18"/>
        </w:rPr>
        <w:t xml:space="preserve"> $1</w:t>
      </w:r>
      <w:r w:rsidR="00FD4816">
        <w:rPr>
          <w:rFonts w:cstheme="minorHAnsi"/>
          <w:color w:val="000000" w:themeColor="text1"/>
          <w:sz w:val="18"/>
        </w:rPr>
        <w:t> </w:t>
      </w:r>
      <w:r w:rsidR="00310135">
        <w:rPr>
          <w:rFonts w:cstheme="minorHAnsi"/>
          <w:color w:val="000000" w:themeColor="text1"/>
          <w:sz w:val="18"/>
        </w:rPr>
        <w:t>billion in 2018</w:t>
      </w:r>
      <w:r w:rsidR="00DE2760">
        <w:rPr>
          <w:rFonts w:cstheme="minorHAnsi"/>
          <w:color w:val="000000" w:themeColor="text1"/>
          <w:sz w:val="18"/>
        </w:rPr>
        <w:noBreakHyphen/>
      </w:r>
      <w:r w:rsidR="00A815A9" w:rsidRPr="00493DD8">
        <w:rPr>
          <w:rFonts w:cstheme="minorHAnsi"/>
          <w:color w:val="000000" w:themeColor="text1"/>
          <w:sz w:val="18"/>
        </w:rPr>
        <w:t>19. This sub</w:t>
      </w:r>
      <w:r w:rsidR="00DE2760">
        <w:rPr>
          <w:rFonts w:cstheme="minorHAnsi"/>
          <w:color w:val="000000" w:themeColor="text1"/>
          <w:sz w:val="18"/>
        </w:rPr>
        <w:noBreakHyphen/>
      </w:r>
      <w:r w:rsidR="00A815A9" w:rsidRPr="00493DD8">
        <w:rPr>
          <w:rFonts w:cstheme="minorHAnsi"/>
          <w:color w:val="000000" w:themeColor="text1"/>
          <w:sz w:val="18"/>
        </w:rPr>
        <w:t xml:space="preserve">sample covers </w:t>
      </w:r>
      <w:r w:rsidR="003F5251" w:rsidRPr="00493DD8">
        <w:rPr>
          <w:color w:val="000000" w:themeColor="text1"/>
          <w:sz w:val="18"/>
          <w:szCs w:val="18"/>
        </w:rPr>
        <w:t>115 recipients and </w:t>
      </w:r>
      <w:r w:rsidR="00A815A9" w:rsidRPr="00493DD8">
        <w:rPr>
          <w:color w:val="000000" w:themeColor="text1"/>
          <w:sz w:val="18"/>
          <w:szCs w:val="18"/>
        </w:rPr>
        <w:t>991 non</w:t>
      </w:r>
      <w:r w:rsidR="00DE2760">
        <w:rPr>
          <w:color w:val="000000" w:themeColor="text1"/>
          <w:sz w:val="18"/>
          <w:szCs w:val="18"/>
        </w:rPr>
        <w:noBreakHyphen/>
      </w:r>
      <w:r w:rsidR="00A815A9" w:rsidRPr="00493DD8">
        <w:rPr>
          <w:color w:val="000000" w:themeColor="text1"/>
          <w:sz w:val="18"/>
          <w:szCs w:val="18"/>
        </w:rPr>
        <w:t xml:space="preserve">recipients. </w:t>
      </w:r>
      <w:r w:rsidR="007E469D" w:rsidRPr="00493DD8">
        <w:rPr>
          <w:color w:val="000000" w:themeColor="text1"/>
          <w:sz w:val="18"/>
          <w:szCs w:val="18"/>
        </w:rPr>
        <w:t>These results are unweighted.</w:t>
      </w:r>
    </w:p>
    <w:p w14:paraId="338FEB53" w14:textId="0703C85A" w:rsidR="00482A5D" w:rsidRPr="00493DD8" w:rsidRDefault="00482A5D" w:rsidP="00482A5D">
      <w:pPr>
        <w:spacing w:after="0"/>
        <w:rPr>
          <w:rFonts w:cstheme="minorHAnsi"/>
          <w:color w:val="000000" w:themeColor="text1"/>
          <w:sz w:val="18"/>
        </w:rPr>
      </w:pPr>
      <w:r w:rsidRPr="00493DD8">
        <w:rPr>
          <w:rFonts w:cstheme="minorHAnsi"/>
          <w:color w:val="000000" w:themeColor="text1"/>
          <w:sz w:val="18"/>
        </w:rPr>
        <w:t>Source: Treasury analysis of de</w:t>
      </w:r>
      <w:r w:rsidR="00DE2760">
        <w:rPr>
          <w:rFonts w:cstheme="minorHAnsi"/>
          <w:color w:val="000000" w:themeColor="text1"/>
          <w:sz w:val="18"/>
        </w:rPr>
        <w:noBreakHyphen/>
      </w:r>
      <w:r w:rsidRPr="00493DD8">
        <w:rPr>
          <w:rFonts w:cstheme="minorHAnsi"/>
          <w:color w:val="000000" w:themeColor="text1"/>
          <w:sz w:val="18"/>
        </w:rPr>
        <w:t>identified administrative data (B</w:t>
      </w:r>
      <w:r w:rsidR="00241A1B">
        <w:rPr>
          <w:rFonts w:cstheme="minorHAnsi"/>
          <w:color w:val="000000" w:themeColor="text1"/>
          <w:sz w:val="18"/>
        </w:rPr>
        <w:t xml:space="preserve">AS </w:t>
      </w:r>
      <w:r w:rsidRPr="00493DD8">
        <w:rPr>
          <w:rFonts w:cstheme="minorHAnsi"/>
          <w:color w:val="000000" w:themeColor="text1"/>
          <w:sz w:val="18"/>
        </w:rPr>
        <w:t>data linked to JobKeeper status).</w:t>
      </w:r>
    </w:p>
    <w:p w14:paraId="4510D2BE" w14:textId="77777777" w:rsidR="00482A5D" w:rsidRPr="00493DD8" w:rsidRDefault="00482A5D" w:rsidP="009464B8">
      <w:pPr>
        <w:pStyle w:val="Singleparagraph"/>
      </w:pPr>
    </w:p>
    <w:p w14:paraId="23C6A51D" w14:textId="177341B2" w:rsidR="00791BAA" w:rsidRDefault="0047609C">
      <w:r w:rsidRPr="008B7C0C">
        <w:t>The underlying data also show that</w:t>
      </w:r>
      <w:r w:rsidR="003A4BF9" w:rsidRPr="008B7C0C">
        <w:t xml:space="preserve"> 15 per cent of JobKeeper recipient</w:t>
      </w:r>
      <w:r w:rsidR="00463F49">
        <w:t>s</w:t>
      </w:r>
      <w:r w:rsidR="003A4BF9" w:rsidRPr="008B7C0C">
        <w:t xml:space="preserve"> experienced an </w:t>
      </w:r>
      <w:r w:rsidR="003A4BF9" w:rsidRPr="008B7C0C">
        <w:rPr>
          <w:i/>
        </w:rPr>
        <w:t>increase</w:t>
      </w:r>
      <w:r w:rsidR="00A5212F" w:rsidRPr="008B7C0C">
        <w:t xml:space="preserve"> in turnover in April 2020 compared with one year previous. </w:t>
      </w:r>
      <w:r w:rsidR="001B4CB1" w:rsidRPr="008B7C0C">
        <w:t>A variety of factors may be at play here</w:t>
      </w:r>
      <w:r w:rsidR="00B549FE" w:rsidRPr="008B7C0C">
        <w:t xml:space="preserve">. </w:t>
      </w:r>
      <w:r w:rsidR="001B4CB1" w:rsidRPr="008B7C0C">
        <w:t xml:space="preserve">The availability of JobKeeper may have given some businesses a sufficient lifeline to remain open rather than have to close and turnover surprised on the upside. Some businesses may have </w:t>
      </w:r>
      <w:r w:rsidR="00F646AC" w:rsidRPr="008B7C0C">
        <w:t>brought forward revenue in Apr</w:t>
      </w:r>
      <w:r w:rsidR="00B549FE" w:rsidRPr="008B7C0C">
        <w:t xml:space="preserve">il to maintain good cash flow. </w:t>
      </w:r>
      <w:r w:rsidR="00911A83" w:rsidRPr="008B7C0C">
        <w:t>In any event,</w:t>
      </w:r>
      <w:r w:rsidR="0012659A" w:rsidRPr="008B7C0C">
        <w:t xml:space="preserve"> with just</w:t>
      </w:r>
      <w:r w:rsidR="00911A83" w:rsidRPr="008B7C0C">
        <w:t xml:space="preserve"> o</w:t>
      </w:r>
      <w:r w:rsidR="00F646AC" w:rsidRPr="008B7C0C">
        <w:t xml:space="preserve">ne month of actual turnover data </w:t>
      </w:r>
      <w:r w:rsidR="0012659A" w:rsidRPr="008B7C0C">
        <w:t xml:space="preserve">it </w:t>
      </w:r>
      <w:r w:rsidR="00F646AC" w:rsidRPr="008B7C0C">
        <w:t xml:space="preserve">is </w:t>
      </w:r>
      <w:r w:rsidR="0012659A" w:rsidRPr="008B7C0C">
        <w:t>premature</w:t>
      </w:r>
      <w:r w:rsidR="00F646AC" w:rsidRPr="008B7C0C">
        <w:t xml:space="preserve"> to make any judgement about whether there are </w:t>
      </w:r>
      <w:r w:rsidR="00463F49">
        <w:t xml:space="preserve">businesses </w:t>
      </w:r>
      <w:r w:rsidR="00F646AC" w:rsidRPr="008B7C0C">
        <w:t>being supported by JobKeeper that may not merit support.</w:t>
      </w:r>
      <w:r w:rsidR="00D34C3C" w:rsidRPr="008B7C0C">
        <w:t xml:space="preserve"> </w:t>
      </w:r>
      <w:r w:rsidR="008B7C0C" w:rsidRPr="008B7C0C">
        <w:t xml:space="preserve">The ATO will use actual decline in turnover as a part of its compliance program and would be expected to look closely at those </w:t>
      </w:r>
      <w:r w:rsidR="00463F49">
        <w:t>organisations</w:t>
      </w:r>
      <w:r w:rsidR="008B7C0C" w:rsidRPr="008B7C0C">
        <w:t xml:space="preserve"> </w:t>
      </w:r>
      <w:r w:rsidR="00463F49">
        <w:t xml:space="preserve">which </w:t>
      </w:r>
      <w:r w:rsidR="008B7C0C" w:rsidRPr="008B7C0C">
        <w:t>have overestimated their projected decline in turnover absent an evidence base to support that projection.</w:t>
      </w: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403D4A" w14:paraId="6A4C7EA5" w14:textId="77777777" w:rsidTr="00403D4A">
        <w:tc>
          <w:tcPr>
            <w:tcW w:w="8494" w:type="dxa"/>
            <w:shd w:val="clear" w:color="auto" w:fill="F2F6F6"/>
          </w:tcPr>
          <w:p w14:paraId="296C482E" w14:textId="77777777" w:rsidR="00403D4A" w:rsidRDefault="00403D4A" w:rsidP="00403D4A">
            <w:pPr>
              <w:pStyle w:val="Quote"/>
            </w:pPr>
            <w:r>
              <w:t>“When COVID hit I thought we would go bankrupt… JobKeeper has been the best executed [program] and the best for any business.”</w:t>
            </w:r>
          </w:p>
          <w:p w14:paraId="3A19D132" w14:textId="77777777" w:rsidR="00403D4A" w:rsidRDefault="00403D4A" w:rsidP="00403D4A">
            <w:pPr>
              <w:pStyle w:val="Quoteexplainer"/>
            </w:pPr>
            <w:r>
              <w:t>The restaurant, which was solely dine in before the crisis, had to move to online delivery—which they did impressively within four days of restrictions being announced. Despite this, their business revenue slumped by almost 60 per cent. The owners thought they would go bankrupt before JobKeeper came in. But the program ensured they could continue operating (albeit at a lower capacity as a food delivery business) while hanging onto their best staff.</w:t>
            </w:r>
          </w:p>
          <w:p w14:paraId="0B7B45C2" w14:textId="77777777" w:rsidR="00403D4A" w:rsidRDefault="00403D4A" w:rsidP="00403D4A">
            <w:pPr>
              <w:pStyle w:val="Quoteexplainer"/>
            </w:pPr>
            <w:r>
              <w:t>Despite making business losses, the owners believe they can keep operating until the first quarter of 2021 using their cash reserves, particularly because JobKeeper helped save on wage costs. JobKeeper has put them in the financial position to plan for the future, including by looking at a ‘ghost kitchen’ that continues to offer delivery services going forward.</w:t>
            </w:r>
          </w:p>
          <w:p w14:paraId="132FC7BF" w14:textId="77777777" w:rsidR="00403D4A" w:rsidRDefault="00403D4A" w:rsidP="00403D4A">
            <w:pPr>
              <w:pStyle w:val="Quoteref"/>
            </w:pPr>
            <w:r>
              <w:t xml:space="preserve">~ A small restaurant and bar </w:t>
            </w:r>
          </w:p>
          <w:p w14:paraId="2B0E9A91" w14:textId="77777777" w:rsidR="00403D4A" w:rsidRDefault="00403D4A" w:rsidP="00403D4A">
            <w:pPr>
              <w:pStyle w:val="Quoteref"/>
            </w:pPr>
          </w:p>
        </w:tc>
      </w:tr>
    </w:tbl>
    <w:p w14:paraId="01FF0AA0" w14:textId="594A3AFF" w:rsidR="00403D4A" w:rsidRDefault="00403D4A" w:rsidP="00403D4A">
      <w:pPr>
        <w:spacing w:after="160"/>
      </w:pPr>
      <w:bookmarkStart w:id="995" w:name="_Toc43294094"/>
      <w:bookmarkStart w:id="996" w:name="_Toc43302292"/>
      <w:bookmarkStart w:id="997" w:name="_Toc43303731"/>
      <w:bookmarkStart w:id="998" w:name="_Toc43305342"/>
      <w:bookmarkStart w:id="999" w:name="_Toc43306313"/>
      <w:bookmarkStart w:id="1000" w:name="_Toc43309521"/>
    </w:p>
    <w:p w14:paraId="28F01042" w14:textId="75EC36CB" w:rsidR="00881638" w:rsidRDefault="0047609C" w:rsidP="00403D4A">
      <w:pPr>
        <w:spacing w:after="160"/>
      </w:pPr>
      <w:r w:rsidRPr="00493DD8">
        <w:rPr>
          <w:color w:val="000000" w:themeColor="text1"/>
        </w:rPr>
        <w:lastRenderedPageBreak/>
        <w:t xml:space="preserve">Contrary to what ordinarily happens in a recession, there has been </w:t>
      </w:r>
      <w:r w:rsidR="00EB22FE" w:rsidRPr="00493DD8">
        <w:rPr>
          <w:color w:val="000000" w:themeColor="text1"/>
        </w:rPr>
        <w:t xml:space="preserve">a decrease in business closures rather than an increase. Over the </w:t>
      </w:r>
      <w:r w:rsidR="000C7368">
        <w:rPr>
          <w:color w:val="000000" w:themeColor="text1"/>
        </w:rPr>
        <w:t>four</w:t>
      </w:r>
      <w:r w:rsidR="00EB22FE" w:rsidRPr="00493DD8">
        <w:rPr>
          <w:color w:val="000000" w:themeColor="text1"/>
        </w:rPr>
        <w:t xml:space="preserve"> weeks to 31 May</w:t>
      </w:r>
      <w:r w:rsidR="000C7368">
        <w:rPr>
          <w:color w:val="000000" w:themeColor="text1"/>
        </w:rPr>
        <w:t xml:space="preserve"> 2020</w:t>
      </w:r>
      <w:r w:rsidR="00EB22FE" w:rsidRPr="00493DD8">
        <w:rPr>
          <w:color w:val="000000" w:themeColor="text1"/>
        </w:rPr>
        <w:t>, company insolvencies were down by 38</w:t>
      </w:r>
      <w:r w:rsidR="0093092A">
        <w:rPr>
          <w:color w:val="000000" w:themeColor="text1"/>
        </w:rPr>
        <w:t> </w:t>
      </w:r>
      <w:r w:rsidR="00EB22FE" w:rsidRPr="00493DD8">
        <w:rPr>
          <w:color w:val="000000" w:themeColor="text1"/>
        </w:rPr>
        <w:t>per</w:t>
      </w:r>
      <w:r w:rsidR="0093092A">
        <w:rPr>
          <w:color w:val="000000" w:themeColor="text1"/>
        </w:rPr>
        <w:t> </w:t>
      </w:r>
      <w:r w:rsidR="00EB22FE" w:rsidRPr="00493DD8">
        <w:rPr>
          <w:color w:val="000000" w:themeColor="text1"/>
        </w:rPr>
        <w:t>cent when compared with 2019.</w:t>
      </w:r>
      <w:r w:rsidR="00D127BC">
        <w:rPr>
          <w:rStyle w:val="FootnoteReference"/>
          <w:color w:val="000000" w:themeColor="text1"/>
        </w:rPr>
        <w:footnoteReference w:id="55"/>
      </w:r>
      <w:r w:rsidR="00EB22FE" w:rsidRPr="00493DD8">
        <w:rPr>
          <w:color w:val="000000" w:themeColor="text1"/>
        </w:rPr>
        <w:t xml:space="preserve"> </w:t>
      </w:r>
      <w:r w:rsidRPr="00493DD8">
        <w:rPr>
          <w:color w:val="000000" w:themeColor="text1"/>
        </w:rPr>
        <w:t>Other indicators of financial stress for companies, such as voluntary administrations, have also remained low.</w:t>
      </w:r>
      <w:r>
        <w:t xml:space="preserve"> </w:t>
      </w:r>
    </w:p>
    <w:p w14:paraId="083FAE65" w14:textId="7B045F31" w:rsidR="0047609C" w:rsidRDefault="00EB22FE" w:rsidP="00DC4130">
      <w:pPr>
        <w:rPr>
          <w:color w:val="000000" w:themeColor="text1"/>
        </w:rPr>
      </w:pPr>
      <w:r w:rsidRPr="00493DD8">
        <w:rPr>
          <w:color w:val="000000" w:themeColor="text1"/>
        </w:rPr>
        <w:t>It would be a mistake to interpret</w:t>
      </w:r>
      <w:r w:rsidR="0047609C" w:rsidRPr="00493DD8">
        <w:rPr>
          <w:color w:val="000000" w:themeColor="text1"/>
        </w:rPr>
        <w:t xml:space="preserve"> these data </w:t>
      </w:r>
      <w:r w:rsidRPr="00493DD8">
        <w:rPr>
          <w:color w:val="000000" w:themeColor="text1"/>
        </w:rPr>
        <w:t>as indicating</w:t>
      </w:r>
      <w:r w:rsidR="0047609C" w:rsidRPr="00493DD8">
        <w:rPr>
          <w:color w:val="000000" w:themeColor="text1"/>
        </w:rPr>
        <w:t xml:space="preserve"> that the </w:t>
      </w:r>
      <w:r w:rsidR="00DC4130" w:rsidRPr="00493DD8">
        <w:rPr>
          <w:color w:val="000000" w:themeColor="text1"/>
        </w:rPr>
        <w:t>true number</w:t>
      </w:r>
      <w:r w:rsidR="0047609C" w:rsidRPr="00493DD8">
        <w:rPr>
          <w:color w:val="000000" w:themeColor="text1"/>
        </w:rPr>
        <w:t xml:space="preserve"> of businesses in financial stress </w:t>
      </w:r>
      <w:r w:rsidR="00DC4130" w:rsidRPr="00493DD8">
        <w:rPr>
          <w:color w:val="000000" w:themeColor="text1"/>
        </w:rPr>
        <w:t>is</w:t>
      </w:r>
      <w:r w:rsidR="0047609C" w:rsidRPr="00493DD8">
        <w:rPr>
          <w:color w:val="000000" w:themeColor="text1"/>
        </w:rPr>
        <w:t xml:space="preserve"> low. Rather, </w:t>
      </w:r>
      <w:r w:rsidR="005A2311" w:rsidRPr="00493DD8">
        <w:rPr>
          <w:color w:val="000000" w:themeColor="text1"/>
        </w:rPr>
        <w:t xml:space="preserve">struggling </w:t>
      </w:r>
      <w:r w:rsidR="0047609C" w:rsidRPr="00493DD8">
        <w:rPr>
          <w:color w:val="000000" w:themeColor="text1"/>
        </w:rPr>
        <w:t xml:space="preserve">businesses </w:t>
      </w:r>
      <w:r w:rsidR="005A2311" w:rsidRPr="00493DD8">
        <w:rPr>
          <w:color w:val="000000" w:themeColor="text1"/>
        </w:rPr>
        <w:t>have benefitted from</w:t>
      </w:r>
      <w:r w:rsidRPr="00493DD8">
        <w:rPr>
          <w:color w:val="000000" w:themeColor="text1"/>
        </w:rPr>
        <w:t xml:space="preserve"> accessing JobKeeper payme</w:t>
      </w:r>
      <w:r w:rsidR="00DC4130" w:rsidRPr="00493DD8">
        <w:rPr>
          <w:color w:val="000000" w:themeColor="text1"/>
        </w:rPr>
        <w:t>nts and other support (</w:t>
      </w:r>
      <w:r w:rsidRPr="00493DD8">
        <w:rPr>
          <w:color w:val="000000" w:themeColor="text1"/>
        </w:rPr>
        <w:t>such as the Cash Flow Boost</w:t>
      </w:r>
      <w:r w:rsidR="005A2311" w:rsidRPr="00493DD8">
        <w:rPr>
          <w:color w:val="000000" w:themeColor="text1"/>
        </w:rPr>
        <w:t xml:space="preserve"> for Employers</w:t>
      </w:r>
      <w:r w:rsidR="00DC4130" w:rsidRPr="00493DD8">
        <w:rPr>
          <w:color w:val="000000" w:themeColor="text1"/>
        </w:rPr>
        <w:t>)</w:t>
      </w:r>
      <w:r w:rsidR="005A2311" w:rsidRPr="00493DD8">
        <w:rPr>
          <w:color w:val="000000" w:themeColor="text1"/>
        </w:rPr>
        <w:t xml:space="preserve">, bank loan payment deferrals and temporary regulatory measures designed to relieve businesses </w:t>
      </w:r>
      <w:r w:rsidR="00DC4130" w:rsidRPr="00493DD8">
        <w:rPr>
          <w:color w:val="000000" w:themeColor="text1"/>
        </w:rPr>
        <w:t>and lessen the threat of actions that could unnecessarily push them into insolvency and force the winding up of the business</w:t>
      </w:r>
      <w:r w:rsidRPr="00493DD8">
        <w:rPr>
          <w:color w:val="000000" w:themeColor="text1"/>
        </w:rPr>
        <w:t>.</w:t>
      </w:r>
      <w:r w:rsidR="00881638" w:rsidRPr="00493DD8">
        <w:rPr>
          <w:rStyle w:val="FootnoteReference"/>
          <w:color w:val="000000" w:themeColor="text1"/>
        </w:rPr>
        <w:footnoteReference w:id="56"/>
      </w:r>
      <w:r w:rsidR="00DC4130" w:rsidRPr="00493DD8">
        <w:rPr>
          <w:color w:val="000000" w:themeColor="text1"/>
        </w:rPr>
        <w:t xml:space="preserve"> Scenario modelling on </w:t>
      </w:r>
      <w:r w:rsidR="005A3FB8" w:rsidRPr="00493DD8">
        <w:rPr>
          <w:color w:val="000000" w:themeColor="text1"/>
        </w:rPr>
        <w:t xml:space="preserve">the effect of changes in cash flow on the </w:t>
      </w:r>
      <w:r w:rsidR="00DC4130" w:rsidRPr="00493DD8">
        <w:rPr>
          <w:color w:val="000000" w:themeColor="text1"/>
        </w:rPr>
        <w:t>level of business closures is being undertaken by the Reserve Bank of Australia.</w:t>
      </w:r>
      <w:r w:rsidR="005A3FB8" w:rsidRPr="00493DD8">
        <w:rPr>
          <w:color w:val="000000" w:themeColor="text1"/>
        </w:rPr>
        <w:t xml:space="preserve"> Some </w:t>
      </w:r>
      <w:r w:rsidR="00C57B03">
        <w:rPr>
          <w:color w:val="000000" w:themeColor="text1"/>
        </w:rPr>
        <w:t>preliminary</w:t>
      </w:r>
      <w:r w:rsidR="005A3FB8" w:rsidRPr="00493DD8">
        <w:rPr>
          <w:color w:val="000000" w:themeColor="text1"/>
        </w:rPr>
        <w:t xml:space="preserve"> findings from this research were included in the R</w:t>
      </w:r>
      <w:r w:rsidR="00C46629" w:rsidRPr="00493DD8">
        <w:rPr>
          <w:color w:val="000000" w:themeColor="text1"/>
        </w:rPr>
        <w:t xml:space="preserve">eserve </w:t>
      </w:r>
      <w:r w:rsidR="005A3FB8" w:rsidRPr="00493DD8">
        <w:rPr>
          <w:color w:val="000000" w:themeColor="text1"/>
        </w:rPr>
        <w:t>B</w:t>
      </w:r>
      <w:r w:rsidR="00C46629" w:rsidRPr="00493DD8">
        <w:rPr>
          <w:color w:val="000000" w:themeColor="text1"/>
        </w:rPr>
        <w:t>ank</w:t>
      </w:r>
      <w:r w:rsidR="00DE2760">
        <w:rPr>
          <w:color w:val="000000" w:themeColor="text1"/>
        </w:rPr>
        <w:t>’</w:t>
      </w:r>
      <w:r w:rsidR="005A3FB8" w:rsidRPr="00493DD8">
        <w:rPr>
          <w:color w:val="000000" w:themeColor="text1"/>
        </w:rPr>
        <w:t>s Financial Stability Review</w:t>
      </w:r>
      <w:r w:rsidR="000C7368">
        <w:rPr>
          <w:color w:val="000000" w:themeColor="text1"/>
        </w:rPr>
        <w:t xml:space="preserve"> in April 2020</w:t>
      </w:r>
      <w:r w:rsidR="005A3FB8" w:rsidRPr="00493DD8">
        <w:rPr>
          <w:color w:val="000000" w:themeColor="text1"/>
        </w:rPr>
        <w:t>.</w:t>
      </w:r>
      <w:r w:rsidR="00054D56" w:rsidRPr="00493DD8">
        <w:rPr>
          <w:rStyle w:val="FootnoteReference"/>
          <w:color w:val="000000" w:themeColor="text1"/>
        </w:rPr>
        <w:footnoteReference w:id="57"/>
      </w:r>
    </w:p>
    <w:tbl>
      <w:tblPr>
        <w:tblStyle w:val="TableGrid"/>
        <w:tblpPr w:leftFromText="180" w:rightFromText="180" w:vertAnchor="text" w:horzAnchor="margin"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6F6"/>
        <w:tblCellMar>
          <w:top w:w="142" w:type="dxa"/>
          <w:left w:w="284" w:type="dxa"/>
          <w:bottom w:w="142" w:type="dxa"/>
          <w:right w:w="284" w:type="dxa"/>
        </w:tblCellMar>
        <w:tblLook w:val="04A0" w:firstRow="1" w:lastRow="0" w:firstColumn="1" w:lastColumn="0" w:noHBand="0" w:noVBand="1"/>
      </w:tblPr>
      <w:tblGrid>
        <w:gridCol w:w="8494"/>
      </w:tblGrid>
      <w:tr w:rsidR="00194FD8" w14:paraId="42B60E31" w14:textId="77777777" w:rsidTr="008B4C30">
        <w:tc>
          <w:tcPr>
            <w:tcW w:w="8494" w:type="dxa"/>
            <w:shd w:val="clear" w:color="auto" w:fill="F2F6F6"/>
          </w:tcPr>
          <w:p w14:paraId="7BD5F612" w14:textId="77777777" w:rsidR="00194FD8" w:rsidRDefault="00194FD8" w:rsidP="008B4C30">
            <w:pPr>
              <w:pStyle w:val="Quote"/>
            </w:pPr>
            <w:r>
              <w:t>“Without JobKeeper our talented and skilled practitioners will leave the industry to find more secure work.”</w:t>
            </w:r>
          </w:p>
          <w:p w14:paraId="5A4E086C" w14:textId="77777777" w:rsidR="00194FD8" w:rsidRDefault="00194FD8" w:rsidP="008B4C30">
            <w:pPr>
              <w:pStyle w:val="Quoteexplainer"/>
            </w:pPr>
            <w:r>
              <w:t>JobKeeper has enabled the business owner to retain skilled employees with 15 years industry experience. It has also given the agency the breathing space to cover other expenses, and manage customer enquiries by re</w:t>
            </w:r>
            <w:r>
              <w:noBreakHyphen/>
              <w:t>booking holidays into next year rather than having to cancel them. As the owner herself is eligible for JobKeeper, she is reinvesting the payments directly back into the business to cover costs. If JobKeeper ends before international borders reopen, the agency may need to let go of the remainder of its employees and go into hibernation.</w:t>
            </w:r>
          </w:p>
          <w:p w14:paraId="7EA6090C" w14:textId="77777777" w:rsidR="00194FD8" w:rsidRDefault="00194FD8" w:rsidP="008B4C30">
            <w:pPr>
              <w:pStyle w:val="Quoteref"/>
            </w:pPr>
            <w:r>
              <w:t>~ A small travel agency</w:t>
            </w:r>
          </w:p>
        </w:tc>
      </w:tr>
    </w:tbl>
    <w:p w14:paraId="71C4D6BB" w14:textId="77777777" w:rsidR="00194FD8" w:rsidRPr="00493DD8" w:rsidRDefault="00194FD8" w:rsidP="00DC4130">
      <w:pPr>
        <w:rPr>
          <w:color w:val="000000" w:themeColor="text1"/>
        </w:rPr>
      </w:pPr>
    </w:p>
    <w:p w14:paraId="6A3AEBDD" w14:textId="27849902" w:rsidR="00EC794E" w:rsidRPr="00EC794E" w:rsidRDefault="00EC794E" w:rsidP="00755C53">
      <w:pPr>
        <w:pStyle w:val="Heading2"/>
      </w:pPr>
      <w:bookmarkStart w:id="1001" w:name="_Toc44079817"/>
      <w:bookmarkStart w:id="1002" w:name="_Toc44079952"/>
      <w:bookmarkStart w:id="1003" w:name="_Toc44319863"/>
      <w:bookmarkStart w:id="1004" w:name="_Toc44321571"/>
      <w:bookmarkStart w:id="1005" w:name="_Toc44323738"/>
      <w:bookmarkStart w:id="1006" w:name="_Toc44326201"/>
      <w:bookmarkStart w:id="1007" w:name="_Toc44330523"/>
      <w:bookmarkStart w:id="1008" w:name="_Toc44330765"/>
      <w:bookmarkStart w:id="1009" w:name="_Toc44333197"/>
      <w:bookmarkStart w:id="1010" w:name="_Toc44334828"/>
      <w:bookmarkStart w:id="1011" w:name="_Toc45227443"/>
      <w:bookmarkStart w:id="1012" w:name="_Toc45799044"/>
      <w:r>
        <w:t xml:space="preserve">Compliance and </w:t>
      </w:r>
      <w:r w:rsidR="008019ED">
        <w:t>i</w:t>
      </w:r>
      <w:r>
        <w:t>ntegrity</w:t>
      </w:r>
      <w:bookmarkEnd w:id="1001"/>
      <w:bookmarkEnd w:id="1002"/>
      <w:bookmarkEnd w:id="1003"/>
      <w:bookmarkEnd w:id="1004"/>
      <w:bookmarkEnd w:id="1005"/>
      <w:bookmarkEnd w:id="1006"/>
      <w:bookmarkEnd w:id="1007"/>
      <w:bookmarkEnd w:id="1008"/>
      <w:bookmarkEnd w:id="1009"/>
      <w:bookmarkEnd w:id="1010"/>
      <w:bookmarkEnd w:id="1011"/>
      <w:bookmarkEnd w:id="1012"/>
      <w:r>
        <w:t xml:space="preserve"> </w:t>
      </w:r>
    </w:p>
    <w:p w14:paraId="28ABC98C" w14:textId="409A1809" w:rsidR="006D3B75" w:rsidRPr="00493DD8" w:rsidRDefault="006D3B75" w:rsidP="006D3B75">
      <w:pPr>
        <w:rPr>
          <w:color w:val="000000" w:themeColor="text1"/>
        </w:rPr>
      </w:pPr>
      <w:r w:rsidRPr="00493DD8">
        <w:rPr>
          <w:color w:val="000000" w:themeColor="text1"/>
        </w:rPr>
        <w:t xml:space="preserve">In designing the JobKeeper Payment it was acknowledged that a balance needed to be struck between facilitating access to the </w:t>
      </w:r>
      <w:r w:rsidR="00092E6C" w:rsidRPr="00493DD8">
        <w:rPr>
          <w:color w:val="000000" w:themeColor="text1"/>
        </w:rPr>
        <w:t>p</w:t>
      </w:r>
      <w:r w:rsidRPr="00493DD8">
        <w:rPr>
          <w:color w:val="000000" w:themeColor="text1"/>
        </w:rPr>
        <w:t xml:space="preserve">rogram, commencing timely payments and ensuring integrity in the administration of JobKeeper. These were key requirements of the </w:t>
      </w:r>
      <w:r w:rsidR="00092E6C" w:rsidRPr="00493DD8">
        <w:rPr>
          <w:color w:val="000000" w:themeColor="text1"/>
        </w:rPr>
        <w:t>p</w:t>
      </w:r>
      <w:r w:rsidRPr="00493DD8">
        <w:rPr>
          <w:color w:val="000000" w:themeColor="text1"/>
        </w:rPr>
        <w:t xml:space="preserve">rogram to </w:t>
      </w:r>
      <w:r w:rsidR="00092E6C" w:rsidRPr="00493DD8">
        <w:rPr>
          <w:color w:val="000000" w:themeColor="text1"/>
        </w:rPr>
        <w:t xml:space="preserve">ensure </w:t>
      </w:r>
      <w:r w:rsidRPr="00493DD8">
        <w:rPr>
          <w:color w:val="000000" w:themeColor="text1"/>
        </w:rPr>
        <w:t xml:space="preserve">that financial support was provided to businesses and their employees who had been significantly financially impacted by </w:t>
      </w:r>
      <w:r w:rsidR="00092E6C" w:rsidRPr="00493DD8">
        <w:rPr>
          <w:color w:val="000000" w:themeColor="text1"/>
        </w:rPr>
        <w:t>COVID</w:t>
      </w:r>
      <w:r w:rsidR="00DE2760">
        <w:rPr>
          <w:color w:val="000000" w:themeColor="text1"/>
        </w:rPr>
        <w:noBreakHyphen/>
      </w:r>
      <w:r w:rsidR="00092E6C" w:rsidRPr="00493DD8">
        <w:rPr>
          <w:color w:val="000000" w:themeColor="text1"/>
        </w:rPr>
        <w:t>19</w:t>
      </w:r>
      <w:r w:rsidRPr="00493DD8">
        <w:rPr>
          <w:color w:val="000000" w:themeColor="text1"/>
        </w:rPr>
        <w:t xml:space="preserve">. </w:t>
      </w:r>
    </w:p>
    <w:p w14:paraId="615FC8B0" w14:textId="4EC95AD5" w:rsidR="006D3B75" w:rsidRPr="00493DD8" w:rsidRDefault="006D3B75" w:rsidP="006D3B75">
      <w:pPr>
        <w:rPr>
          <w:color w:val="000000" w:themeColor="text1"/>
        </w:rPr>
      </w:pPr>
      <w:r w:rsidRPr="00493DD8">
        <w:rPr>
          <w:color w:val="000000" w:themeColor="text1"/>
        </w:rPr>
        <w:t xml:space="preserve">The simplicity of the </w:t>
      </w:r>
      <w:r w:rsidR="005846FA">
        <w:rPr>
          <w:color w:val="000000" w:themeColor="text1"/>
        </w:rPr>
        <w:t>p</w:t>
      </w:r>
      <w:r w:rsidRPr="00493DD8">
        <w:rPr>
          <w:color w:val="000000" w:themeColor="text1"/>
        </w:rPr>
        <w:t>ayment</w:t>
      </w:r>
      <w:r w:rsidR="008019ED" w:rsidRPr="00493DD8">
        <w:rPr>
          <w:color w:val="000000" w:themeColor="text1"/>
        </w:rPr>
        <w:t xml:space="preserve"> design</w:t>
      </w:r>
      <w:r w:rsidRPr="00493DD8">
        <w:rPr>
          <w:color w:val="000000" w:themeColor="text1"/>
        </w:rPr>
        <w:t xml:space="preserve">, including the use of existing concepts in the tax system like GST turnover and the flat payment amount, assisted in streamlining the program and </w:t>
      </w:r>
      <w:r w:rsidRPr="00493DD8">
        <w:rPr>
          <w:color w:val="000000" w:themeColor="text1"/>
        </w:rPr>
        <w:lastRenderedPageBreak/>
        <w:t>establishing a clear set of guidelines for businesses to ensure compliance obligations were well understood by those participating.</w:t>
      </w:r>
    </w:p>
    <w:p w14:paraId="32A2F70F" w14:textId="7A7D896A" w:rsidR="006D3B75" w:rsidRPr="00493DD8" w:rsidRDefault="006D3B75" w:rsidP="006D3B75">
      <w:pPr>
        <w:rPr>
          <w:color w:val="000000" w:themeColor="text1"/>
        </w:rPr>
      </w:pPr>
      <w:r w:rsidRPr="00493DD8">
        <w:rPr>
          <w:color w:val="000000" w:themeColor="text1"/>
        </w:rPr>
        <w:t xml:space="preserve">The ATO and Treasury have worked very closely with businesses and provided significant and timely guidance material to ensure that </w:t>
      </w:r>
      <w:r w:rsidR="007971F5">
        <w:rPr>
          <w:color w:val="000000" w:themeColor="text1"/>
        </w:rPr>
        <w:t xml:space="preserve">they </w:t>
      </w:r>
      <w:r w:rsidRPr="00493DD8">
        <w:rPr>
          <w:color w:val="000000" w:themeColor="text1"/>
        </w:rPr>
        <w:t xml:space="preserve">have clarity on the eligibility criteria and obligations of JobKeeper. In addition, the use of existing ATO systems to enrol and submit applications for the </w:t>
      </w:r>
      <w:r w:rsidR="007B57A8">
        <w:rPr>
          <w:color w:val="000000" w:themeColor="text1"/>
        </w:rPr>
        <w:t>p</w:t>
      </w:r>
      <w:r w:rsidRPr="00493DD8">
        <w:rPr>
          <w:color w:val="000000" w:themeColor="text1"/>
        </w:rPr>
        <w:t xml:space="preserve">ayment has allowed businesses to use their natural interaction systems and processes to meet the requirements and obligations of </w:t>
      </w:r>
      <w:r w:rsidR="007971F5">
        <w:rPr>
          <w:color w:val="000000" w:themeColor="text1"/>
        </w:rPr>
        <w:t xml:space="preserve">the program. </w:t>
      </w:r>
      <w:r w:rsidRPr="00493DD8">
        <w:rPr>
          <w:color w:val="000000" w:themeColor="text1"/>
        </w:rPr>
        <w:t xml:space="preserve">This has also enabled the ATO to use its existing strong compliance and risk programs to identify potential compliance or integrity issues from the outset of JobKeeper. </w:t>
      </w:r>
    </w:p>
    <w:p w14:paraId="30ECBC3D" w14:textId="27D6A40B" w:rsidR="006D3B75" w:rsidRPr="00493DD8" w:rsidRDefault="006D3B75" w:rsidP="006D3B75">
      <w:pPr>
        <w:rPr>
          <w:color w:val="000000" w:themeColor="text1"/>
        </w:rPr>
      </w:pPr>
      <w:r w:rsidRPr="00493DD8">
        <w:rPr>
          <w:color w:val="000000" w:themeColor="text1"/>
        </w:rPr>
        <w:t xml:space="preserve">Treasury, the ATO and all participating </w:t>
      </w:r>
      <w:r w:rsidR="00783979" w:rsidRPr="00493DD8">
        <w:rPr>
          <w:color w:val="000000" w:themeColor="text1"/>
        </w:rPr>
        <w:t>d</w:t>
      </w:r>
      <w:r w:rsidRPr="00493DD8">
        <w:rPr>
          <w:color w:val="000000" w:themeColor="text1"/>
        </w:rPr>
        <w:t xml:space="preserve">epartments and </w:t>
      </w:r>
      <w:r w:rsidR="00783979" w:rsidRPr="00493DD8">
        <w:rPr>
          <w:color w:val="000000" w:themeColor="text1"/>
        </w:rPr>
        <w:t>a</w:t>
      </w:r>
      <w:r w:rsidRPr="00493DD8">
        <w:rPr>
          <w:color w:val="000000" w:themeColor="text1"/>
        </w:rPr>
        <w:t>gencies have established robust program governance arrangements for the JobKeeper Payment. Treasury also commissioned independent consultants as risk and integrity advisors to ensure program risks are identified, understood and managed effectively.</w:t>
      </w:r>
    </w:p>
    <w:p w14:paraId="04FE3612" w14:textId="61D6307C" w:rsidR="006D3B75" w:rsidRPr="00493DD8" w:rsidRDefault="00783979" w:rsidP="006D3B75">
      <w:pPr>
        <w:rPr>
          <w:color w:val="000000" w:themeColor="text1"/>
        </w:rPr>
      </w:pPr>
      <w:r w:rsidRPr="00493DD8">
        <w:rPr>
          <w:color w:val="000000" w:themeColor="text1"/>
        </w:rPr>
        <w:t>A</w:t>
      </w:r>
      <w:r w:rsidR="006D3B75" w:rsidRPr="00493DD8">
        <w:rPr>
          <w:color w:val="000000" w:themeColor="text1"/>
        </w:rPr>
        <w:t>gencies, particularly the ATO wh</w:t>
      </w:r>
      <w:r w:rsidR="007971F5">
        <w:rPr>
          <w:color w:val="000000" w:themeColor="text1"/>
        </w:rPr>
        <w:t>ich</w:t>
      </w:r>
      <w:r w:rsidR="006D3B75" w:rsidRPr="00493DD8">
        <w:rPr>
          <w:color w:val="000000" w:themeColor="text1"/>
        </w:rPr>
        <w:t xml:space="preserve"> is leading the implementation of JobKeeper, have identified a number of areas where there was a high risk of integrity and compliance issues. </w:t>
      </w:r>
      <w:r w:rsidRPr="00493DD8">
        <w:rPr>
          <w:color w:val="000000" w:themeColor="text1"/>
        </w:rPr>
        <w:t>A</w:t>
      </w:r>
      <w:r w:rsidR="006D3B75" w:rsidRPr="00493DD8">
        <w:rPr>
          <w:color w:val="000000" w:themeColor="text1"/>
        </w:rPr>
        <w:t xml:space="preserve">ctions have focused on: </w:t>
      </w:r>
    </w:p>
    <w:p w14:paraId="29A957AA" w14:textId="2CF70CB0" w:rsidR="006D3B75" w:rsidRPr="00493DD8" w:rsidRDefault="00A24207" w:rsidP="00783979">
      <w:pPr>
        <w:pStyle w:val="Bullet"/>
        <w:numPr>
          <w:ilvl w:val="0"/>
          <w:numId w:val="14"/>
        </w:numPr>
        <w:rPr>
          <w:color w:val="000000" w:themeColor="text1"/>
        </w:rPr>
      </w:pPr>
      <w:r>
        <w:rPr>
          <w:b/>
          <w:color w:val="000000" w:themeColor="text1"/>
        </w:rPr>
        <w:t>i</w:t>
      </w:r>
      <w:r w:rsidR="006D3B75" w:rsidRPr="00493DD8">
        <w:rPr>
          <w:b/>
          <w:color w:val="000000" w:themeColor="text1"/>
        </w:rPr>
        <w:t>dentifying and not accepting enrolments</w:t>
      </w:r>
      <w:r w:rsidR="00D13C70">
        <w:rPr>
          <w:b/>
          <w:color w:val="000000" w:themeColor="text1"/>
        </w:rPr>
        <w:t xml:space="preserve"> or applications</w:t>
      </w:r>
      <w:r w:rsidR="006D3B75" w:rsidRPr="00493DD8">
        <w:rPr>
          <w:b/>
          <w:color w:val="000000" w:themeColor="text1"/>
        </w:rPr>
        <w:t xml:space="preserve"> from ineligible</w:t>
      </w:r>
      <w:r w:rsidR="006D3B75" w:rsidRPr="00493DD8">
        <w:rPr>
          <w:color w:val="000000" w:themeColor="text1"/>
        </w:rPr>
        <w:t xml:space="preserve"> </w:t>
      </w:r>
      <w:r w:rsidR="006D3B75" w:rsidRPr="00026D61">
        <w:rPr>
          <w:b/>
          <w:color w:val="000000" w:themeColor="text1"/>
        </w:rPr>
        <w:t xml:space="preserve">organisations and </w:t>
      </w:r>
      <w:r w:rsidR="00D13C70">
        <w:rPr>
          <w:b/>
          <w:color w:val="000000" w:themeColor="text1"/>
        </w:rPr>
        <w:t>individual recipients</w:t>
      </w:r>
      <w:r w:rsidR="006D3B75" w:rsidRPr="00493DD8">
        <w:rPr>
          <w:color w:val="000000" w:themeColor="text1"/>
        </w:rPr>
        <w:t>. The ATO is applying system</w:t>
      </w:r>
      <w:r w:rsidR="00DE2760">
        <w:rPr>
          <w:color w:val="000000" w:themeColor="text1"/>
        </w:rPr>
        <w:noBreakHyphen/>
      </w:r>
      <w:r w:rsidR="006D3B75" w:rsidRPr="00493DD8">
        <w:rPr>
          <w:color w:val="000000" w:themeColor="text1"/>
        </w:rPr>
        <w:t>based checks and follow up engagement with organisations at various stages of the enrolment and application process to ensure that ineligible organisations are not accepted into JobKeeper. Key system</w:t>
      </w:r>
      <w:r w:rsidR="00DE2760">
        <w:rPr>
          <w:color w:val="000000" w:themeColor="text1"/>
        </w:rPr>
        <w:noBreakHyphen/>
      </w:r>
      <w:r w:rsidR="006D3B75" w:rsidRPr="00493DD8">
        <w:rPr>
          <w:color w:val="000000" w:themeColor="text1"/>
        </w:rPr>
        <w:t>based checks implemented include enrolment</w:t>
      </w:r>
      <w:r w:rsidR="00783979" w:rsidRPr="00493DD8">
        <w:rPr>
          <w:color w:val="000000" w:themeColor="text1"/>
        </w:rPr>
        <w:t xml:space="preserve"> and </w:t>
      </w:r>
      <w:r w:rsidR="006D3B75" w:rsidRPr="00493DD8">
        <w:rPr>
          <w:color w:val="000000" w:themeColor="text1"/>
        </w:rPr>
        <w:t>application auto blocks, comparison of pre</w:t>
      </w:r>
      <w:r w:rsidR="00DE2760">
        <w:rPr>
          <w:color w:val="000000" w:themeColor="text1"/>
        </w:rPr>
        <w:noBreakHyphen/>
      </w:r>
      <w:r w:rsidR="006D3B75" w:rsidRPr="00493DD8">
        <w:rPr>
          <w:color w:val="000000" w:themeColor="text1"/>
        </w:rPr>
        <w:t>COVID</w:t>
      </w:r>
      <w:r w:rsidR="00DE2760">
        <w:rPr>
          <w:color w:val="000000" w:themeColor="text1"/>
        </w:rPr>
        <w:noBreakHyphen/>
      </w:r>
      <w:r w:rsidR="006D3B75" w:rsidRPr="00493DD8">
        <w:rPr>
          <w:color w:val="000000" w:themeColor="text1"/>
        </w:rPr>
        <w:t xml:space="preserve">19 data against </w:t>
      </w:r>
      <w:r w:rsidR="00D237C9">
        <w:rPr>
          <w:color w:val="000000" w:themeColor="text1"/>
        </w:rPr>
        <w:t>individual</w:t>
      </w:r>
      <w:r w:rsidR="005A0736">
        <w:rPr>
          <w:color w:val="000000" w:themeColor="text1"/>
        </w:rPr>
        <w:t>s</w:t>
      </w:r>
      <w:r w:rsidR="00D237C9">
        <w:rPr>
          <w:color w:val="000000" w:themeColor="text1"/>
        </w:rPr>
        <w:t xml:space="preserve"> </w:t>
      </w:r>
      <w:r w:rsidR="006D3B75" w:rsidRPr="00493DD8">
        <w:rPr>
          <w:color w:val="000000" w:themeColor="text1"/>
        </w:rPr>
        <w:t>nominated, and the use of ATO risk models. As at 22</w:t>
      </w:r>
      <w:r w:rsidR="005A0736">
        <w:rPr>
          <w:color w:val="000000" w:themeColor="text1"/>
        </w:rPr>
        <w:t> </w:t>
      </w:r>
      <w:r w:rsidR="006D3B75" w:rsidRPr="00493DD8">
        <w:rPr>
          <w:color w:val="000000" w:themeColor="text1"/>
        </w:rPr>
        <w:t xml:space="preserve">June 2020, compliance activities undertaken by the ATO have resulted in blocking 26,000 enrolments or applications from organisations that were assessed as being ineligible for </w:t>
      </w:r>
      <w:r w:rsidR="007971F5">
        <w:rPr>
          <w:color w:val="000000" w:themeColor="text1"/>
        </w:rPr>
        <w:t xml:space="preserve">the </w:t>
      </w:r>
      <w:r w:rsidR="006D3B75" w:rsidRPr="00493DD8">
        <w:rPr>
          <w:color w:val="000000" w:themeColor="text1"/>
        </w:rPr>
        <w:t>JobKeeper</w:t>
      </w:r>
      <w:r w:rsidR="007971F5">
        <w:rPr>
          <w:color w:val="000000" w:themeColor="text1"/>
        </w:rPr>
        <w:t xml:space="preserve"> Payment</w:t>
      </w:r>
      <w:r w:rsidR="006D3B75" w:rsidRPr="00493DD8">
        <w:rPr>
          <w:color w:val="000000" w:themeColor="text1"/>
        </w:rPr>
        <w:t>.</w:t>
      </w:r>
    </w:p>
    <w:p w14:paraId="53389929" w14:textId="27A25FF8" w:rsidR="006D3B75" w:rsidRPr="00493DD8" w:rsidRDefault="00A24207" w:rsidP="00783979">
      <w:pPr>
        <w:pStyle w:val="Bullet"/>
        <w:numPr>
          <w:ilvl w:val="0"/>
          <w:numId w:val="14"/>
        </w:numPr>
        <w:rPr>
          <w:color w:val="000000" w:themeColor="text1"/>
        </w:rPr>
      </w:pPr>
      <w:r>
        <w:rPr>
          <w:b/>
          <w:color w:val="000000" w:themeColor="text1"/>
        </w:rPr>
        <w:t>r</w:t>
      </w:r>
      <w:r w:rsidR="006D3B75" w:rsidRPr="00493DD8">
        <w:rPr>
          <w:b/>
          <w:color w:val="000000" w:themeColor="text1"/>
        </w:rPr>
        <w:t>educing fraudulent behaviour.</w:t>
      </w:r>
      <w:r w:rsidR="006D3B75" w:rsidRPr="00493DD8">
        <w:rPr>
          <w:color w:val="000000" w:themeColor="text1"/>
        </w:rPr>
        <w:t xml:space="preserve"> The ATO established a tip</w:t>
      </w:r>
      <w:r w:rsidR="00DE2760">
        <w:rPr>
          <w:color w:val="000000" w:themeColor="text1"/>
        </w:rPr>
        <w:noBreakHyphen/>
      </w:r>
      <w:r w:rsidR="006D3B75" w:rsidRPr="00493DD8">
        <w:rPr>
          <w:color w:val="000000" w:themeColor="text1"/>
        </w:rPr>
        <w:t xml:space="preserve">off line to identify fraudulent employer behaviour or behaviour of concern. As at 21 June, </w:t>
      </w:r>
      <w:r w:rsidR="00EB08F1" w:rsidRPr="00493DD8">
        <w:rPr>
          <w:color w:val="000000" w:themeColor="text1"/>
        </w:rPr>
        <w:t xml:space="preserve">the ATO has risk assessed all of the </w:t>
      </w:r>
      <w:r w:rsidR="006D3B75" w:rsidRPr="00493DD8">
        <w:rPr>
          <w:color w:val="000000" w:themeColor="text1"/>
        </w:rPr>
        <w:t>approximately 4,600 tip</w:t>
      </w:r>
      <w:r w:rsidR="00DE2760">
        <w:rPr>
          <w:color w:val="000000" w:themeColor="text1"/>
        </w:rPr>
        <w:noBreakHyphen/>
      </w:r>
      <w:r w:rsidR="006D3B75" w:rsidRPr="00493DD8">
        <w:rPr>
          <w:color w:val="000000" w:themeColor="text1"/>
        </w:rPr>
        <w:t xml:space="preserve">offs relating to JobKeeper, </w:t>
      </w:r>
      <w:r w:rsidR="00EB08F1" w:rsidRPr="00493DD8">
        <w:rPr>
          <w:color w:val="000000" w:themeColor="text1"/>
        </w:rPr>
        <w:t xml:space="preserve">and </w:t>
      </w:r>
      <w:r w:rsidR="006D3B75" w:rsidRPr="00493DD8">
        <w:rPr>
          <w:color w:val="000000" w:themeColor="text1"/>
        </w:rPr>
        <w:t>797 have so far been selected for follow</w:t>
      </w:r>
      <w:r w:rsidR="00DE2760">
        <w:rPr>
          <w:color w:val="000000" w:themeColor="text1"/>
        </w:rPr>
        <w:noBreakHyphen/>
      </w:r>
      <w:r w:rsidR="006D3B75" w:rsidRPr="00493DD8">
        <w:rPr>
          <w:color w:val="000000" w:themeColor="text1"/>
        </w:rPr>
        <w:t xml:space="preserve">up </w:t>
      </w:r>
      <w:r w:rsidR="00EB08F1" w:rsidRPr="00493DD8">
        <w:rPr>
          <w:color w:val="000000" w:themeColor="text1"/>
        </w:rPr>
        <w:t>first</w:t>
      </w:r>
      <w:r w:rsidR="00DE2760">
        <w:rPr>
          <w:color w:val="000000" w:themeColor="text1"/>
        </w:rPr>
        <w:noBreakHyphen/>
      </w:r>
      <w:r w:rsidR="00EB08F1" w:rsidRPr="00493DD8">
        <w:rPr>
          <w:color w:val="000000" w:themeColor="text1"/>
        </w:rPr>
        <w:t xml:space="preserve">instance </w:t>
      </w:r>
      <w:r w:rsidR="006D3B75" w:rsidRPr="00493DD8">
        <w:rPr>
          <w:color w:val="000000" w:themeColor="text1"/>
        </w:rPr>
        <w:t>action. The AT</w:t>
      </w:r>
      <w:r w:rsidR="00DE2760">
        <w:rPr>
          <w:color w:val="000000" w:themeColor="text1"/>
        </w:rPr>
        <w:t>O has also actively reviewed 79 </w:t>
      </w:r>
      <w:r w:rsidR="006D3B75" w:rsidRPr="00493DD8">
        <w:rPr>
          <w:color w:val="000000" w:themeColor="text1"/>
        </w:rPr>
        <w:t>businesses for potentially fraudulent behaviour and referred three matters to the Serious Financial Crime Task Force for additional investigation, including one referral to the Australian Federal Police.</w:t>
      </w:r>
    </w:p>
    <w:p w14:paraId="05D60038" w14:textId="42A93D73" w:rsidR="006D3B75" w:rsidRPr="00493DD8" w:rsidRDefault="00A24207" w:rsidP="00783979">
      <w:pPr>
        <w:pStyle w:val="Bullet"/>
        <w:numPr>
          <w:ilvl w:val="0"/>
          <w:numId w:val="14"/>
        </w:numPr>
        <w:rPr>
          <w:b/>
          <w:color w:val="000000" w:themeColor="text1"/>
        </w:rPr>
      </w:pPr>
      <w:r>
        <w:rPr>
          <w:b/>
          <w:color w:val="000000" w:themeColor="text1"/>
        </w:rPr>
        <w:t>e</w:t>
      </w:r>
      <w:r w:rsidR="006D3B75" w:rsidRPr="00493DD8">
        <w:rPr>
          <w:b/>
          <w:color w:val="000000" w:themeColor="text1"/>
        </w:rPr>
        <w:t xml:space="preserve">nsuring employers are meeting their obligations to employees. </w:t>
      </w:r>
      <w:r w:rsidR="006D3B75" w:rsidRPr="00493DD8">
        <w:rPr>
          <w:color w:val="000000" w:themeColor="text1"/>
        </w:rPr>
        <w:t>The F</w:t>
      </w:r>
      <w:r w:rsidR="001B756B" w:rsidRPr="00493DD8">
        <w:rPr>
          <w:color w:val="000000" w:themeColor="text1"/>
        </w:rPr>
        <w:t>air Work Commission</w:t>
      </w:r>
      <w:r w:rsidR="006D3B75" w:rsidRPr="00493DD8">
        <w:rPr>
          <w:color w:val="000000" w:themeColor="text1"/>
        </w:rPr>
        <w:t xml:space="preserve"> </w:t>
      </w:r>
      <w:r w:rsidR="001B756B" w:rsidRPr="00493DD8">
        <w:rPr>
          <w:color w:val="000000" w:themeColor="text1"/>
        </w:rPr>
        <w:t>(</w:t>
      </w:r>
      <w:r w:rsidR="006D3B75" w:rsidRPr="00493DD8">
        <w:rPr>
          <w:color w:val="000000" w:themeColor="text1"/>
        </w:rPr>
        <w:t>FWC</w:t>
      </w:r>
      <w:r w:rsidR="001B756B" w:rsidRPr="00493DD8">
        <w:rPr>
          <w:color w:val="000000" w:themeColor="text1"/>
        </w:rPr>
        <w:t>)</w:t>
      </w:r>
      <w:r w:rsidR="006D3B75" w:rsidRPr="00493DD8">
        <w:rPr>
          <w:color w:val="000000" w:themeColor="text1"/>
        </w:rPr>
        <w:t xml:space="preserve"> has resolved disputes relating to implementing </w:t>
      </w:r>
      <w:r w:rsidR="00DE2760">
        <w:rPr>
          <w:color w:val="000000" w:themeColor="text1"/>
        </w:rPr>
        <w:t>‘</w:t>
      </w:r>
      <w:r w:rsidR="006D3B75" w:rsidRPr="00493DD8">
        <w:rPr>
          <w:color w:val="000000" w:themeColor="text1"/>
        </w:rPr>
        <w:t>JobKeeper enabling directions</w:t>
      </w:r>
      <w:r w:rsidR="00DE2760">
        <w:rPr>
          <w:color w:val="000000" w:themeColor="text1"/>
        </w:rPr>
        <w:t>’</w:t>
      </w:r>
      <w:r w:rsidR="006D3B75" w:rsidRPr="00493DD8">
        <w:rPr>
          <w:color w:val="000000" w:themeColor="text1"/>
        </w:rPr>
        <w:t xml:space="preserve"> or flexibility agreements under the new provisions inserted into the </w:t>
      </w:r>
      <w:r w:rsidR="006D3B75" w:rsidRPr="00493DD8">
        <w:rPr>
          <w:i/>
          <w:color w:val="000000" w:themeColor="text1"/>
        </w:rPr>
        <w:t>Fair Work Act 2009</w:t>
      </w:r>
      <w:r w:rsidR="006D3B75" w:rsidRPr="00493DD8">
        <w:rPr>
          <w:color w:val="000000" w:themeColor="text1"/>
        </w:rPr>
        <w:t>.</w:t>
      </w:r>
      <w:r w:rsidR="006D3B75" w:rsidRPr="00493DD8">
        <w:rPr>
          <w:b/>
          <w:color w:val="000000" w:themeColor="text1"/>
        </w:rPr>
        <w:t xml:space="preserve"> </w:t>
      </w:r>
      <w:r w:rsidR="006D3B75" w:rsidRPr="00493DD8">
        <w:rPr>
          <w:color w:val="000000" w:themeColor="text1"/>
        </w:rPr>
        <w:t>As at 17</w:t>
      </w:r>
      <w:r w:rsidR="001B756B" w:rsidRPr="00493DD8">
        <w:rPr>
          <w:color w:val="000000" w:themeColor="text1"/>
        </w:rPr>
        <w:t> </w:t>
      </w:r>
      <w:r w:rsidR="006D3B75" w:rsidRPr="00493DD8">
        <w:rPr>
          <w:color w:val="000000" w:themeColor="text1"/>
        </w:rPr>
        <w:t>June, there had been 496 JobKeeper dispute applications to the FWC of which 474</w:t>
      </w:r>
      <w:r w:rsidR="001B756B" w:rsidRPr="00493DD8">
        <w:rPr>
          <w:color w:val="000000" w:themeColor="text1"/>
        </w:rPr>
        <w:t> </w:t>
      </w:r>
      <w:r w:rsidR="006D3B75" w:rsidRPr="00493DD8">
        <w:rPr>
          <w:color w:val="000000" w:themeColor="text1"/>
        </w:rPr>
        <w:t>had been finalised.</w:t>
      </w:r>
      <w:r w:rsidR="00783979" w:rsidRPr="00493DD8">
        <w:rPr>
          <w:color w:val="000000" w:themeColor="text1"/>
        </w:rPr>
        <w:t xml:space="preserve"> </w:t>
      </w:r>
      <w:r w:rsidR="006D3B75" w:rsidRPr="00493DD8">
        <w:rPr>
          <w:color w:val="000000" w:themeColor="text1"/>
        </w:rPr>
        <w:t>The F</w:t>
      </w:r>
      <w:r w:rsidR="001B756B" w:rsidRPr="00493DD8">
        <w:rPr>
          <w:color w:val="000000" w:themeColor="text1"/>
        </w:rPr>
        <w:t>air Work Ombudsman (</w:t>
      </w:r>
      <w:r w:rsidR="006D3B75" w:rsidRPr="00493DD8">
        <w:rPr>
          <w:color w:val="000000" w:themeColor="text1"/>
        </w:rPr>
        <w:t>FWO</w:t>
      </w:r>
      <w:r w:rsidR="001B756B" w:rsidRPr="00493DD8">
        <w:rPr>
          <w:color w:val="000000" w:themeColor="text1"/>
        </w:rPr>
        <w:t>)</w:t>
      </w:r>
      <w:r w:rsidR="006D3B75" w:rsidRPr="00493DD8">
        <w:rPr>
          <w:color w:val="000000" w:themeColor="text1"/>
        </w:rPr>
        <w:t xml:space="preserve"> has helped to ensure minimum wages and conditions and prevent misuse of the JobKeeper </w:t>
      </w:r>
      <w:r w:rsidR="001E30FD">
        <w:rPr>
          <w:color w:val="000000" w:themeColor="text1"/>
        </w:rPr>
        <w:t>program</w:t>
      </w:r>
      <w:r w:rsidR="006D3B75" w:rsidRPr="00493DD8">
        <w:rPr>
          <w:color w:val="000000" w:themeColor="text1"/>
        </w:rPr>
        <w:t>. As at 22</w:t>
      </w:r>
      <w:r w:rsidR="001E30FD">
        <w:rPr>
          <w:color w:val="000000" w:themeColor="text1"/>
        </w:rPr>
        <w:t> </w:t>
      </w:r>
      <w:r w:rsidR="006D3B75" w:rsidRPr="00493DD8">
        <w:rPr>
          <w:color w:val="000000" w:themeColor="text1"/>
        </w:rPr>
        <w:t>June, the FWO</w:t>
      </w:r>
      <w:r w:rsidR="0093092A">
        <w:rPr>
          <w:color w:val="000000" w:themeColor="text1"/>
        </w:rPr>
        <w:t> </w:t>
      </w:r>
      <w:r w:rsidR="006D3B75" w:rsidRPr="00493DD8">
        <w:rPr>
          <w:color w:val="000000" w:themeColor="text1"/>
        </w:rPr>
        <w:t>had received 67,526 enquiries related to JobKeeper or COVID</w:t>
      </w:r>
      <w:r w:rsidR="00DE2760">
        <w:rPr>
          <w:color w:val="000000" w:themeColor="text1"/>
        </w:rPr>
        <w:noBreakHyphen/>
      </w:r>
      <w:r w:rsidR="006D3B75" w:rsidRPr="00493DD8">
        <w:rPr>
          <w:color w:val="000000" w:themeColor="text1"/>
        </w:rPr>
        <w:t xml:space="preserve">19, </w:t>
      </w:r>
      <w:r w:rsidR="00C64243">
        <w:rPr>
          <w:color w:val="000000" w:themeColor="text1"/>
        </w:rPr>
        <w:t>with between 400 and 600 enquiries a day relating to JobKeeper</w:t>
      </w:r>
      <w:r w:rsidR="006D3B75" w:rsidRPr="00493DD8">
        <w:rPr>
          <w:color w:val="000000" w:themeColor="text1"/>
        </w:rPr>
        <w:t>, the majority of which have been successfully resolved.</w:t>
      </w:r>
    </w:p>
    <w:p w14:paraId="28E086F6" w14:textId="11EA7DD6" w:rsidR="006D3B75" w:rsidRPr="00493DD8" w:rsidRDefault="00A24207" w:rsidP="00783979">
      <w:pPr>
        <w:pStyle w:val="Bullet"/>
        <w:numPr>
          <w:ilvl w:val="0"/>
          <w:numId w:val="14"/>
        </w:numPr>
        <w:rPr>
          <w:color w:val="000000" w:themeColor="text1"/>
        </w:rPr>
      </w:pPr>
      <w:r>
        <w:rPr>
          <w:b/>
          <w:color w:val="000000" w:themeColor="text1"/>
        </w:rPr>
        <w:lastRenderedPageBreak/>
        <w:t>m</w:t>
      </w:r>
      <w:r w:rsidR="006D3B75" w:rsidRPr="00493DD8">
        <w:rPr>
          <w:b/>
          <w:color w:val="000000" w:themeColor="text1"/>
        </w:rPr>
        <w:t xml:space="preserve">onitoring business understanding of JobKeeper. </w:t>
      </w:r>
      <w:r w:rsidR="006D3B75" w:rsidRPr="00493DD8">
        <w:rPr>
          <w:color w:val="000000" w:themeColor="text1"/>
        </w:rPr>
        <w:t xml:space="preserve">A number of elements of </w:t>
      </w:r>
      <w:r w:rsidR="001E30FD">
        <w:rPr>
          <w:color w:val="000000" w:themeColor="text1"/>
        </w:rPr>
        <w:t xml:space="preserve">the program </w:t>
      </w:r>
      <w:r w:rsidR="006D3B75" w:rsidRPr="00493DD8">
        <w:rPr>
          <w:color w:val="000000" w:themeColor="text1"/>
        </w:rPr>
        <w:t xml:space="preserve">that appear to be misunderstood by a small cohort of businesses are being addressed through ongoing compliance and education activities. These include eligible business participant requirements, employees with multiple employers, employers failing to pay employees the JobKeeper </w:t>
      </w:r>
      <w:r w:rsidR="001B756B" w:rsidRPr="00493DD8">
        <w:rPr>
          <w:color w:val="000000" w:themeColor="text1"/>
        </w:rPr>
        <w:t>P</w:t>
      </w:r>
      <w:r w:rsidR="006D3B75" w:rsidRPr="00493DD8">
        <w:rPr>
          <w:color w:val="000000" w:themeColor="text1"/>
        </w:rPr>
        <w:t>ayment in full or by the required date, and non</w:t>
      </w:r>
      <w:r w:rsidR="00DE2760">
        <w:rPr>
          <w:color w:val="000000" w:themeColor="text1"/>
        </w:rPr>
        <w:noBreakHyphen/>
      </w:r>
      <w:r w:rsidR="006D3B75" w:rsidRPr="00493DD8">
        <w:rPr>
          <w:color w:val="000000" w:themeColor="text1"/>
        </w:rPr>
        <w:t>lodgement of tax returns and business activity statements. The ATO has been contacting organisations individually over time to resolve issues.</w:t>
      </w:r>
    </w:p>
    <w:p w14:paraId="48A6418A" w14:textId="1EF94792" w:rsidR="006D3B75" w:rsidRPr="00493DD8" w:rsidRDefault="00A24207" w:rsidP="006D3B75">
      <w:pPr>
        <w:pStyle w:val="Bullet"/>
        <w:numPr>
          <w:ilvl w:val="0"/>
          <w:numId w:val="14"/>
        </w:numPr>
        <w:rPr>
          <w:color w:val="000000" w:themeColor="text1"/>
        </w:rPr>
      </w:pPr>
      <w:r>
        <w:rPr>
          <w:b/>
          <w:color w:val="000000" w:themeColor="text1"/>
        </w:rPr>
        <w:t>e</w:t>
      </w:r>
      <w:r w:rsidR="006D3B75" w:rsidRPr="00493DD8">
        <w:rPr>
          <w:b/>
          <w:color w:val="000000" w:themeColor="text1"/>
        </w:rPr>
        <w:t>nsuring the integrity of the social security system.</w:t>
      </w:r>
      <w:r w:rsidR="006D3B75" w:rsidRPr="00493DD8">
        <w:rPr>
          <w:color w:val="000000" w:themeColor="text1"/>
        </w:rPr>
        <w:t xml:space="preserve"> The ATO and Services Australia have established data sharing arrangements relating to JobKeeper payments, to help ensure the income reported by social security recipients is accurate. </w:t>
      </w:r>
    </w:p>
    <w:p w14:paraId="2D2D317D" w14:textId="0ECA0FC8" w:rsidR="006D3B75" w:rsidRPr="00493DD8" w:rsidRDefault="006D3B75" w:rsidP="006D3B75">
      <w:pPr>
        <w:rPr>
          <w:color w:val="000000" w:themeColor="text1"/>
        </w:rPr>
      </w:pPr>
      <w:r w:rsidRPr="00493DD8">
        <w:rPr>
          <w:color w:val="000000" w:themeColor="text1"/>
        </w:rPr>
        <w:t xml:space="preserve">Information that is available to date suggests that the program is being implemented in a way that is effectively managing integrity risks, particularly given the size and scale of </w:t>
      </w:r>
      <w:r w:rsidR="001E30FD">
        <w:rPr>
          <w:color w:val="000000" w:themeColor="text1"/>
        </w:rPr>
        <w:t xml:space="preserve">the JobKeeper program, </w:t>
      </w:r>
      <w:r w:rsidRPr="00493DD8">
        <w:rPr>
          <w:color w:val="000000" w:themeColor="text1"/>
        </w:rPr>
        <w:t>and the speed with which it was designed and implemented. Over the months ahead</w:t>
      </w:r>
      <w:r w:rsidR="008A5456">
        <w:rPr>
          <w:color w:val="000000" w:themeColor="text1"/>
        </w:rPr>
        <w:t>,</w:t>
      </w:r>
      <w:r w:rsidRPr="00493DD8">
        <w:rPr>
          <w:color w:val="000000" w:themeColor="text1"/>
        </w:rPr>
        <w:t xml:space="preserve"> Treasury,</w:t>
      </w:r>
      <w:r w:rsidR="008A5456">
        <w:rPr>
          <w:color w:val="000000" w:themeColor="text1"/>
        </w:rPr>
        <w:t xml:space="preserve"> the</w:t>
      </w:r>
      <w:r w:rsidRPr="00493DD8">
        <w:rPr>
          <w:color w:val="000000" w:themeColor="text1"/>
        </w:rPr>
        <w:t xml:space="preserve"> ATO, FWC and FWO will continue to monitor the program for misuse, compliance and integrity issues.</w:t>
      </w:r>
    </w:p>
    <w:p w14:paraId="39D04088" w14:textId="06597153" w:rsidR="006D3B75" w:rsidRPr="00493DD8" w:rsidRDefault="006D3B75" w:rsidP="006D3B75">
      <w:pPr>
        <w:rPr>
          <w:color w:val="000000" w:themeColor="text1"/>
        </w:rPr>
      </w:pPr>
      <w:r w:rsidRPr="00493DD8">
        <w:rPr>
          <w:color w:val="000000" w:themeColor="text1"/>
        </w:rPr>
        <w:t>With systems now well established and two months of payments having been made under the program, the ATO will be focussing on enhancing its compliance functions, with a particular focus on high</w:t>
      </w:r>
      <w:r w:rsidR="00DE2760">
        <w:rPr>
          <w:color w:val="000000" w:themeColor="text1"/>
        </w:rPr>
        <w:noBreakHyphen/>
      </w:r>
      <w:r w:rsidRPr="00493DD8">
        <w:rPr>
          <w:color w:val="000000" w:themeColor="text1"/>
        </w:rPr>
        <w:t xml:space="preserve">risk behaviours and direct engagement with organisations, to seek additional information to ensure the integrity of </w:t>
      </w:r>
      <w:r w:rsidR="005E3416">
        <w:rPr>
          <w:color w:val="000000" w:themeColor="text1"/>
        </w:rPr>
        <w:t xml:space="preserve">the </w:t>
      </w:r>
      <w:r w:rsidRPr="00493DD8">
        <w:rPr>
          <w:color w:val="000000" w:themeColor="text1"/>
        </w:rPr>
        <w:t>JobKeeper</w:t>
      </w:r>
      <w:r w:rsidR="005E3416">
        <w:rPr>
          <w:color w:val="000000" w:themeColor="text1"/>
        </w:rPr>
        <w:t xml:space="preserve"> Payment</w:t>
      </w:r>
      <w:r w:rsidRPr="00493DD8">
        <w:rPr>
          <w:color w:val="000000" w:themeColor="text1"/>
        </w:rPr>
        <w:t xml:space="preserve">. </w:t>
      </w:r>
    </w:p>
    <w:p w14:paraId="0EC2F0E9" w14:textId="77777777" w:rsidR="005E78F4" w:rsidRDefault="005E78F4">
      <w:pPr>
        <w:rPr>
          <w:rFonts w:asciiTheme="majorHAnsi" w:eastAsiaTheme="majorEastAsia" w:hAnsiTheme="majorHAnsi" w:cstheme="majorBidi"/>
          <w:color w:val="002035" w:themeColor="accent1" w:themeShade="BF"/>
          <w:sz w:val="32"/>
          <w:szCs w:val="32"/>
        </w:rPr>
      </w:pPr>
      <w:r>
        <w:br w:type="page"/>
      </w:r>
    </w:p>
    <w:p w14:paraId="16B91690" w14:textId="77777777" w:rsidR="00791BAA" w:rsidRDefault="00DF2951" w:rsidP="009B6E0C">
      <w:pPr>
        <w:pStyle w:val="Heading1"/>
      </w:pPr>
      <w:bookmarkStart w:id="1013" w:name="_Toc43802507"/>
      <w:bookmarkStart w:id="1014" w:name="_Toc43809355"/>
      <w:bookmarkStart w:id="1015" w:name="_Toc43815620"/>
      <w:bookmarkStart w:id="1016" w:name="_Toc43817553"/>
      <w:bookmarkStart w:id="1017" w:name="_Toc43825324"/>
      <w:bookmarkStart w:id="1018" w:name="_Toc43825428"/>
      <w:bookmarkStart w:id="1019" w:name="_Toc43825521"/>
      <w:bookmarkStart w:id="1020" w:name="_Toc43996257"/>
      <w:bookmarkStart w:id="1021" w:name="_Toc43998516"/>
      <w:bookmarkStart w:id="1022" w:name="_Toc43998443"/>
      <w:bookmarkStart w:id="1023" w:name="_Toc44069965"/>
      <w:bookmarkStart w:id="1024" w:name="_Toc44071369"/>
      <w:bookmarkStart w:id="1025" w:name="_Toc44073493"/>
      <w:bookmarkStart w:id="1026" w:name="_Toc44074633"/>
      <w:bookmarkStart w:id="1027" w:name="_Toc44079818"/>
      <w:bookmarkStart w:id="1028" w:name="_Toc44079953"/>
      <w:bookmarkStart w:id="1029" w:name="_Toc44319864"/>
      <w:bookmarkStart w:id="1030" w:name="_Toc44321572"/>
      <w:bookmarkStart w:id="1031" w:name="_Toc44323739"/>
      <w:bookmarkStart w:id="1032" w:name="_Toc44326202"/>
      <w:bookmarkStart w:id="1033" w:name="_Toc44330524"/>
      <w:bookmarkStart w:id="1034" w:name="_Toc44330766"/>
      <w:bookmarkStart w:id="1035" w:name="_Toc44333198"/>
      <w:bookmarkStart w:id="1036" w:name="_Toc44334829"/>
      <w:bookmarkStart w:id="1037" w:name="_Toc45227444"/>
      <w:bookmarkStart w:id="1038" w:name="_Toc45799045"/>
      <w:r>
        <w:lastRenderedPageBreak/>
        <w:t>Considerations in</w:t>
      </w:r>
      <w:r w:rsidR="00791BAA">
        <w:t xml:space="preserve"> changing JobKeeper</w:t>
      </w:r>
      <w:bookmarkEnd w:id="995"/>
      <w:bookmarkEnd w:id="996"/>
      <w:bookmarkEnd w:id="997"/>
      <w:bookmarkEnd w:id="998"/>
      <w:bookmarkEnd w:id="999"/>
      <w:bookmarkEnd w:id="1000"/>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08FFF5DC" w14:textId="41BE1DBF" w:rsidR="00D1623C" w:rsidRPr="00493DD8" w:rsidRDefault="00D1623C" w:rsidP="00D1623C">
      <w:pPr>
        <w:pStyle w:val="BodyText"/>
        <w:rPr>
          <w:color w:val="000000" w:themeColor="text1"/>
          <w:sz w:val="22"/>
          <w:szCs w:val="22"/>
        </w:rPr>
      </w:pPr>
      <w:r w:rsidRPr="00493DD8">
        <w:rPr>
          <w:color w:val="000000" w:themeColor="text1"/>
          <w:sz w:val="22"/>
          <w:szCs w:val="22"/>
        </w:rPr>
        <w:t>There are broadly three types of changes that might be made to the JobKeeper Payment: eligibility requirements, payment</w:t>
      </w:r>
      <w:r w:rsidR="00FB0D95">
        <w:rPr>
          <w:color w:val="000000" w:themeColor="text1"/>
          <w:sz w:val="22"/>
          <w:szCs w:val="22"/>
        </w:rPr>
        <w:t xml:space="preserve"> amounts </w:t>
      </w:r>
      <w:r w:rsidRPr="00493DD8">
        <w:rPr>
          <w:color w:val="000000" w:themeColor="text1"/>
          <w:sz w:val="22"/>
          <w:szCs w:val="22"/>
        </w:rPr>
        <w:t>and duration. In contemplating any changes, the Government needs to carefully consider timing</w:t>
      </w:r>
      <w:r w:rsidR="00671289" w:rsidRPr="00493DD8">
        <w:rPr>
          <w:color w:val="000000" w:themeColor="text1"/>
          <w:sz w:val="22"/>
          <w:szCs w:val="22"/>
        </w:rPr>
        <w:t>, as well as practical implementation aspects</w:t>
      </w:r>
      <w:r w:rsidRPr="00493DD8">
        <w:rPr>
          <w:color w:val="000000" w:themeColor="text1"/>
          <w:sz w:val="22"/>
          <w:szCs w:val="22"/>
        </w:rPr>
        <w:t>.</w:t>
      </w:r>
    </w:p>
    <w:p w14:paraId="23190161" w14:textId="1A123E15" w:rsidR="00D1623C" w:rsidRPr="00493DD8" w:rsidRDefault="00D1623C" w:rsidP="00D1623C">
      <w:pPr>
        <w:pStyle w:val="BodyText"/>
        <w:rPr>
          <w:color w:val="000000" w:themeColor="text1"/>
          <w:sz w:val="22"/>
          <w:szCs w:val="22"/>
        </w:rPr>
      </w:pPr>
      <w:r w:rsidRPr="00493DD8">
        <w:rPr>
          <w:color w:val="000000" w:themeColor="text1"/>
          <w:sz w:val="22"/>
          <w:szCs w:val="22"/>
        </w:rPr>
        <w:t xml:space="preserve">Timing </w:t>
      </w:r>
      <w:r w:rsidR="00671289" w:rsidRPr="00493DD8">
        <w:rPr>
          <w:color w:val="000000" w:themeColor="text1"/>
          <w:sz w:val="22"/>
          <w:szCs w:val="22"/>
        </w:rPr>
        <w:t xml:space="preserve">is critical and </w:t>
      </w:r>
      <w:r w:rsidRPr="00493DD8">
        <w:rPr>
          <w:color w:val="000000" w:themeColor="text1"/>
          <w:sz w:val="22"/>
          <w:szCs w:val="22"/>
        </w:rPr>
        <w:t>matters in two important ways. First, it depends on duration. If the duration of JobKeeper is to remain at six months as originally decided, any changes can be expected to realise a smaller benefit than would be the case if JobKeeper was to operate for a longer duration. The lead time involved in</w:t>
      </w:r>
      <w:r w:rsidR="00DD7E24" w:rsidRPr="00493DD8">
        <w:rPr>
          <w:color w:val="000000" w:themeColor="text1"/>
          <w:sz w:val="22"/>
          <w:szCs w:val="22"/>
        </w:rPr>
        <w:t xml:space="preserve"> announcing</w:t>
      </w:r>
      <w:r w:rsidR="004E0BE7" w:rsidRPr="00493DD8">
        <w:rPr>
          <w:color w:val="000000" w:themeColor="text1"/>
          <w:sz w:val="22"/>
          <w:szCs w:val="22"/>
        </w:rPr>
        <w:t>,</w:t>
      </w:r>
      <w:r w:rsidR="00DD7E24" w:rsidRPr="00493DD8">
        <w:rPr>
          <w:color w:val="000000" w:themeColor="text1"/>
          <w:sz w:val="22"/>
          <w:szCs w:val="22"/>
        </w:rPr>
        <w:t xml:space="preserve"> then</w:t>
      </w:r>
      <w:r w:rsidRPr="00493DD8">
        <w:rPr>
          <w:color w:val="000000" w:themeColor="text1"/>
          <w:sz w:val="22"/>
          <w:szCs w:val="22"/>
        </w:rPr>
        <w:t xml:space="preserve"> implementing</w:t>
      </w:r>
      <w:r w:rsidR="004E0BE7" w:rsidRPr="00493DD8">
        <w:rPr>
          <w:color w:val="000000" w:themeColor="text1"/>
          <w:sz w:val="22"/>
          <w:szCs w:val="22"/>
        </w:rPr>
        <w:t>,</w:t>
      </w:r>
      <w:r w:rsidRPr="00493DD8">
        <w:rPr>
          <w:color w:val="000000" w:themeColor="text1"/>
          <w:sz w:val="22"/>
          <w:szCs w:val="22"/>
        </w:rPr>
        <w:t xml:space="preserve"> any changes would </w:t>
      </w:r>
      <w:r w:rsidR="00CC0E02" w:rsidRPr="00493DD8">
        <w:rPr>
          <w:color w:val="000000" w:themeColor="text1"/>
          <w:sz w:val="22"/>
          <w:szCs w:val="22"/>
        </w:rPr>
        <w:t>reduce</w:t>
      </w:r>
      <w:r w:rsidRPr="00493DD8">
        <w:rPr>
          <w:color w:val="000000" w:themeColor="text1"/>
          <w:sz w:val="22"/>
          <w:szCs w:val="22"/>
        </w:rPr>
        <w:t xml:space="preserve"> the</w:t>
      </w:r>
      <w:r w:rsidR="00CC0E02" w:rsidRPr="00493DD8">
        <w:rPr>
          <w:color w:val="000000" w:themeColor="text1"/>
          <w:sz w:val="22"/>
          <w:szCs w:val="22"/>
        </w:rPr>
        <w:t xml:space="preserve"> value of any</w:t>
      </w:r>
      <w:r w:rsidRPr="00493DD8">
        <w:rPr>
          <w:color w:val="000000" w:themeColor="text1"/>
          <w:sz w:val="22"/>
          <w:szCs w:val="22"/>
        </w:rPr>
        <w:t xml:space="preserve"> benefit to a relatively small number of </w:t>
      </w:r>
      <w:r w:rsidR="007E709F">
        <w:rPr>
          <w:color w:val="000000" w:themeColor="text1"/>
          <w:sz w:val="22"/>
          <w:szCs w:val="22"/>
        </w:rPr>
        <w:t>payment</w:t>
      </w:r>
      <w:r w:rsidR="007E709F" w:rsidRPr="00493DD8">
        <w:rPr>
          <w:color w:val="000000" w:themeColor="text1"/>
          <w:sz w:val="22"/>
          <w:szCs w:val="22"/>
        </w:rPr>
        <w:t xml:space="preserve"> </w:t>
      </w:r>
      <w:r w:rsidRPr="00493DD8">
        <w:rPr>
          <w:color w:val="000000" w:themeColor="text1"/>
          <w:sz w:val="22"/>
          <w:szCs w:val="22"/>
        </w:rPr>
        <w:t>fortnig</w:t>
      </w:r>
      <w:r w:rsidR="00E02811" w:rsidRPr="00493DD8">
        <w:rPr>
          <w:color w:val="000000" w:themeColor="text1"/>
          <w:sz w:val="22"/>
          <w:szCs w:val="22"/>
        </w:rPr>
        <w:t xml:space="preserve">hts in the September quarter. Second, </w:t>
      </w:r>
      <w:r w:rsidR="004E0BE7" w:rsidRPr="00493DD8">
        <w:rPr>
          <w:color w:val="000000" w:themeColor="text1"/>
          <w:sz w:val="22"/>
          <w:szCs w:val="22"/>
        </w:rPr>
        <w:t xml:space="preserve">the </w:t>
      </w:r>
      <w:r w:rsidR="00E02811" w:rsidRPr="00493DD8">
        <w:rPr>
          <w:color w:val="000000" w:themeColor="text1"/>
          <w:sz w:val="22"/>
          <w:szCs w:val="22"/>
        </w:rPr>
        <w:t>t</w:t>
      </w:r>
      <w:r w:rsidRPr="00493DD8">
        <w:rPr>
          <w:color w:val="000000" w:themeColor="text1"/>
          <w:sz w:val="22"/>
          <w:szCs w:val="22"/>
        </w:rPr>
        <w:t xml:space="preserve">iming of changes also needs to take into consideration the </w:t>
      </w:r>
      <w:r w:rsidR="006A1356" w:rsidRPr="00493DD8">
        <w:rPr>
          <w:color w:val="000000" w:themeColor="text1"/>
          <w:sz w:val="22"/>
          <w:szCs w:val="22"/>
        </w:rPr>
        <w:t>unfolding</w:t>
      </w:r>
      <w:r w:rsidRPr="00493DD8">
        <w:rPr>
          <w:color w:val="000000" w:themeColor="text1"/>
          <w:sz w:val="22"/>
          <w:szCs w:val="22"/>
        </w:rPr>
        <w:t xml:space="preserve"> state of the economy and </w:t>
      </w:r>
      <w:r w:rsidR="00E02811" w:rsidRPr="00493DD8">
        <w:rPr>
          <w:color w:val="000000" w:themeColor="text1"/>
          <w:sz w:val="22"/>
          <w:szCs w:val="22"/>
        </w:rPr>
        <w:t xml:space="preserve">the </w:t>
      </w:r>
      <w:r w:rsidRPr="00493DD8">
        <w:rPr>
          <w:color w:val="000000" w:themeColor="text1"/>
          <w:sz w:val="22"/>
          <w:szCs w:val="22"/>
        </w:rPr>
        <w:t xml:space="preserve">labour market, which is highly uncertain. </w:t>
      </w:r>
    </w:p>
    <w:p w14:paraId="24E8A0EF" w14:textId="044BD2C8" w:rsidR="006C2210" w:rsidRDefault="006C2210" w:rsidP="00755C53">
      <w:pPr>
        <w:pStyle w:val="Heading2"/>
      </w:pPr>
      <w:bookmarkStart w:id="1039" w:name="_Toc43996258"/>
      <w:bookmarkStart w:id="1040" w:name="_Toc43998517"/>
      <w:bookmarkStart w:id="1041" w:name="_Toc43998444"/>
      <w:bookmarkStart w:id="1042" w:name="_Toc44069966"/>
      <w:bookmarkStart w:id="1043" w:name="_Toc44071370"/>
      <w:bookmarkStart w:id="1044" w:name="_Toc44073494"/>
      <w:bookmarkStart w:id="1045" w:name="_Toc44074634"/>
      <w:bookmarkStart w:id="1046" w:name="_Toc44079819"/>
      <w:bookmarkStart w:id="1047" w:name="_Toc44079954"/>
      <w:bookmarkStart w:id="1048" w:name="_Toc44319865"/>
      <w:bookmarkStart w:id="1049" w:name="_Toc44321573"/>
      <w:bookmarkStart w:id="1050" w:name="_Toc44323740"/>
      <w:bookmarkStart w:id="1051" w:name="_Toc44326203"/>
      <w:bookmarkStart w:id="1052" w:name="_Toc44330525"/>
      <w:bookmarkStart w:id="1053" w:name="_Toc44330767"/>
      <w:bookmarkStart w:id="1054" w:name="_Toc44333199"/>
      <w:bookmarkStart w:id="1055" w:name="_Toc44334830"/>
      <w:bookmarkStart w:id="1056" w:name="_Toc45227445"/>
      <w:bookmarkStart w:id="1057" w:name="_Toc45799046"/>
      <w:bookmarkStart w:id="1058" w:name="_Toc43825429"/>
      <w:bookmarkStart w:id="1059" w:name="_Toc43825522"/>
      <w:r>
        <w:t>Eligibility requirements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t xml:space="preserve"> </w:t>
      </w:r>
    </w:p>
    <w:bookmarkEnd w:id="1058"/>
    <w:bookmarkEnd w:id="1059"/>
    <w:p w14:paraId="14F4D00B" w14:textId="67FC1804" w:rsidR="00D1623C" w:rsidRPr="00493DD8" w:rsidRDefault="00D1623C" w:rsidP="00364FEE">
      <w:pPr>
        <w:rPr>
          <w:color w:val="000000" w:themeColor="text1"/>
        </w:rPr>
      </w:pPr>
      <w:r w:rsidRPr="00493DD8">
        <w:rPr>
          <w:color w:val="000000" w:themeColor="text1"/>
        </w:rPr>
        <w:t xml:space="preserve">Eligibility for JobKeeper is </w:t>
      </w:r>
      <w:r w:rsidR="006A1356" w:rsidRPr="00493DD8">
        <w:rPr>
          <w:color w:val="000000" w:themeColor="text1"/>
        </w:rPr>
        <w:t>determined by a variety of factors pertaining to the circumstances o</w:t>
      </w:r>
      <w:r w:rsidR="00364FEE" w:rsidRPr="00493DD8">
        <w:rPr>
          <w:color w:val="000000" w:themeColor="text1"/>
        </w:rPr>
        <w:t>f employers and their workforce</w:t>
      </w:r>
      <w:r w:rsidR="00DD7E24" w:rsidRPr="00493DD8">
        <w:rPr>
          <w:color w:val="000000" w:themeColor="text1"/>
        </w:rPr>
        <w:t>s</w:t>
      </w:r>
      <w:r w:rsidR="00364FEE" w:rsidRPr="00493DD8">
        <w:rPr>
          <w:color w:val="000000" w:themeColor="text1"/>
        </w:rPr>
        <w:t>, and the differential impact of the downturn</w:t>
      </w:r>
      <w:r w:rsidR="007B714D" w:rsidRPr="00493DD8">
        <w:rPr>
          <w:color w:val="000000" w:themeColor="text1"/>
        </w:rPr>
        <w:t xml:space="preserve"> across sectors. </w:t>
      </w:r>
    </w:p>
    <w:p w14:paraId="5F3F580F" w14:textId="587F64EA" w:rsidR="005956AF" w:rsidRPr="00493DD8" w:rsidRDefault="002F05DF" w:rsidP="006C2210">
      <w:pPr>
        <w:rPr>
          <w:color w:val="000000" w:themeColor="text1"/>
        </w:rPr>
      </w:pPr>
      <w:r w:rsidRPr="00493DD8">
        <w:rPr>
          <w:color w:val="000000" w:themeColor="text1"/>
        </w:rPr>
        <w:t>With</w:t>
      </w:r>
      <w:r w:rsidR="006C2210" w:rsidRPr="00493DD8">
        <w:rPr>
          <w:color w:val="000000" w:themeColor="text1"/>
        </w:rPr>
        <w:t xml:space="preserve"> health restrictions being lifted earlier than expected, </w:t>
      </w:r>
      <w:r w:rsidR="005956AF" w:rsidRPr="00493DD8">
        <w:rPr>
          <w:color w:val="000000" w:themeColor="text1"/>
        </w:rPr>
        <w:t>it is likely that many businesses have begun to see a pick</w:t>
      </w:r>
      <w:r w:rsidR="00DE2760">
        <w:rPr>
          <w:color w:val="000000" w:themeColor="text1"/>
        </w:rPr>
        <w:noBreakHyphen/>
      </w:r>
      <w:r w:rsidR="005956AF" w:rsidRPr="00493DD8">
        <w:rPr>
          <w:color w:val="000000" w:themeColor="text1"/>
        </w:rPr>
        <w:t>up in economic activity.</w:t>
      </w:r>
      <w:r w:rsidR="007B714D" w:rsidRPr="00493DD8">
        <w:rPr>
          <w:color w:val="000000" w:themeColor="text1"/>
        </w:rPr>
        <w:t xml:space="preserve"> Some may be </w:t>
      </w:r>
      <w:r w:rsidR="005E098D" w:rsidRPr="00493DD8">
        <w:rPr>
          <w:color w:val="000000" w:themeColor="text1"/>
        </w:rPr>
        <w:t xml:space="preserve">at or </w:t>
      </w:r>
      <w:r w:rsidR="007B714D" w:rsidRPr="00493DD8">
        <w:rPr>
          <w:color w:val="000000" w:themeColor="text1"/>
        </w:rPr>
        <w:t>near to a full recovery to pre</w:t>
      </w:r>
      <w:r w:rsidR="00DE2760">
        <w:rPr>
          <w:color w:val="000000" w:themeColor="text1"/>
        </w:rPr>
        <w:noBreakHyphen/>
      </w:r>
      <w:r w:rsidR="000C49F0">
        <w:rPr>
          <w:color w:val="000000" w:themeColor="text1"/>
        </w:rPr>
        <w:t>Coronavirus</w:t>
      </w:r>
      <w:r w:rsidR="007B714D" w:rsidRPr="00493DD8">
        <w:rPr>
          <w:color w:val="000000" w:themeColor="text1"/>
        </w:rPr>
        <w:t xml:space="preserve"> levels</w:t>
      </w:r>
      <w:r w:rsidR="0055425E" w:rsidRPr="00493DD8">
        <w:rPr>
          <w:color w:val="000000" w:themeColor="text1"/>
        </w:rPr>
        <w:t>, others may be recovering but remain well below pre</w:t>
      </w:r>
      <w:r w:rsidR="00DE2760">
        <w:rPr>
          <w:color w:val="000000" w:themeColor="text1"/>
        </w:rPr>
        <w:noBreakHyphen/>
      </w:r>
      <w:r w:rsidR="000C49F0">
        <w:rPr>
          <w:color w:val="000000" w:themeColor="text1"/>
        </w:rPr>
        <w:t>Coronavirus</w:t>
      </w:r>
      <w:r w:rsidR="0055425E" w:rsidRPr="00493DD8">
        <w:rPr>
          <w:color w:val="000000" w:themeColor="text1"/>
        </w:rPr>
        <w:t xml:space="preserve"> levels, and some continue to be strongly affected by the remaining social distancing measures</w:t>
      </w:r>
      <w:r w:rsidR="007B714D" w:rsidRPr="00493DD8">
        <w:rPr>
          <w:color w:val="000000" w:themeColor="text1"/>
        </w:rPr>
        <w:t xml:space="preserve">. </w:t>
      </w:r>
    </w:p>
    <w:p w14:paraId="7AEC102B" w14:textId="7E0CFB0E" w:rsidR="005956AF" w:rsidRPr="00493DD8" w:rsidRDefault="00076FD1" w:rsidP="006C2210">
      <w:pPr>
        <w:rPr>
          <w:color w:val="000000" w:themeColor="text1"/>
        </w:rPr>
      </w:pPr>
      <w:r w:rsidRPr="00493DD8">
        <w:rPr>
          <w:color w:val="000000" w:themeColor="text1"/>
        </w:rPr>
        <w:t>Under current JobKeeper rules, the eligibility requirement</w:t>
      </w:r>
      <w:r w:rsidR="00EC6BDE" w:rsidRPr="00493DD8">
        <w:rPr>
          <w:color w:val="000000" w:themeColor="text1"/>
        </w:rPr>
        <w:t>s only need</w:t>
      </w:r>
      <w:r w:rsidRPr="00493DD8">
        <w:rPr>
          <w:color w:val="000000" w:themeColor="text1"/>
        </w:rPr>
        <w:t xml:space="preserve"> to be met once, a</w:t>
      </w:r>
      <w:r w:rsidR="00671289" w:rsidRPr="00493DD8">
        <w:rPr>
          <w:color w:val="000000" w:themeColor="text1"/>
        </w:rPr>
        <w:t xml:space="preserve">t the point of application. </w:t>
      </w:r>
      <w:r w:rsidRPr="00493DD8">
        <w:rPr>
          <w:color w:val="000000" w:themeColor="text1"/>
        </w:rPr>
        <w:t xml:space="preserve">An obvious change </w:t>
      </w:r>
      <w:r w:rsidR="007D309A" w:rsidRPr="00493DD8">
        <w:rPr>
          <w:color w:val="000000" w:themeColor="text1"/>
        </w:rPr>
        <w:t>the</w:t>
      </w:r>
      <w:r w:rsidRPr="00493DD8">
        <w:rPr>
          <w:color w:val="000000" w:themeColor="text1"/>
        </w:rPr>
        <w:t xml:space="preserve"> Government could make would be to </w:t>
      </w:r>
      <w:r w:rsidR="00671289" w:rsidRPr="00493DD8">
        <w:rPr>
          <w:color w:val="000000" w:themeColor="text1"/>
        </w:rPr>
        <w:t>reassess</w:t>
      </w:r>
      <w:r w:rsidR="006C2210" w:rsidRPr="00493DD8">
        <w:rPr>
          <w:color w:val="000000" w:themeColor="text1"/>
        </w:rPr>
        <w:t xml:space="preserve"> eligibility</w:t>
      </w:r>
      <w:r w:rsidRPr="00493DD8">
        <w:rPr>
          <w:color w:val="000000" w:themeColor="text1"/>
        </w:rPr>
        <w:t xml:space="preserve"> </w:t>
      </w:r>
      <w:r w:rsidR="00646B8D" w:rsidRPr="00493DD8">
        <w:rPr>
          <w:color w:val="000000" w:themeColor="text1"/>
        </w:rPr>
        <w:t>in light of</w:t>
      </w:r>
      <w:r w:rsidRPr="00493DD8">
        <w:rPr>
          <w:color w:val="000000" w:themeColor="text1"/>
        </w:rPr>
        <w:t xml:space="preserve"> the </w:t>
      </w:r>
      <w:r w:rsidR="00EC6BDE" w:rsidRPr="00493DD8">
        <w:rPr>
          <w:color w:val="000000" w:themeColor="text1"/>
        </w:rPr>
        <w:t>more favourable</w:t>
      </w:r>
      <w:r w:rsidRPr="00493DD8">
        <w:rPr>
          <w:color w:val="000000" w:themeColor="text1"/>
        </w:rPr>
        <w:t xml:space="preserve"> circumstances of </w:t>
      </w:r>
      <w:r w:rsidR="0055425E" w:rsidRPr="00493DD8">
        <w:rPr>
          <w:color w:val="000000" w:themeColor="text1"/>
        </w:rPr>
        <w:t>some</w:t>
      </w:r>
      <w:r w:rsidRPr="00493DD8">
        <w:rPr>
          <w:color w:val="000000" w:themeColor="text1"/>
        </w:rPr>
        <w:t xml:space="preserve"> businesses</w:t>
      </w:r>
      <w:r w:rsidR="005956AF" w:rsidRPr="00493DD8">
        <w:rPr>
          <w:color w:val="000000" w:themeColor="text1"/>
        </w:rPr>
        <w:t>.</w:t>
      </w:r>
      <w:r w:rsidR="00AB68CF" w:rsidRPr="00493DD8">
        <w:rPr>
          <w:color w:val="000000" w:themeColor="text1"/>
        </w:rPr>
        <w:t xml:space="preserve"> </w:t>
      </w:r>
    </w:p>
    <w:p w14:paraId="18701DD6" w14:textId="0B45924F" w:rsidR="00AB68CF" w:rsidRPr="00493DD8" w:rsidRDefault="00EC6BDE" w:rsidP="006C2210">
      <w:pPr>
        <w:rPr>
          <w:color w:val="000000" w:themeColor="text1"/>
        </w:rPr>
      </w:pPr>
      <w:r w:rsidRPr="00493DD8">
        <w:rPr>
          <w:color w:val="000000" w:themeColor="text1"/>
        </w:rPr>
        <w:t xml:space="preserve">Practically, this </w:t>
      </w:r>
      <w:r w:rsidR="00646B8D" w:rsidRPr="00493DD8">
        <w:rPr>
          <w:color w:val="000000" w:themeColor="text1"/>
        </w:rPr>
        <w:t>could</w:t>
      </w:r>
      <w:r w:rsidRPr="00493DD8">
        <w:rPr>
          <w:color w:val="000000" w:themeColor="text1"/>
        </w:rPr>
        <w:t xml:space="preserve"> be done by using a fresh test of </w:t>
      </w:r>
      <w:r w:rsidR="00436AA9" w:rsidRPr="00493DD8">
        <w:rPr>
          <w:color w:val="000000" w:themeColor="text1"/>
        </w:rPr>
        <w:t>turnover</w:t>
      </w:r>
      <w:r w:rsidRPr="00493DD8">
        <w:rPr>
          <w:color w:val="000000" w:themeColor="text1"/>
        </w:rPr>
        <w:t xml:space="preserve"> decline, </w:t>
      </w:r>
      <w:r w:rsidR="00AB68CF" w:rsidRPr="00493DD8">
        <w:rPr>
          <w:color w:val="000000" w:themeColor="text1"/>
        </w:rPr>
        <w:t>using</w:t>
      </w:r>
      <w:r w:rsidRPr="00493DD8">
        <w:rPr>
          <w:color w:val="000000" w:themeColor="text1"/>
        </w:rPr>
        <w:t xml:space="preserve"> measured </w:t>
      </w:r>
      <w:r w:rsidR="00436AA9" w:rsidRPr="00493DD8">
        <w:rPr>
          <w:color w:val="000000" w:themeColor="text1"/>
        </w:rPr>
        <w:t>or actual turnover</w:t>
      </w:r>
      <w:r w:rsidRPr="00493DD8">
        <w:rPr>
          <w:color w:val="000000" w:themeColor="text1"/>
        </w:rPr>
        <w:t xml:space="preserve"> change rather than </w:t>
      </w:r>
      <w:r w:rsidR="00436AA9" w:rsidRPr="00493DD8">
        <w:rPr>
          <w:color w:val="000000" w:themeColor="text1"/>
        </w:rPr>
        <w:t>projected</w:t>
      </w:r>
      <w:r w:rsidRPr="00493DD8">
        <w:rPr>
          <w:color w:val="000000" w:themeColor="text1"/>
        </w:rPr>
        <w:t xml:space="preserve"> change when businesses first applied. </w:t>
      </w:r>
      <w:r w:rsidR="00AB68CF" w:rsidRPr="00493DD8">
        <w:rPr>
          <w:color w:val="000000" w:themeColor="text1"/>
        </w:rPr>
        <w:t xml:space="preserve">The virtue of a fresh test is it would ensure that </w:t>
      </w:r>
      <w:r w:rsidR="00C05B42">
        <w:rPr>
          <w:color w:val="000000" w:themeColor="text1"/>
        </w:rPr>
        <w:t xml:space="preserve">the </w:t>
      </w:r>
      <w:r w:rsidR="00AB68CF" w:rsidRPr="00493DD8">
        <w:rPr>
          <w:color w:val="000000" w:themeColor="text1"/>
        </w:rPr>
        <w:t xml:space="preserve">JobKeeper </w:t>
      </w:r>
      <w:r w:rsidR="00C05B42">
        <w:rPr>
          <w:color w:val="000000" w:themeColor="text1"/>
        </w:rPr>
        <w:t xml:space="preserve">Payment </w:t>
      </w:r>
      <w:r w:rsidR="00AB68CF" w:rsidRPr="00493DD8">
        <w:rPr>
          <w:color w:val="000000" w:themeColor="text1"/>
        </w:rPr>
        <w:t>remains well targeted.</w:t>
      </w:r>
    </w:p>
    <w:p w14:paraId="09B1B88C" w14:textId="21DA49E9" w:rsidR="005E098D" w:rsidRPr="00493DD8" w:rsidRDefault="00EC6BDE" w:rsidP="00BF1099">
      <w:pPr>
        <w:rPr>
          <w:color w:val="000000" w:themeColor="text1"/>
        </w:rPr>
      </w:pPr>
      <w:r w:rsidRPr="00493DD8">
        <w:rPr>
          <w:color w:val="000000" w:themeColor="text1"/>
        </w:rPr>
        <w:t>Treasury has examined this option, and identified several mat</w:t>
      </w:r>
      <w:r w:rsidR="005E098D" w:rsidRPr="00493DD8">
        <w:rPr>
          <w:color w:val="000000" w:themeColor="text1"/>
        </w:rPr>
        <w:t xml:space="preserve">ters that need to be considered if this was to be given effect </w:t>
      </w:r>
      <w:r w:rsidR="0055425E" w:rsidRPr="00493DD8">
        <w:rPr>
          <w:color w:val="000000" w:themeColor="text1"/>
        </w:rPr>
        <w:t>to</w:t>
      </w:r>
      <w:r w:rsidR="005E098D" w:rsidRPr="00493DD8">
        <w:rPr>
          <w:color w:val="000000" w:themeColor="text1"/>
        </w:rPr>
        <w:t>.</w:t>
      </w:r>
      <w:r w:rsidR="007A6561">
        <w:rPr>
          <w:color w:val="000000" w:themeColor="text1"/>
        </w:rPr>
        <w:t xml:space="preserve"> </w:t>
      </w:r>
    </w:p>
    <w:p w14:paraId="7B9DD818" w14:textId="7168BCAE" w:rsidR="00BF1099" w:rsidRPr="00493DD8" w:rsidRDefault="00BF1099" w:rsidP="00BF1099">
      <w:pPr>
        <w:rPr>
          <w:color w:val="000000" w:themeColor="text1"/>
        </w:rPr>
      </w:pPr>
      <w:r w:rsidRPr="00493DD8">
        <w:rPr>
          <w:color w:val="000000" w:themeColor="text1"/>
        </w:rPr>
        <w:t xml:space="preserve">Many businesses have argued that </w:t>
      </w:r>
      <w:r w:rsidR="004D6DB2">
        <w:rPr>
          <w:color w:val="000000" w:themeColor="text1"/>
        </w:rPr>
        <w:t xml:space="preserve">they took </w:t>
      </w:r>
      <w:r w:rsidRPr="00493DD8">
        <w:rPr>
          <w:color w:val="000000" w:themeColor="text1"/>
        </w:rPr>
        <w:t>decisions on the basis of the announced program parameters, including a one</w:t>
      </w:r>
      <w:r w:rsidR="00DE2760">
        <w:rPr>
          <w:color w:val="000000" w:themeColor="text1"/>
        </w:rPr>
        <w:noBreakHyphen/>
      </w:r>
      <w:r w:rsidRPr="00493DD8">
        <w:rPr>
          <w:color w:val="000000" w:themeColor="text1"/>
        </w:rPr>
        <w:t>off assessment of eligibility and a six month program duration, and for this reason the program should not be changed adversely prior to end</w:t>
      </w:r>
      <w:r w:rsidR="00DE2760">
        <w:rPr>
          <w:color w:val="000000" w:themeColor="text1"/>
        </w:rPr>
        <w:noBreakHyphen/>
      </w:r>
      <w:r w:rsidRPr="00493DD8">
        <w:rPr>
          <w:color w:val="000000" w:themeColor="text1"/>
        </w:rPr>
        <w:t xml:space="preserve">September. Faced with a reassessment of eligibility, businesses could reasonably argue that in the absence of JobKeeper they would have closed down or reduced operations and thus turnover would have been worse than the outcome achieved with JobKeeper. </w:t>
      </w:r>
      <w:r w:rsidR="00E74452" w:rsidRPr="00493DD8">
        <w:rPr>
          <w:color w:val="000000" w:themeColor="text1"/>
        </w:rPr>
        <w:t>From a macroeconomic perspective, it would</w:t>
      </w:r>
      <w:r w:rsidR="00514F4C" w:rsidRPr="00493DD8">
        <w:rPr>
          <w:color w:val="000000" w:themeColor="text1"/>
        </w:rPr>
        <w:t xml:space="preserve"> dampen business confidence at a time when the economic recovery is fragile.</w:t>
      </w:r>
    </w:p>
    <w:p w14:paraId="6630A002" w14:textId="24A808A0" w:rsidR="00BF1099" w:rsidRPr="00493DD8" w:rsidRDefault="00514F4C" w:rsidP="00BF1099">
      <w:pPr>
        <w:rPr>
          <w:color w:val="000000" w:themeColor="text1"/>
        </w:rPr>
      </w:pPr>
      <w:r w:rsidRPr="00493DD8">
        <w:rPr>
          <w:color w:val="000000" w:themeColor="text1"/>
        </w:rPr>
        <w:t xml:space="preserve">More practically, a fresh test based on </w:t>
      </w:r>
      <w:r w:rsidR="00CD62A6" w:rsidRPr="00493DD8">
        <w:rPr>
          <w:color w:val="000000" w:themeColor="text1"/>
        </w:rPr>
        <w:t>actual turnover</w:t>
      </w:r>
      <w:r w:rsidRPr="00493DD8">
        <w:rPr>
          <w:color w:val="000000" w:themeColor="text1"/>
        </w:rPr>
        <w:t xml:space="preserve"> decline would need to be developed. For integrity purposes, </w:t>
      </w:r>
      <w:r w:rsidR="00CD62A6" w:rsidRPr="00493DD8">
        <w:rPr>
          <w:color w:val="000000" w:themeColor="text1"/>
        </w:rPr>
        <w:t>turnover</w:t>
      </w:r>
      <w:r w:rsidRPr="00493DD8">
        <w:rPr>
          <w:color w:val="000000" w:themeColor="text1"/>
        </w:rPr>
        <w:t xml:space="preserve"> should be drawn </w:t>
      </w:r>
      <w:r w:rsidR="00B35CCF" w:rsidRPr="00493DD8">
        <w:rPr>
          <w:color w:val="000000" w:themeColor="text1"/>
        </w:rPr>
        <w:t xml:space="preserve">largely </w:t>
      </w:r>
      <w:r w:rsidRPr="00493DD8">
        <w:rPr>
          <w:color w:val="000000" w:themeColor="text1"/>
        </w:rPr>
        <w:t xml:space="preserve">from the </w:t>
      </w:r>
      <w:r w:rsidR="00241A1B">
        <w:rPr>
          <w:color w:val="000000" w:themeColor="text1"/>
        </w:rPr>
        <w:t>BAS</w:t>
      </w:r>
      <w:r w:rsidRPr="00493DD8">
        <w:rPr>
          <w:color w:val="000000" w:themeColor="text1"/>
        </w:rPr>
        <w:t xml:space="preserve">. Smaller businesses report this quarterly. If a reassessment </w:t>
      </w:r>
      <w:r w:rsidR="007D309A" w:rsidRPr="00493DD8">
        <w:rPr>
          <w:color w:val="000000" w:themeColor="text1"/>
        </w:rPr>
        <w:t xml:space="preserve">for the September quarter </w:t>
      </w:r>
      <w:r w:rsidRPr="00493DD8">
        <w:rPr>
          <w:color w:val="000000" w:themeColor="text1"/>
        </w:rPr>
        <w:t xml:space="preserve">was to use the same thresholds as </w:t>
      </w:r>
      <w:r w:rsidRPr="00493DD8">
        <w:rPr>
          <w:color w:val="000000" w:themeColor="text1"/>
        </w:rPr>
        <w:lastRenderedPageBreak/>
        <w:t xml:space="preserve">the original test, </w:t>
      </w:r>
      <w:r w:rsidR="007D309A" w:rsidRPr="00493DD8">
        <w:rPr>
          <w:color w:val="000000" w:themeColor="text1"/>
        </w:rPr>
        <w:t>an average 30 per cent decline across the June quarter w</w:t>
      </w:r>
      <w:r w:rsidRPr="00493DD8">
        <w:rPr>
          <w:color w:val="000000" w:themeColor="text1"/>
        </w:rPr>
        <w:t xml:space="preserve">ould be a high bar for many </w:t>
      </w:r>
      <w:r w:rsidR="007D309A" w:rsidRPr="00493DD8">
        <w:rPr>
          <w:color w:val="000000" w:themeColor="text1"/>
        </w:rPr>
        <w:t xml:space="preserve">recovering </w:t>
      </w:r>
      <w:r w:rsidRPr="00493DD8">
        <w:rPr>
          <w:color w:val="000000" w:themeColor="text1"/>
        </w:rPr>
        <w:t>small businesses to meet.</w:t>
      </w:r>
      <w:r w:rsidR="00E74452" w:rsidRPr="00493DD8">
        <w:rPr>
          <w:color w:val="000000" w:themeColor="text1"/>
        </w:rPr>
        <w:t xml:space="preserve"> </w:t>
      </w:r>
      <w:r w:rsidR="00D127BC">
        <w:rPr>
          <w:color w:val="000000" w:themeColor="text1"/>
        </w:rPr>
        <w:t>Conversely, if</w:t>
      </w:r>
      <w:r w:rsidR="00E74452" w:rsidRPr="00493DD8">
        <w:rPr>
          <w:color w:val="000000" w:themeColor="text1"/>
        </w:rPr>
        <w:t xml:space="preserve"> support</w:t>
      </w:r>
      <w:r w:rsidR="00D127BC">
        <w:rPr>
          <w:color w:val="000000" w:themeColor="text1"/>
        </w:rPr>
        <w:t xml:space="preserve"> was to be withdrawn</w:t>
      </w:r>
      <w:r w:rsidR="00E74452" w:rsidRPr="00493DD8">
        <w:rPr>
          <w:color w:val="000000" w:themeColor="text1"/>
        </w:rPr>
        <w:t xml:space="preserve"> </w:t>
      </w:r>
      <w:r w:rsidR="005E098D" w:rsidRPr="00493DD8">
        <w:rPr>
          <w:color w:val="000000" w:themeColor="text1"/>
        </w:rPr>
        <w:t xml:space="preserve">just </w:t>
      </w:r>
      <w:r w:rsidR="00E74452" w:rsidRPr="00493DD8">
        <w:rPr>
          <w:color w:val="000000" w:themeColor="text1"/>
        </w:rPr>
        <w:t xml:space="preserve">from those </w:t>
      </w:r>
      <w:r w:rsidR="001D37C4" w:rsidRPr="00493DD8">
        <w:rPr>
          <w:color w:val="000000" w:themeColor="text1"/>
        </w:rPr>
        <w:t xml:space="preserve">organisations </w:t>
      </w:r>
      <w:r w:rsidR="00E74452" w:rsidRPr="00493DD8">
        <w:rPr>
          <w:color w:val="000000" w:themeColor="text1"/>
        </w:rPr>
        <w:t xml:space="preserve">whose </w:t>
      </w:r>
      <w:r w:rsidR="001D37C4" w:rsidRPr="00493DD8">
        <w:rPr>
          <w:color w:val="000000" w:themeColor="text1"/>
        </w:rPr>
        <w:t xml:space="preserve">turnover </w:t>
      </w:r>
      <w:r w:rsidR="00E74452" w:rsidRPr="00493DD8">
        <w:rPr>
          <w:color w:val="000000" w:themeColor="text1"/>
        </w:rPr>
        <w:t>has fully recovered to pre</w:t>
      </w:r>
      <w:r w:rsidR="00DE2760">
        <w:rPr>
          <w:color w:val="000000" w:themeColor="text1"/>
        </w:rPr>
        <w:noBreakHyphen/>
      </w:r>
      <w:r w:rsidR="007D49E8">
        <w:rPr>
          <w:color w:val="000000" w:themeColor="text1"/>
        </w:rPr>
        <w:t>Coronavirus</w:t>
      </w:r>
      <w:r w:rsidR="00AB68CF" w:rsidRPr="00493DD8">
        <w:rPr>
          <w:color w:val="000000" w:themeColor="text1"/>
        </w:rPr>
        <w:t xml:space="preserve"> levels, only a relatively small fraction of businesses</w:t>
      </w:r>
      <w:r w:rsidR="005E098D" w:rsidRPr="00493DD8">
        <w:rPr>
          <w:color w:val="000000" w:themeColor="text1"/>
        </w:rPr>
        <w:t xml:space="preserve"> would be expected to be in this position</w:t>
      </w:r>
      <w:r w:rsidR="00AB68CF" w:rsidRPr="00493DD8">
        <w:rPr>
          <w:color w:val="000000" w:themeColor="text1"/>
        </w:rPr>
        <w:t>.</w:t>
      </w:r>
    </w:p>
    <w:p w14:paraId="0BE8A8D5" w14:textId="34BB4A9B" w:rsidR="006C2210" w:rsidRPr="00493DD8" w:rsidRDefault="005E098D" w:rsidP="006C2210">
      <w:pPr>
        <w:rPr>
          <w:color w:val="000000" w:themeColor="text1"/>
        </w:rPr>
      </w:pPr>
      <w:r w:rsidRPr="00493DD8">
        <w:rPr>
          <w:color w:val="000000" w:themeColor="text1"/>
        </w:rPr>
        <w:t>Based on these considerations, a reassessment of eligibility for the September quarter is not supported. However, if</w:t>
      </w:r>
      <w:r w:rsidR="006C2210" w:rsidRPr="00493DD8">
        <w:rPr>
          <w:color w:val="000000" w:themeColor="text1"/>
        </w:rPr>
        <w:t xml:space="preserve"> JobKeeper </w:t>
      </w:r>
      <w:r w:rsidRPr="00493DD8">
        <w:rPr>
          <w:color w:val="000000" w:themeColor="text1"/>
        </w:rPr>
        <w:t xml:space="preserve">is to </w:t>
      </w:r>
      <w:r w:rsidR="006C2210" w:rsidRPr="00493DD8">
        <w:rPr>
          <w:color w:val="000000" w:themeColor="text1"/>
        </w:rPr>
        <w:t xml:space="preserve">be extended </w:t>
      </w:r>
      <w:r w:rsidR="00AB68CF" w:rsidRPr="00493DD8">
        <w:rPr>
          <w:color w:val="000000" w:themeColor="text1"/>
        </w:rPr>
        <w:t xml:space="preserve">beyond September, </w:t>
      </w:r>
      <w:r w:rsidR="006C2210" w:rsidRPr="00493DD8">
        <w:rPr>
          <w:color w:val="000000" w:themeColor="text1"/>
        </w:rPr>
        <w:t>eligibility</w:t>
      </w:r>
      <w:r w:rsidR="007D309A" w:rsidRPr="00493DD8">
        <w:rPr>
          <w:color w:val="000000" w:themeColor="text1"/>
        </w:rPr>
        <w:t xml:space="preserve"> </w:t>
      </w:r>
      <w:r w:rsidR="00AB68CF" w:rsidRPr="00493DD8">
        <w:rPr>
          <w:color w:val="000000" w:themeColor="text1"/>
        </w:rPr>
        <w:t xml:space="preserve">should be reassessed </w:t>
      </w:r>
      <w:r w:rsidR="007D309A" w:rsidRPr="00493DD8">
        <w:rPr>
          <w:color w:val="000000" w:themeColor="text1"/>
        </w:rPr>
        <w:t>at this point</w:t>
      </w:r>
      <w:r w:rsidR="00CF3A1C" w:rsidRPr="00493DD8">
        <w:rPr>
          <w:color w:val="000000" w:themeColor="text1"/>
        </w:rPr>
        <w:t xml:space="preserve">, using measured </w:t>
      </w:r>
      <w:r w:rsidR="001D37C4" w:rsidRPr="00493DD8">
        <w:rPr>
          <w:color w:val="000000" w:themeColor="text1"/>
        </w:rPr>
        <w:t xml:space="preserve">turnover </w:t>
      </w:r>
      <w:r w:rsidR="00CF3A1C" w:rsidRPr="00493DD8">
        <w:rPr>
          <w:color w:val="000000" w:themeColor="text1"/>
        </w:rPr>
        <w:t>decline</w:t>
      </w:r>
      <w:r w:rsidR="006C2210" w:rsidRPr="00493DD8">
        <w:rPr>
          <w:color w:val="000000" w:themeColor="text1"/>
        </w:rPr>
        <w:t xml:space="preserve">. </w:t>
      </w:r>
      <w:r w:rsidR="007D309A" w:rsidRPr="00493DD8">
        <w:rPr>
          <w:color w:val="000000" w:themeColor="text1"/>
        </w:rPr>
        <w:t xml:space="preserve">Consideration should be given to ways of </w:t>
      </w:r>
      <w:r w:rsidR="00CF3A1C" w:rsidRPr="00493DD8">
        <w:rPr>
          <w:color w:val="000000" w:themeColor="text1"/>
        </w:rPr>
        <w:t>mitigating against behaviour by businesses to qualify for ongoing eligibility</w:t>
      </w:r>
      <w:r w:rsidR="0065726C" w:rsidRPr="00493DD8">
        <w:rPr>
          <w:color w:val="000000" w:themeColor="text1"/>
        </w:rPr>
        <w:t xml:space="preserve">, particularly given such behaviours could have implications for </w:t>
      </w:r>
      <w:r w:rsidR="00553413" w:rsidRPr="00493DD8">
        <w:rPr>
          <w:color w:val="000000" w:themeColor="text1"/>
        </w:rPr>
        <w:t>t</w:t>
      </w:r>
      <w:r w:rsidR="0065726C" w:rsidRPr="00493DD8">
        <w:rPr>
          <w:color w:val="000000" w:themeColor="text1"/>
        </w:rPr>
        <w:t>he macro</w:t>
      </w:r>
      <w:r w:rsidR="001D37C4" w:rsidRPr="00493DD8">
        <w:rPr>
          <w:color w:val="000000" w:themeColor="text1"/>
        </w:rPr>
        <w:t xml:space="preserve"> </w:t>
      </w:r>
      <w:r w:rsidR="0065726C" w:rsidRPr="00493DD8">
        <w:rPr>
          <w:color w:val="000000" w:themeColor="text1"/>
        </w:rPr>
        <w:t>economy</w:t>
      </w:r>
      <w:r w:rsidR="00CF3A1C" w:rsidRPr="00493DD8">
        <w:rPr>
          <w:color w:val="000000" w:themeColor="text1"/>
        </w:rPr>
        <w:t>.</w:t>
      </w:r>
    </w:p>
    <w:p w14:paraId="2F4D9433" w14:textId="47748398" w:rsidR="00AB1A91" w:rsidRDefault="00AB1A91" w:rsidP="00755C53">
      <w:pPr>
        <w:pStyle w:val="Heading2"/>
      </w:pPr>
      <w:bookmarkStart w:id="1060" w:name="_Toc43825430"/>
      <w:bookmarkStart w:id="1061" w:name="_Toc43825523"/>
      <w:bookmarkStart w:id="1062" w:name="_Toc43996259"/>
      <w:bookmarkStart w:id="1063" w:name="_Toc43998518"/>
      <w:bookmarkStart w:id="1064" w:name="_Toc43998445"/>
      <w:bookmarkStart w:id="1065" w:name="_Toc44069967"/>
      <w:bookmarkStart w:id="1066" w:name="_Toc44071371"/>
      <w:bookmarkStart w:id="1067" w:name="_Toc44073495"/>
      <w:bookmarkStart w:id="1068" w:name="_Toc44074635"/>
      <w:bookmarkStart w:id="1069" w:name="_Toc44079820"/>
      <w:bookmarkStart w:id="1070" w:name="_Toc44079955"/>
      <w:bookmarkStart w:id="1071" w:name="_Toc44319866"/>
      <w:bookmarkStart w:id="1072" w:name="_Toc44321574"/>
      <w:bookmarkStart w:id="1073" w:name="_Toc44323741"/>
      <w:bookmarkStart w:id="1074" w:name="_Toc44326204"/>
      <w:bookmarkStart w:id="1075" w:name="_Toc44330526"/>
      <w:bookmarkStart w:id="1076" w:name="_Toc44330768"/>
      <w:bookmarkStart w:id="1077" w:name="_Toc44333200"/>
      <w:bookmarkStart w:id="1078" w:name="_Toc44334831"/>
      <w:bookmarkStart w:id="1079" w:name="_Toc45227446"/>
      <w:bookmarkStart w:id="1080" w:name="_Toc45799047"/>
      <w:r>
        <w:t>R</w:t>
      </w:r>
      <w:bookmarkEnd w:id="1060"/>
      <w:bookmarkEnd w:id="1061"/>
      <w:r>
        <w:t>educing payment amounts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398BB1F3" w14:textId="1F6D0928" w:rsidR="008277E1" w:rsidRPr="00493DD8" w:rsidRDefault="008A5FA9" w:rsidP="00D11B0A">
      <w:pPr>
        <w:rPr>
          <w:color w:val="000000" w:themeColor="text1"/>
        </w:rPr>
      </w:pPr>
      <w:r w:rsidRPr="00493DD8">
        <w:rPr>
          <w:color w:val="000000" w:themeColor="text1"/>
        </w:rPr>
        <w:t xml:space="preserve">The JobKeeper </w:t>
      </w:r>
      <w:r w:rsidR="005F48B0" w:rsidRPr="00493DD8">
        <w:rPr>
          <w:color w:val="000000" w:themeColor="text1"/>
        </w:rPr>
        <w:t>Payment</w:t>
      </w:r>
      <w:r w:rsidRPr="00493DD8">
        <w:rPr>
          <w:color w:val="000000" w:themeColor="text1"/>
        </w:rPr>
        <w:t xml:space="preserve"> amounts can be reduced by lowering payments for </w:t>
      </w:r>
      <w:r w:rsidRPr="00493DD8">
        <w:rPr>
          <w:i/>
          <w:color w:val="000000" w:themeColor="text1"/>
        </w:rPr>
        <w:t>all</w:t>
      </w:r>
      <w:r w:rsidRPr="00493DD8">
        <w:rPr>
          <w:color w:val="000000" w:themeColor="text1"/>
        </w:rPr>
        <w:t xml:space="preserve"> employees </w:t>
      </w:r>
      <w:r w:rsidR="00B24408">
        <w:rPr>
          <w:color w:val="000000" w:themeColor="text1"/>
        </w:rPr>
        <w:t xml:space="preserve">(and other eligible individuals) </w:t>
      </w:r>
      <w:r w:rsidRPr="00493DD8">
        <w:rPr>
          <w:color w:val="000000" w:themeColor="text1"/>
        </w:rPr>
        <w:t xml:space="preserve">or by lowering payments for </w:t>
      </w:r>
      <w:r w:rsidRPr="00493DD8">
        <w:rPr>
          <w:i/>
          <w:color w:val="000000" w:themeColor="text1"/>
        </w:rPr>
        <w:t>some</w:t>
      </w:r>
      <w:r w:rsidRPr="00493DD8">
        <w:rPr>
          <w:color w:val="000000" w:themeColor="text1"/>
        </w:rPr>
        <w:t xml:space="preserve"> employees, such as those whose pre</w:t>
      </w:r>
      <w:r w:rsidR="00DE2760">
        <w:rPr>
          <w:color w:val="000000" w:themeColor="text1"/>
        </w:rPr>
        <w:noBreakHyphen/>
      </w:r>
      <w:r w:rsidR="00964E9D">
        <w:rPr>
          <w:color w:val="000000" w:themeColor="text1"/>
        </w:rPr>
        <w:t>Coronavirus</w:t>
      </w:r>
      <w:r w:rsidRPr="00493DD8">
        <w:rPr>
          <w:color w:val="000000" w:themeColor="text1"/>
        </w:rPr>
        <w:t xml:space="preserve"> pay was below $1</w:t>
      </w:r>
      <w:r w:rsidR="005F48B0" w:rsidRPr="00493DD8">
        <w:rPr>
          <w:color w:val="000000" w:themeColor="text1"/>
        </w:rPr>
        <w:t>,</w:t>
      </w:r>
      <w:r w:rsidRPr="00493DD8">
        <w:rPr>
          <w:color w:val="000000" w:themeColor="text1"/>
        </w:rPr>
        <w:t>500 per fortnight.</w:t>
      </w:r>
      <w:r w:rsidR="00C634E8" w:rsidRPr="00493DD8">
        <w:rPr>
          <w:color w:val="000000" w:themeColor="text1"/>
        </w:rPr>
        <w:t xml:space="preserve"> </w:t>
      </w:r>
      <w:r w:rsidRPr="00493DD8">
        <w:rPr>
          <w:color w:val="000000" w:themeColor="text1"/>
        </w:rPr>
        <w:t>A rationale for lowering payments for all</w:t>
      </w:r>
      <w:r w:rsidR="008277E1" w:rsidRPr="00493DD8">
        <w:rPr>
          <w:color w:val="000000" w:themeColor="text1"/>
        </w:rPr>
        <w:t xml:space="preserve"> </w:t>
      </w:r>
      <w:r w:rsidR="00B24408">
        <w:rPr>
          <w:color w:val="000000" w:themeColor="text1"/>
        </w:rPr>
        <w:t xml:space="preserve">employees </w:t>
      </w:r>
      <w:r w:rsidRPr="00493DD8">
        <w:rPr>
          <w:color w:val="000000" w:themeColor="text1"/>
        </w:rPr>
        <w:t xml:space="preserve">is that it could be part of a transition strategy to wean businesses off support, </w:t>
      </w:r>
      <w:r w:rsidR="008277E1" w:rsidRPr="00493DD8">
        <w:rPr>
          <w:color w:val="000000" w:themeColor="text1"/>
        </w:rPr>
        <w:t>having them meet</w:t>
      </w:r>
      <w:r w:rsidR="00D11B0A" w:rsidRPr="00493DD8">
        <w:rPr>
          <w:color w:val="000000" w:themeColor="text1"/>
        </w:rPr>
        <w:t xml:space="preserve"> a greater share of their own wages bill as economic conditions improve. This is the approach that has been taken in the U</w:t>
      </w:r>
      <w:r w:rsidR="00B24408">
        <w:rPr>
          <w:color w:val="000000" w:themeColor="text1"/>
        </w:rPr>
        <w:t>K</w:t>
      </w:r>
      <w:r w:rsidR="00D11B0A" w:rsidRPr="00493DD8">
        <w:rPr>
          <w:color w:val="000000" w:themeColor="text1"/>
        </w:rPr>
        <w:t xml:space="preserve"> (see </w:t>
      </w:r>
      <w:r w:rsidR="00D11B0A" w:rsidRPr="00493DD8">
        <w:rPr>
          <w:b/>
          <w:color w:val="000000" w:themeColor="text1"/>
        </w:rPr>
        <w:t>Box 1</w:t>
      </w:r>
      <w:r w:rsidR="00D11B0A" w:rsidRPr="00493DD8">
        <w:rPr>
          <w:color w:val="000000" w:themeColor="text1"/>
        </w:rPr>
        <w:t>).</w:t>
      </w:r>
      <w:r w:rsidR="00C634E8" w:rsidRPr="00493DD8">
        <w:rPr>
          <w:color w:val="000000" w:themeColor="text1"/>
        </w:rPr>
        <w:t xml:space="preserve"> </w:t>
      </w:r>
      <w:r w:rsidR="00D11B0A" w:rsidRPr="00493DD8">
        <w:rPr>
          <w:color w:val="000000" w:themeColor="text1"/>
        </w:rPr>
        <w:t>The case for lowering payments for some employees is to remove, or lessen, the adverse incentives that arise from the flat payment.</w:t>
      </w:r>
      <w:r w:rsidR="008277E1" w:rsidRPr="00493DD8">
        <w:rPr>
          <w:color w:val="000000" w:themeColor="text1"/>
        </w:rPr>
        <w:t xml:space="preserve"> </w:t>
      </w:r>
    </w:p>
    <w:p w14:paraId="0424413A" w14:textId="094FC48D" w:rsidR="008D1F2C" w:rsidRPr="00493DD8" w:rsidRDefault="00C25925" w:rsidP="008D1F2C">
      <w:pPr>
        <w:rPr>
          <w:color w:val="000000" w:themeColor="text1"/>
        </w:rPr>
      </w:pPr>
      <w:r w:rsidRPr="00493DD8">
        <w:rPr>
          <w:color w:val="000000" w:themeColor="text1"/>
        </w:rPr>
        <w:t xml:space="preserve">Other countries (see </w:t>
      </w:r>
      <w:r w:rsidRPr="00493DD8">
        <w:rPr>
          <w:b/>
          <w:color w:val="000000" w:themeColor="text1"/>
        </w:rPr>
        <w:t>Box 1</w:t>
      </w:r>
      <w:r w:rsidRPr="00493DD8">
        <w:rPr>
          <w:color w:val="000000" w:themeColor="text1"/>
        </w:rPr>
        <w:t>) have tied wage subsidy payments to a set fraction of people</w:t>
      </w:r>
      <w:r w:rsidR="00DE2760">
        <w:rPr>
          <w:color w:val="000000" w:themeColor="text1"/>
        </w:rPr>
        <w:t>’</w:t>
      </w:r>
      <w:r w:rsidRPr="00493DD8">
        <w:rPr>
          <w:color w:val="000000" w:themeColor="text1"/>
        </w:rPr>
        <w:t xml:space="preserve">s earnings, such as </w:t>
      </w:r>
      <w:r w:rsidR="005B2717" w:rsidRPr="00493DD8">
        <w:rPr>
          <w:color w:val="000000" w:themeColor="text1"/>
        </w:rPr>
        <w:t>75</w:t>
      </w:r>
      <w:r w:rsidRPr="00493DD8">
        <w:rPr>
          <w:color w:val="000000" w:themeColor="text1"/>
        </w:rPr>
        <w:t xml:space="preserve"> per cent in </w:t>
      </w:r>
      <w:r w:rsidR="005B2717" w:rsidRPr="00493DD8">
        <w:rPr>
          <w:color w:val="000000" w:themeColor="text1"/>
        </w:rPr>
        <w:t>Canada</w:t>
      </w:r>
      <w:r w:rsidRPr="00493DD8">
        <w:rPr>
          <w:color w:val="000000" w:themeColor="text1"/>
        </w:rPr>
        <w:t xml:space="preserve">. </w:t>
      </w:r>
      <w:r w:rsidR="00DF2951" w:rsidRPr="00493DD8">
        <w:rPr>
          <w:color w:val="000000" w:themeColor="text1"/>
        </w:rPr>
        <w:t>Existing ATO systems are not able to verify employees</w:t>
      </w:r>
      <w:r w:rsidR="00DE2760">
        <w:rPr>
          <w:color w:val="000000" w:themeColor="text1"/>
        </w:rPr>
        <w:t>’</w:t>
      </w:r>
      <w:r w:rsidR="00DF2951" w:rsidRPr="00493DD8">
        <w:rPr>
          <w:color w:val="000000" w:themeColor="text1"/>
        </w:rPr>
        <w:t xml:space="preserve"> actual pay </w:t>
      </w:r>
      <w:r w:rsidR="001D37C4" w:rsidRPr="00493DD8">
        <w:rPr>
          <w:color w:val="000000" w:themeColor="text1"/>
        </w:rPr>
        <w:t>on a real</w:t>
      </w:r>
      <w:r w:rsidR="00DE2760">
        <w:rPr>
          <w:color w:val="000000" w:themeColor="text1"/>
        </w:rPr>
        <w:noBreakHyphen/>
      </w:r>
      <w:r w:rsidR="001D37C4" w:rsidRPr="00493DD8">
        <w:rPr>
          <w:color w:val="000000" w:themeColor="text1"/>
        </w:rPr>
        <w:t xml:space="preserve">time basis, as they </w:t>
      </w:r>
      <w:r w:rsidR="00DF2951" w:rsidRPr="00493DD8">
        <w:rPr>
          <w:color w:val="000000" w:themeColor="text1"/>
        </w:rPr>
        <w:t>may have multiple jobs and other forms of income, and</w:t>
      </w:r>
      <w:r w:rsidR="001D37C4" w:rsidRPr="00493DD8">
        <w:rPr>
          <w:color w:val="000000" w:themeColor="text1"/>
        </w:rPr>
        <w:t>,</w:t>
      </w:r>
      <w:r w:rsidR="00DF2951" w:rsidRPr="00493DD8">
        <w:rPr>
          <w:color w:val="000000" w:themeColor="text1"/>
        </w:rPr>
        <w:t xml:space="preserve"> while PAYG withholding systems are robust</w:t>
      </w:r>
      <w:r w:rsidR="001D37C4" w:rsidRPr="00493DD8">
        <w:rPr>
          <w:color w:val="000000" w:themeColor="text1"/>
        </w:rPr>
        <w:t>,</w:t>
      </w:r>
      <w:r w:rsidR="008D1F2C" w:rsidRPr="00493DD8">
        <w:rPr>
          <w:color w:val="000000" w:themeColor="text1"/>
        </w:rPr>
        <w:t xml:space="preserve"> details of actual </w:t>
      </w:r>
      <w:r w:rsidR="004920A7" w:rsidRPr="00493DD8">
        <w:rPr>
          <w:color w:val="000000" w:themeColor="text1"/>
        </w:rPr>
        <w:t>income are not fully available until the end of the financial year.</w:t>
      </w:r>
    </w:p>
    <w:p w14:paraId="274CDB5C" w14:textId="7D0F4BF2" w:rsidR="005B2717" w:rsidRPr="00493DD8" w:rsidRDefault="008277E1" w:rsidP="008D1F2C">
      <w:pPr>
        <w:rPr>
          <w:color w:val="000000" w:themeColor="text1"/>
        </w:rPr>
      </w:pPr>
      <w:r w:rsidRPr="00493DD8">
        <w:rPr>
          <w:color w:val="000000" w:themeColor="text1"/>
        </w:rPr>
        <w:t>It may be possible to introduce</w:t>
      </w:r>
      <w:r w:rsidR="00DF2951" w:rsidRPr="00493DD8">
        <w:rPr>
          <w:color w:val="000000" w:themeColor="text1"/>
        </w:rPr>
        <w:t xml:space="preserve"> a two</w:t>
      </w:r>
      <w:r w:rsidR="00DE2760">
        <w:rPr>
          <w:color w:val="000000" w:themeColor="text1"/>
        </w:rPr>
        <w:noBreakHyphen/>
      </w:r>
      <w:r w:rsidR="00DF2951" w:rsidRPr="00493DD8">
        <w:rPr>
          <w:color w:val="000000" w:themeColor="text1"/>
        </w:rPr>
        <w:t>tiered payment system</w:t>
      </w:r>
      <w:r w:rsidR="008E490D" w:rsidRPr="00493DD8">
        <w:rPr>
          <w:color w:val="000000" w:themeColor="text1"/>
        </w:rPr>
        <w:t xml:space="preserve">, </w:t>
      </w:r>
      <w:r w:rsidRPr="00493DD8">
        <w:rPr>
          <w:color w:val="000000" w:themeColor="text1"/>
        </w:rPr>
        <w:t>as in NZ</w:t>
      </w:r>
      <w:r w:rsidR="005B2717" w:rsidRPr="00493DD8">
        <w:rPr>
          <w:color w:val="000000" w:themeColor="text1"/>
        </w:rPr>
        <w:t>, based on working hours where part</w:t>
      </w:r>
      <w:r w:rsidR="00DE2760">
        <w:rPr>
          <w:color w:val="000000" w:themeColor="text1"/>
        </w:rPr>
        <w:noBreakHyphen/>
      </w:r>
      <w:r w:rsidR="005B2717" w:rsidRPr="00493DD8">
        <w:rPr>
          <w:color w:val="000000" w:themeColor="text1"/>
        </w:rPr>
        <w:t>time employees receive a lower payment, with part</w:t>
      </w:r>
      <w:r w:rsidR="00DE2760">
        <w:rPr>
          <w:color w:val="000000" w:themeColor="text1"/>
        </w:rPr>
        <w:noBreakHyphen/>
      </w:r>
      <w:r w:rsidR="005B2717" w:rsidRPr="00493DD8">
        <w:rPr>
          <w:color w:val="000000" w:themeColor="text1"/>
        </w:rPr>
        <w:t xml:space="preserve">time defined by </w:t>
      </w:r>
      <w:r w:rsidR="001F72B1" w:rsidRPr="00493DD8">
        <w:rPr>
          <w:color w:val="000000" w:themeColor="text1"/>
        </w:rPr>
        <w:t>an</w:t>
      </w:r>
      <w:r w:rsidR="005B2717" w:rsidRPr="00493DD8">
        <w:rPr>
          <w:color w:val="000000" w:themeColor="text1"/>
        </w:rPr>
        <w:t xml:space="preserve"> hours threshold</w:t>
      </w:r>
      <w:r w:rsidR="00DE2760">
        <w:rPr>
          <w:color w:val="000000" w:themeColor="text1"/>
        </w:rPr>
        <w:t xml:space="preserve"> — </w:t>
      </w:r>
      <w:r w:rsidR="005B2717" w:rsidRPr="00493DD8">
        <w:rPr>
          <w:color w:val="000000" w:themeColor="text1"/>
        </w:rPr>
        <w:t>in NZ</w:t>
      </w:r>
      <w:r w:rsidR="002D51EB" w:rsidRPr="00493DD8">
        <w:rPr>
          <w:color w:val="000000" w:themeColor="text1"/>
        </w:rPr>
        <w:t xml:space="preserve"> this is below 20 hours per week</w:t>
      </w:r>
      <w:r w:rsidR="005B2717" w:rsidRPr="00493DD8">
        <w:rPr>
          <w:color w:val="000000" w:themeColor="text1"/>
        </w:rPr>
        <w:t>. This could be tied to usual working hours pre</w:t>
      </w:r>
      <w:r w:rsidR="00DE2760">
        <w:rPr>
          <w:color w:val="000000" w:themeColor="text1"/>
        </w:rPr>
        <w:noBreakHyphen/>
      </w:r>
      <w:r w:rsidR="005B2717" w:rsidRPr="00493DD8">
        <w:rPr>
          <w:color w:val="000000" w:themeColor="text1"/>
        </w:rPr>
        <w:t xml:space="preserve">1 March </w:t>
      </w:r>
      <w:r w:rsidR="00006D27">
        <w:rPr>
          <w:color w:val="000000" w:themeColor="text1"/>
        </w:rPr>
        <w:t xml:space="preserve">2020 </w:t>
      </w:r>
      <w:r w:rsidR="005B2717" w:rsidRPr="00493DD8">
        <w:rPr>
          <w:color w:val="000000" w:themeColor="text1"/>
        </w:rPr>
        <w:t>or to current working hours. Both</w:t>
      </w:r>
      <w:r w:rsidR="00DF2951" w:rsidRPr="00493DD8">
        <w:rPr>
          <w:color w:val="000000" w:themeColor="text1"/>
        </w:rPr>
        <w:t xml:space="preserve"> raise </w:t>
      </w:r>
      <w:r w:rsidR="00C634E8" w:rsidRPr="00493DD8">
        <w:rPr>
          <w:color w:val="000000" w:themeColor="text1"/>
        </w:rPr>
        <w:t xml:space="preserve">significant policy </w:t>
      </w:r>
      <w:r w:rsidR="00DF2951" w:rsidRPr="00493DD8">
        <w:rPr>
          <w:color w:val="000000" w:themeColor="text1"/>
        </w:rPr>
        <w:t xml:space="preserve">issues. </w:t>
      </w:r>
    </w:p>
    <w:p w14:paraId="33F58C23" w14:textId="3DBE4C25" w:rsidR="00F54136" w:rsidRPr="00493DD8" w:rsidRDefault="001F72B1" w:rsidP="008D1F2C">
      <w:pPr>
        <w:rPr>
          <w:color w:val="000000" w:themeColor="text1"/>
        </w:rPr>
      </w:pPr>
      <w:r w:rsidRPr="00493DD8">
        <w:rPr>
          <w:color w:val="000000" w:themeColor="text1"/>
        </w:rPr>
        <w:t>Assigning employees to tiers</w:t>
      </w:r>
      <w:r w:rsidR="00DF2951" w:rsidRPr="00493DD8">
        <w:rPr>
          <w:color w:val="000000" w:themeColor="text1"/>
        </w:rPr>
        <w:t xml:space="preserve"> </w:t>
      </w:r>
      <w:r w:rsidR="00006D27">
        <w:rPr>
          <w:color w:val="000000" w:themeColor="text1"/>
        </w:rPr>
        <w:t xml:space="preserve">based </w:t>
      </w:r>
      <w:r w:rsidR="00DF2951" w:rsidRPr="00493DD8">
        <w:rPr>
          <w:color w:val="000000" w:themeColor="text1"/>
        </w:rPr>
        <w:t xml:space="preserve">on </w:t>
      </w:r>
      <w:r w:rsidR="00C25925" w:rsidRPr="00493DD8">
        <w:rPr>
          <w:color w:val="000000" w:themeColor="text1"/>
        </w:rPr>
        <w:t>usual working</w:t>
      </w:r>
      <w:r w:rsidR="00DF2951" w:rsidRPr="00493DD8">
        <w:rPr>
          <w:color w:val="000000" w:themeColor="text1"/>
        </w:rPr>
        <w:t xml:space="preserve"> hours would require employers to </w:t>
      </w:r>
      <w:r w:rsidR="002D51EB" w:rsidRPr="00493DD8">
        <w:rPr>
          <w:color w:val="000000" w:themeColor="text1"/>
        </w:rPr>
        <w:t>draw</w:t>
      </w:r>
      <w:r w:rsidRPr="00493DD8">
        <w:rPr>
          <w:color w:val="000000" w:themeColor="text1"/>
        </w:rPr>
        <w:t xml:space="preserve"> on historical payroll data</w:t>
      </w:r>
      <w:r w:rsidR="00DF2951" w:rsidRPr="00493DD8">
        <w:rPr>
          <w:color w:val="000000" w:themeColor="text1"/>
        </w:rPr>
        <w:t xml:space="preserve">. </w:t>
      </w:r>
      <w:r w:rsidRPr="00493DD8">
        <w:rPr>
          <w:color w:val="000000" w:themeColor="text1"/>
        </w:rPr>
        <w:t>Besides being</w:t>
      </w:r>
      <w:r w:rsidR="00DF2951" w:rsidRPr="00493DD8">
        <w:rPr>
          <w:color w:val="000000" w:themeColor="text1"/>
        </w:rPr>
        <w:t xml:space="preserve"> </w:t>
      </w:r>
      <w:r w:rsidR="002D51EB" w:rsidRPr="00493DD8">
        <w:rPr>
          <w:color w:val="000000" w:themeColor="text1"/>
        </w:rPr>
        <w:t xml:space="preserve">a </w:t>
      </w:r>
      <w:r w:rsidR="00DF2951" w:rsidRPr="00493DD8">
        <w:rPr>
          <w:color w:val="000000" w:themeColor="text1"/>
        </w:rPr>
        <w:t>complex</w:t>
      </w:r>
      <w:r w:rsidRPr="00493DD8">
        <w:rPr>
          <w:color w:val="000000" w:themeColor="text1"/>
        </w:rPr>
        <w:t xml:space="preserve"> </w:t>
      </w:r>
      <w:r w:rsidR="002D51EB" w:rsidRPr="00493DD8">
        <w:rPr>
          <w:color w:val="000000" w:themeColor="text1"/>
        </w:rPr>
        <w:t xml:space="preserve">undertaking </w:t>
      </w:r>
      <w:r w:rsidRPr="00493DD8">
        <w:rPr>
          <w:color w:val="000000" w:themeColor="text1"/>
        </w:rPr>
        <w:t>for some employers</w:t>
      </w:r>
      <w:r w:rsidR="00DF2951" w:rsidRPr="00493DD8">
        <w:rPr>
          <w:color w:val="000000" w:themeColor="text1"/>
        </w:rPr>
        <w:t xml:space="preserve">, </w:t>
      </w:r>
      <w:r w:rsidR="00F54136" w:rsidRPr="00493DD8">
        <w:rPr>
          <w:color w:val="000000" w:themeColor="text1"/>
        </w:rPr>
        <w:t xml:space="preserve">there would </w:t>
      </w:r>
      <w:r w:rsidRPr="00493DD8">
        <w:rPr>
          <w:color w:val="000000" w:themeColor="text1"/>
        </w:rPr>
        <w:t xml:space="preserve">also </w:t>
      </w:r>
      <w:r w:rsidR="00F54136" w:rsidRPr="00493DD8">
        <w:rPr>
          <w:color w:val="000000" w:themeColor="text1"/>
        </w:rPr>
        <w:t xml:space="preserve">be </w:t>
      </w:r>
      <w:r w:rsidRPr="00493DD8">
        <w:rPr>
          <w:color w:val="000000" w:themeColor="text1"/>
        </w:rPr>
        <w:t xml:space="preserve">many individual </w:t>
      </w:r>
      <w:r w:rsidR="00F54136" w:rsidRPr="00493DD8">
        <w:rPr>
          <w:color w:val="000000" w:themeColor="text1"/>
        </w:rPr>
        <w:t>instances where, say, using February hours would be</w:t>
      </w:r>
      <w:r w:rsidR="00DF2951" w:rsidRPr="00493DD8">
        <w:rPr>
          <w:color w:val="000000" w:themeColor="text1"/>
        </w:rPr>
        <w:t xml:space="preserve"> unfair for employees whose hours were atypical for that period</w:t>
      </w:r>
      <w:r w:rsidR="00DE2760">
        <w:rPr>
          <w:color w:val="000000" w:themeColor="text1"/>
        </w:rPr>
        <w:t xml:space="preserve"> — </w:t>
      </w:r>
      <w:r w:rsidR="00F54136" w:rsidRPr="00493DD8">
        <w:rPr>
          <w:color w:val="000000" w:themeColor="text1"/>
        </w:rPr>
        <w:t xml:space="preserve">such as those whose hours were </w:t>
      </w:r>
      <w:r w:rsidR="002D51EB" w:rsidRPr="00493DD8">
        <w:rPr>
          <w:color w:val="000000" w:themeColor="text1"/>
        </w:rPr>
        <w:t>lower</w:t>
      </w:r>
      <w:r w:rsidR="00F54136" w:rsidRPr="00493DD8">
        <w:rPr>
          <w:color w:val="000000" w:themeColor="text1"/>
        </w:rPr>
        <w:t xml:space="preserve"> </w:t>
      </w:r>
      <w:r w:rsidR="002D51EB" w:rsidRPr="00493DD8">
        <w:rPr>
          <w:color w:val="000000" w:themeColor="text1"/>
        </w:rPr>
        <w:t>due to the effect of</w:t>
      </w:r>
      <w:r w:rsidR="00F54136" w:rsidRPr="00493DD8">
        <w:rPr>
          <w:color w:val="000000" w:themeColor="text1"/>
        </w:rPr>
        <w:t xml:space="preserve"> bushfire</w:t>
      </w:r>
      <w:r w:rsidR="002D51EB" w:rsidRPr="00493DD8">
        <w:rPr>
          <w:color w:val="000000" w:themeColor="text1"/>
        </w:rPr>
        <w:t>s</w:t>
      </w:r>
      <w:r w:rsidRPr="00493DD8">
        <w:rPr>
          <w:color w:val="000000" w:themeColor="text1"/>
        </w:rPr>
        <w:t>. Employees who have</w:t>
      </w:r>
      <w:r w:rsidR="00DF2951" w:rsidRPr="00493DD8">
        <w:rPr>
          <w:color w:val="000000" w:themeColor="text1"/>
        </w:rPr>
        <w:t xml:space="preserve"> increased hours </w:t>
      </w:r>
      <w:r w:rsidRPr="00493DD8">
        <w:rPr>
          <w:color w:val="000000" w:themeColor="text1"/>
        </w:rPr>
        <w:t>since 1</w:t>
      </w:r>
      <w:r w:rsidR="00B24408">
        <w:rPr>
          <w:color w:val="000000" w:themeColor="text1"/>
        </w:rPr>
        <w:t> </w:t>
      </w:r>
      <w:r w:rsidRPr="00493DD8">
        <w:rPr>
          <w:color w:val="000000" w:themeColor="text1"/>
        </w:rPr>
        <w:t xml:space="preserve">March </w:t>
      </w:r>
      <w:r w:rsidR="00DF2951" w:rsidRPr="00493DD8">
        <w:rPr>
          <w:color w:val="000000" w:themeColor="text1"/>
        </w:rPr>
        <w:t>might also be disadvantaged.</w:t>
      </w:r>
      <w:r w:rsidR="004675C8" w:rsidRPr="00493DD8">
        <w:rPr>
          <w:color w:val="000000" w:themeColor="text1"/>
        </w:rPr>
        <w:t xml:space="preserve"> </w:t>
      </w:r>
    </w:p>
    <w:p w14:paraId="617D8561" w14:textId="571B3989" w:rsidR="00F54136" w:rsidRPr="00493DD8" w:rsidRDefault="001F72B1" w:rsidP="00F54136">
      <w:pPr>
        <w:rPr>
          <w:color w:val="000000" w:themeColor="text1"/>
        </w:rPr>
      </w:pPr>
      <w:r w:rsidRPr="00493DD8">
        <w:rPr>
          <w:color w:val="000000" w:themeColor="text1"/>
        </w:rPr>
        <w:t xml:space="preserve">Using current working </w:t>
      </w:r>
      <w:r w:rsidR="00462B43" w:rsidRPr="00493DD8">
        <w:rPr>
          <w:color w:val="000000" w:themeColor="text1"/>
        </w:rPr>
        <w:t xml:space="preserve">hours </w:t>
      </w:r>
      <w:r w:rsidRPr="00493DD8">
        <w:rPr>
          <w:color w:val="000000" w:themeColor="text1"/>
        </w:rPr>
        <w:t xml:space="preserve">would </w:t>
      </w:r>
      <w:r w:rsidR="00C634E8" w:rsidRPr="00493DD8">
        <w:rPr>
          <w:color w:val="000000" w:themeColor="text1"/>
        </w:rPr>
        <w:t>reduce payments to those who were full</w:t>
      </w:r>
      <w:r w:rsidR="00DE2760">
        <w:rPr>
          <w:color w:val="000000" w:themeColor="text1"/>
        </w:rPr>
        <w:noBreakHyphen/>
      </w:r>
      <w:r w:rsidR="00C634E8" w:rsidRPr="00493DD8">
        <w:rPr>
          <w:color w:val="000000" w:themeColor="text1"/>
        </w:rPr>
        <w:t xml:space="preserve">time employees but have been stood down on zero hours, which would not be consistent with the original objectives of JobKeeper. To implement such an arrangement would </w:t>
      </w:r>
      <w:r w:rsidRPr="00493DD8">
        <w:rPr>
          <w:color w:val="000000" w:themeColor="text1"/>
        </w:rPr>
        <w:t>require employers to report these to the ATO</w:t>
      </w:r>
      <w:r w:rsidR="0093092A">
        <w:rPr>
          <w:color w:val="000000" w:themeColor="text1"/>
        </w:rPr>
        <w:t> </w:t>
      </w:r>
      <w:r w:rsidRPr="00493DD8">
        <w:rPr>
          <w:color w:val="000000" w:themeColor="text1"/>
        </w:rPr>
        <w:t xml:space="preserve">each fortnight, a significant compliance cost. </w:t>
      </w:r>
      <w:r w:rsidR="00570788">
        <w:t xml:space="preserve">Existing ATO </w:t>
      </w:r>
      <w:r w:rsidR="00570788" w:rsidRPr="00570788">
        <w:t>systems do not capture hours worked, meaning that verifying</w:t>
      </w:r>
      <w:r w:rsidR="00570788">
        <w:t xml:space="preserve"> such reporting and any compliance activity would require intensive audit work</w:t>
      </w:r>
      <w:r w:rsidR="00DE2760">
        <w:t xml:space="preserve">. </w:t>
      </w:r>
    </w:p>
    <w:p w14:paraId="64D1BF91" w14:textId="5296B905" w:rsidR="002D51EB" w:rsidRPr="00493DD8" w:rsidRDefault="002D51EB" w:rsidP="002D51EB">
      <w:pPr>
        <w:rPr>
          <w:color w:val="000000" w:themeColor="text1"/>
        </w:rPr>
      </w:pPr>
      <w:r w:rsidRPr="00493DD8">
        <w:rPr>
          <w:color w:val="000000" w:themeColor="text1"/>
        </w:rPr>
        <w:t xml:space="preserve">In the design of future responses to economic and labour market shocks, consideration could be given to improving </w:t>
      </w:r>
      <w:r w:rsidR="00B24F8C">
        <w:rPr>
          <w:color w:val="000000" w:themeColor="text1"/>
        </w:rPr>
        <w:t>STP</w:t>
      </w:r>
      <w:r w:rsidRPr="00493DD8">
        <w:rPr>
          <w:color w:val="000000" w:themeColor="text1"/>
        </w:rPr>
        <w:t xml:space="preserve"> reporting, including hours worked, to provide more flexibility in program </w:t>
      </w:r>
      <w:r w:rsidRPr="00493DD8">
        <w:rPr>
          <w:color w:val="000000" w:themeColor="text1"/>
        </w:rPr>
        <w:lastRenderedPageBreak/>
        <w:t xml:space="preserve">design and delivery. </w:t>
      </w:r>
      <w:r w:rsidR="00570788">
        <w:rPr>
          <w:color w:val="000000" w:themeColor="text1"/>
        </w:rPr>
        <w:t xml:space="preserve">This </w:t>
      </w:r>
      <w:r w:rsidR="00CD4B7E" w:rsidRPr="00493DD8">
        <w:rPr>
          <w:color w:val="000000" w:themeColor="text1"/>
        </w:rPr>
        <w:t>would require the establishment of significant</w:t>
      </w:r>
      <w:r w:rsidR="00622AC6">
        <w:rPr>
          <w:color w:val="000000" w:themeColor="text1"/>
        </w:rPr>
        <w:t>ly</w:t>
      </w:r>
      <w:r w:rsidR="00CD4B7E" w:rsidRPr="00493DD8">
        <w:rPr>
          <w:color w:val="000000" w:themeColor="text1"/>
        </w:rPr>
        <w:t xml:space="preserve"> augmented audit and compliance arrangements compared with those currently in place.</w:t>
      </w:r>
    </w:p>
    <w:p w14:paraId="23ED0E0A" w14:textId="38E508D5" w:rsidR="008277E1" w:rsidRPr="00493DD8" w:rsidRDefault="00606B9E" w:rsidP="008277E1">
      <w:pPr>
        <w:rPr>
          <w:color w:val="000000" w:themeColor="text1"/>
        </w:rPr>
      </w:pPr>
      <w:r w:rsidRPr="00493DD8">
        <w:rPr>
          <w:color w:val="000000" w:themeColor="text1"/>
        </w:rPr>
        <w:t xml:space="preserve">If </w:t>
      </w:r>
      <w:r w:rsidR="008277E1" w:rsidRPr="00493DD8">
        <w:rPr>
          <w:color w:val="000000" w:themeColor="text1"/>
        </w:rPr>
        <w:t xml:space="preserve">a lower payment rate </w:t>
      </w:r>
      <w:r w:rsidRPr="00493DD8">
        <w:rPr>
          <w:color w:val="000000" w:themeColor="text1"/>
        </w:rPr>
        <w:t xml:space="preserve">was introduced, it would narrow or remove any differential between the JobKeeper and JobSeeker payments, potentially amplifying disincentives to work. In addition, </w:t>
      </w:r>
      <w:r w:rsidR="008277E1" w:rsidRPr="00493DD8">
        <w:rPr>
          <w:color w:val="000000" w:themeColor="text1"/>
        </w:rPr>
        <w:t xml:space="preserve">some employees </w:t>
      </w:r>
      <w:r w:rsidRPr="00493DD8">
        <w:rPr>
          <w:color w:val="000000" w:themeColor="text1"/>
        </w:rPr>
        <w:t xml:space="preserve">would </w:t>
      </w:r>
      <w:r w:rsidR="008277E1" w:rsidRPr="00493DD8">
        <w:rPr>
          <w:color w:val="000000" w:themeColor="text1"/>
        </w:rPr>
        <w:t xml:space="preserve">become eligible for JobSeeker, including the Coronavirus </w:t>
      </w:r>
      <w:r w:rsidR="00216DB1">
        <w:rPr>
          <w:color w:val="000000" w:themeColor="text1"/>
        </w:rPr>
        <w:t>S</w:t>
      </w:r>
      <w:r w:rsidR="005A0736">
        <w:rPr>
          <w:color w:val="000000" w:themeColor="text1"/>
        </w:rPr>
        <w:t>u</w:t>
      </w:r>
      <w:r w:rsidR="008277E1" w:rsidRPr="00493DD8">
        <w:rPr>
          <w:color w:val="000000" w:themeColor="text1"/>
        </w:rPr>
        <w:t>pplement</w:t>
      </w:r>
      <w:r w:rsidRPr="00493DD8">
        <w:rPr>
          <w:color w:val="000000" w:themeColor="text1"/>
        </w:rPr>
        <w:t xml:space="preserve">. These individuals </w:t>
      </w:r>
      <w:r w:rsidR="008277E1" w:rsidRPr="00493DD8">
        <w:rPr>
          <w:color w:val="000000" w:themeColor="text1"/>
        </w:rPr>
        <w:t xml:space="preserve">would be accessing two </w:t>
      </w:r>
      <w:r w:rsidRPr="00493DD8">
        <w:rPr>
          <w:color w:val="000000" w:themeColor="text1"/>
        </w:rPr>
        <w:t xml:space="preserve">payment support </w:t>
      </w:r>
      <w:r w:rsidR="008277E1" w:rsidRPr="00493DD8">
        <w:rPr>
          <w:color w:val="000000" w:themeColor="text1"/>
        </w:rPr>
        <w:t>systems and potentially receiving much the same level of income.</w:t>
      </w:r>
      <w:r w:rsidR="002D51EB" w:rsidRPr="00493DD8">
        <w:rPr>
          <w:color w:val="000000" w:themeColor="text1"/>
        </w:rPr>
        <w:t xml:space="preserve"> </w:t>
      </w:r>
      <w:r w:rsidRPr="00493DD8">
        <w:rPr>
          <w:color w:val="000000" w:themeColor="text1"/>
        </w:rPr>
        <w:t>A</w:t>
      </w:r>
      <w:r w:rsidR="002D51EB" w:rsidRPr="00493DD8">
        <w:rPr>
          <w:color w:val="000000" w:themeColor="text1"/>
        </w:rPr>
        <w:t xml:space="preserve">ny move to a lower payment for some employees </w:t>
      </w:r>
      <w:r w:rsidRPr="00493DD8">
        <w:rPr>
          <w:color w:val="000000" w:themeColor="text1"/>
        </w:rPr>
        <w:t xml:space="preserve">should therefore </w:t>
      </w:r>
      <w:r w:rsidR="002D51EB" w:rsidRPr="00493DD8">
        <w:rPr>
          <w:color w:val="000000" w:themeColor="text1"/>
        </w:rPr>
        <w:t>be aligned with any changes to JobSeeker support.</w:t>
      </w:r>
    </w:p>
    <w:p w14:paraId="59C6ABA6" w14:textId="23F9A498" w:rsidR="00D4515C" w:rsidRPr="00493DD8" w:rsidRDefault="00D4515C" w:rsidP="008277E1">
      <w:pPr>
        <w:rPr>
          <w:color w:val="000000" w:themeColor="text1"/>
        </w:rPr>
      </w:pPr>
      <w:r w:rsidRPr="00493DD8">
        <w:rPr>
          <w:color w:val="000000" w:themeColor="text1"/>
        </w:rPr>
        <w:t xml:space="preserve">On balance, careful consideration would need to be given to making any changes to payment amounts, and sufficient time would need to be provided to employers and the ATO to implement such changes. </w:t>
      </w:r>
      <w:r w:rsidR="008B4F9B">
        <w:rPr>
          <w:color w:val="000000" w:themeColor="text1"/>
        </w:rPr>
        <w:t>It is not clear that the net benefit of these changes would be positive for such a time</w:t>
      </w:r>
      <w:r w:rsidR="00A258B6">
        <w:rPr>
          <w:color w:val="000000" w:themeColor="text1"/>
        </w:rPr>
        <w:noBreakHyphen/>
      </w:r>
      <w:r w:rsidR="008B4F9B">
        <w:rPr>
          <w:color w:val="000000" w:themeColor="text1"/>
        </w:rPr>
        <w:t>limited program.</w:t>
      </w:r>
    </w:p>
    <w:p w14:paraId="322A40D2" w14:textId="51AF7755" w:rsidR="00F54136" w:rsidRDefault="00F54136" w:rsidP="00755C53">
      <w:pPr>
        <w:pStyle w:val="Heading2"/>
      </w:pPr>
      <w:bookmarkStart w:id="1081" w:name="_Toc43996260"/>
      <w:bookmarkStart w:id="1082" w:name="_Toc43998519"/>
      <w:bookmarkStart w:id="1083" w:name="_Toc43998446"/>
      <w:bookmarkStart w:id="1084" w:name="_Toc44069968"/>
      <w:bookmarkStart w:id="1085" w:name="_Toc44071372"/>
      <w:bookmarkStart w:id="1086" w:name="_Toc44073496"/>
      <w:bookmarkStart w:id="1087" w:name="_Toc44074636"/>
      <w:bookmarkStart w:id="1088" w:name="_Toc44079821"/>
      <w:bookmarkStart w:id="1089" w:name="_Toc44079956"/>
      <w:bookmarkStart w:id="1090" w:name="_Toc44319867"/>
      <w:bookmarkStart w:id="1091" w:name="_Toc44321575"/>
      <w:bookmarkStart w:id="1092" w:name="_Toc44323742"/>
      <w:bookmarkStart w:id="1093" w:name="_Toc44326205"/>
      <w:bookmarkStart w:id="1094" w:name="_Toc44330527"/>
      <w:bookmarkStart w:id="1095" w:name="_Toc44330769"/>
      <w:bookmarkStart w:id="1096" w:name="_Toc44333201"/>
      <w:bookmarkStart w:id="1097" w:name="_Toc44334832"/>
      <w:bookmarkStart w:id="1098" w:name="_Toc45227447"/>
      <w:bookmarkStart w:id="1099" w:name="_Toc45799048"/>
      <w:r>
        <w:t>Duration</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69018322" w14:textId="7B48CC9F" w:rsidR="00937D30" w:rsidRPr="00493DD8" w:rsidRDefault="00937D30" w:rsidP="00937D30">
      <w:pPr>
        <w:rPr>
          <w:color w:val="000000" w:themeColor="text1"/>
        </w:rPr>
      </w:pPr>
      <w:r w:rsidRPr="00493DD8">
        <w:rPr>
          <w:color w:val="000000" w:themeColor="text1"/>
        </w:rPr>
        <w:t>Perhaps the most critical question for JobKeeper is when it should end: ahead of the end of September</w:t>
      </w:r>
      <w:r w:rsidR="00DF5BF0">
        <w:rPr>
          <w:color w:val="000000" w:themeColor="text1"/>
        </w:rPr>
        <w:t xml:space="preserve"> 2020</w:t>
      </w:r>
      <w:r w:rsidR="00836D67">
        <w:rPr>
          <w:color w:val="000000" w:themeColor="text1"/>
        </w:rPr>
        <w:t>,</w:t>
      </w:r>
      <w:r w:rsidRPr="00493DD8">
        <w:rPr>
          <w:color w:val="000000" w:themeColor="text1"/>
        </w:rPr>
        <w:t xml:space="preserve"> at </w:t>
      </w:r>
      <w:r w:rsidR="000E7181" w:rsidRPr="00493DD8">
        <w:rPr>
          <w:color w:val="000000" w:themeColor="text1"/>
        </w:rPr>
        <w:t>27</w:t>
      </w:r>
      <w:r w:rsidRPr="00493DD8">
        <w:rPr>
          <w:color w:val="000000" w:themeColor="text1"/>
        </w:rPr>
        <w:t xml:space="preserve"> September as scheduled</w:t>
      </w:r>
      <w:r w:rsidR="00836D67">
        <w:rPr>
          <w:color w:val="000000" w:themeColor="text1"/>
        </w:rPr>
        <w:t>,</w:t>
      </w:r>
      <w:r w:rsidRPr="00493DD8">
        <w:rPr>
          <w:color w:val="000000" w:themeColor="text1"/>
        </w:rPr>
        <w:t xml:space="preserve"> or extended beyond then</w:t>
      </w:r>
      <w:r w:rsidR="00DE2760">
        <w:rPr>
          <w:color w:val="000000" w:themeColor="text1"/>
        </w:rPr>
        <w:t xml:space="preserve"> — </w:t>
      </w:r>
      <w:r w:rsidRPr="00493DD8">
        <w:rPr>
          <w:color w:val="000000" w:themeColor="text1"/>
        </w:rPr>
        <w:t>and to when?</w:t>
      </w:r>
    </w:p>
    <w:p w14:paraId="375E718C" w14:textId="6FD44832" w:rsidR="008D078F" w:rsidRPr="00493DD8" w:rsidRDefault="008D078F" w:rsidP="008D078F">
      <w:pPr>
        <w:rPr>
          <w:color w:val="000000" w:themeColor="text1"/>
        </w:rPr>
      </w:pPr>
      <w:r w:rsidRPr="00493DD8">
        <w:rPr>
          <w:color w:val="000000" w:themeColor="text1"/>
        </w:rPr>
        <w:t xml:space="preserve">A benchmark figure used in this report is that </w:t>
      </w:r>
      <w:r w:rsidR="005F48B0" w:rsidRPr="00493DD8">
        <w:rPr>
          <w:color w:val="000000" w:themeColor="text1"/>
        </w:rPr>
        <w:t>JobKeeper</w:t>
      </w:r>
      <w:r w:rsidRPr="00493DD8">
        <w:rPr>
          <w:color w:val="000000" w:themeColor="text1"/>
        </w:rPr>
        <w:t xml:space="preserve"> is providing support to 30 per cent of the pre</w:t>
      </w:r>
      <w:r w:rsidR="00DE2760">
        <w:rPr>
          <w:color w:val="000000" w:themeColor="text1"/>
        </w:rPr>
        <w:noBreakHyphen/>
      </w:r>
      <w:r w:rsidR="00557CAF">
        <w:rPr>
          <w:color w:val="000000" w:themeColor="text1"/>
        </w:rPr>
        <w:t>Coronavirus</w:t>
      </w:r>
      <w:r w:rsidRPr="00493DD8">
        <w:rPr>
          <w:color w:val="000000" w:themeColor="text1"/>
        </w:rPr>
        <w:t xml:space="preserve"> private sector workforce. That is a substantial fraction. At the same time, the labour market remains very weak, with </w:t>
      </w:r>
      <w:r w:rsidR="005337F3" w:rsidRPr="00493DD8">
        <w:rPr>
          <w:color w:val="000000" w:themeColor="text1"/>
        </w:rPr>
        <w:t>record high labour underutilisation</w:t>
      </w:r>
      <w:r w:rsidR="00140C58" w:rsidRPr="00493DD8">
        <w:rPr>
          <w:color w:val="000000" w:themeColor="text1"/>
        </w:rPr>
        <w:t>,</w:t>
      </w:r>
      <w:r w:rsidR="005337F3" w:rsidRPr="00493DD8">
        <w:rPr>
          <w:color w:val="000000" w:themeColor="text1"/>
        </w:rPr>
        <w:t xml:space="preserve"> and </w:t>
      </w:r>
      <w:r w:rsidR="00140C58" w:rsidRPr="00493DD8">
        <w:rPr>
          <w:color w:val="000000" w:themeColor="text1"/>
        </w:rPr>
        <w:t xml:space="preserve">with </w:t>
      </w:r>
      <w:r w:rsidR="005337F3" w:rsidRPr="00493DD8">
        <w:rPr>
          <w:color w:val="000000" w:themeColor="text1"/>
        </w:rPr>
        <w:t xml:space="preserve">employment growth showing </w:t>
      </w:r>
      <w:r w:rsidR="007D432D" w:rsidRPr="00493DD8">
        <w:rPr>
          <w:color w:val="000000" w:themeColor="text1"/>
        </w:rPr>
        <w:t xml:space="preserve">at best </w:t>
      </w:r>
      <w:r w:rsidR="005337F3" w:rsidRPr="00493DD8">
        <w:rPr>
          <w:color w:val="000000" w:themeColor="text1"/>
        </w:rPr>
        <w:t>tentative signs of recovery.</w:t>
      </w:r>
    </w:p>
    <w:p w14:paraId="6DC2148E" w14:textId="1DEBEEB4" w:rsidR="00A379A2" w:rsidRDefault="00A379A2" w:rsidP="00A379A2">
      <w:pPr>
        <w:rPr>
          <w:color w:val="000000" w:themeColor="text1"/>
        </w:rPr>
      </w:pPr>
      <w:r w:rsidRPr="00493DD8">
        <w:rPr>
          <w:color w:val="000000" w:themeColor="text1"/>
        </w:rPr>
        <w:t>At the sectoral level, it is evident that a number of sectors will continue to be affected by health restrictions well beyond September, especially in sectors heavily reliant on international travel and large crowd gatherings, such as major arts and sports events.</w:t>
      </w:r>
      <w:r w:rsidR="00D4515C" w:rsidRPr="00493DD8">
        <w:rPr>
          <w:color w:val="000000" w:themeColor="text1"/>
        </w:rPr>
        <w:t xml:space="preserve"> More broadly, while recovery is expected in the September quarter, the level of </w:t>
      </w:r>
      <w:r w:rsidR="00570788">
        <w:rPr>
          <w:color w:val="000000" w:themeColor="text1"/>
        </w:rPr>
        <w:t xml:space="preserve">economic </w:t>
      </w:r>
      <w:r w:rsidR="00D4515C" w:rsidRPr="00493DD8">
        <w:rPr>
          <w:color w:val="000000" w:themeColor="text1"/>
        </w:rPr>
        <w:t xml:space="preserve">activity is expected to remain well below levels of a year earlier. </w:t>
      </w:r>
    </w:p>
    <w:p w14:paraId="7D69798D" w14:textId="1BE9EEBC" w:rsidR="00821E86" w:rsidRPr="00493DD8" w:rsidRDefault="005A0736" w:rsidP="00617A96">
      <w:pPr>
        <w:rPr>
          <w:color w:val="000000" w:themeColor="text1"/>
        </w:rPr>
      </w:pPr>
      <w:r>
        <w:rPr>
          <w:color w:val="000000" w:themeColor="text1"/>
        </w:rPr>
        <w:t xml:space="preserve">The next round of </w:t>
      </w:r>
      <w:r w:rsidR="007A38FB">
        <w:rPr>
          <w:color w:val="000000" w:themeColor="text1"/>
        </w:rPr>
        <w:t xml:space="preserve">macroeconomic forecasts </w:t>
      </w:r>
      <w:r w:rsidR="005337F3" w:rsidRPr="00493DD8">
        <w:rPr>
          <w:color w:val="000000" w:themeColor="text1"/>
        </w:rPr>
        <w:t xml:space="preserve">will </w:t>
      </w:r>
      <w:r w:rsidR="007A38FB">
        <w:rPr>
          <w:color w:val="000000" w:themeColor="text1"/>
        </w:rPr>
        <w:t xml:space="preserve">be </w:t>
      </w:r>
      <w:r w:rsidR="005337F3" w:rsidRPr="00493DD8">
        <w:rPr>
          <w:color w:val="000000" w:themeColor="text1"/>
        </w:rPr>
        <w:t>publish</w:t>
      </w:r>
      <w:r w:rsidR="007A38FB">
        <w:rPr>
          <w:color w:val="000000" w:themeColor="text1"/>
        </w:rPr>
        <w:t>ed</w:t>
      </w:r>
      <w:r w:rsidR="005337F3" w:rsidRPr="00493DD8">
        <w:rPr>
          <w:color w:val="000000" w:themeColor="text1"/>
        </w:rPr>
        <w:t xml:space="preserve"> </w:t>
      </w:r>
      <w:r w:rsidR="007A38FB">
        <w:rPr>
          <w:color w:val="000000" w:themeColor="text1"/>
        </w:rPr>
        <w:t xml:space="preserve">in </w:t>
      </w:r>
      <w:r>
        <w:rPr>
          <w:color w:val="000000" w:themeColor="text1"/>
        </w:rPr>
        <w:t xml:space="preserve">the </w:t>
      </w:r>
      <w:r w:rsidR="0045733A">
        <w:rPr>
          <w:color w:val="000000" w:themeColor="text1"/>
        </w:rPr>
        <w:t xml:space="preserve">July </w:t>
      </w:r>
      <w:r w:rsidR="005337F3" w:rsidRPr="00493DD8">
        <w:rPr>
          <w:color w:val="000000" w:themeColor="text1"/>
        </w:rPr>
        <w:t xml:space="preserve">Economic </w:t>
      </w:r>
      <w:r w:rsidR="007A38FB">
        <w:rPr>
          <w:color w:val="000000" w:themeColor="text1"/>
        </w:rPr>
        <w:t>and Fiscal Update</w:t>
      </w:r>
      <w:r w:rsidR="00140C58" w:rsidRPr="00493DD8">
        <w:rPr>
          <w:color w:val="000000" w:themeColor="text1"/>
        </w:rPr>
        <w:t xml:space="preserve">. </w:t>
      </w:r>
      <w:r w:rsidR="00D4515C" w:rsidRPr="00493DD8">
        <w:rPr>
          <w:color w:val="000000" w:themeColor="text1"/>
        </w:rPr>
        <w:t>I</w:t>
      </w:r>
      <w:r w:rsidR="00140C58" w:rsidRPr="00493DD8">
        <w:rPr>
          <w:color w:val="000000" w:themeColor="text1"/>
        </w:rPr>
        <w:t xml:space="preserve">ndications are that the official unemployment rate </w:t>
      </w:r>
      <w:r w:rsidR="000E7181" w:rsidRPr="00493DD8">
        <w:rPr>
          <w:color w:val="000000" w:themeColor="text1"/>
        </w:rPr>
        <w:t>may</w:t>
      </w:r>
      <w:r w:rsidR="00140C58" w:rsidRPr="00493DD8">
        <w:rPr>
          <w:color w:val="000000" w:themeColor="text1"/>
        </w:rPr>
        <w:t xml:space="preserve"> be </w:t>
      </w:r>
      <w:r w:rsidR="000E7181" w:rsidRPr="00493DD8">
        <w:rPr>
          <w:color w:val="000000" w:themeColor="text1"/>
        </w:rPr>
        <w:t>around</w:t>
      </w:r>
      <w:r w:rsidR="00140C58" w:rsidRPr="00493DD8">
        <w:rPr>
          <w:color w:val="000000" w:themeColor="text1"/>
        </w:rPr>
        <w:t xml:space="preserve"> 8</w:t>
      </w:r>
      <w:r w:rsidR="00DF5BF0">
        <w:rPr>
          <w:color w:val="000000" w:themeColor="text1"/>
        </w:rPr>
        <w:t> </w:t>
      </w:r>
      <w:r w:rsidR="00140C58" w:rsidRPr="00493DD8">
        <w:rPr>
          <w:color w:val="000000" w:themeColor="text1"/>
        </w:rPr>
        <w:t>per</w:t>
      </w:r>
      <w:r w:rsidR="00DF5BF0">
        <w:rPr>
          <w:color w:val="000000" w:themeColor="text1"/>
        </w:rPr>
        <w:t> </w:t>
      </w:r>
      <w:r w:rsidR="00140C58" w:rsidRPr="00493DD8">
        <w:rPr>
          <w:color w:val="000000" w:themeColor="text1"/>
        </w:rPr>
        <w:t xml:space="preserve">cent </w:t>
      </w:r>
      <w:r w:rsidR="00821E86" w:rsidRPr="00493DD8">
        <w:rPr>
          <w:color w:val="000000" w:themeColor="text1"/>
        </w:rPr>
        <w:t>at</w:t>
      </w:r>
      <w:r w:rsidR="00140C58" w:rsidRPr="00493DD8">
        <w:rPr>
          <w:color w:val="000000" w:themeColor="text1"/>
        </w:rPr>
        <w:t xml:space="preserve"> the end of September. </w:t>
      </w:r>
      <w:r w:rsidR="00E25897" w:rsidRPr="00493DD8">
        <w:rPr>
          <w:color w:val="000000" w:themeColor="text1"/>
        </w:rPr>
        <w:t xml:space="preserve">The </w:t>
      </w:r>
      <w:r w:rsidR="00140C58" w:rsidRPr="00493DD8">
        <w:rPr>
          <w:color w:val="000000" w:themeColor="text1"/>
        </w:rPr>
        <w:t xml:space="preserve">official unemployment rate </w:t>
      </w:r>
      <w:r w:rsidR="000E7181" w:rsidRPr="00493DD8">
        <w:rPr>
          <w:color w:val="000000" w:themeColor="text1"/>
        </w:rPr>
        <w:t>is understated as</w:t>
      </w:r>
      <w:r w:rsidR="001552BC" w:rsidRPr="00493DD8">
        <w:rPr>
          <w:color w:val="000000" w:themeColor="text1"/>
        </w:rPr>
        <w:t>, among other things,</w:t>
      </w:r>
      <w:r w:rsidR="000E7181" w:rsidRPr="00493DD8">
        <w:rPr>
          <w:color w:val="000000" w:themeColor="text1"/>
        </w:rPr>
        <w:t xml:space="preserve"> it </w:t>
      </w:r>
      <w:r w:rsidR="001B4FC2" w:rsidRPr="00493DD8">
        <w:rPr>
          <w:color w:val="000000" w:themeColor="text1"/>
        </w:rPr>
        <w:t xml:space="preserve">excludes discouraged workers and </w:t>
      </w:r>
      <w:r w:rsidR="00140C58" w:rsidRPr="00493DD8">
        <w:rPr>
          <w:color w:val="000000" w:themeColor="text1"/>
        </w:rPr>
        <w:t xml:space="preserve">counts </w:t>
      </w:r>
      <w:r w:rsidR="00E25897" w:rsidRPr="00493DD8">
        <w:rPr>
          <w:color w:val="000000" w:themeColor="text1"/>
        </w:rPr>
        <w:t xml:space="preserve">people </w:t>
      </w:r>
      <w:r w:rsidR="00140C58" w:rsidRPr="00493DD8">
        <w:rPr>
          <w:color w:val="000000" w:themeColor="text1"/>
        </w:rPr>
        <w:t xml:space="preserve">as employed </w:t>
      </w:r>
      <w:r w:rsidR="00E25897" w:rsidRPr="00493DD8">
        <w:rPr>
          <w:color w:val="000000" w:themeColor="text1"/>
        </w:rPr>
        <w:t>if they are</w:t>
      </w:r>
      <w:r w:rsidR="00140C58" w:rsidRPr="00493DD8">
        <w:rPr>
          <w:color w:val="000000" w:themeColor="text1"/>
        </w:rPr>
        <w:t xml:space="preserve"> </w:t>
      </w:r>
      <w:r w:rsidR="00E25897" w:rsidRPr="00493DD8">
        <w:rPr>
          <w:color w:val="000000" w:themeColor="text1"/>
        </w:rPr>
        <w:t xml:space="preserve">JobKeeper recipients </w:t>
      </w:r>
      <w:r w:rsidR="000E7181" w:rsidRPr="00493DD8">
        <w:rPr>
          <w:color w:val="000000" w:themeColor="text1"/>
        </w:rPr>
        <w:t>who</w:t>
      </w:r>
      <w:r w:rsidR="00E25897" w:rsidRPr="00493DD8">
        <w:rPr>
          <w:color w:val="000000" w:themeColor="text1"/>
        </w:rPr>
        <w:t xml:space="preserve"> have been stood down,</w:t>
      </w:r>
      <w:r w:rsidR="00140C58" w:rsidRPr="00493DD8">
        <w:rPr>
          <w:color w:val="000000" w:themeColor="text1"/>
        </w:rPr>
        <w:t xml:space="preserve"> estimated</w:t>
      </w:r>
      <w:r w:rsidR="00570788">
        <w:rPr>
          <w:color w:val="000000" w:themeColor="text1"/>
        </w:rPr>
        <w:t xml:space="preserve"> in this review to be around</w:t>
      </w:r>
      <w:r w:rsidR="00140C58" w:rsidRPr="00493DD8">
        <w:rPr>
          <w:color w:val="000000" w:themeColor="text1"/>
        </w:rPr>
        <w:t xml:space="preserve"> 400,000 in late May.</w:t>
      </w:r>
      <w:r w:rsidR="001B4FC2" w:rsidRPr="00493DD8">
        <w:rPr>
          <w:color w:val="000000" w:themeColor="text1"/>
        </w:rPr>
        <w:t xml:space="preserve"> </w:t>
      </w:r>
      <w:r w:rsidR="00535120" w:rsidRPr="00493DD8">
        <w:rPr>
          <w:color w:val="000000" w:themeColor="text1"/>
        </w:rPr>
        <w:t xml:space="preserve">In other words, the </w:t>
      </w:r>
      <w:r w:rsidR="00DE2760">
        <w:rPr>
          <w:color w:val="000000" w:themeColor="text1"/>
        </w:rPr>
        <w:t>‘</w:t>
      </w:r>
      <w:r w:rsidR="00535120" w:rsidRPr="00493DD8">
        <w:rPr>
          <w:color w:val="000000" w:themeColor="text1"/>
        </w:rPr>
        <w:t>effective</w:t>
      </w:r>
      <w:r w:rsidR="00DE2760">
        <w:rPr>
          <w:color w:val="000000" w:themeColor="text1"/>
        </w:rPr>
        <w:t>’</w:t>
      </w:r>
      <w:r w:rsidR="00535120" w:rsidRPr="00493DD8">
        <w:rPr>
          <w:color w:val="000000" w:themeColor="text1"/>
        </w:rPr>
        <w:t xml:space="preserve"> unemployment rate is far higher than the 7.1 per cent official rate reported by the </w:t>
      </w:r>
      <w:r w:rsidR="0021206C" w:rsidRPr="00493DD8">
        <w:rPr>
          <w:color w:val="000000" w:themeColor="text1"/>
        </w:rPr>
        <w:t>ABS</w:t>
      </w:r>
      <w:r w:rsidR="00535120" w:rsidRPr="00493DD8">
        <w:rPr>
          <w:color w:val="000000" w:themeColor="text1"/>
        </w:rPr>
        <w:t xml:space="preserve"> for May</w:t>
      </w:r>
      <w:r w:rsidR="007A38FB">
        <w:rPr>
          <w:color w:val="000000" w:themeColor="text1"/>
        </w:rPr>
        <w:t> 2020</w:t>
      </w:r>
      <w:r w:rsidR="00535120" w:rsidRPr="00493DD8">
        <w:rPr>
          <w:color w:val="000000" w:themeColor="text1"/>
        </w:rPr>
        <w:t xml:space="preserve">. </w:t>
      </w:r>
      <w:r w:rsidR="001B4FC2" w:rsidRPr="00493DD8">
        <w:rPr>
          <w:color w:val="000000" w:themeColor="text1"/>
        </w:rPr>
        <w:t xml:space="preserve">What happens to the </w:t>
      </w:r>
      <w:r w:rsidR="00DE2760">
        <w:rPr>
          <w:color w:val="000000" w:themeColor="text1"/>
        </w:rPr>
        <w:t>‘</w:t>
      </w:r>
      <w:r w:rsidR="001B4FC2" w:rsidRPr="00493DD8">
        <w:rPr>
          <w:color w:val="000000" w:themeColor="text1"/>
        </w:rPr>
        <w:t>effective</w:t>
      </w:r>
      <w:r w:rsidR="00DE2760">
        <w:rPr>
          <w:color w:val="000000" w:themeColor="text1"/>
        </w:rPr>
        <w:t>’</w:t>
      </w:r>
      <w:r w:rsidR="001B4FC2" w:rsidRPr="00493DD8">
        <w:rPr>
          <w:color w:val="000000" w:themeColor="text1"/>
        </w:rPr>
        <w:t xml:space="preserve"> </w:t>
      </w:r>
      <w:r w:rsidR="00535120" w:rsidRPr="00493DD8">
        <w:rPr>
          <w:color w:val="000000" w:themeColor="text1"/>
        </w:rPr>
        <w:t xml:space="preserve">and official </w:t>
      </w:r>
      <w:r w:rsidR="001B4FC2" w:rsidRPr="00493DD8">
        <w:rPr>
          <w:color w:val="000000" w:themeColor="text1"/>
        </w:rPr>
        <w:t>unemployment rate</w:t>
      </w:r>
      <w:r w:rsidR="00535120" w:rsidRPr="00493DD8">
        <w:rPr>
          <w:color w:val="000000" w:themeColor="text1"/>
        </w:rPr>
        <w:t>s</w:t>
      </w:r>
      <w:r w:rsidR="001B4FC2" w:rsidRPr="00493DD8">
        <w:rPr>
          <w:color w:val="000000" w:themeColor="text1"/>
        </w:rPr>
        <w:t xml:space="preserve">, </w:t>
      </w:r>
      <w:r w:rsidR="00535120" w:rsidRPr="00493DD8">
        <w:rPr>
          <w:color w:val="000000" w:themeColor="text1"/>
        </w:rPr>
        <w:t>and how they eventually converge</w:t>
      </w:r>
      <w:r w:rsidR="007D432D" w:rsidRPr="00493DD8">
        <w:rPr>
          <w:color w:val="000000" w:themeColor="text1"/>
        </w:rPr>
        <w:t xml:space="preserve"> as labour market conditions normalise</w:t>
      </w:r>
      <w:r w:rsidR="00535120" w:rsidRPr="00493DD8">
        <w:rPr>
          <w:color w:val="000000" w:themeColor="text1"/>
        </w:rPr>
        <w:t>, will depend on h</w:t>
      </w:r>
      <w:r w:rsidR="001B4FC2" w:rsidRPr="00493DD8">
        <w:rPr>
          <w:color w:val="000000" w:themeColor="text1"/>
        </w:rPr>
        <w:t xml:space="preserve">ow </w:t>
      </w:r>
      <w:r w:rsidR="00535120" w:rsidRPr="00493DD8">
        <w:rPr>
          <w:color w:val="000000" w:themeColor="text1"/>
        </w:rPr>
        <w:t>expected</w:t>
      </w:r>
      <w:r w:rsidR="001B4FC2" w:rsidRPr="00493DD8">
        <w:rPr>
          <w:color w:val="000000" w:themeColor="text1"/>
        </w:rPr>
        <w:t xml:space="preserve"> growth in working hours </w:t>
      </w:r>
      <w:r w:rsidR="00535120" w:rsidRPr="00493DD8">
        <w:rPr>
          <w:color w:val="000000" w:themeColor="text1"/>
        </w:rPr>
        <w:t>is</w:t>
      </w:r>
      <w:r w:rsidR="001B4FC2" w:rsidRPr="00493DD8">
        <w:rPr>
          <w:color w:val="000000" w:themeColor="text1"/>
        </w:rPr>
        <w:t xml:space="preserve"> apportioned </w:t>
      </w:r>
      <w:r w:rsidR="00535120" w:rsidRPr="00493DD8">
        <w:rPr>
          <w:color w:val="000000" w:themeColor="text1"/>
        </w:rPr>
        <w:t>between</w:t>
      </w:r>
      <w:r w:rsidR="001B4FC2" w:rsidRPr="00493DD8">
        <w:rPr>
          <w:color w:val="000000" w:themeColor="text1"/>
        </w:rPr>
        <w:t xml:space="preserve"> the already employed and </w:t>
      </w:r>
      <w:r w:rsidR="00535120" w:rsidRPr="00493DD8">
        <w:rPr>
          <w:color w:val="000000" w:themeColor="text1"/>
        </w:rPr>
        <w:t>those</w:t>
      </w:r>
      <w:r w:rsidR="001B4FC2" w:rsidRPr="00493DD8">
        <w:rPr>
          <w:color w:val="000000" w:themeColor="text1"/>
        </w:rPr>
        <w:t xml:space="preserve"> not employed</w:t>
      </w:r>
      <w:r w:rsidR="00535120" w:rsidRPr="00493DD8">
        <w:rPr>
          <w:color w:val="000000" w:themeColor="text1"/>
        </w:rPr>
        <w:t>.</w:t>
      </w:r>
    </w:p>
    <w:p w14:paraId="1C5A9048" w14:textId="0EB4F0A9" w:rsidR="00617A96" w:rsidRPr="00493DD8" w:rsidRDefault="00617A96" w:rsidP="00617A96">
      <w:pPr>
        <w:rPr>
          <w:color w:val="000000" w:themeColor="text1"/>
        </w:rPr>
      </w:pPr>
      <w:r w:rsidRPr="00493DD8">
        <w:rPr>
          <w:color w:val="000000" w:themeColor="text1"/>
        </w:rPr>
        <w:t xml:space="preserve">On this outlook, the case for extending </w:t>
      </w:r>
      <w:r w:rsidR="004D5A45">
        <w:rPr>
          <w:color w:val="000000" w:themeColor="text1"/>
        </w:rPr>
        <w:t xml:space="preserve">the </w:t>
      </w:r>
      <w:r w:rsidRPr="00493DD8">
        <w:rPr>
          <w:color w:val="000000" w:themeColor="text1"/>
        </w:rPr>
        <w:t xml:space="preserve">JobKeeper </w:t>
      </w:r>
      <w:r w:rsidR="004D5A45">
        <w:rPr>
          <w:color w:val="000000" w:themeColor="text1"/>
        </w:rPr>
        <w:t xml:space="preserve">Payment </w:t>
      </w:r>
      <w:r w:rsidRPr="00493DD8">
        <w:rPr>
          <w:color w:val="000000" w:themeColor="text1"/>
        </w:rPr>
        <w:t xml:space="preserve">beyond September is strong, </w:t>
      </w:r>
      <w:r w:rsidR="001552BC" w:rsidRPr="00493DD8">
        <w:rPr>
          <w:color w:val="000000" w:themeColor="text1"/>
        </w:rPr>
        <w:t>especially</w:t>
      </w:r>
      <w:r w:rsidRPr="00493DD8">
        <w:rPr>
          <w:color w:val="000000" w:themeColor="text1"/>
        </w:rPr>
        <w:t xml:space="preserve"> if coupled with a fresh eligibility test that </w:t>
      </w:r>
      <w:r w:rsidR="001552BC" w:rsidRPr="00493DD8">
        <w:rPr>
          <w:color w:val="000000" w:themeColor="text1"/>
        </w:rPr>
        <w:t>targets</w:t>
      </w:r>
      <w:r w:rsidRPr="00493DD8">
        <w:rPr>
          <w:color w:val="000000" w:themeColor="text1"/>
        </w:rPr>
        <w:t xml:space="preserve"> support to those businesses and sectors that continue to need it.</w:t>
      </w:r>
    </w:p>
    <w:p w14:paraId="55D1B9F3" w14:textId="369A496C" w:rsidR="00404E9B" w:rsidRPr="00493DD8" w:rsidRDefault="00404E9B" w:rsidP="00404E9B">
      <w:pPr>
        <w:rPr>
          <w:color w:val="000000" w:themeColor="text1"/>
        </w:rPr>
      </w:pPr>
      <w:r w:rsidRPr="00493DD8">
        <w:rPr>
          <w:color w:val="000000" w:themeColor="text1"/>
        </w:rPr>
        <w:t>The risk of extending JobKeeper beyond September, even under more targeted arrangements, is that it continues support for businesses whose longer</w:t>
      </w:r>
      <w:r w:rsidR="00DE2760">
        <w:rPr>
          <w:color w:val="000000" w:themeColor="text1"/>
        </w:rPr>
        <w:noBreakHyphen/>
      </w:r>
      <w:r w:rsidRPr="00493DD8">
        <w:rPr>
          <w:color w:val="000000" w:themeColor="text1"/>
        </w:rPr>
        <w:t>term viability is not assured</w:t>
      </w:r>
      <w:r w:rsidR="00EB52C8" w:rsidRPr="00493DD8">
        <w:rPr>
          <w:color w:val="000000" w:themeColor="text1"/>
        </w:rPr>
        <w:t>, while locking in adverse design elements</w:t>
      </w:r>
      <w:r w:rsidRPr="00493DD8">
        <w:rPr>
          <w:color w:val="000000" w:themeColor="text1"/>
        </w:rPr>
        <w:t xml:space="preserve">. On the other hand, </w:t>
      </w:r>
      <w:r w:rsidR="00EB52C8" w:rsidRPr="00493DD8">
        <w:rPr>
          <w:color w:val="000000" w:themeColor="text1"/>
        </w:rPr>
        <w:t>an extension</w:t>
      </w:r>
      <w:r w:rsidRPr="00493DD8">
        <w:rPr>
          <w:color w:val="000000" w:themeColor="text1"/>
        </w:rPr>
        <w:t xml:space="preserve"> provide</w:t>
      </w:r>
      <w:r w:rsidR="00A379A2" w:rsidRPr="00493DD8">
        <w:rPr>
          <w:color w:val="000000" w:themeColor="text1"/>
        </w:rPr>
        <w:t>s a smooth</w:t>
      </w:r>
      <w:r w:rsidRPr="00493DD8">
        <w:rPr>
          <w:color w:val="000000" w:themeColor="text1"/>
        </w:rPr>
        <w:t xml:space="preserve"> transition for </w:t>
      </w:r>
      <w:r w:rsidRPr="00493DD8">
        <w:rPr>
          <w:color w:val="000000" w:themeColor="text1"/>
        </w:rPr>
        <w:lastRenderedPageBreak/>
        <w:t xml:space="preserve">these businesses, giving them more breathing space to reach the point where they might survive without ongoing support. </w:t>
      </w:r>
    </w:p>
    <w:p w14:paraId="220B587B" w14:textId="1B376C3B" w:rsidR="00EB52C8" w:rsidRPr="00493DD8" w:rsidRDefault="00C76CFE" w:rsidP="00404E9B">
      <w:pPr>
        <w:rPr>
          <w:color w:val="000000" w:themeColor="text1"/>
        </w:rPr>
      </w:pPr>
      <w:r w:rsidRPr="00493DD8">
        <w:rPr>
          <w:color w:val="000000" w:themeColor="text1"/>
        </w:rPr>
        <w:t>Treasury</w:t>
      </w:r>
      <w:r w:rsidR="00DE2760">
        <w:rPr>
          <w:color w:val="000000" w:themeColor="text1"/>
        </w:rPr>
        <w:t>’</w:t>
      </w:r>
      <w:r w:rsidRPr="00493DD8">
        <w:rPr>
          <w:color w:val="000000" w:themeColor="text1"/>
        </w:rPr>
        <w:t>s overall assessment is that</w:t>
      </w:r>
      <w:r w:rsidR="00EB52C8" w:rsidRPr="00493DD8">
        <w:rPr>
          <w:color w:val="000000" w:themeColor="text1"/>
        </w:rPr>
        <w:t xml:space="preserve"> an extension to JobKeeper </w:t>
      </w:r>
      <w:r w:rsidR="00570788">
        <w:rPr>
          <w:color w:val="000000" w:themeColor="text1"/>
        </w:rPr>
        <w:t xml:space="preserve">is needed, </w:t>
      </w:r>
      <w:r w:rsidR="00EB52C8" w:rsidRPr="00493DD8">
        <w:rPr>
          <w:color w:val="000000" w:themeColor="text1"/>
        </w:rPr>
        <w:t>coupled with a fresh eligibility test</w:t>
      </w:r>
      <w:r w:rsidR="00793603">
        <w:rPr>
          <w:color w:val="000000" w:themeColor="text1"/>
        </w:rPr>
        <w:t xml:space="preserve"> to </w:t>
      </w:r>
      <w:r w:rsidRPr="00493DD8">
        <w:rPr>
          <w:color w:val="000000" w:themeColor="text1"/>
        </w:rPr>
        <w:t>ensure that JobKeeper is well targeted</w:t>
      </w:r>
      <w:r w:rsidR="00793603">
        <w:rPr>
          <w:color w:val="000000" w:themeColor="text1"/>
        </w:rPr>
        <w:t xml:space="preserve">. This would </w:t>
      </w:r>
      <w:r w:rsidR="00EB52C8" w:rsidRPr="00493DD8">
        <w:rPr>
          <w:color w:val="000000" w:themeColor="text1"/>
        </w:rPr>
        <w:t xml:space="preserve">make effective use of its ability to be </w:t>
      </w:r>
      <w:r w:rsidRPr="00493DD8">
        <w:rPr>
          <w:color w:val="000000" w:themeColor="text1"/>
        </w:rPr>
        <w:t>deployed</w:t>
      </w:r>
      <w:r w:rsidR="00EB52C8" w:rsidRPr="00493DD8">
        <w:rPr>
          <w:color w:val="000000" w:themeColor="text1"/>
        </w:rPr>
        <w:t xml:space="preserve"> as an automatic macroeconomic stabiliser.</w:t>
      </w:r>
    </w:p>
    <w:p w14:paraId="5517CC78" w14:textId="77777777" w:rsidR="00A77DDA" w:rsidRDefault="00A77DDA">
      <w:pPr>
        <w:rPr>
          <w:rFonts w:asciiTheme="majorHAnsi" w:eastAsiaTheme="majorEastAsia" w:hAnsiTheme="majorHAnsi" w:cstheme="majorBidi"/>
          <w:color w:val="002035" w:themeColor="accent1" w:themeShade="BF"/>
          <w:sz w:val="32"/>
          <w:szCs w:val="32"/>
        </w:rPr>
      </w:pPr>
      <w:bookmarkStart w:id="1100" w:name="_Toc43294096"/>
      <w:bookmarkStart w:id="1101" w:name="_Toc43302294"/>
      <w:bookmarkStart w:id="1102" w:name="_Toc43303733"/>
      <w:bookmarkStart w:id="1103" w:name="_Toc43305344"/>
      <w:bookmarkStart w:id="1104" w:name="_Toc43306315"/>
      <w:bookmarkStart w:id="1105" w:name="_Toc43309523"/>
      <w:bookmarkStart w:id="1106" w:name="_Toc43802509"/>
      <w:bookmarkStart w:id="1107" w:name="_Toc43809357"/>
      <w:bookmarkStart w:id="1108" w:name="_Toc43815622"/>
      <w:bookmarkStart w:id="1109" w:name="_Toc43817555"/>
      <w:bookmarkStart w:id="1110" w:name="_Toc43825326"/>
      <w:bookmarkStart w:id="1111" w:name="_Toc43825432"/>
      <w:bookmarkStart w:id="1112" w:name="_Toc43825525"/>
      <w:bookmarkStart w:id="1113" w:name="_Toc43996262"/>
      <w:bookmarkStart w:id="1114" w:name="_Toc43998521"/>
      <w:bookmarkStart w:id="1115" w:name="_Toc43998448"/>
      <w:r>
        <w:br w:type="page"/>
      </w:r>
    </w:p>
    <w:p w14:paraId="5F692F8E" w14:textId="2241E5C0" w:rsidR="00C01343" w:rsidRDefault="00985267" w:rsidP="009B6E0C">
      <w:pPr>
        <w:pStyle w:val="Heading1"/>
      </w:pPr>
      <w:bookmarkStart w:id="1116" w:name="_Toc44069969"/>
      <w:bookmarkStart w:id="1117" w:name="_Toc44071373"/>
      <w:bookmarkStart w:id="1118" w:name="_Toc44073497"/>
      <w:bookmarkStart w:id="1119" w:name="_Toc44074637"/>
      <w:bookmarkStart w:id="1120" w:name="_Toc44079822"/>
      <w:bookmarkStart w:id="1121" w:name="_Toc44079957"/>
      <w:bookmarkStart w:id="1122" w:name="_Toc44319868"/>
      <w:bookmarkStart w:id="1123" w:name="_Toc44321576"/>
      <w:bookmarkStart w:id="1124" w:name="_Toc44323743"/>
      <w:bookmarkStart w:id="1125" w:name="_Toc44326206"/>
      <w:bookmarkStart w:id="1126" w:name="_Toc44330528"/>
      <w:bookmarkStart w:id="1127" w:name="_Toc44330770"/>
      <w:bookmarkStart w:id="1128" w:name="_Toc44333202"/>
      <w:bookmarkStart w:id="1129" w:name="_Toc44334833"/>
      <w:bookmarkStart w:id="1130" w:name="_Toc45227448"/>
      <w:bookmarkStart w:id="1131" w:name="_Toc45799049"/>
      <w:r>
        <w:lastRenderedPageBreak/>
        <w:t>C</w:t>
      </w:r>
      <w:r w:rsidR="00C01343">
        <w:t>onclusion</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5777EEE4" w14:textId="4C5CE260" w:rsidR="006A5E41" w:rsidRPr="00493DD8" w:rsidRDefault="00027D74" w:rsidP="006A5E41">
      <w:pPr>
        <w:rPr>
          <w:color w:val="000000" w:themeColor="text1"/>
        </w:rPr>
      </w:pPr>
      <w:r w:rsidRPr="00493DD8">
        <w:rPr>
          <w:color w:val="000000" w:themeColor="text1"/>
        </w:rPr>
        <w:t>This review has examined the first three months of JobKeeper, a labour market program unparalleled in scale and cost in Australia</w:t>
      </w:r>
      <w:r w:rsidR="00DE2760">
        <w:rPr>
          <w:color w:val="000000" w:themeColor="text1"/>
        </w:rPr>
        <w:t>’</w:t>
      </w:r>
      <w:r w:rsidRPr="00493DD8">
        <w:rPr>
          <w:color w:val="000000" w:themeColor="text1"/>
        </w:rPr>
        <w:t>s history.</w:t>
      </w:r>
      <w:r w:rsidR="00DF6CFD" w:rsidRPr="00493DD8">
        <w:rPr>
          <w:color w:val="000000" w:themeColor="text1"/>
        </w:rPr>
        <w:t xml:space="preserve"> </w:t>
      </w:r>
      <w:r w:rsidR="006A5E41" w:rsidRPr="00493DD8">
        <w:rPr>
          <w:color w:val="000000" w:themeColor="text1"/>
        </w:rPr>
        <w:t xml:space="preserve">It has examined the case for any changes to JobKeeper before its scheduled end on 27 September 2020, </w:t>
      </w:r>
      <w:r w:rsidR="00A77DDA" w:rsidRPr="00493DD8">
        <w:rPr>
          <w:color w:val="000000" w:themeColor="text1"/>
        </w:rPr>
        <w:t xml:space="preserve">and </w:t>
      </w:r>
      <w:r w:rsidR="006A5E41" w:rsidRPr="00493DD8">
        <w:rPr>
          <w:color w:val="000000" w:themeColor="text1"/>
        </w:rPr>
        <w:t xml:space="preserve">whether there should be an extension, and if so in what form. </w:t>
      </w:r>
    </w:p>
    <w:p w14:paraId="718B306F" w14:textId="7B3E161F" w:rsidR="00751741" w:rsidRPr="00493DD8" w:rsidRDefault="00154D7C" w:rsidP="00C01343">
      <w:pPr>
        <w:rPr>
          <w:color w:val="000000" w:themeColor="text1"/>
        </w:rPr>
      </w:pPr>
      <w:r w:rsidRPr="00493DD8">
        <w:rPr>
          <w:color w:val="000000" w:themeColor="text1"/>
        </w:rPr>
        <w:t xml:space="preserve">The review has been informed by a wide range of quantitative evidence, </w:t>
      </w:r>
      <w:r w:rsidR="00751741" w:rsidRPr="00493DD8">
        <w:rPr>
          <w:color w:val="000000" w:themeColor="text1"/>
        </w:rPr>
        <w:t xml:space="preserve">engagement with industry stakeholders, and case studies of </w:t>
      </w:r>
      <w:r w:rsidR="0032081A">
        <w:rPr>
          <w:color w:val="000000" w:themeColor="text1"/>
        </w:rPr>
        <w:t xml:space="preserve">different </w:t>
      </w:r>
      <w:r w:rsidR="00751741" w:rsidRPr="00493DD8">
        <w:rPr>
          <w:color w:val="000000" w:themeColor="text1"/>
        </w:rPr>
        <w:t>business</w:t>
      </w:r>
      <w:r w:rsidR="0032081A">
        <w:rPr>
          <w:color w:val="000000" w:themeColor="text1"/>
        </w:rPr>
        <w:t xml:space="preserve">es and their </w:t>
      </w:r>
      <w:r w:rsidR="003C7FF4">
        <w:rPr>
          <w:color w:val="000000" w:themeColor="text1"/>
        </w:rPr>
        <w:t xml:space="preserve">own experience of </w:t>
      </w:r>
      <w:r w:rsidR="00751741" w:rsidRPr="00493DD8">
        <w:rPr>
          <w:color w:val="000000" w:themeColor="text1"/>
        </w:rPr>
        <w:t>participating in JobKeeper. But that evidence is quite preliminary, taking the window of observation up to late May at best, a little under two months after the program was announced and less than one month after the first payments began to flow to employers.</w:t>
      </w:r>
    </w:p>
    <w:p w14:paraId="5D29D2E6" w14:textId="1DE83C21" w:rsidR="00544E37" w:rsidRPr="00493DD8" w:rsidRDefault="00D60BF1" w:rsidP="00C01343">
      <w:pPr>
        <w:rPr>
          <w:color w:val="000000" w:themeColor="text1"/>
        </w:rPr>
      </w:pPr>
      <w:r w:rsidRPr="00493DD8">
        <w:rPr>
          <w:color w:val="000000" w:themeColor="text1"/>
        </w:rPr>
        <w:t xml:space="preserve">The next round of </w:t>
      </w:r>
      <w:r w:rsidR="007A2596" w:rsidRPr="00493DD8">
        <w:rPr>
          <w:color w:val="000000" w:themeColor="text1"/>
        </w:rPr>
        <w:t>macroeconomic</w:t>
      </w:r>
      <w:r w:rsidRPr="00493DD8">
        <w:rPr>
          <w:color w:val="000000" w:themeColor="text1"/>
        </w:rPr>
        <w:t xml:space="preserve"> forecasts will be released as part of the </w:t>
      </w:r>
      <w:r w:rsidR="00073A80" w:rsidRPr="00493DD8">
        <w:rPr>
          <w:color w:val="000000" w:themeColor="text1"/>
        </w:rPr>
        <w:t xml:space="preserve">Economic </w:t>
      </w:r>
      <w:r w:rsidR="00AD7314">
        <w:rPr>
          <w:color w:val="000000" w:themeColor="text1"/>
        </w:rPr>
        <w:t>and Fiscal Update in July</w:t>
      </w:r>
      <w:r w:rsidRPr="00493DD8">
        <w:rPr>
          <w:color w:val="000000" w:themeColor="text1"/>
        </w:rPr>
        <w:t>, a month after this review has been completed.</w:t>
      </w:r>
      <w:r w:rsidR="00BA2645" w:rsidRPr="00493DD8">
        <w:rPr>
          <w:color w:val="000000" w:themeColor="text1"/>
        </w:rPr>
        <w:t xml:space="preserve"> </w:t>
      </w:r>
    </w:p>
    <w:p w14:paraId="73AFFB69" w14:textId="4DEB4CAE" w:rsidR="00757563" w:rsidRPr="00493DD8" w:rsidRDefault="00D60BF1" w:rsidP="00544E37">
      <w:pPr>
        <w:rPr>
          <w:color w:val="000000" w:themeColor="text1"/>
        </w:rPr>
      </w:pPr>
      <w:r w:rsidRPr="00493DD8">
        <w:rPr>
          <w:color w:val="000000" w:themeColor="text1"/>
        </w:rPr>
        <w:t xml:space="preserve">The </w:t>
      </w:r>
      <w:r w:rsidR="00544E37" w:rsidRPr="00493DD8">
        <w:rPr>
          <w:color w:val="000000" w:themeColor="text1"/>
        </w:rPr>
        <w:t xml:space="preserve">current extent of labour market weakness and the </w:t>
      </w:r>
      <w:r w:rsidRPr="00493DD8">
        <w:rPr>
          <w:color w:val="000000" w:themeColor="text1"/>
        </w:rPr>
        <w:t xml:space="preserve">high degree of uncertainty </w:t>
      </w:r>
      <w:r w:rsidR="00DF6CFD" w:rsidRPr="00493DD8">
        <w:rPr>
          <w:color w:val="000000" w:themeColor="text1"/>
        </w:rPr>
        <w:t>surrounding</w:t>
      </w:r>
      <w:r w:rsidRPr="00493DD8">
        <w:rPr>
          <w:color w:val="000000" w:themeColor="text1"/>
        </w:rPr>
        <w:t xml:space="preserve"> the outlook for the second </w:t>
      </w:r>
      <w:r w:rsidR="00073A80" w:rsidRPr="00493DD8">
        <w:rPr>
          <w:color w:val="000000" w:themeColor="text1"/>
        </w:rPr>
        <w:t xml:space="preserve">half of the year suggest </w:t>
      </w:r>
      <w:r w:rsidR="00544E37" w:rsidRPr="00493DD8">
        <w:rPr>
          <w:color w:val="000000" w:themeColor="text1"/>
        </w:rPr>
        <w:t>it would be prudent to extend JobKeeper beyond Sept</w:t>
      </w:r>
      <w:r w:rsidR="00165CAA">
        <w:rPr>
          <w:color w:val="000000" w:themeColor="text1"/>
        </w:rPr>
        <w:t>ember</w:t>
      </w:r>
      <w:r w:rsidR="00544E37" w:rsidRPr="00493DD8">
        <w:rPr>
          <w:color w:val="000000" w:themeColor="text1"/>
        </w:rPr>
        <w:t xml:space="preserve"> to businesses that are still distressed</w:t>
      </w:r>
      <w:r w:rsidR="00757563" w:rsidRPr="00493DD8">
        <w:rPr>
          <w:color w:val="000000" w:themeColor="text1"/>
        </w:rPr>
        <w:t>.</w:t>
      </w:r>
      <w:r w:rsidR="00544E37" w:rsidRPr="00493DD8">
        <w:rPr>
          <w:color w:val="000000" w:themeColor="text1"/>
        </w:rPr>
        <w:t xml:space="preserve"> </w:t>
      </w:r>
    </w:p>
    <w:p w14:paraId="48736E0A" w14:textId="011CEA89" w:rsidR="006955D1" w:rsidRPr="00493DD8" w:rsidRDefault="00757563" w:rsidP="00544E37">
      <w:pPr>
        <w:rPr>
          <w:color w:val="000000" w:themeColor="text1"/>
        </w:rPr>
      </w:pPr>
      <w:r w:rsidRPr="00493DD8">
        <w:rPr>
          <w:color w:val="000000" w:themeColor="text1"/>
        </w:rPr>
        <w:t>JobKeeper is a proven delivery mechanism to deliver widespread support at scale, and a fresh eligibility test would, in effect, function as an</w:t>
      </w:r>
      <w:r w:rsidR="0088737E" w:rsidRPr="00493DD8">
        <w:rPr>
          <w:color w:val="000000" w:themeColor="text1"/>
        </w:rPr>
        <w:t xml:space="preserve"> in</w:t>
      </w:r>
      <w:r w:rsidR="00DE2760">
        <w:rPr>
          <w:color w:val="000000" w:themeColor="text1"/>
        </w:rPr>
        <w:noBreakHyphen/>
      </w:r>
      <w:r w:rsidR="0088737E" w:rsidRPr="00493DD8">
        <w:rPr>
          <w:color w:val="000000" w:themeColor="text1"/>
        </w:rPr>
        <w:t xml:space="preserve">built automatic </w:t>
      </w:r>
      <w:r w:rsidRPr="00493DD8">
        <w:rPr>
          <w:color w:val="000000" w:themeColor="text1"/>
        </w:rPr>
        <w:t xml:space="preserve">macroeconomic </w:t>
      </w:r>
      <w:r w:rsidR="0088737E" w:rsidRPr="00493DD8">
        <w:rPr>
          <w:color w:val="000000" w:themeColor="text1"/>
        </w:rPr>
        <w:t>stabiliser</w:t>
      </w:r>
      <w:r w:rsidR="00877BEF" w:rsidRPr="00493DD8">
        <w:rPr>
          <w:color w:val="000000" w:themeColor="text1"/>
        </w:rPr>
        <w:t xml:space="preserve">. </w:t>
      </w:r>
      <w:r w:rsidR="00651D04" w:rsidRPr="00493DD8">
        <w:rPr>
          <w:color w:val="000000" w:themeColor="text1"/>
        </w:rPr>
        <w:t>T</w:t>
      </w:r>
      <w:r w:rsidR="00BA2645" w:rsidRPr="00493DD8">
        <w:rPr>
          <w:color w:val="000000" w:themeColor="text1"/>
        </w:rPr>
        <w:t xml:space="preserve">he use of a freshly applied eligibility test based on actual turnover </w:t>
      </w:r>
      <w:r w:rsidR="0088737E" w:rsidRPr="00493DD8">
        <w:rPr>
          <w:color w:val="000000" w:themeColor="text1"/>
        </w:rPr>
        <w:t>would automatically dial</w:t>
      </w:r>
      <w:r w:rsidR="00BA2645" w:rsidRPr="00493DD8">
        <w:rPr>
          <w:color w:val="000000" w:themeColor="text1"/>
        </w:rPr>
        <w:t xml:space="preserve"> down </w:t>
      </w:r>
      <w:r w:rsidR="00651D04" w:rsidRPr="00493DD8">
        <w:rPr>
          <w:color w:val="000000" w:themeColor="text1"/>
        </w:rPr>
        <w:t>and target support to those sectors that are still in an environment where they need to preserve jobs</w:t>
      </w:r>
      <w:r w:rsidR="00BA2645" w:rsidRPr="00493DD8">
        <w:rPr>
          <w:color w:val="000000" w:themeColor="text1"/>
        </w:rPr>
        <w:t>.</w:t>
      </w:r>
      <w:r w:rsidR="003742BB" w:rsidRPr="00493DD8">
        <w:rPr>
          <w:color w:val="000000" w:themeColor="text1"/>
        </w:rPr>
        <w:t xml:space="preserve"> </w:t>
      </w:r>
    </w:p>
    <w:p w14:paraId="719D0AD1" w14:textId="64FE596D" w:rsidR="006955D1" w:rsidRPr="00493DD8" w:rsidRDefault="00A77DDA" w:rsidP="00C01343">
      <w:pPr>
        <w:rPr>
          <w:color w:val="000000" w:themeColor="text1"/>
        </w:rPr>
      </w:pPr>
      <w:r w:rsidRPr="00493DD8">
        <w:rPr>
          <w:color w:val="000000" w:themeColor="text1"/>
        </w:rPr>
        <w:t>Beyond this review, i</w:t>
      </w:r>
      <w:r w:rsidR="006955D1" w:rsidRPr="00493DD8">
        <w:rPr>
          <w:color w:val="000000" w:themeColor="text1"/>
        </w:rPr>
        <w:t xml:space="preserve">t is imperative that a program of this magnitude and novelty should be </w:t>
      </w:r>
      <w:r w:rsidR="00FE2EDD" w:rsidRPr="00493DD8">
        <w:rPr>
          <w:color w:val="000000" w:themeColor="text1"/>
        </w:rPr>
        <w:t xml:space="preserve">studied and </w:t>
      </w:r>
      <w:r w:rsidR="006955D1" w:rsidRPr="00493DD8">
        <w:rPr>
          <w:color w:val="000000" w:themeColor="text1"/>
        </w:rPr>
        <w:t xml:space="preserve">evaluated very closely, for the lessons that it might offer on </w:t>
      </w:r>
      <w:r w:rsidR="00FE2EDD" w:rsidRPr="00493DD8">
        <w:rPr>
          <w:color w:val="000000" w:themeColor="text1"/>
        </w:rPr>
        <w:t xml:space="preserve">rapid delivery in </w:t>
      </w:r>
      <w:r w:rsidR="006955D1" w:rsidRPr="00493DD8">
        <w:rPr>
          <w:color w:val="000000" w:themeColor="text1"/>
        </w:rPr>
        <w:t>public administration and on its economic and labour market impacts.</w:t>
      </w:r>
    </w:p>
    <w:p w14:paraId="37B7E490" w14:textId="6622C247" w:rsidR="006955D1" w:rsidRPr="00493DD8" w:rsidRDefault="006955D1" w:rsidP="00C01343">
      <w:pPr>
        <w:rPr>
          <w:color w:val="000000" w:themeColor="text1"/>
        </w:rPr>
      </w:pPr>
      <w:r w:rsidRPr="00493DD8">
        <w:rPr>
          <w:color w:val="000000" w:themeColor="text1"/>
        </w:rPr>
        <w:t xml:space="preserve">There are a range of matters that this review has only briefly touched on that are likely to be of </w:t>
      </w:r>
      <w:r w:rsidR="002E34F2" w:rsidRPr="00493DD8">
        <w:rPr>
          <w:color w:val="000000" w:themeColor="text1"/>
        </w:rPr>
        <w:t>high interest to policy makers now and in</w:t>
      </w:r>
      <w:r w:rsidR="00FE2EDD" w:rsidRPr="00493DD8">
        <w:rPr>
          <w:color w:val="000000" w:themeColor="text1"/>
        </w:rPr>
        <w:t>to</w:t>
      </w:r>
      <w:r w:rsidR="002E34F2" w:rsidRPr="00493DD8">
        <w:rPr>
          <w:color w:val="000000" w:themeColor="text1"/>
        </w:rPr>
        <w:t xml:space="preserve"> the future:</w:t>
      </w:r>
    </w:p>
    <w:p w14:paraId="220B3816" w14:textId="3C8D0702" w:rsidR="002E34F2" w:rsidRPr="00493DD8" w:rsidRDefault="00AD7314" w:rsidP="002E34F2">
      <w:pPr>
        <w:pStyle w:val="Bullet"/>
        <w:rPr>
          <w:color w:val="000000" w:themeColor="text1"/>
        </w:rPr>
      </w:pPr>
      <w:r>
        <w:rPr>
          <w:color w:val="000000" w:themeColor="text1"/>
        </w:rPr>
        <w:t>F</w:t>
      </w:r>
      <w:r w:rsidR="002E34F2" w:rsidRPr="00493DD8">
        <w:rPr>
          <w:color w:val="000000" w:themeColor="text1"/>
        </w:rPr>
        <w:t xml:space="preserve">or those whose jobs were </w:t>
      </w:r>
      <w:r w:rsidR="00FE2EDD" w:rsidRPr="00493DD8">
        <w:rPr>
          <w:color w:val="000000" w:themeColor="text1"/>
        </w:rPr>
        <w:t>supported</w:t>
      </w:r>
      <w:r w:rsidR="002E34F2" w:rsidRPr="00493DD8">
        <w:rPr>
          <w:color w:val="000000" w:themeColor="text1"/>
        </w:rPr>
        <w:t xml:space="preserve"> by JobKeeper, what </w:t>
      </w:r>
      <w:r w:rsidR="00FE2EDD" w:rsidRPr="00493DD8">
        <w:rPr>
          <w:color w:val="000000" w:themeColor="text1"/>
        </w:rPr>
        <w:t>have been</w:t>
      </w:r>
      <w:r w:rsidR="002E34F2" w:rsidRPr="00493DD8">
        <w:rPr>
          <w:color w:val="000000" w:themeColor="text1"/>
        </w:rPr>
        <w:t xml:space="preserve"> the longer</w:t>
      </w:r>
      <w:r w:rsidR="00DE2760">
        <w:rPr>
          <w:color w:val="000000" w:themeColor="text1"/>
        </w:rPr>
        <w:noBreakHyphen/>
      </w:r>
      <w:r w:rsidR="002E34F2" w:rsidRPr="00493DD8">
        <w:rPr>
          <w:color w:val="000000" w:themeColor="text1"/>
        </w:rPr>
        <w:t>term benefits of this intervention</w:t>
      </w:r>
      <w:r w:rsidR="00FE2EDD" w:rsidRPr="00493DD8">
        <w:rPr>
          <w:color w:val="000000" w:themeColor="text1"/>
        </w:rPr>
        <w:t xml:space="preserve"> on future employment prospects and earnings</w:t>
      </w:r>
      <w:r w:rsidR="002E34F2" w:rsidRPr="00493DD8">
        <w:rPr>
          <w:color w:val="000000" w:themeColor="text1"/>
        </w:rPr>
        <w:t>?</w:t>
      </w:r>
    </w:p>
    <w:p w14:paraId="789F9FA6" w14:textId="62BFCE2A" w:rsidR="00FE2EDD" w:rsidRPr="00493DD8" w:rsidRDefault="00AD7314" w:rsidP="002E34F2">
      <w:pPr>
        <w:pStyle w:val="Bullet"/>
        <w:rPr>
          <w:color w:val="000000" w:themeColor="text1"/>
        </w:rPr>
      </w:pPr>
      <w:r>
        <w:rPr>
          <w:color w:val="000000" w:themeColor="text1"/>
        </w:rPr>
        <w:t>F</w:t>
      </w:r>
      <w:r w:rsidR="00FE2EDD" w:rsidRPr="00493DD8">
        <w:rPr>
          <w:color w:val="000000" w:themeColor="text1"/>
        </w:rPr>
        <w:t>or those businesses that were supported by JobKeeper, what have been their longer</w:t>
      </w:r>
      <w:r w:rsidR="00DE2760">
        <w:rPr>
          <w:color w:val="000000" w:themeColor="text1"/>
        </w:rPr>
        <w:noBreakHyphen/>
      </w:r>
      <w:r w:rsidR="00FE2EDD" w:rsidRPr="00493DD8">
        <w:rPr>
          <w:color w:val="000000" w:themeColor="text1"/>
        </w:rPr>
        <w:t xml:space="preserve">term </w:t>
      </w:r>
      <w:r w:rsidR="004B6B02" w:rsidRPr="00493DD8">
        <w:rPr>
          <w:color w:val="000000" w:themeColor="text1"/>
        </w:rPr>
        <w:t xml:space="preserve">growth and </w:t>
      </w:r>
      <w:r w:rsidR="00FE2EDD" w:rsidRPr="00493DD8">
        <w:rPr>
          <w:color w:val="000000" w:themeColor="text1"/>
        </w:rPr>
        <w:t>survival prospects?</w:t>
      </w:r>
    </w:p>
    <w:p w14:paraId="2F248916" w14:textId="67BBC6F7" w:rsidR="002E34F2" w:rsidRPr="00493DD8" w:rsidRDefault="00AD7314" w:rsidP="002E34F2">
      <w:pPr>
        <w:pStyle w:val="Bullet"/>
        <w:rPr>
          <w:color w:val="000000" w:themeColor="text1"/>
        </w:rPr>
      </w:pPr>
      <w:r>
        <w:rPr>
          <w:color w:val="000000" w:themeColor="text1"/>
        </w:rPr>
        <w:t>W</w:t>
      </w:r>
      <w:r w:rsidR="00FE2EDD" w:rsidRPr="00493DD8">
        <w:rPr>
          <w:color w:val="000000" w:themeColor="text1"/>
        </w:rPr>
        <w:t>hat impact did JobKeeper have on</w:t>
      </w:r>
      <w:r w:rsidR="004B6B02" w:rsidRPr="00493DD8">
        <w:rPr>
          <w:color w:val="000000" w:themeColor="text1"/>
        </w:rPr>
        <w:t xml:space="preserve"> economy</w:t>
      </w:r>
      <w:r w:rsidR="00DE2760">
        <w:rPr>
          <w:color w:val="000000" w:themeColor="text1"/>
        </w:rPr>
        <w:noBreakHyphen/>
      </w:r>
      <w:r w:rsidR="004B6B02" w:rsidRPr="00493DD8">
        <w:rPr>
          <w:color w:val="000000" w:themeColor="text1"/>
        </w:rPr>
        <w:t>wide</w:t>
      </w:r>
      <w:r w:rsidR="00FE2EDD" w:rsidRPr="00493DD8">
        <w:rPr>
          <w:color w:val="000000" w:themeColor="text1"/>
        </w:rPr>
        <w:t xml:space="preserve"> productivity growth and on structural adjustment? </w:t>
      </w:r>
    </w:p>
    <w:p w14:paraId="1D8FE862" w14:textId="3EFBCD79" w:rsidR="00D12759" w:rsidRPr="00F3083C" w:rsidRDefault="006955D1">
      <w:r w:rsidRPr="00493DD8">
        <w:rPr>
          <w:color w:val="000000" w:themeColor="text1"/>
        </w:rPr>
        <w:t>Treasury</w:t>
      </w:r>
      <w:r w:rsidR="00DF20F8" w:rsidRPr="00493DD8">
        <w:rPr>
          <w:color w:val="000000" w:themeColor="text1"/>
        </w:rPr>
        <w:t>, the ATO</w:t>
      </w:r>
      <w:r w:rsidR="00FB7A67" w:rsidRPr="00493DD8">
        <w:rPr>
          <w:color w:val="000000" w:themeColor="text1"/>
        </w:rPr>
        <w:t xml:space="preserve"> </w:t>
      </w:r>
      <w:r w:rsidR="00757563" w:rsidRPr="00493DD8">
        <w:rPr>
          <w:color w:val="000000" w:themeColor="text1"/>
        </w:rPr>
        <w:t xml:space="preserve">and </w:t>
      </w:r>
      <w:r w:rsidR="00FB7A67" w:rsidRPr="00493DD8">
        <w:rPr>
          <w:color w:val="000000" w:themeColor="text1"/>
        </w:rPr>
        <w:t xml:space="preserve">the </w:t>
      </w:r>
      <w:r w:rsidR="00DF20F8" w:rsidRPr="00493DD8">
        <w:rPr>
          <w:color w:val="000000" w:themeColor="text1"/>
        </w:rPr>
        <w:t>ABS</w:t>
      </w:r>
      <w:r w:rsidRPr="00493DD8">
        <w:rPr>
          <w:color w:val="000000" w:themeColor="text1"/>
        </w:rPr>
        <w:t xml:space="preserve"> </w:t>
      </w:r>
      <w:r w:rsidR="00757563" w:rsidRPr="00493DD8">
        <w:rPr>
          <w:color w:val="000000" w:themeColor="text1"/>
        </w:rPr>
        <w:t>will</w:t>
      </w:r>
      <w:r w:rsidR="00AA4BFC" w:rsidRPr="00493DD8">
        <w:rPr>
          <w:color w:val="000000" w:themeColor="text1"/>
        </w:rPr>
        <w:t xml:space="preserve"> work</w:t>
      </w:r>
      <w:r w:rsidRPr="00493DD8">
        <w:rPr>
          <w:color w:val="000000" w:themeColor="text1"/>
        </w:rPr>
        <w:t xml:space="preserve"> with the academic community to </w:t>
      </w:r>
      <w:r w:rsidR="00FE2EDD" w:rsidRPr="00493DD8">
        <w:rPr>
          <w:color w:val="000000" w:themeColor="text1"/>
        </w:rPr>
        <w:t>make de</w:t>
      </w:r>
      <w:r w:rsidR="00DE2760">
        <w:rPr>
          <w:color w:val="000000" w:themeColor="text1"/>
        </w:rPr>
        <w:noBreakHyphen/>
      </w:r>
      <w:r w:rsidR="00D04343" w:rsidRPr="00493DD8">
        <w:rPr>
          <w:color w:val="000000" w:themeColor="text1"/>
        </w:rPr>
        <w:t>identified</w:t>
      </w:r>
      <w:r w:rsidR="00FE2EDD" w:rsidRPr="00493DD8">
        <w:rPr>
          <w:color w:val="000000" w:themeColor="text1"/>
        </w:rPr>
        <w:t xml:space="preserve"> program administrati</w:t>
      </w:r>
      <w:r w:rsidR="00E910C5">
        <w:rPr>
          <w:color w:val="000000" w:themeColor="text1"/>
        </w:rPr>
        <w:t>ve</w:t>
      </w:r>
      <w:r w:rsidR="00FE2EDD" w:rsidRPr="00493DD8">
        <w:rPr>
          <w:color w:val="000000" w:themeColor="text1"/>
        </w:rPr>
        <w:t xml:space="preserve"> </w:t>
      </w:r>
      <w:r w:rsidR="002E34F2" w:rsidRPr="00493DD8">
        <w:rPr>
          <w:color w:val="000000" w:themeColor="text1"/>
        </w:rPr>
        <w:t xml:space="preserve">data available for research purposes and independent evaluation. The benefits of </w:t>
      </w:r>
      <w:r w:rsidR="00757563" w:rsidRPr="00493DD8">
        <w:rPr>
          <w:color w:val="000000" w:themeColor="text1"/>
        </w:rPr>
        <w:t xml:space="preserve">properly </w:t>
      </w:r>
      <w:r w:rsidR="007B7DE9" w:rsidRPr="00493DD8">
        <w:rPr>
          <w:color w:val="000000" w:themeColor="text1"/>
        </w:rPr>
        <w:t>understan</w:t>
      </w:r>
      <w:r w:rsidR="00757563" w:rsidRPr="00493DD8">
        <w:rPr>
          <w:color w:val="000000" w:themeColor="text1"/>
        </w:rPr>
        <w:t xml:space="preserve">ding the effects of </w:t>
      </w:r>
      <w:r w:rsidR="00D26003">
        <w:rPr>
          <w:color w:val="000000" w:themeColor="text1"/>
        </w:rPr>
        <w:t xml:space="preserve">the </w:t>
      </w:r>
      <w:r w:rsidR="00757563" w:rsidRPr="00493DD8">
        <w:rPr>
          <w:color w:val="000000" w:themeColor="text1"/>
        </w:rPr>
        <w:t>JobKeeper</w:t>
      </w:r>
      <w:r w:rsidR="00D26003">
        <w:rPr>
          <w:color w:val="000000" w:themeColor="text1"/>
        </w:rPr>
        <w:t xml:space="preserve"> Payment</w:t>
      </w:r>
      <w:r w:rsidR="00757563" w:rsidRPr="00493DD8">
        <w:rPr>
          <w:color w:val="000000" w:themeColor="text1"/>
        </w:rPr>
        <w:t>, in the event of future economic and labour market shocks,</w:t>
      </w:r>
      <w:r w:rsidR="002E34F2" w:rsidRPr="00493DD8">
        <w:rPr>
          <w:color w:val="000000" w:themeColor="text1"/>
        </w:rPr>
        <w:t xml:space="preserve"> would be </w:t>
      </w:r>
      <w:r w:rsidR="00757563" w:rsidRPr="00493DD8">
        <w:rPr>
          <w:color w:val="000000" w:themeColor="text1"/>
        </w:rPr>
        <w:t xml:space="preserve">very </w:t>
      </w:r>
      <w:r w:rsidR="002E34F2" w:rsidRPr="00493DD8">
        <w:rPr>
          <w:color w:val="000000" w:themeColor="text1"/>
        </w:rPr>
        <w:t xml:space="preserve">substantial. </w:t>
      </w:r>
      <w:r w:rsidR="00C01343">
        <w:br w:type="page"/>
      </w:r>
      <w:bookmarkStart w:id="1132" w:name="_Toc43294101"/>
      <w:bookmarkStart w:id="1133" w:name="_Toc43302299"/>
      <w:bookmarkStart w:id="1134" w:name="_Toc43303738"/>
      <w:bookmarkStart w:id="1135" w:name="_Toc43305350"/>
      <w:bookmarkStart w:id="1136" w:name="_Toc43306321"/>
      <w:bookmarkStart w:id="1137" w:name="_Toc43309529"/>
    </w:p>
    <w:p w14:paraId="2EE5D8E0" w14:textId="2C998885" w:rsidR="00ED537C" w:rsidRDefault="00E57FC8" w:rsidP="009B6E0C">
      <w:pPr>
        <w:pStyle w:val="Heading1"/>
      </w:pPr>
      <w:bookmarkStart w:id="1138" w:name="_Toc43802514"/>
      <w:bookmarkStart w:id="1139" w:name="_Toc43809362"/>
      <w:bookmarkStart w:id="1140" w:name="_Toc43815627"/>
      <w:bookmarkStart w:id="1141" w:name="_Toc43817560"/>
      <w:bookmarkStart w:id="1142" w:name="_Toc43825331"/>
      <w:bookmarkStart w:id="1143" w:name="_Toc43825437"/>
      <w:bookmarkStart w:id="1144" w:name="_Toc43825530"/>
      <w:bookmarkStart w:id="1145" w:name="_Toc43996266"/>
      <w:bookmarkStart w:id="1146" w:name="_Toc43998525"/>
      <w:bookmarkStart w:id="1147" w:name="_Toc43998452"/>
      <w:bookmarkStart w:id="1148" w:name="_Toc44069970"/>
      <w:bookmarkStart w:id="1149" w:name="_Toc44071374"/>
      <w:bookmarkStart w:id="1150" w:name="_Toc44073498"/>
      <w:bookmarkStart w:id="1151" w:name="_Toc44074638"/>
      <w:bookmarkStart w:id="1152" w:name="_Toc44079823"/>
      <w:bookmarkStart w:id="1153" w:name="_Toc44079958"/>
      <w:bookmarkStart w:id="1154" w:name="_Toc44319869"/>
      <w:bookmarkStart w:id="1155" w:name="_Toc44321577"/>
      <w:bookmarkStart w:id="1156" w:name="_Toc44323744"/>
      <w:bookmarkStart w:id="1157" w:name="_Toc44326207"/>
      <w:bookmarkStart w:id="1158" w:name="_Toc44330529"/>
      <w:bookmarkStart w:id="1159" w:name="_Toc44330771"/>
      <w:bookmarkStart w:id="1160" w:name="_Toc44333203"/>
      <w:bookmarkStart w:id="1161" w:name="_Toc44334834"/>
      <w:bookmarkStart w:id="1162" w:name="_Toc45227449"/>
      <w:bookmarkStart w:id="1163" w:name="_Toc45799050"/>
      <w:r>
        <w:lastRenderedPageBreak/>
        <w:t xml:space="preserve">Attachment </w:t>
      </w:r>
      <w:r w:rsidR="00F3083C">
        <w:t>A</w:t>
      </w:r>
      <w:r w:rsidR="005C7A75">
        <w:t xml:space="preserve">: </w:t>
      </w:r>
      <w:r w:rsidR="00ED537C">
        <w:t xml:space="preserve">JobKeeper </w:t>
      </w:r>
      <w:r w:rsidR="00CC3880">
        <w:t>Payment</w:t>
      </w:r>
      <w:r w:rsidR="00ED537C">
        <w:t xml:space="preserve"> data summary</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00ED537C">
        <w:t xml:space="preserve"> </w:t>
      </w:r>
    </w:p>
    <w:p w14:paraId="60437710" w14:textId="7F0438E6" w:rsidR="00636D41" w:rsidRPr="00493DD8" w:rsidRDefault="00ED537C" w:rsidP="00791BAA">
      <w:pPr>
        <w:rPr>
          <w:color w:val="000000" w:themeColor="text1"/>
        </w:rPr>
      </w:pPr>
      <w:r w:rsidRPr="00493DD8">
        <w:rPr>
          <w:color w:val="000000" w:themeColor="text1"/>
        </w:rPr>
        <w:t xml:space="preserve">This attachment provides a number of more detailed breakdowns of JobKeeper </w:t>
      </w:r>
      <w:r w:rsidR="00602AB4" w:rsidRPr="00493DD8">
        <w:rPr>
          <w:color w:val="000000" w:themeColor="text1"/>
        </w:rPr>
        <w:t xml:space="preserve">Payment </w:t>
      </w:r>
      <w:r w:rsidRPr="00493DD8">
        <w:rPr>
          <w:color w:val="000000" w:themeColor="text1"/>
        </w:rPr>
        <w:t>take</w:t>
      </w:r>
      <w:r w:rsidR="00DE2760">
        <w:rPr>
          <w:color w:val="000000" w:themeColor="text1"/>
        </w:rPr>
        <w:noBreakHyphen/>
      </w:r>
      <w:r w:rsidRPr="00493DD8">
        <w:rPr>
          <w:color w:val="000000" w:themeColor="text1"/>
        </w:rPr>
        <w:t xml:space="preserve">up </w:t>
      </w:r>
      <w:r w:rsidR="00602AB4" w:rsidRPr="00493DD8">
        <w:rPr>
          <w:color w:val="000000" w:themeColor="text1"/>
        </w:rPr>
        <w:t xml:space="preserve">in relation to a range of </w:t>
      </w:r>
      <w:r w:rsidR="006F52BF" w:rsidRPr="00493DD8">
        <w:rPr>
          <w:color w:val="000000" w:themeColor="text1"/>
        </w:rPr>
        <w:t xml:space="preserve">organisational </w:t>
      </w:r>
      <w:r w:rsidRPr="00493DD8">
        <w:rPr>
          <w:color w:val="000000" w:themeColor="text1"/>
        </w:rPr>
        <w:t xml:space="preserve">and individual </w:t>
      </w:r>
      <w:r w:rsidR="004751DF" w:rsidRPr="00493DD8">
        <w:rPr>
          <w:color w:val="000000" w:themeColor="text1"/>
        </w:rPr>
        <w:t>characteristics</w:t>
      </w:r>
      <w:r w:rsidRPr="00493DD8">
        <w:rPr>
          <w:color w:val="000000" w:themeColor="text1"/>
        </w:rPr>
        <w:t>.</w:t>
      </w:r>
    </w:p>
    <w:p w14:paraId="14C43EEF" w14:textId="78C9E98E" w:rsidR="004A6650" w:rsidRPr="00493DD8" w:rsidRDefault="004A6650" w:rsidP="00791BAA">
      <w:pPr>
        <w:rPr>
          <w:color w:val="000000" w:themeColor="text1"/>
        </w:rPr>
      </w:pPr>
      <w:r w:rsidRPr="00493DD8">
        <w:rPr>
          <w:color w:val="000000" w:themeColor="text1"/>
        </w:rPr>
        <w:t xml:space="preserve">The data are based on unit record JobKeeper Payment data </w:t>
      </w:r>
      <w:r w:rsidR="004751DF" w:rsidRPr="00493DD8">
        <w:rPr>
          <w:color w:val="000000" w:themeColor="text1"/>
        </w:rPr>
        <w:t xml:space="preserve">for the April </w:t>
      </w:r>
      <w:r w:rsidRPr="00493DD8">
        <w:rPr>
          <w:color w:val="000000" w:themeColor="text1"/>
        </w:rPr>
        <w:t>2020</w:t>
      </w:r>
      <w:r w:rsidR="004751DF" w:rsidRPr="00493DD8">
        <w:rPr>
          <w:color w:val="000000" w:themeColor="text1"/>
        </w:rPr>
        <w:t xml:space="preserve"> payment fortnights</w:t>
      </w:r>
      <w:r w:rsidRPr="00493DD8">
        <w:rPr>
          <w:color w:val="000000" w:themeColor="text1"/>
        </w:rPr>
        <w:t xml:space="preserve">, income tax returns and internal ATO data. </w:t>
      </w:r>
      <w:r w:rsidR="004751DF" w:rsidRPr="00493DD8">
        <w:rPr>
          <w:color w:val="000000" w:themeColor="text1"/>
        </w:rPr>
        <w:t xml:space="preserve">The data are at as early June and subject to change. </w:t>
      </w:r>
    </w:p>
    <w:p w14:paraId="0BFECE94" w14:textId="18A9A23D" w:rsidR="00ED537C" w:rsidRPr="00493DD8" w:rsidRDefault="004802DD" w:rsidP="00755C53">
      <w:pPr>
        <w:pStyle w:val="Tableheading"/>
      </w:pPr>
      <w:bookmarkStart w:id="1164" w:name="_Toc43462907"/>
      <w:bookmarkStart w:id="1165" w:name="_Toc43466287"/>
      <w:bookmarkStart w:id="1166" w:name="_Toc43469279"/>
      <w:bookmarkStart w:id="1167" w:name="_Toc43469674"/>
      <w:bookmarkStart w:id="1168" w:name="_Toc43469950"/>
      <w:bookmarkStart w:id="1169" w:name="_Toc43469964"/>
      <w:bookmarkStart w:id="1170" w:name="_Toc43729213"/>
      <w:bookmarkStart w:id="1171" w:name="_Toc43730801"/>
      <w:bookmarkStart w:id="1172" w:name="_Toc43732051"/>
      <w:bookmarkStart w:id="1173" w:name="_Toc43733869"/>
      <w:bookmarkStart w:id="1174" w:name="_Toc43734772"/>
      <w:bookmarkStart w:id="1175" w:name="_Toc43738752"/>
      <w:bookmarkStart w:id="1176" w:name="_Toc43743064"/>
      <w:bookmarkStart w:id="1177" w:name="_Toc43996234"/>
      <w:bookmarkStart w:id="1178" w:name="_Toc43998493"/>
      <w:bookmarkStart w:id="1179" w:name="_Toc43998420"/>
      <w:bookmarkStart w:id="1180" w:name="_Toc44069942"/>
      <w:bookmarkStart w:id="1181" w:name="_Toc44071346"/>
      <w:bookmarkStart w:id="1182" w:name="_Toc44073470"/>
      <w:bookmarkStart w:id="1183" w:name="_Toc44074610"/>
      <w:bookmarkStart w:id="1184" w:name="_Toc44079499"/>
      <w:bookmarkStart w:id="1185" w:name="_Toc44079794"/>
      <w:bookmarkStart w:id="1186" w:name="_Toc44079929"/>
      <w:bookmarkStart w:id="1187" w:name="_Toc44319840"/>
      <w:bookmarkStart w:id="1188" w:name="_Toc44321548"/>
      <w:bookmarkStart w:id="1189" w:name="_Toc44323715"/>
      <w:bookmarkStart w:id="1190" w:name="_Toc44326178"/>
      <w:bookmarkStart w:id="1191" w:name="_Toc44330500"/>
      <w:bookmarkStart w:id="1192" w:name="_Toc44330742"/>
      <w:bookmarkStart w:id="1193" w:name="_Toc44333174"/>
      <w:bookmarkStart w:id="1194" w:name="_Toc44334805"/>
      <w:bookmarkStart w:id="1195" w:name="_Toc45227450"/>
      <w:bookmarkStart w:id="1196" w:name="_Toc45799051"/>
      <w:r w:rsidRPr="00493DD8">
        <w:t xml:space="preserve">Table </w:t>
      </w:r>
      <w:r w:rsidR="00F3083C" w:rsidRPr="00493DD8">
        <w:t>A</w:t>
      </w:r>
      <w:r w:rsidRPr="00493DD8">
        <w:t xml:space="preserve">1: Number of organisations that have </w:t>
      </w:r>
      <w:r w:rsidR="00963264" w:rsidRPr="00493DD8">
        <w:t>received</w:t>
      </w:r>
      <w:r w:rsidRPr="00493DD8">
        <w:t xml:space="preserve"> JobKeeper </w:t>
      </w:r>
      <w:r w:rsidR="00963264" w:rsidRPr="00493DD8">
        <w:t>payments</w:t>
      </w:r>
      <w:r w:rsidRPr="00493DD8">
        <w:t xml:space="preserve">, by </w:t>
      </w:r>
      <w:r w:rsidR="00EC70FA" w:rsidRPr="00493DD8">
        <w:t>entity type and turnover range</w:t>
      </w:r>
      <w:r w:rsidRPr="00493DD8">
        <w:t xml:space="preserve">, </w:t>
      </w:r>
      <w:r w:rsidR="00966A49" w:rsidRPr="00493DD8">
        <w:t xml:space="preserve">for the </w:t>
      </w:r>
      <w:r w:rsidRPr="00493DD8">
        <w:t>April 2020</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00966A49" w:rsidRPr="00493DD8">
        <w:t xml:space="preserve"> JobKeeper fortnights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p>
    <w:tbl>
      <w:tblPr>
        <w:tblW w:w="5000" w:type="pct"/>
        <w:jc w:val="center"/>
        <w:tblLook w:val="04A0" w:firstRow="1" w:lastRow="0" w:firstColumn="1" w:lastColumn="0" w:noHBand="0" w:noVBand="1"/>
        <w:tblCaption w:val="Table A1: Number of organisations that have received JobKeeper payments, by entity type and turnover range, for the April 2020 JobKeeper fortnights"/>
        <w:tblDescription w:val="This table breaks down the number of organisations that have received JobKeeper payments for April 2020 by entity type and turnover range. &#10;By entity type, of the organisations that received payments in April: 305,900 were classified as a company; 53,800 were classified as a partnership; 127,600 were classified as a trust; 330,700 were an individual; 15,600 were a not-for-profit; and 300 were classified as other or NA. &#10;By annual turnover range in 2017-18: 191,300 were classified as Nil or NA; 574,500 had turnover of 0 to 2 million dollars; 43,700 had turnover of 2 million to 10 million dollars; 7,600 had turnover of 10 million to 50 million dollars; 700 had turnover of 50 million to 100 million dollars; 400 had turnover of 100 million to 500 million dollars; less than 100 had turnover of 500 million to 1 billion dollars and less than 100 had turnover greater than 1 billion dollars.&#10;"/>
      </w:tblPr>
      <w:tblGrid>
        <w:gridCol w:w="5683"/>
        <w:gridCol w:w="2964"/>
      </w:tblGrid>
      <w:tr w:rsidR="00977E19" w:rsidRPr="00D15DA3" w14:paraId="1DD48A9A" w14:textId="65A3C7FA" w:rsidTr="005A0736">
        <w:trPr>
          <w:trHeight w:val="567"/>
          <w:jc w:val="center"/>
        </w:trPr>
        <w:tc>
          <w:tcPr>
            <w:tcW w:w="5589" w:type="dxa"/>
            <w:tcBorders>
              <w:top w:val="single" w:sz="12" w:space="0" w:color="002C47" w:themeColor="accent1"/>
              <w:left w:val="nil"/>
              <w:bottom w:val="single" w:sz="4" w:space="0" w:color="002C47" w:themeColor="accent1"/>
              <w:right w:val="nil"/>
            </w:tcBorders>
            <w:shd w:val="clear" w:color="auto" w:fill="auto"/>
            <w:noWrap/>
            <w:vAlign w:val="center"/>
            <w:hideMark/>
          </w:tcPr>
          <w:p w14:paraId="74817679" w14:textId="768812A0" w:rsidR="00977E19" w:rsidRPr="00D15DA3" w:rsidRDefault="00977E19" w:rsidP="00351B3E">
            <w:pPr>
              <w:pStyle w:val="Tablecolumnheadingleft"/>
            </w:pPr>
            <w:r w:rsidRPr="00D15DA3">
              <w:t>Characteristic</w:t>
            </w:r>
          </w:p>
        </w:tc>
        <w:tc>
          <w:tcPr>
            <w:tcW w:w="2915" w:type="dxa"/>
            <w:tcBorders>
              <w:top w:val="single" w:sz="12" w:space="0" w:color="002C47" w:themeColor="accent1"/>
              <w:left w:val="nil"/>
              <w:bottom w:val="single" w:sz="4" w:space="0" w:color="002C47" w:themeColor="accent1"/>
              <w:right w:val="nil"/>
            </w:tcBorders>
            <w:shd w:val="clear" w:color="auto" w:fill="auto"/>
            <w:vAlign w:val="center"/>
            <w:hideMark/>
          </w:tcPr>
          <w:p w14:paraId="7E163D08" w14:textId="78077BA5" w:rsidR="00525D99" w:rsidRPr="00D15DA3" w:rsidRDefault="00525D99" w:rsidP="00351B3E">
            <w:pPr>
              <w:pStyle w:val="Tablecolumnheadingcentre"/>
            </w:pPr>
            <w:r w:rsidRPr="00D15DA3">
              <w:t>O</w:t>
            </w:r>
            <w:r w:rsidR="003739BA" w:rsidRPr="00D15DA3">
              <w:t>rganisations</w:t>
            </w:r>
          </w:p>
          <w:p w14:paraId="25AAEEB4" w14:textId="410CD79C" w:rsidR="00977E19" w:rsidRPr="00D15DA3" w:rsidRDefault="00525D99" w:rsidP="00351B3E">
            <w:pPr>
              <w:pStyle w:val="Tablecolumnheadingcentre"/>
            </w:pPr>
            <w:r w:rsidRPr="00D15DA3">
              <w:t>(</w:t>
            </w:r>
            <w:r w:rsidR="00DE2760">
              <w:t>‘</w:t>
            </w:r>
            <w:r w:rsidRPr="00D15DA3">
              <w:t>000)</w:t>
            </w:r>
          </w:p>
        </w:tc>
      </w:tr>
      <w:tr w:rsidR="00977E19" w:rsidRPr="00120704" w14:paraId="28D98BF7" w14:textId="63A12168" w:rsidTr="00D15DA3">
        <w:trPr>
          <w:trHeight w:val="290"/>
          <w:jc w:val="center"/>
        </w:trPr>
        <w:tc>
          <w:tcPr>
            <w:tcW w:w="5589" w:type="dxa"/>
            <w:tcBorders>
              <w:top w:val="single" w:sz="4" w:space="0" w:color="002C47" w:themeColor="accent1"/>
              <w:left w:val="nil"/>
              <w:bottom w:val="nil"/>
              <w:right w:val="nil"/>
            </w:tcBorders>
            <w:shd w:val="clear" w:color="auto" w:fill="auto"/>
            <w:noWrap/>
            <w:vAlign w:val="bottom"/>
            <w:hideMark/>
          </w:tcPr>
          <w:p w14:paraId="7DD6007F" w14:textId="58F9C1DB" w:rsidR="00977E19" w:rsidRPr="00493DD8" w:rsidRDefault="00FA760B" w:rsidP="00D15DA3">
            <w:pPr>
              <w:pStyle w:val="Tablecolumnheadingleft"/>
            </w:pPr>
            <w:r w:rsidRPr="00493DD8">
              <w:t>Organisations by</w:t>
            </w:r>
            <w:r w:rsidR="00313B5D" w:rsidRPr="00493DD8">
              <w:t xml:space="preserve"> en</w:t>
            </w:r>
            <w:r w:rsidR="003739BA" w:rsidRPr="00493DD8">
              <w:t xml:space="preserve">tity type </w:t>
            </w:r>
          </w:p>
        </w:tc>
        <w:tc>
          <w:tcPr>
            <w:tcW w:w="2915" w:type="dxa"/>
            <w:tcBorders>
              <w:top w:val="single" w:sz="4" w:space="0" w:color="002C47" w:themeColor="accent1"/>
              <w:left w:val="nil"/>
              <w:bottom w:val="nil"/>
              <w:right w:val="nil"/>
            </w:tcBorders>
            <w:shd w:val="clear" w:color="auto" w:fill="auto"/>
            <w:vAlign w:val="bottom"/>
            <w:hideMark/>
          </w:tcPr>
          <w:p w14:paraId="15DDFE14" w14:textId="2464EC7E" w:rsidR="00977E19" w:rsidRPr="00493DD8" w:rsidRDefault="00977E19" w:rsidP="009464B8">
            <w:pPr>
              <w:pStyle w:val="Tabletextcentred"/>
              <w:rPr>
                <w:lang w:eastAsia="en-AU"/>
              </w:rPr>
            </w:pPr>
          </w:p>
        </w:tc>
      </w:tr>
      <w:tr w:rsidR="00977E19" w:rsidRPr="009464B8" w14:paraId="5814605C" w14:textId="04E667C6" w:rsidTr="009464B8">
        <w:trPr>
          <w:trHeight w:val="290"/>
          <w:jc w:val="center"/>
        </w:trPr>
        <w:tc>
          <w:tcPr>
            <w:tcW w:w="5589" w:type="dxa"/>
            <w:tcBorders>
              <w:top w:val="nil"/>
              <w:left w:val="nil"/>
              <w:bottom w:val="nil"/>
              <w:right w:val="nil"/>
            </w:tcBorders>
            <w:shd w:val="clear" w:color="auto" w:fill="auto"/>
            <w:noWrap/>
            <w:vAlign w:val="bottom"/>
            <w:hideMark/>
          </w:tcPr>
          <w:p w14:paraId="3CDB5946" w14:textId="5DED974D" w:rsidR="00977E19" w:rsidRPr="009464B8" w:rsidRDefault="008E53D6" w:rsidP="009464B8">
            <w:pPr>
              <w:pStyle w:val="Tabletextleft"/>
            </w:pPr>
            <w:r w:rsidRPr="009464B8">
              <w:t>Company</w:t>
            </w:r>
          </w:p>
        </w:tc>
        <w:tc>
          <w:tcPr>
            <w:tcW w:w="2915" w:type="dxa"/>
            <w:tcBorders>
              <w:top w:val="nil"/>
              <w:left w:val="nil"/>
              <w:bottom w:val="nil"/>
              <w:right w:val="nil"/>
            </w:tcBorders>
            <w:shd w:val="clear" w:color="auto" w:fill="auto"/>
            <w:vAlign w:val="bottom"/>
            <w:hideMark/>
          </w:tcPr>
          <w:p w14:paraId="45FCA467" w14:textId="185A6D80" w:rsidR="00977E19" w:rsidRPr="009464B8" w:rsidRDefault="00DB4525" w:rsidP="009464B8">
            <w:pPr>
              <w:pStyle w:val="Tabletextcentred"/>
              <w:rPr>
                <w:lang w:eastAsia="en-AU"/>
              </w:rPr>
            </w:pPr>
            <w:r w:rsidRPr="009464B8">
              <w:t>305.9</w:t>
            </w:r>
          </w:p>
        </w:tc>
      </w:tr>
      <w:tr w:rsidR="003739BA" w:rsidRPr="00120704" w14:paraId="7311EE80" w14:textId="77777777" w:rsidTr="009464B8">
        <w:trPr>
          <w:trHeight w:val="290"/>
          <w:jc w:val="center"/>
        </w:trPr>
        <w:tc>
          <w:tcPr>
            <w:tcW w:w="5589" w:type="dxa"/>
            <w:tcBorders>
              <w:top w:val="nil"/>
              <w:left w:val="nil"/>
              <w:bottom w:val="nil"/>
              <w:right w:val="nil"/>
            </w:tcBorders>
            <w:shd w:val="clear" w:color="auto" w:fill="auto"/>
            <w:noWrap/>
            <w:vAlign w:val="bottom"/>
          </w:tcPr>
          <w:p w14:paraId="320C075A" w14:textId="2AB64931" w:rsidR="003739BA" w:rsidRPr="00493DD8" w:rsidRDefault="008E53D6" w:rsidP="009464B8">
            <w:pPr>
              <w:pStyle w:val="Tabletextleft"/>
            </w:pPr>
            <w:r w:rsidRPr="00493DD8">
              <w:t xml:space="preserve">Partnership </w:t>
            </w:r>
          </w:p>
        </w:tc>
        <w:tc>
          <w:tcPr>
            <w:tcW w:w="2915" w:type="dxa"/>
            <w:tcBorders>
              <w:top w:val="nil"/>
              <w:left w:val="nil"/>
              <w:bottom w:val="nil"/>
              <w:right w:val="nil"/>
            </w:tcBorders>
            <w:shd w:val="clear" w:color="auto" w:fill="auto"/>
            <w:vAlign w:val="bottom"/>
          </w:tcPr>
          <w:p w14:paraId="1282DCD1" w14:textId="60278AEF" w:rsidR="003739BA" w:rsidRPr="00493DD8" w:rsidRDefault="00DB4525" w:rsidP="009464B8">
            <w:pPr>
              <w:pStyle w:val="Tabletextcentred"/>
              <w:rPr>
                <w:lang w:eastAsia="en-AU"/>
              </w:rPr>
            </w:pPr>
            <w:r w:rsidRPr="00493DD8">
              <w:t>53.8</w:t>
            </w:r>
          </w:p>
        </w:tc>
      </w:tr>
      <w:tr w:rsidR="003739BA" w:rsidRPr="00120704" w14:paraId="016AA653" w14:textId="77777777" w:rsidTr="009464B8">
        <w:trPr>
          <w:trHeight w:val="290"/>
          <w:jc w:val="center"/>
        </w:trPr>
        <w:tc>
          <w:tcPr>
            <w:tcW w:w="5589" w:type="dxa"/>
            <w:tcBorders>
              <w:top w:val="nil"/>
              <w:left w:val="nil"/>
              <w:bottom w:val="nil"/>
              <w:right w:val="nil"/>
            </w:tcBorders>
            <w:shd w:val="clear" w:color="auto" w:fill="auto"/>
            <w:noWrap/>
            <w:vAlign w:val="bottom"/>
          </w:tcPr>
          <w:p w14:paraId="11F78E4D" w14:textId="72D6551B" w:rsidR="003739BA" w:rsidRPr="00493DD8" w:rsidRDefault="003739BA" w:rsidP="009464B8">
            <w:pPr>
              <w:pStyle w:val="Tabletextleft"/>
            </w:pPr>
            <w:r w:rsidRPr="00493DD8">
              <w:t>Trust</w:t>
            </w:r>
          </w:p>
        </w:tc>
        <w:tc>
          <w:tcPr>
            <w:tcW w:w="2915" w:type="dxa"/>
            <w:tcBorders>
              <w:top w:val="nil"/>
              <w:left w:val="nil"/>
              <w:bottom w:val="nil"/>
              <w:right w:val="nil"/>
            </w:tcBorders>
            <w:shd w:val="clear" w:color="auto" w:fill="auto"/>
            <w:vAlign w:val="bottom"/>
          </w:tcPr>
          <w:p w14:paraId="611AE5BB" w14:textId="6809DEF2" w:rsidR="003739BA" w:rsidRPr="00493DD8" w:rsidRDefault="00DB4525" w:rsidP="009464B8">
            <w:pPr>
              <w:pStyle w:val="Tabletextcentred"/>
              <w:rPr>
                <w:lang w:eastAsia="en-AU"/>
              </w:rPr>
            </w:pPr>
            <w:r w:rsidRPr="00493DD8">
              <w:t>127.6</w:t>
            </w:r>
          </w:p>
        </w:tc>
      </w:tr>
      <w:tr w:rsidR="003739BA" w:rsidRPr="00120704" w14:paraId="548977E2" w14:textId="77777777" w:rsidTr="009464B8">
        <w:trPr>
          <w:trHeight w:val="290"/>
          <w:jc w:val="center"/>
        </w:trPr>
        <w:tc>
          <w:tcPr>
            <w:tcW w:w="5589" w:type="dxa"/>
            <w:tcBorders>
              <w:top w:val="nil"/>
              <w:left w:val="nil"/>
              <w:bottom w:val="nil"/>
              <w:right w:val="nil"/>
            </w:tcBorders>
            <w:shd w:val="clear" w:color="auto" w:fill="auto"/>
            <w:noWrap/>
            <w:vAlign w:val="bottom"/>
          </w:tcPr>
          <w:p w14:paraId="2C904214" w14:textId="1379E61F" w:rsidR="003739BA" w:rsidRPr="00493DD8" w:rsidRDefault="008E53D6" w:rsidP="009464B8">
            <w:pPr>
              <w:pStyle w:val="Tabletextleft"/>
            </w:pPr>
            <w:r w:rsidRPr="00493DD8">
              <w:t>Individual</w:t>
            </w:r>
          </w:p>
        </w:tc>
        <w:tc>
          <w:tcPr>
            <w:tcW w:w="2915" w:type="dxa"/>
            <w:tcBorders>
              <w:top w:val="nil"/>
              <w:left w:val="nil"/>
              <w:bottom w:val="nil"/>
              <w:right w:val="nil"/>
            </w:tcBorders>
            <w:shd w:val="clear" w:color="auto" w:fill="auto"/>
            <w:vAlign w:val="bottom"/>
          </w:tcPr>
          <w:p w14:paraId="3543B163" w14:textId="5DBAC7DF" w:rsidR="003739BA" w:rsidRPr="00493DD8" w:rsidRDefault="00DB4525" w:rsidP="009464B8">
            <w:pPr>
              <w:pStyle w:val="Tabletextcentred"/>
              <w:rPr>
                <w:lang w:eastAsia="en-AU"/>
              </w:rPr>
            </w:pPr>
            <w:r w:rsidRPr="00493DD8">
              <w:t>330.7</w:t>
            </w:r>
          </w:p>
        </w:tc>
      </w:tr>
      <w:tr w:rsidR="008E53D6" w:rsidRPr="00120704" w14:paraId="28146675" w14:textId="77777777" w:rsidTr="009464B8">
        <w:trPr>
          <w:trHeight w:val="290"/>
          <w:jc w:val="center"/>
        </w:trPr>
        <w:tc>
          <w:tcPr>
            <w:tcW w:w="5589" w:type="dxa"/>
            <w:tcBorders>
              <w:top w:val="nil"/>
              <w:left w:val="nil"/>
              <w:bottom w:val="nil"/>
              <w:right w:val="nil"/>
            </w:tcBorders>
            <w:shd w:val="clear" w:color="auto" w:fill="auto"/>
            <w:noWrap/>
            <w:vAlign w:val="bottom"/>
          </w:tcPr>
          <w:p w14:paraId="1243F8AA" w14:textId="5B1EB8EC" w:rsidR="008E53D6" w:rsidRPr="00493DD8" w:rsidRDefault="008E53D6" w:rsidP="009464B8">
            <w:pPr>
              <w:pStyle w:val="Tabletextleft"/>
            </w:pPr>
            <w:r w:rsidRPr="00493DD8">
              <w:t>Not</w:t>
            </w:r>
            <w:r w:rsidR="00DE2760">
              <w:noBreakHyphen/>
            </w:r>
            <w:r w:rsidRPr="00493DD8">
              <w:t>for</w:t>
            </w:r>
            <w:r w:rsidR="00DE2760">
              <w:noBreakHyphen/>
            </w:r>
            <w:r w:rsidRPr="00493DD8">
              <w:t>profit</w:t>
            </w:r>
          </w:p>
        </w:tc>
        <w:tc>
          <w:tcPr>
            <w:tcW w:w="2915" w:type="dxa"/>
            <w:tcBorders>
              <w:top w:val="nil"/>
              <w:left w:val="nil"/>
              <w:bottom w:val="nil"/>
              <w:right w:val="nil"/>
            </w:tcBorders>
            <w:shd w:val="clear" w:color="auto" w:fill="auto"/>
            <w:vAlign w:val="bottom"/>
          </w:tcPr>
          <w:p w14:paraId="54A75D22" w14:textId="6192ADAC" w:rsidR="008E53D6" w:rsidRPr="00493DD8" w:rsidRDefault="00DB4525" w:rsidP="009464B8">
            <w:pPr>
              <w:pStyle w:val="Tabletextcentred"/>
              <w:rPr>
                <w:lang w:eastAsia="en-AU"/>
              </w:rPr>
            </w:pPr>
            <w:r w:rsidRPr="00493DD8">
              <w:t>15.6</w:t>
            </w:r>
          </w:p>
        </w:tc>
      </w:tr>
      <w:tr w:rsidR="008E53D6" w:rsidRPr="00120704" w14:paraId="58881659" w14:textId="77777777" w:rsidTr="009464B8">
        <w:trPr>
          <w:trHeight w:val="290"/>
          <w:jc w:val="center"/>
        </w:trPr>
        <w:tc>
          <w:tcPr>
            <w:tcW w:w="5589" w:type="dxa"/>
            <w:tcBorders>
              <w:top w:val="nil"/>
              <w:left w:val="nil"/>
              <w:bottom w:val="nil"/>
              <w:right w:val="nil"/>
            </w:tcBorders>
            <w:shd w:val="clear" w:color="auto" w:fill="auto"/>
            <w:noWrap/>
            <w:vAlign w:val="bottom"/>
          </w:tcPr>
          <w:p w14:paraId="57E268F9" w14:textId="73FEFB27" w:rsidR="008E53D6" w:rsidRPr="00493DD8" w:rsidRDefault="008E53D6" w:rsidP="005B477B">
            <w:pPr>
              <w:pStyle w:val="Tabletextleft"/>
            </w:pPr>
            <w:r w:rsidRPr="00493DD8">
              <w:t>Other/</w:t>
            </w:r>
            <w:r w:rsidR="005B477B">
              <w:t>na</w:t>
            </w:r>
          </w:p>
        </w:tc>
        <w:tc>
          <w:tcPr>
            <w:tcW w:w="2915" w:type="dxa"/>
            <w:tcBorders>
              <w:top w:val="nil"/>
              <w:left w:val="nil"/>
              <w:bottom w:val="nil"/>
              <w:right w:val="nil"/>
            </w:tcBorders>
            <w:shd w:val="clear" w:color="auto" w:fill="auto"/>
            <w:vAlign w:val="bottom"/>
          </w:tcPr>
          <w:p w14:paraId="23E209AD" w14:textId="531D7C65" w:rsidR="008E53D6" w:rsidRPr="00493DD8" w:rsidRDefault="00DB4525" w:rsidP="009464B8">
            <w:pPr>
              <w:pStyle w:val="Tabletextcentred"/>
              <w:rPr>
                <w:lang w:eastAsia="en-AU"/>
              </w:rPr>
            </w:pPr>
            <w:r w:rsidRPr="00493DD8">
              <w:t>0.3</w:t>
            </w:r>
          </w:p>
        </w:tc>
      </w:tr>
      <w:tr w:rsidR="003739BA" w:rsidRPr="00120704" w14:paraId="7AA9EE34" w14:textId="77777777" w:rsidTr="009464B8">
        <w:trPr>
          <w:trHeight w:val="290"/>
          <w:jc w:val="center"/>
        </w:trPr>
        <w:tc>
          <w:tcPr>
            <w:tcW w:w="5589" w:type="dxa"/>
            <w:tcBorders>
              <w:top w:val="nil"/>
              <w:left w:val="nil"/>
              <w:bottom w:val="nil"/>
              <w:right w:val="nil"/>
            </w:tcBorders>
            <w:shd w:val="clear" w:color="auto" w:fill="auto"/>
            <w:noWrap/>
            <w:vAlign w:val="bottom"/>
          </w:tcPr>
          <w:p w14:paraId="38C8FC3C" w14:textId="77777777" w:rsidR="003739BA" w:rsidRPr="00493DD8" w:rsidRDefault="003739BA" w:rsidP="009464B8">
            <w:pPr>
              <w:pStyle w:val="Tabletextleft"/>
            </w:pPr>
          </w:p>
        </w:tc>
        <w:tc>
          <w:tcPr>
            <w:tcW w:w="2915" w:type="dxa"/>
            <w:tcBorders>
              <w:top w:val="nil"/>
              <w:left w:val="nil"/>
              <w:bottom w:val="nil"/>
              <w:right w:val="nil"/>
            </w:tcBorders>
            <w:shd w:val="clear" w:color="auto" w:fill="auto"/>
            <w:vAlign w:val="bottom"/>
          </w:tcPr>
          <w:p w14:paraId="11814930" w14:textId="77777777" w:rsidR="003739BA" w:rsidRPr="00493DD8" w:rsidRDefault="003739BA" w:rsidP="009464B8">
            <w:pPr>
              <w:pStyle w:val="Tabletextcentred"/>
              <w:rPr>
                <w:lang w:eastAsia="en-AU"/>
              </w:rPr>
            </w:pPr>
          </w:p>
        </w:tc>
      </w:tr>
      <w:tr w:rsidR="003739BA" w:rsidRPr="00120704" w14:paraId="6BA6B7C8" w14:textId="77777777" w:rsidTr="009464B8">
        <w:trPr>
          <w:trHeight w:val="290"/>
          <w:jc w:val="center"/>
        </w:trPr>
        <w:tc>
          <w:tcPr>
            <w:tcW w:w="5589" w:type="dxa"/>
            <w:tcBorders>
              <w:top w:val="nil"/>
              <w:left w:val="nil"/>
              <w:bottom w:val="nil"/>
              <w:right w:val="nil"/>
            </w:tcBorders>
            <w:shd w:val="clear" w:color="auto" w:fill="auto"/>
            <w:noWrap/>
            <w:vAlign w:val="bottom"/>
          </w:tcPr>
          <w:p w14:paraId="64244284" w14:textId="2947F837" w:rsidR="003739BA" w:rsidRPr="00493DD8" w:rsidRDefault="005623E1" w:rsidP="00D15DA3">
            <w:pPr>
              <w:pStyle w:val="Tablecolumnheadingleft"/>
            </w:pPr>
            <w:r w:rsidRPr="00493DD8">
              <w:t>Businesses b</w:t>
            </w:r>
            <w:r w:rsidR="00F60B40" w:rsidRPr="00493DD8">
              <w:t xml:space="preserve">y annual turnover </w:t>
            </w:r>
            <w:r w:rsidR="00CB5B6D" w:rsidRPr="00493DD8">
              <w:t xml:space="preserve">range </w:t>
            </w:r>
            <w:r w:rsidR="00F60B40" w:rsidRPr="00493DD8">
              <w:t>(201</w:t>
            </w:r>
            <w:r w:rsidR="00CB5B6D" w:rsidRPr="00493DD8">
              <w:t>7</w:t>
            </w:r>
            <w:r w:rsidR="00DE2760">
              <w:noBreakHyphen/>
            </w:r>
            <w:r w:rsidR="00CB5B6D" w:rsidRPr="00493DD8">
              <w:t>18</w:t>
            </w:r>
            <w:r w:rsidR="00F60B40" w:rsidRPr="00493DD8">
              <w:t xml:space="preserve">) </w:t>
            </w:r>
          </w:p>
        </w:tc>
        <w:tc>
          <w:tcPr>
            <w:tcW w:w="2915" w:type="dxa"/>
            <w:tcBorders>
              <w:top w:val="nil"/>
              <w:left w:val="nil"/>
              <w:bottom w:val="nil"/>
              <w:right w:val="nil"/>
            </w:tcBorders>
            <w:shd w:val="clear" w:color="auto" w:fill="auto"/>
            <w:vAlign w:val="bottom"/>
          </w:tcPr>
          <w:p w14:paraId="5E18A515" w14:textId="77777777" w:rsidR="003739BA" w:rsidRPr="00493DD8" w:rsidRDefault="003739BA" w:rsidP="009464B8">
            <w:pPr>
              <w:pStyle w:val="Tabletextcentred"/>
              <w:rPr>
                <w:lang w:eastAsia="en-AU"/>
              </w:rPr>
            </w:pPr>
          </w:p>
        </w:tc>
      </w:tr>
      <w:tr w:rsidR="003739BA" w:rsidRPr="00120704" w14:paraId="4DC8AC2B" w14:textId="77777777" w:rsidTr="009464B8">
        <w:trPr>
          <w:trHeight w:val="290"/>
          <w:jc w:val="center"/>
        </w:trPr>
        <w:tc>
          <w:tcPr>
            <w:tcW w:w="5589" w:type="dxa"/>
            <w:tcBorders>
              <w:top w:val="nil"/>
              <w:left w:val="nil"/>
              <w:bottom w:val="nil"/>
              <w:right w:val="nil"/>
            </w:tcBorders>
            <w:shd w:val="clear" w:color="auto" w:fill="auto"/>
            <w:noWrap/>
            <w:vAlign w:val="bottom"/>
          </w:tcPr>
          <w:p w14:paraId="59392F99" w14:textId="17F6099F" w:rsidR="003739BA" w:rsidRPr="00493DD8" w:rsidRDefault="002C6D3D" w:rsidP="005B477B">
            <w:pPr>
              <w:pStyle w:val="Tabletextleft"/>
            </w:pPr>
            <w:r w:rsidRPr="00493DD8">
              <w:t xml:space="preserve">Nil or </w:t>
            </w:r>
            <w:r w:rsidR="005B477B">
              <w:t>na</w:t>
            </w:r>
          </w:p>
        </w:tc>
        <w:tc>
          <w:tcPr>
            <w:tcW w:w="2915" w:type="dxa"/>
            <w:tcBorders>
              <w:top w:val="nil"/>
              <w:left w:val="nil"/>
              <w:bottom w:val="nil"/>
              <w:right w:val="nil"/>
            </w:tcBorders>
            <w:shd w:val="clear" w:color="auto" w:fill="auto"/>
            <w:vAlign w:val="bottom"/>
          </w:tcPr>
          <w:p w14:paraId="01E3D687" w14:textId="2D3A1186" w:rsidR="003739BA" w:rsidRPr="00493DD8" w:rsidRDefault="00DB4525" w:rsidP="009464B8">
            <w:pPr>
              <w:pStyle w:val="Tabletextcentred"/>
              <w:rPr>
                <w:lang w:eastAsia="en-AU"/>
              </w:rPr>
            </w:pPr>
            <w:r w:rsidRPr="00493DD8">
              <w:t>191.3</w:t>
            </w:r>
          </w:p>
        </w:tc>
      </w:tr>
      <w:tr w:rsidR="003739BA" w:rsidRPr="00120704" w14:paraId="41F1D136" w14:textId="77777777" w:rsidTr="009464B8">
        <w:trPr>
          <w:trHeight w:val="290"/>
          <w:jc w:val="center"/>
        </w:trPr>
        <w:tc>
          <w:tcPr>
            <w:tcW w:w="5589" w:type="dxa"/>
            <w:tcBorders>
              <w:top w:val="nil"/>
              <w:left w:val="nil"/>
              <w:bottom w:val="nil"/>
              <w:right w:val="nil"/>
            </w:tcBorders>
            <w:shd w:val="clear" w:color="auto" w:fill="auto"/>
            <w:noWrap/>
            <w:vAlign w:val="bottom"/>
          </w:tcPr>
          <w:p w14:paraId="2681CDFB" w14:textId="2849B754" w:rsidR="003739BA" w:rsidRPr="00493DD8" w:rsidRDefault="002C6D3D" w:rsidP="009464B8">
            <w:pPr>
              <w:pStyle w:val="Tabletextleft"/>
            </w:pPr>
            <w:r w:rsidRPr="00493DD8">
              <w:t>$0 to $2m</w:t>
            </w:r>
          </w:p>
        </w:tc>
        <w:tc>
          <w:tcPr>
            <w:tcW w:w="2915" w:type="dxa"/>
            <w:tcBorders>
              <w:top w:val="nil"/>
              <w:left w:val="nil"/>
              <w:bottom w:val="nil"/>
              <w:right w:val="nil"/>
            </w:tcBorders>
            <w:shd w:val="clear" w:color="auto" w:fill="auto"/>
            <w:vAlign w:val="bottom"/>
          </w:tcPr>
          <w:p w14:paraId="5CC7E049" w14:textId="27BF0B90" w:rsidR="003739BA" w:rsidRPr="00493DD8" w:rsidRDefault="00DB4525" w:rsidP="009464B8">
            <w:pPr>
              <w:pStyle w:val="Tabletextcentred"/>
              <w:rPr>
                <w:lang w:eastAsia="en-AU"/>
              </w:rPr>
            </w:pPr>
            <w:r w:rsidRPr="00493DD8">
              <w:t>574.5</w:t>
            </w:r>
          </w:p>
        </w:tc>
      </w:tr>
      <w:tr w:rsidR="003739BA" w:rsidRPr="00120704" w14:paraId="60DBF373" w14:textId="77777777" w:rsidTr="009464B8">
        <w:trPr>
          <w:trHeight w:val="290"/>
          <w:jc w:val="center"/>
        </w:trPr>
        <w:tc>
          <w:tcPr>
            <w:tcW w:w="5589" w:type="dxa"/>
            <w:tcBorders>
              <w:top w:val="nil"/>
              <w:left w:val="nil"/>
              <w:bottom w:val="nil"/>
              <w:right w:val="nil"/>
            </w:tcBorders>
            <w:shd w:val="clear" w:color="auto" w:fill="auto"/>
            <w:noWrap/>
            <w:vAlign w:val="bottom"/>
          </w:tcPr>
          <w:p w14:paraId="74F3E1FA" w14:textId="38E51D79" w:rsidR="003739BA" w:rsidRPr="00493DD8" w:rsidRDefault="002C6D3D" w:rsidP="009464B8">
            <w:pPr>
              <w:pStyle w:val="Tabletextleft"/>
            </w:pPr>
            <w:r w:rsidRPr="00493DD8">
              <w:t>$2m to $10m</w:t>
            </w:r>
          </w:p>
        </w:tc>
        <w:tc>
          <w:tcPr>
            <w:tcW w:w="2915" w:type="dxa"/>
            <w:tcBorders>
              <w:top w:val="nil"/>
              <w:left w:val="nil"/>
              <w:bottom w:val="nil"/>
              <w:right w:val="nil"/>
            </w:tcBorders>
            <w:shd w:val="clear" w:color="auto" w:fill="auto"/>
            <w:vAlign w:val="bottom"/>
          </w:tcPr>
          <w:p w14:paraId="4B311A19" w14:textId="672B4A88" w:rsidR="003739BA" w:rsidRPr="00493DD8" w:rsidRDefault="00DB4525" w:rsidP="009464B8">
            <w:pPr>
              <w:pStyle w:val="Tabletextcentred"/>
              <w:rPr>
                <w:lang w:eastAsia="en-AU"/>
              </w:rPr>
            </w:pPr>
            <w:r w:rsidRPr="00493DD8">
              <w:t>43.7</w:t>
            </w:r>
          </w:p>
        </w:tc>
      </w:tr>
      <w:tr w:rsidR="003739BA" w:rsidRPr="00120704" w14:paraId="57BF0CF6" w14:textId="77777777" w:rsidTr="009464B8">
        <w:trPr>
          <w:trHeight w:val="290"/>
          <w:jc w:val="center"/>
        </w:trPr>
        <w:tc>
          <w:tcPr>
            <w:tcW w:w="5589" w:type="dxa"/>
            <w:tcBorders>
              <w:top w:val="nil"/>
              <w:left w:val="nil"/>
              <w:bottom w:val="nil"/>
              <w:right w:val="nil"/>
            </w:tcBorders>
            <w:shd w:val="clear" w:color="auto" w:fill="auto"/>
            <w:noWrap/>
            <w:vAlign w:val="bottom"/>
          </w:tcPr>
          <w:p w14:paraId="71176C20" w14:textId="265802C8" w:rsidR="003739BA" w:rsidRPr="00493DD8" w:rsidRDefault="002C6D3D" w:rsidP="009464B8">
            <w:pPr>
              <w:pStyle w:val="Tabletextleft"/>
            </w:pPr>
            <w:r w:rsidRPr="00493DD8">
              <w:t>$10m</w:t>
            </w:r>
            <w:r w:rsidR="00DE2760">
              <w:noBreakHyphen/>
            </w:r>
            <w:r w:rsidRPr="00493DD8">
              <w:t>$50m</w:t>
            </w:r>
          </w:p>
        </w:tc>
        <w:tc>
          <w:tcPr>
            <w:tcW w:w="2915" w:type="dxa"/>
            <w:tcBorders>
              <w:top w:val="nil"/>
              <w:left w:val="nil"/>
              <w:bottom w:val="nil"/>
              <w:right w:val="nil"/>
            </w:tcBorders>
            <w:shd w:val="clear" w:color="auto" w:fill="auto"/>
            <w:vAlign w:val="bottom"/>
          </w:tcPr>
          <w:p w14:paraId="2A9BF04D" w14:textId="02D73E98" w:rsidR="003739BA" w:rsidRPr="00493DD8" w:rsidRDefault="00DB4525" w:rsidP="009464B8">
            <w:pPr>
              <w:pStyle w:val="Tabletextcentred"/>
              <w:rPr>
                <w:lang w:eastAsia="en-AU"/>
              </w:rPr>
            </w:pPr>
            <w:r w:rsidRPr="00493DD8">
              <w:t>7.6</w:t>
            </w:r>
          </w:p>
        </w:tc>
      </w:tr>
      <w:tr w:rsidR="003739BA" w:rsidRPr="00120704" w14:paraId="2E98613C" w14:textId="77777777" w:rsidTr="009464B8">
        <w:trPr>
          <w:trHeight w:val="290"/>
          <w:jc w:val="center"/>
        </w:trPr>
        <w:tc>
          <w:tcPr>
            <w:tcW w:w="5589" w:type="dxa"/>
            <w:tcBorders>
              <w:top w:val="nil"/>
              <w:left w:val="nil"/>
              <w:bottom w:val="nil"/>
              <w:right w:val="nil"/>
            </w:tcBorders>
            <w:shd w:val="clear" w:color="auto" w:fill="auto"/>
            <w:noWrap/>
            <w:vAlign w:val="bottom"/>
          </w:tcPr>
          <w:p w14:paraId="5761251D" w14:textId="66682193" w:rsidR="003739BA" w:rsidRPr="00493DD8" w:rsidRDefault="002C6D3D" w:rsidP="009464B8">
            <w:pPr>
              <w:pStyle w:val="Tabletextleft"/>
            </w:pPr>
            <w:r w:rsidRPr="00493DD8">
              <w:t>$50m</w:t>
            </w:r>
            <w:r w:rsidR="00DE2760">
              <w:noBreakHyphen/>
            </w:r>
            <w:r w:rsidRPr="00493DD8">
              <w:t>$100m</w:t>
            </w:r>
          </w:p>
        </w:tc>
        <w:tc>
          <w:tcPr>
            <w:tcW w:w="2915" w:type="dxa"/>
            <w:tcBorders>
              <w:top w:val="nil"/>
              <w:left w:val="nil"/>
              <w:bottom w:val="nil"/>
              <w:right w:val="nil"/>
            </w:tcBorders>
            <w:shd w:val="clear" w:color="auto" w:fill="auto"/>
            <w:vAlign w:val="bottom"/>
          </w:tcPr>
          <w:p w14:paraId="44D9AB04" w14:textId="1688F203" w:rsidR="003739BA" w:rsidRPr="00493DD8" w:rsidRDefault="00DB4525" w:rsidP="009464B8">
            <w:pPr>
              <w:pStyle w:val="Tabletextcentred"/>
              <w:rPr>
                <w:lang w:eastAsia="en-AU"/>
              </w:rPr>
            </w:pPr>
            <w:r w:rsidRPr="00493DD8">
              <w:t>0.7</w:t>
            </w:r>
          </w:p>
        </w:tc>
      </w:tr>
      <w:tr w:rsidR="003739BA" w:rsidRPr="00120704" w14:paraId="2B270A44" w14:textId="77777777" w:rsidTr="009464B8">
        <w:trPr>
          <w:trHeight w:val="290"/>
          <w:jc w:val="center"/>
        </w:trPr>
        <w:tc>
          <w:tcPr>
            <w:tcW w:w="5589" w:type="dxa"/>
            <w:tcBorders>
              <w:top w:val="nil"/>
              <w:left w:val="nil"/>
              <w:bottom w:val="nil"/>
              <w:right w:val="nil"/>
            </w:tcBorders>
            <w:shd w:val="clear" w:color="auto" w:fill="auto"/>
            <w:noWrap/>
            <w:vAlign w:val="bottom"/>
          </w:tcPr>
          <w:p w14:paraId="75E55E20" w14:textId="0FAAAFA2" w:rsidR="003739BA" w:rsidRPr="00493DD8" w:rsidRDefault="002C6D3D" w:rsidP="009464B8">
            <w:pPr>
              <w:pStyle w:val="Tabletextleft"/>
            </w:pPr>
            <w:r w:rsidRPr="00493DD8">
              <w:t>$100m</w:t>
            </w:r>
            <w:r w:rsidR="00DE2760">
              <w:noBreakHyphen/>
            </w:r>
            <w:r w:rsidRPr="00493DD8">
              <w:t>$500m</w:t>
            </w:r>
          </w:p>
        </w:tc>
        <w:tc>
          <w:tcPr>
            <w:tcW w:w="2915" w:type="dxa"/>
            <w:tcBorders>
              <w:top w:val="nil"/>
              <w:left w:val="nil"/>
              <w:bottom w:val="nil"/>
              <w:right w:val="nil"/>
            </w:tcBorders>
            <w:shd w:val="clear" w:color="auto" w:fill="auto"/>
            <w:vAlign w:val="bottom"/>
          </w:tcPr>
          <w:p w14:paraId="7B58F62B" w14:textId="1EB917B0" w:rsidR="003739BA" w:rsidRPr="00493DD8" w:rsidRDefault="00DB4525" w:rsidP="009464B8">
            <w:pPr>
              <w:pStyle w:val="Tabletextcentred"/>
              <w:rPr>
                <w:lang w:eastAsia="en-AU"/>
              </w:rPr>
            </w:pPr>
            <w:r w:rsidRPr="00493DD8">
              <w:t>0.4</w:t>
            </w:r>
          </w:p>
        </w:tc>
      </w:tr>
      <w:tr w:rsidR="008433B6" w:rsidRPr="00120704" w14:paraId="736C94C1" w14:textId="77777777" w:rsidTr="00D15DA3">
        <w:trPr>
          <w:trHeight w:val="290"/>
          <w:jc w:val="center"/>
        </w:trPr>
        <w:tc>
          <w:tcPr>
            <w:tcW w:w="5589" w:type="dxa"/>
            <w:tcBorders>
              <w:top w:val="nil"/>
              <w:left w:val="nil"/>
              <w:right w:val="nil"/>
            </w:tcBorders>
            <w:shd w:val="clear" w:color="auto" w:fill="auto"/>
            <w:noWrap/>
            <w:vAlign w:val="bottom"/>
          </w:tcPr>
          <w:p w14:paraId="38DBDE06" w14:textId="54DBD561" w:rsidR="008433B6" w:rsidRPr="00493DD8" w:rsidRDefault="002C6D3D" w:rsidP="00FD4816">
            <w:pPr>
              <w:pStyle w:val="Tabletextleft"/>
            </w:pPr>
            <w:r w:rsidRPr="00493DD8">
              <w:t>$500m</w:t>
            </w:r>
            <w:r w:rsidR="00DE2760">
              <w:noBreakHyphen/>
            </w:r>
            <w:r w:rsidRPr="00493DD8">
              <w:t>$1b</w:t>
            </w:r>
          </w:p>
        </w:tc>
        <w:tc>
          <w:tcPr>
            <w:tcW w:w="2915" w:type="dxa"/>
            <w:tcBorders>
              <w:top w:val="nil"/>
              <w:left w:val="nil"/>
              <w:right w:val="nil"/>
            </w:tcBorders>
            <w:shd w:val="clear" w:color="auto" w:fill="auto"/>
            <w:vAlign w:val="bottom"/>
          </w:tcPr>
          <w:p w14:paraId="65E16D0F" w14:textId="56AA838F" w:rsidR="008433B6" w:rsidRPr="00493DD8" w:rsidRDefault="00452365" w:rsidP="009464B8">
            <w:pPr>
              <w:pStyle w:val="Tabletextcentred"/>
              <w:rPr>
                <w:lang w:eastAsia="en-AU"/>
              </w:rPr>
            </w:pPr>
            <w:r w:rsidRPr="00493DD8">
              <w:t>&lt;</w:t>
            </w:r>
            <w:r w:rsidR="00121609" w:rsidRPr="00493DD8">
              <w:t>0.1</w:t>
            </w:r>
          </w:p>
        </w:tc>
      </w:tr>
      <w:tr w:rsidR="008433B6" w:rsidRPr="00120704" w14:paraId="44478581" w14:textId="77777777" w:rsidTr="00D15DA3">
        <w:trPr>
          <w:trHeight w:val="290"/>
          <w:jc w:val="center"/>
        </w:trPr>
        <w:tc>
          <w:tcPr>
            <w:tcW w:w="5589" w:type="dxa"/>
            <w:tcBorders>
              <w:top w:val="nil"/>
              <w:left w:val="nil"/>
              <w:bottom w:val="single" w:sz="12" w:space="0" w:color="002C47" w:themeColor="accent1"/>
              <w:right w:val="nil"/>
            </w:tcBorders>
            <w:shd w:val="clear" w:color="auto" w:fill="auto"/>
            <w:noWrap/>
            <w:vAlign w:val="bottom"/>
          </w:tcPr>
          <w:p w14:paraId="2793B09E" w14:textId="1095C20F" w:rsidR="008433B6" w:rsidRPr="00493DD8" w:rsidRDefault="002C6D3D" w:rsidP="00FD4816">
            <w:pPr>
              <w:pStyle w:val="Tabletextleft"/>
            </w:pPr>
            <w:r w:rsidRPr="00493DD8">
              <w:t>&gt;$1b</w:t>
            </w:r>
          </w:p>
        </w:tc>
        <w:tc>
          <w:tcPr>
            <w:tcW w:w="2915" w:type="dxa"/>
            <w:tcBorders>
              <w:top w:val="nil"/>
              <w:left w:val="nil"/>
              <w:bottom w:val="single" w:sz="12" w:space="0" w:color="002C47" w:themeColor="accent1"/>
              <w:right w:val="nil"/>
            </w:tcBorders>
            <w:shd w:val="clear" w:color="auto" w:fill="auto"/>
            <w:vAlign w:val="bottom"/>
          </w:tcPr>
          <w:p w14:paraId="67EB64A7" w14:textId="34BD14F8" w:rsidR="008433B6" w:rsidRPr="00493DD8" w:rsidRDefault="00452365" w:rsidP="009464B8">
            <w:pPr>
              <w:pStyle w:val="Tabletextcentred"/>
              <w:rPr>
                <w:lang w:eastAsia="en-AU"/>
              </w:rPr>
            </w:pPr>
            <w:r w:rsidRPr="00493DD8">
              <w:t>&lt;</w:t>
            </w:r>
            <w:r w:rsidR="00121609" w:rsidRPr="00493DD8">
              <w:t>0.1</w:t>
            </w:r>
          </w:p>
        </w:tc>
      </w:tr>
    </w:tbl>
    <w:p w14:paraId="4A200FD2" w14:textId="5D30D313" w:rsidR="00431BE7" w:rsidRPr="00493DD8" w:rsidRDefault="0009096A" w:rsidP="00D15DA3">
      <w:pPr>
        <w:pStyle w:val="FiguretableNote"/>
      </w:pPr>
      <w:r w:rsidRPr="00493DD8">
        <w:t>Note</w:t>
      </w:r>
      <w:r w:rsidR="00431BE7" w:rsidRPr="00493DD8">
        <w:t>s</w:t>
      </w:r>
      <w:r w:rsidRPr="00493DD8">
        <w:t xml:space="preserve">: </w:t>
      </w:r>
    </w:p>
    <w:p w14:paraId="416F811B" w14:textId="4764ED6D" w:rsidR="00186850" w:rsidRPr="00493DD8" w:rsidRDefault="00D21027" w:rsidP="009464B8">
      <w:pPr>
        <w:pStyle w:val="FiguretableNote"/>
        <w:numPr>
          <w:ilvl w:val="0"/>
          <w:numId w:val="16"/>
        </w:numPr>
        <w:ind w:left="360"/>
      </w:pPr>
      <w:r w:rsidRPr="00493DD8">
        <w:t xml:space="preserve">These </w:t>
      </w:r>
      <w:r w:rsidR="00186850" w:rsidRPr="00493DD8">
        <w:t xml:space="preserve">calculations are based on unit record data </w:t>
      </w:r>
      <w:r w:rsidRPr="00493DD8">
        <w:t xml:space="preserve">for payments made in relation to the April </w:t>
      </w:r>
      <w:r w:rsidR="00AD7314">
        <w:t xml:space="preserve">2020 </w:t>
      </w:r>
      <w:r w:rsidRPr="00493DD8">
        <w:t xml:space="preserve">JobKeeper fortnights. </w:t>
      </w:r>
      <w:r w:rsidR="009F1A85" w:rsidRPr="00493DD8">
        <w:t xml:space="preserve">The data are </w:t>
      </w:r>
      <w:r w:rsidR="00AE4B03" w:rsidRPr="00493DD8">
        <w:t xml:space="preserve">as at </w:t>
      </w:r>
      <w:r w:rsidR="003C2339" w:rsidRPr="00493DD8">
        <w:t>9</w:t>
      </w:r>
      <w:r w:rsidR="00AE4B03" w:rsidRPr="00493DD8">
        <w:t xml:space="preserve"> June 2020 and </w:t>
      </w:r>
      <w:r w:rsidR="009F1A85" w:rsidRPr="00493DD8">
        <w:t>subject to change.</w:t>
      </w:r>
      <w:r w:rsidR="00EE56DB" w:rsidRPr="00493DD8">
        <w:t xml:space="preserve"> </w:t>
      </w:r>
      <w:r w:rsidR="00186850" w:rsidRPr="00493DD8">
        <w:t xml:space="preserve">Differences may be due to rounding. </w:t>
      </w:r>
      <w:r w:rsidR="005B477B">
        <w:t xml:space="preserve">na denotes not applicable. </w:t>
      </w:r>
    </w:p>
    <w:p w14:paraId="42310C34" w14:textId="2270CB9F" w:rsidR="00431BE7" w:rsidRPr="00493DD8" w:rsidRDefault="00FA760B" w:rsidP="009464B8">
      <w:pPr>
        <w:pStyle w:val="FiguretableNote"/>
        <w:numPr>
          <w:ilvl w:val="0"/>
          <w:numId w:val="16"/>
        </w:numPr>
        <w:ind w:left="360"/>
      </w:pPr>
      <w:r w:rsidRPr="00493DD8">
        <w:t>Organisations include businesses and not</w:t>
      </w:r>
      <w:r w:rsidR="00DE2760">
        <w:noBreakHyphen/>
      </w:r>
      <w:r w:rsidRPr="00493DD8">
        <w:t>for</w:t>
      </w:r>
      <w:r w:rsidR="00DE2760">
        <w:noBreakHyphen/>
      </w:r>
      <w:r w:rsidRPr="00493DD8">
        <w:t>profit organisations</w:t>
      </w:r>
      <w:r w:rsidR="00CE19B4" w:rsidRPr="00493DD8">
        <w:t xml:space="preserve">. </w:t>
      </w:r>
      <w:r w:rsidR="0031133B" w:rsidRPr="00493DD8">
        <w:t xml:space="preserve">Businesses include all companies, </w:t>
      </w:r>
      <w:r w:rsidR="00834DBE">
        <w:t xml:space="preserve">partnerships, </w:t>
      </w:r>
      <w:r w:rsidR="0031133B" w:rsidRPr="00493DD8">
        <w:t xml:space="preserve">trusts, plus individuals with business income (sole traders). </w:t>
      </w:r>
    </w:p>
    <w:p w14:paraId="2170995D" w14:textId="72149E9E" w:rsidR="00431BE7" w:rsidRPr="00493DD8" w:rsidRDefault="0031133B" w:rsidP="009464B8">
      <w:pPr>
        <w:pStyle w:val="FiguretableNote"/>
        <w:numPr>
          <w:ilvl w:val="0"/>
          <w:numId w:val="16"/>
        </w:numPr>
        <w:ind w:left="360"/>
      </w:pPr>
      <w:r w:rsidRPr="00493DD8">
        <w:t xml:space="preserve">Turnover </w:t>
      </w:r>
      <w:r w:rsidR="00602AB4" w:rsidRPr="00493DD8">
        <w:t xml:space="preserve">range </w:t>
      </w:r>
      <w:r w:rsidRPr="00493DD8">
        <w:t>is</w:t>
      </w:r>
      <w:r w:rsidR="0090279E" w:rsidRPr="00493DD8">
        <w:t xml:space="preserve"> based on 2017</w:t>
      </w:r>
      <w:r w:rsidR="00DE2760">
        <w:noBreakHyphen/>
      </w:r>
      <w:r w:rsidR="0090279E" w:rsidRPr="00493DD8">
        <w:t xml:space="preserve">18 income tax returns and </w:t>
      </w:r>
      <w:r w:rsidRPr="00493DD8">
        <w:t xml:space="preserve">the data shown </w:t>
      </w:r>
      <w:r w:rsidR="0090279E" w:rsidRPr="00493DD8">
        <w:rPr>
          <w:u w:val="single"/>
        </w:rPr>
        <w:t>exclude</w:t>
      </w:r>
      <w:r w:rsidR="0090279E" w:rsidRPr="00493DD8">
        <w:t xml:space="preserve"> not</w:t>
      </w:r>
      <w:r w:rsidR="00DE2760">
        <w:noBreakHyphen/>
      </w:r>
      <w:r w:rsidR="0090279E" w:rsidRPr="00493DD8">
        <w:t>for</w:t>
      </w:r>
      <w:r w:rsidR="00DE2760">
        <w:noBreakHyphen/>
      </w:r>
      <w:r w:rsidR="0090279E" w:rsidRPr="00493DD8">
        <w:t>profit organisations.</w:t>
      </w:r>
      <w:r w:rsidR="004A6650" w:rsidRPr="00493DD8">
        <w:t xml:space="preserve"> </w:t>
      </w:r>
      <w:r w:rsidR="00431BE7" w:rsidRPr="00493DD8">
        <w:t>Entities with a nil or N/A turnover may be due to a number of factors, including entities without lodgement requirements in 2017</w:t>
      </w:r>
      <w:r w:rsidR="00DE2760">
        <w:noBreakHyphen/>
      </w:r>
      <w:r w:rsidR="00431BE7" w:rsidRPr="00493DD8">
        <w:t xml:space="preserve">18, entities that had not yet lodged at the time of the data extract (October 2019) or entities that have lodged but did not have any turnover (business income). </w:t>
      </w:r>
    </w:p>
    <w:p w14:paraId="0B1AED04" w14:textId="5CA58C6A" w:rsidR="006F52BF" w:rsidRPr="00493DD8" w:rsidRDefault="00977E19" w:rsidP="009464B8">
      <w:pPr>
        <w:pStyle w:val="FiguretableNote"/>
        <w:rPr>
          <w:b/>
        </w:rPr>
      </w:pPr>
      <w:r w:rsidRPr="00493DD8">
        <w:rPr>
          <w:rFonts w:cstheme="minorHAnsi"/>
        </w:rPr>
        <w:t xml:space="preserve">Source: </w:t>
      </w:r>
      <w:r w:rsidR="00EE56DB" w:rsidRPr="00493DD8">
        <w:rPr>
          <w:rFonts w:cstheme="minorHAnsi"/>
        </w:rPr>
        <w:t xml:space="preserve">Treasury calculations based on </w:t>
      </w:r>
      <w:r w:rsidRPr="00493DD8">
        <w:rPr>
          <w:rFonts w:cstheme="minorHAnsi"/>
        </w:rPr>
        <w:t>ATO administrative data</w:t>
      </w:r>
    </w:p>
    <w:p w14:paraId="7C18BE33" w14:textId="24C600BF" w:rsidR="00F60B40" w:rsidRDefault="00F60B40" w:rsidP="008433B6">
      <w:pPr>
        <w:jc w:val="center"/>
        <w:rPr>
          <w:b/>
        </w:rPr>
      </w:pPr>
    </w:p>
    <w:p w14:paraId="5B175D34" w14:textId="77777777" w:rsidR="00626935" w:rsidRDefault="00626935" w:rsidP="008433B6">
      <w:pPr>
        <w:jc w:val="center"/>
        <w:rPr>
          <w:b/>
        </w:rPr>
      </w:pPr>
    </w:p>
    <w:p w14:paraId="66C8C1A5" w14:textId="2004878C" w:rsidR="008235D6" w:rsidRPr="00493DD8" w:rsidRDefault="008235D6" w:rsidP="00755C53">
      <w:pPr>
        <w:pStyle w:val="Tableheading"/>
      </w:pPr>
      <w:bookmarkStart w:id="1197" w:name="_Toc43462908"/>
      <w:bookmarkStart w:id="1198" w:name="_Toc43466288"/>
      <w:bookmarkStart w:id="1199" w:name="_Toc43469280"/>
      <w:bookmarkStart w:id="1200" w:name="_Toc43469675"/>
      <w:bookmarkStart w:id="1201" w:name="_Toc43469951"/>
      <w:bookmarkStart w:id="1202" w:name="_Toc43469965"/>
      <w:bookmarkStart w:id="1203" w:name="_Toc43729214"/>
      <w:bookmarkStart w:id="1204" w:name="_Toc43730802"/>
      <w:bookmarkStart w:id="1205" w:name="_Toc43732052"/>
      <w:bookmarkStart w:id="1206" w:name="_Toc43733870"/>
      <w:bookmarkStart w:id="1207" w:name="_Toc43734773"/>
      <w:bookmarkStart w:id="1208" w:name="_Toc43738753"/>
      <w:bookmarkStart w:id="1209" w:name="_Toc43743065"/>
      <w:bookmarkStart w:id="1210" w:name="_Toc43996235"/>
      <w:bookmarkStart w:id="1211" w:name="_Toc43998494"/>
      <w:bookmarkStart w:id="1212" w:name="_Toc43998421"/>
      <w:bookmarkStart w:id="1213" w:name="_Toc44069943"/>
      <w:bookmarkStart w:id="1214" w:name="_Toc44071347"/>
      <w:bookmarkStart w:id="1215" w:name="_Toc44073471"/>
      <w:bookmarkStart w:id="1216" w:name="_Toc44074611"/>
      <w:bookmarkStart w:id="1217" w:name="_Toc44079500"/>
      <w:bookmarkStart w:id="1218" w:name="_Toc44079795"/>
      <w:bookmarkStart w:id="1219" w:name="_Toc44079930"/>
      <w:bookmarkStart w:id="1220" w:name="_Toc44319841"/>
      <w:bookmarkStart w:id="1221" w:name="_Toc44321549"/>
      <w:bookmarkStart w:id="1222" w:name="_Toc44323716"/>
      <w:bookmarkStart w:id="1223" w:name="_Toc44326179"/>
      <w:bookmarkStart w:id="1224" w:name="_Toc44330501"/>
      <w:bookmarkStart w:id="1225" w:name="_Toc44330743"/>
      <w:bookmarkStart w:id="1226" w:name="_Toc44333175"/>
      <w:bookmarkStart w:id="1227" w:name="_Toc44334806"/>
      <w:bookmarkStart w:id="1228" w:name="_Toc45227451"/>
      <w:bookmarkStart w:id="1229" w:name="_Toc45799052"/>
      <w:r w:rsidRPr="00493DD8">
        <w:lastRenderedPageBreak/>
        <w:t xml:space="preserve">Table </w:t>
      </w:r>
      <w:r w:rsidR="00F3083C" w:rsidRPr="00493DD8">
        <w:t>A</w:t>
      </w:r>
      <w:r w:rsidR="00CD509D" w:rsidRPr="00493DD8">
        <w:t>2</w:t>
      </w:r>
      <w:r w:rsidRPr="00493DD8">
        <w:t xml:space="preserve">: Number of organisations that have </w:t>
      </w:r>
      <w:r w:rsidR="00A6496C" w:rsidRPr="00493DD8">
        <w:t>received</w:t>
      </w:r>
      <w:r w:rsidRPr="00493DD8">
        <w:t xml:space="preserve"> JobKeeper </w:t>
      </w:r>
      <w:r w:rsidR="00A6496C" w:rsidRPr="00493DD8">
        <w:t>payments</w:t>
      </w:r>
      <w:r w:rsidRPr="00493DD8">
        <w:t xml:space="preserve">, by </w:t>
      </w:r>
      <w:r w:rsidR="00EC70FA" w:rsidRPr="00493DD8">
        <w:t>employment size and State and Territory</w:t>
      </w:r>
      <w:r w:rsidRPr="00493DD8">
        <w:t xml:space="preserve">, </w:t>
      </w:r>
      <w:r w:rsidR="00A62C6C" w:rsidRPr="00493DD8">
        <w:t xml:space="preserve">for the </w:t>
      </w:r>
      <w:r w:rsidRPr="00493DD8">
        <w:t>April 2020</w:t>
      </w:r>
      <w:r w:rsidR="00A62C6C" w:rsidRPr="00493DD8">
        <w:t xml:space="preserve"> JobKeeper fortnights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tbl>
      <w:tblPr>
        <w:tblW w:w="5000" w:type="pct"/>
        <w:jc w:val="center"/>
        <w:tblLook w:val="04A0" w:firstRow="1" w:lastRow="0" w:firstColumn="1" w:lastColumn="0" w:noHBand="0" w:noVBand="1"/>
        <w:tblCaption w:val="Table A2: Number of organisations that have received JobKeeper payments, by employment size and State and Territory, for the April 2020 JobKeeper fortnights"/>
        <w:tblDescription w:val="This table breaks down the number of organisations that have received JobKeeper payments in April 2020 by employment size and by state and territory. Of the organisations that received JobKeeper payments: 383,400 had zero employees; 248,500 had 1 to 4 employees; 78,500 had 5 to 9 employees; 58,700 had 10 to 19 employees; and 64,700 had more than 20 employees. By state and territory: 290,600 organisations were in New South Wales; 228,200 were in Victoria; 158,500 were in Queensland; 78,700 were in Western Australia; 49,400 were in South Australia; 13,900 were in Tasmania; 10,100 were in the Australian Capital Territory; 4,500 were in the Northern Territory; and 0 were classified as other or NA."/>
      </w:tblPr>
      <w:tblGrid>
        <w:gridCol w:w="5683"/>
        <w:gridCol w:w="2964"/>
      </w:tblGrid>
      <w:tr w:rsidR="008235D6" w:rsidRPr="00120704" w14:paraId="6CBDB036" w14:textId="77777777" w:rsidTr="005B477B">
        <w:trPr>
          <w:trHeight w:val="567"/>
          <w:jc w:val="center"/>
        </w:trPr>
        <w:tc>
          <w:tcPr>
            <w:tcW w:w="5589" w:type="dxa"/>
            <w:tcBorders>
              <w:top w:val="single" w:sz="12" w:space="0" w:color="002C47" w:themeColor="accent1"/>
              <w:left w:val="nil"/>
              <w:bottom w:val="single" w:sz="4" w:space="0" w:color="002C47" w:themeColor="accent1"/>
              <w:right w:val="nil"/>
            </w:tcBorders>
            <w:shd w:val="clear" w:color="auto" w:fill="auto"/>
            <w:noWrap/>
            <w:vAlign w:val="center"/>
            <w:hideMark/>
          </w:tcPr>
          <w:p w14:paraId="3EB9CBD5" w14:textId="77777777" w:rsidR="008235D6" w:rsidRPr="00493DD8" w:rsidRDefault="008235D6" w:rsidP="00351B3E">
            <w:pPr>
              <w:pStyle w:val="Tablecolumnheadingleft"/>
            </w:pPr>
            <w:r w:rsidRPr="00493DD8">
              <w:t>Characteristic</w:t>
            </w:r>
          </w:p>
        </w:tc>
        <w:tc>
          <w:tcPr>
            <w:tcW w:w="2915" w:type="dxa"/>
            <w:tcBorders>
              <w:top w:val="single" w:sz="12" w:space="0" w:color="002C47" w:themeColor="accent1"/>
              <w:left w:val="nil"/>
              <w:bottom w:val="single" w:sz="4" w:space="0" w:color="002C47" w:themeColor="accent1"/>
              <w:right w:val="nil"/>
            </w:tcBorders>
            <w:shd w:val="clear" w:color="auto" w:fill="auto"/>
            <w:vAlign w:val="center"/>
            <w:hideMark/>
          </w:tcPr>
          <w:p w14:paraId="4B9E299A" w14:textId="77777777" w:rsidR="00525D99" w:rsidRPr="00493DD8" w:rsidRDefault="00525D99" w:rsidP="00351B3E">
            <w:pPr>
              <w:pStyle w:val="Tablecolumnheadingcentre"/>
            </w:pPr>
            <w:r w:rsidRPr="00493DD8">
              <w:t>Organisations</w:t>
            </w:r>
          </w:p>
          <w:p w14:paraId="78CD9047" w14:textId="4BC15646" w:rsidR="008235D6" w:rsidRPr="00493DD8" w:rsidRDefault="00525D99" w:rsidP="00351B3E">
            <w:pPr>
              <w:pStyle w:val="Tablecolumnheadingcentre"/>
            </w:pPr>
            <w:r w:rsidRPr="00493DD8">
              <w:t>(</w:t>
            </w:r>
            <w:r w:rsidR="00DE2760">
              <w:t>‘</w:t>
            </w:r>
            <w:r w:rsidRPr="00493DD8">
              <w:t>000)</w:t>
            </w:r>
          </w:p>
        </w:tc>
      </w:tr>
      <w:tr w:rsidR="008235D6" w:rsidRPr="00120704" w14:paraId="56B7FD4D" w14:textId="77777777" w:rsidTr="00D15DA3">
        <w:trPr>
          <w:trHeight w:val="290"/>
          <w:jc w:val="center"/>
        </w:trPr>
        <w:tc>
          <w:tcPr>
            <w:tcW w:w="5589" w:type="dxa"/>
            <w:tcBorders>
              <w:top w:val="single" w:sz="4" w:space="0" w:color="002C47" w:themeColor="accent1"/>
              <w:left w:val="nil"/>
              <w:bottom w:val="nil"/>
              <w:right w:val="nil"/>
            </w:tcBorders>
            <w:shd w:val="clear" w:color="auto" w:fill="auto"/>
            <w:noWrap/>
            <w:vAlign w:val="bottom"/>
            <w:hideMark/>
          </w:tcPr>
          <w:p w14:paraId="441E062C" w14:textId="59BDF5BF" w:rsidR="008235D6" w:rsidRPr="00493DD8" w:rsidRDefault="008235D6" w:rsidP="00D15DA3">
            <w:pPr>
              <w:pStyle w:val="Tablecolumnheadingleft"/>
            </w:pPr>
            <w:r w:rsidRPr="00493DD8">
              <w:t xml:space="preserve">Organisations by employment size </w:t>
            </w:r>
          </w:p>
        </w:tc>
        <w:tc>
          <w:tcPr>
            <w:tcW w:w="2915" w:type="dxa"/>
            <w:tcBorders>
              <w:top w:val="single" w:sz="4" w:space="0" w:color="002C47" w:themeColor="accent1"/>
              <w:left w:val="nil"/>
              <w:bottom w:val="nil"/>
              <w:right w:val="nil"/>
            </w:tcBorders>
            <w:shd w:val="clear" w:color="auto" w:fill="auto"/>
            <w:vAlign w:val="bottom"/>
            <w:hideMark/>
          </w:tcPr>
          <w:p w14:paraId="4EDF97E1" w14:textId="77777777" w:rsidR="008235D6" w:rsidRPr="00493DD8" w:rsidRDefault="008235D6" w:rsidP="00D15DA3">
            <w:pPr>
              <w:pStyle w:val="Tabletextcentred"/>
              <w:rPr>
                <w:lang w:eastAsia="en-AU"/>
              </w:rPr>
            </w:pPr>
          </w:p>
        </w:tc>
      </w:tr>
      <w:tr w:rsidR="008235D6" w:rsidRPr="00120704" w14:paraId="7518D659" w14:textId="77777777" w:rsidTr="00D15DA3">
        <w:trPr>
          <w:trHeight w:val="290"/>
          <w:jc w:val="center"/>
        </w:trPr>
        <w:tc>
          <w:tcPr>
            <w:tcW w:w="5589" w:type="dxa"/>
            <w:tcBorders>
              <w:top w:val="nil"/>
              <w:left w:val="nil"/>
              <w:bottom w:val="nil"/>
              <w:right w:val="nil"/>
            </w:tcBorders>
            <w:shd w:val="clear" w:color="auto" w:fill="auto"/>
            <w:noWrap/>
            <w:vAlign w:val="bottom"/>
            <w:hideMark/>
          </w:tcPr>
          <w:p w14:paraId="6B7D61B7" w14:textId="219B63CD" w:rsidR="008235D6" w:rsidRPr="00493DD8" w:rsidRDefault="008235D6" w:rsidP="00D15DA3">
            <w:pPr>
              <w:pStyle w:val="Tabletextleft"/>
            </w:pPr>
            <w:r w:rsidRPr="00493DD8">
              <w:t xml:space="preserve">Zero </w:t>
            </w:r>
          </w:p>
        </w:tc>
        <w:tc>
          <w:tcPr>
            <w:tcW w:w="2915" w:type="dxa"/>
            <w:tcBorders>
              <w:top w:val="nil"/>
              <w:left w:val="nil"/>
              <w:bottom w:val="nil"/>
              <w:right w:val="nil"/>
            </w:tcBorders>
            <w:shd w:val="clear" w:color="auto" w:fill="auto"/>
            <w:vAlign w:val="bottom"/>
            <w:hideMark/>
          </w:tcPr>
          <w:p w14:paraId="441A9527" w14:textId="52EA0117" w:rsidR="008235D6" w:rsidRPr="00493DD8" w:rsidRDefault="00DB4525" w:rsidP="00D15DA3">
            <w:pPr>
              <w:pStyle w:val="Tabletextcentred"/>
              <w:rPr>
                <w:lang w:eastAsia="en-AU"/>
              </w:rPr>
            </w:pPr>
            <w:r w:rsidRPr="00493DD8">
              <w:t>383.4</w:t>
            </w:r>
          </w:p>
        </w:tc>
      </w:tr>
      <w:tr w:rsidR="008235D6" w:rsidRPr="00120704" w14:paraId="32610360" w14:textId="77777777" w:rsidTr="00D15DA3">
        <w:trPr>
          <w:trHeight w:val="290"/>
          <w:jc w:val="center"/>
        </w:trPr>
        <w:tc>
          <w:tcPr>
            <w:tcW w:w="5589" w:type="dxa"/>
            <w:tcBorders>
              <w:top w:val="nil"/>
              <w:left w:val="nil"/>
              <w:bottom w:val="nil"/>
              <w:right w:val="nil"/>
            </w:tcBorders>
            <w:shd w:val="clear" w:color="auto" w:fill="auto"/>
            <w:noWrap/>
            <w:vAlign w:val="bottom"/>
          </w:tcPr>
          <w:p w14:paraId="54E40CBE" w14:textId="12FB4F26" w:rsidR="008235D6" w:rsidRPr="00493DD8" w:rsidRDefault="008235D6" w:rsidP="00D15DA3">
            <w:pPr>
              <w:pStyle w:val="Tabletextleft"/>
            </w:pPr>
            <w:r w:rsidRPr="00493DD8">
              <w:t>1</w:t>
            </w:r>
            <w:r w:rsidR="00DE2760">
              <w:noBreakHyphen/>
            </w:r>
            <w:r w:rsidRPr="00493DD8">
              <w:t>4</w:t>
            </w:r>
          </w:p>
        </w:tc>
        <w:tc>
          <w:tcPr>
            <w:tcW w:w="2915" w:type="dxa"/>
            <w:tcBorders>
              <w:top w:val="nil"/>
              <w:left w:val="nil"/>
              <w:bottom w:val="nil"/>
              <w:right w:val="nil"/>
            </w:tcBorders>
            <w:shd w:val="clear" w:color="auto" w:fill="auto"/>
            <w:vAlign w:val="bottom"/>
          </w:tcPr>
          <w:p w14:paraId="4BC9AAF7" w14:textId="7638B9AD" w:rsidR="008235D6" w:rsidRPr="00493DD8" w:rsidRDefault="00DB4525" w:rsidP="00D15DA3">
            <w:pPr>
              <w:pStyle w:val="Tabletextcentred"/>
              <w:rPr>
                <w:lang w:eastAsia="en-AU"/>
              </w:rPr>
            </w:pPr>
            <w:r w:rsidRPr="00493DD8">
              <w:t>248.5</w:t>
            </w:r>
          </w:p>
        </w:tc>
      </w:tr>
      <w:tr w:rsidR="008235D6" w:rsidRPr="00120704" w14:paraId="5E6287ED" w14:textId="77777777" w:rsidTr="00D15DA3">
        <w:trPr>
          <w:trHeight w:val="290"/>
          <w:jc w:val="center"/>
        </w:trPr>
        <w:tc>
          <w:tcPr>
            <w:tcW w:w="5589" w:type="dxa"/>
            <w:tcBorders>
              <w:top w:val="nil"/>
              <w:left w:val="nil"/>
              <w:bottom w:val="nil"/>
              <w:right w:val="nil"/>
            </w:tcBorders>
            <w:shd w:val="clear" w:color="auto" w:fill="auto"/>
            <w:noWrap/>
            <w:vAlign w:val="bottom"/>
          </w:tcPr>
          <w:p w14:paraId="4ECB3CEF" w14:textId="11424779" w:rsidR="008235D6" w:rsidRPr="00493DD8" w:rsidRDefault="008235D6" w:rsidP="00D15DA3">
            <w:pPr>
              <w:pStyle w:val="Tabletextleft"/>
            </w:pPr>
            <w:r w:rsidRPr="00493DD8">
              <w:t>5</w:t>
            </w:r>
            <w:r w:rsidR="00DE2760">
              <w:noBreakHyphen/>
            </w:r>
            <w:r w:rsidRPr="00493DD8">
              <w:t>9</w:t>
            </w:r>
          </w:p>
        </w:tc>
        <w:tc>
          <w:tcPr>
            <w:tcW w:w="2915" w:type="dxa"/>
            <w:tcBorders>
              <w:top w:val="nil"/>
              <w:left w:val="nil"/>
              <w:bottom w:val="nil"/>
              <w:right w:val="nil"/>
            </w:tcBorders>
            <w:shd w:val="clear" w:color="auto" w:fill="auto"/>
            <w:vAlign w:val="bottom"/>
          </w:tcPr>
          <w:p w14:paraId="65ED8C77" w14:textId="79381862" w:rsidR="008235D6" w:rsidRPr="00493DD8" w:rsidRDefault="00DB4525" w:rsidP="00D15DA3">
            <w:pPr>
              <w:pStyle w:val="Tabletextcentred"/>
              <w:rPr>
                <w:lang w:eastAsia="en-AU"/>
              </w:rPr>
            </w:pPr>
            <w:r w:rsidRPr="00493DD8">
              <w:t>78.5</w:t>
            </w:r>
          </w:p>
        </w:tc>
      </w:tr>
      <w:tr w:rsidR="008235D6" w:rsidRPr="00120704" w14:paraId="6D350C81" w14:textId="77777777" w:rsidTr="00D15DA3">
        <w:trPr>
          <w:trHeight w:val="290"/>
          <w:jc w:val="center"/>
        </w:trPr>
        <w:tc>
          <w:tcPr>
            <w:tcW w:w="5589" w:type="dxa"/>
            <w:tcBorders>
              <w:top w:val="nil"/>
              <w:left w:val="nil"/>
              <w:bottom w:val="nil"/>
              <w:right w:val="nil"/>
            </w:tcBorders>
            <w:shd w:val="clear" w:color="auto" w:fill="auto"/>
            <w:noWrap/>
            <w:vAlign w:val="bottom"/>
          </w:tcPr>
          <w:p w14:paraId="050565DE" w14:textId="7E356A8D" w:rsidR="008235D6" w:rsidRPr="00493DD8" w:rsidRDefault="008235D6" w:rsidP="00D15DA3">
            <w:pPr>
              <w:pStyle w:val="Tabletextleft"/>
            </w:pPr>
            <w:r w:rsidRPr="00493DD8">
              <w:t>10</w:t>
            </w:r>
            <w:r w:rsidR="00DE2760">
              <w:noBreakHyphen/>
            </w:r>
            <w:r w:rsidRPr="00493DD8">
              <w:t>19</w:t>
            </w:r>
          </w:p>
        </w:tc>
        <w:tc>
          <w:tcPr>
            <w:tcW w:w="2915" w:type="dxa"/>
            <w:tcBorders>
              <w:top w:val="nil"/>
              <w:left w:val="nil"/>
              <w:bottom w:val="nil"/>
              <w:right w:val="nil"/>
            </w:tcBorders>
            <w:shd w:val="clear" w:color="auto" w:fill="auto"/>
            <w:vAlign w:val="bottom"/>
          </w:tcPr>
          <w:p w14:paraId="3B21B62A" w14:textId="780C4F39" w:rsidR="008235D6" w:rsidRPr="00493DD8" w:rsidRDefault="00DB4525" w:rsidP="00D15DA3">
            <w:pPr>
              <w:pStyle w:val="Tabletextcentred"/>
              <w:rPr>
                <w:lang w:eastAsia="en-AU"/>
              </w:rPr>
            </w:pPr>
            <w:r w:rsidRPr="00493DD8">
              <w:t>58.7</w:t>
            </w:r>
          </w:p>
        </w:tc>
      </w:tr>
      <w:tr w:rsidR="008235D6" w:rsidRPr="00120704" w14:paraId="4379A293" w14:textId="77777777" w:rsidTr="00D15DA3">
        <w:trPr>
          <w:trHeight w:val="290"/>
          <w:jc w:val="center"/>
        </w:trPr>
        <w:tc>
          <w:tcPr>
            <w:tcW w:w="5589" w:type="dxa"/>
            <w:tcBorders>
              <w:top w:val="nil"/>
              <w:left w:val="nil"/>
              <w:bottom w:val="nil"/>
              <w:right w:val="nil"/>
            </w:tcBorders>
            <w:shd w:val="clear" w:color="auto" w:fill="auto"/>
            <w:noWrap/>
            <w:vAlign w:val="bottom"/>
          </w:tcPr>
          <w:p w14:paraId="272DA408" w14:textId="11898089" w:rsidR="008235D6" w:rsidRPr="00493DD8" w:rsidRDefault="008235D6" w:rsidP="00D15DA3">
            <w:pPr>
              <w:pStyle w:val="Tabletextleft"/>
            </w:pPr>
            <w:r w:rsidRPr="00493DD8">
              <w:t>20 or more</w:t>
            </w:r>
          </w:p>
        </w:tc>
        <w:tc>
          <w:tcPr>
            <w:tcW w:w="2915" w:type="dxa"/>
            <w:tcBorders>
              <w:top w:val="nil"/>
              <w:left w:val="nil"/>
              <w:bottom w:val="nil"/>
              <w:right w:val="nil"/>
            </w:tcBorders>
            <w:shd w:val="clear" w:color="auto" w:fill="auto"/>
            <w:vAlign w:val="bottom"/>
          </w:tcPr>
          <w:p w14:paraId="1CFA816D" w14:textId="0B484601" w:rsidR="008235D6" w:rsidRPr="00493DD8" w:rsidRDefault="00DB4525" w:rsidP="00D15DA3">
            <w:pPr>
              <w:pStyle w:val="Tabletextcentred"/>
              <w:rPr>
                <w:lang w:eastAsia="en-AU"/>
              </w:rPr>
            </w:pPr>
            <w:r w:rsidRPr="00493DD8">
              <w:t>64.7</w:t>
            </w:r>
          </w:p>
        </w:tc>
      </w:tr>
      <w:tr w:rsidR="008235D6" w:rsidRPr="00120704" w14:paraId="2E0F0245" w14:textId="77777777" w:rsidTr="00D15DA3">
        <w:trPr>
          <w:trHeight w:val="290"/>
          <w:jc w:val="center"/>
        </w:trPr>
        <w:tc>
          <w:tcPr>
            <w:tcW w:w="5589" w:type="dxa"/>
            <w:tcBorders>
              <w:top w:val="nil"/>
              <w:left w:val="nil"/>
              <w:bottom w:val="nil"/>
              <w:right w:val="nil"/>
            </w:tcBorders>
            <w:shd w:val="clear" w:color="auto" w:fill="auto"/>
            <w:noWrap/>
            <w:vAlign w:val="bottom"/>
          </w:tcPr>
          <w:p w14:paraId="15815B4B" w14:textId="77777777" w:rsidR="008235D6" w:rsidRPr="00493DD8" w:rsidRDefault="008235D6" w:rsidP="00D15DA3">
            <w:pPr>
              <w:pStyle w:val="Tabletextleft"/>
              <w:rPr>
                <w:b/>
              </w:rPr>
            </w:pPr>
          </w:p>
        </w:tc>
        <w:tc>
          <w:tcPr>
            <w:tcW w:w="2915" w:type="dxa"/>
            <w:tcBorders>
              <w:top w:val="nil"/>
              <w:left w:val="nil"/>
              <w:bottom w:val="nil"/>
              <w:right w:val="nil"/>
            </w:tcBorders>
            <w:shd w:val="clear" w:color="auto" w:fill="auto"/>
            <w:vAlign w:val="bottom"/>
          </w:tcPr>
          <w:p w14:paraId="1E98117B" w14:textId="77777777" w:rsidR="008235D6" w:rsidRPr="00493DD8" w:rsidRDefault="008235D6" w:rsidP="00D15DA3">
            <w:pPr>
              <w:pStyle w:val="Tabletextcentred"/>
              <w:rPr>
                <w:b/>
                <w:lang w:eastAsia="en-AU"/>
              </w:rPr>
            </w:pPr>
          </w:p>
        </w:tc>
      </w:tr>
      <w:tr w:rsidR="008235D6" w:rsidRPr="00120704" w14:paraId="47B86DDB" w14:textId="77777777" w:rsidTr="00D15DA3">
        <w:trPr>
          <w:trHeight w:val="290"/>
          <w:jc w:val="center"/>
        </w:trPr>
        <w:tc>
          <w:tcPr>
            <w:tcW w:w="5589" w:type="dxa"/>
            <w:tcBorders>
              <w:top w:val="nil"/>
              <w:left w:val="nil"/>
              <w:bottom w:val="nil"/>
              <w:right w:val="nil"/>
            </w:tcBorders>
            <w:shd w:val="clear" w:color="auto" w:fill="auto"/>
            <w:noWrap/>
            <w:vAlign w:val="bottom"/>
          </w:tcPr>
          <w:p w14:paraId="10D6E630" w14:textId="3ECD91C3" w:rsidR="008235D6" w:rsidRPr="00493DD8" w:rsidRDefault="008235D6" w:rsidP="00D15DA3">
            <w:pPr>
              <w:pStyle w:val="Tablecolumnheadingleft"/>
            </w:pPr>
            <w:r w:rsidRPr="00493DD8">
              <w:t>Organisations by State and Territory</w:t>
            </w:r>
          </w:p>
        </w:tc>
        <w:tc>
          <w:tcPr>
            <w:tcW w:w="2915" w:type="dxa"/>
            <w:tcBorders>
              <w:top w:val="nil"/>
              <w:left w:val="nil"/>
              <w:bottom w:val="nil"/>
              <w:right w:val="nil"/>
            </w:tcBorders>
            <w:shd w:val="clear" w:color="auto" w:fill="auto"/>
            <w:vAlign w:val="bottom"/>
          </w:tcPr>
          <w:p w14:paraId="1F49801A" w14:textId="77777777" w:rsidR="008235D6" w:rsidRPr="00493DD8" w:rsidRDefault="008235D6" w:rsidP="00D15DA3">
            <w:pPr>
              <w:pStyle w:val="Tabletextcentred"/>
              <w:rPr>
                <w:lang w:eastAsia="en-AU"/>
              </w:rPr>
            </w:pPr>
          </w:p>
        </w:tc>
      </w:tr>
      <w:tr w:rsidR="008235D6" w:rsidRPr="00120704" w14:paraId="1D697602" w14:textId="77777777" w:rsidTr="00D15DA3">
        <w:trPr>
          <w:trHeight w:val="290"/>
          <w:jc w:val="center"/>
        </w:trPr>
        <w:tc>
          <w:tcPr>
            <w:tcW w:w="5589" w:type="dxa"/>
            <w:tcBorders>
              <w:top w:val="nil"/>
              <w:left w:val="nil"/>
              <w:bottom w:val="nil"/>
              <w:right w:val="nil"/>
            </w:tcBorders>
            <w:shd w:val="clear" w:color="auto" w:fill="auto"/>
            <w:noWrap/>
            <w:vAlign w:val="bottom"/>
          </w:tcPr>
          <w:p w14:paraId="095B56AF" w14:textId="7B52BF16" w:rsidR="008235D6" w:rsidRPr="00493DD8" w:rsidRDefault="008235D6" w:rsidP="00D15DA3">
            <w:pPr>
              <w:pStyle w:val="Tabletextleft"/>
            </w:pPr>
            <w:r w:rsidRPr="00493DD8">
              <w:t>NSW</w:t>
            </w:r>
          </w:p>
        </w:tc>
        <w:tc>
          <w:tcPr>
            <w:tcW w:w="2915" w:type="dxa"/>
            <w:tcBorders>
              <w:top w:val="nil"/>
              <w:left w:val="nil"/>
              <w:bottom w:val="nil"/>
              <w:right w:val="nil"/>
            </w:tcBorders>
            <w:shd w:val="clear" w:color="auto" w:fill="auto"/>
            <w:vAlign w:val="bottom"/>
          </w:tcPr>
          <w:p w14:paraId="10192F2D" w14:textId="6EB2576C" w:rsidR="008235D6" w:rsidRPr="00493DD8" w:rsidRDefault="00DB4525" w:rsidP="00D15DA3">
            <w:pPr>
              <w:pStyle w:val="Tabletextcentred"/>
              <w:rPr>
                <w:lang w:eastAsia="en-AU"/>
              </w:rPr>
            </w:pPr>
            <w:r w:rsidRPr="00493DD8">
              <w:t>290.6</w:t>
            </w:r>
          </w:p>
        </w:tc>
      </w:tr>
      <w:tr w:rsidR="008235D6" w:rsidRPr="00120704" w14:paraId="7EF2985E" w14:textId="77777777" w:rsidTr="00D15DA3">
        <w:trPr>
          <w:trHeight w:val="290"/>
          <w:jc w:val="center"/>
        </w:trPr>
        <w:tc>
          <w:tcPr>
            <w:tcW w:w="5589" w:type="dxa"/>
            <w:tcBorders>
              <w:top w:val="nil"/>
              <w:left w:val="nil"/>
              <w:bottom w:val="nil"/>
              <w:right w:val="nil"/>
            </w:tcBorders>
            <w:shd w:val="clear" w:color="auto" w:fill="auto"/>
            <w:noWrap/>
            <w:vAlign w:val="bottom"/>
          </w:tcPr>
          <w:p w14:paraId="71E0F49A" w14:textId="76370106" w:rsidR="008235D6" w:rsidRPr="00493DD8" w:rsidRDefault="008235D6" w:rsidP="00D15DA3">
            <w:pPr>
              <w:pStyle w:val="Tabletextleft"/>
            </w:pPr>
            <w:r w:rsidRPr="00493DD8">
              <w:t>Vic</w:t>
            </w:r>
          </w:p>
        </w:tc>
        <w:tc>
          <w:tcPr>
            <w:tcW w:w="2915" w:type="dxa"/>
            <w:tcBorders>
              <w:top w:val="nil"/>
              <w:left w:val="nil"/>
              <w:bottom w:val="nil"/>
              <w:right w:val="nil"/>
            </w:tcBorders>
            <w:shd w:val="clear" w:color="auto" w:fill="auto"/>
            <w:vAlign w:val="bottom"/>
          </w:tcPr>
          <w:p w14:paraId="5E14BBE4" w14:textId="4AD0B9E1" w:rsidR="008235D6" w:rsidRPr="00493DD8" w:rsidRDefault="00DB4525" w:rsidP="00D15DA3">
            <w:pPr>
              <w:pStyle w:val="Tabletextcentred"/>
              <w:rPr>
                <w:lang w:eastAsia="en-AU"/>
              </w:rPr>
            </w:pPr>
            <w:r w:rsidRPr="00493DD8">
              <w:t>228.2</w:t>
            </w:r>
          </w:p>
        </w:tc>
      </w:tr>
      <w:tr w:rsidR="008235D6" w:rsidRPr="00120704" w14:paraId="4775D39E" w14:textId="77777777" w:rsidTr="00D15DA3">
        <w:trPr>
          <w:trHeight w:val="290"/>
          <w:jc w:val="center"/>
        </w:trPr>
        <w:tc>
          <w:tcPr>
            <w:tcW w:w="5589" w:type="dxa"/>
            <w:tcBorders>
              <w:top w:val="nil"/>
              <w:left w:val="nil"/>
              <w:bottom w:val="nil"/>
              <w:right w:val="nil"/>
            </w:tcBorders>
            <w:shd w:val="clear" w:color="auto" w:fill="auto"/>
            <w:noWrap/>
            <w:vAlign w:val="bottom"/>
          </w:tcPr>
          <w:p w14:paraId="3BCC5060" w14:textId="2C6D96A1" w:rsidR="008235D6" w:rsidRPr="00493DD8" w:rsidRDefault="008235D6" w:rsidP="00D15DA3">
            <w:pPr>
              <w:pStyle w:val="Tabletextleft"/>
            </w:pPr>
            <w:r w:rsidRPr="00493DD8">
              <w:t>Qld</w:t>
            </w:r>
          </w:p>
        </w:tc>
        <w:tc>
          <w:tcPr>
            <w:tcW w:w="2915" w:type="dxa"/>
            <w:tcBorders>
              <w:top w:val="nil"/>
              <w:left w:val="nil"/>
              <w:bottom w:val="nil"/>
              <w:right w:val="nil"/>
            </w:tcBorders>
            <w:shd w:val="clear" w:color="auto" w:fill="auto"/>
            <w:vAlign w:val="bottom"/>
          </w:tcPr>
          <w:p w14:paraId="28344107" w14:textId="4477B917" w:rsidR="008235D6" w:rsidRPr="00493DD8" w:rsidRDefault="00DB4525" w:rsidP="00D15DA3">
            <w:pPr>
              <w:pStyle w:val="Tabletextcentred"/>
              <w:rPr>
                <w:lang w:eastAsia="en-AU"/>
              </w:rPr>
            </w:pPr>
            <w:r w:rsidRPr="00493DD8">
              <w:t>158.5</w:t>
            </w:r>
          </w:p>
        </w:tc>
      </w:tr>
      <w:tr w:rsidR="008235D6" w:rsidRPr="00120704" w14:paraId="1C12A5F6" w14:textId="77777777" w:rsidTr="00D15DA3">
        <w:trPr>
          <w:trHeight w:val="290"/>
          <w:jc w:val="center"/>
        </w:trPr>
        <w:tc>
          <w:tcPr>
            <w:tcW w:w="5589" w:type="dxa"/>
            <w:tcBorders>
              <w:top w:val="nil"/>
              <w:left w:val="nil"/>
              <w:bottom w:val="nil"/>
              <w:right w:val="nil"/>
            </w:tcBorders>
            <w:shd w:val="clear" w:color="auto" w:fill="auto"/>
            <w:noWrap/>
            <w:vAlign w:val="bottom"/>
          </w:tcPr>
          <w:p w14:paraId="0E443369" w14:textId="53E773C5" w:rsidR="008235D6" w:rsidRPr="00493DD8" w:rsidRDefault="008235D6" w:rsidP="00D15DA3">
            <w:pPr>
              <w:pStyle w:val="Tabletextleft"/>
            </w:pPr>
            <w:r w:rsidRPr="00493DD8">
              <w:t>WA</w:t>
            </w:r>
          </w:p>
        </w:tc>
        <w:tc>
          <w:tcPr>
            <w:tcW w:w="2915" w:type="dxa"/>
            <w:tcBorders>
              <w:top w:val="nil"/>
              <w:left w:val="nil"/>
              <w:bottom w:val="nil"/>
              <w:right w:val="nil"/>
            </w:tcBorders>
            <w:shd w:val="clear" w:color="auto" w:fill="auto"/>
            <w:vAlign w:val="bottom"/>
          </w:tcPr>
          <w:p w14:paraId="697502E8" w14:textId="400484B7" w:rsidR="008235D6" w:rsidRPr="00493DD8" w:rsidRDefault="00DB4525" w:rsidP="00D15DA3">
            <w:pPr>
              <w:pStyle w:val="Tabletextcentred"/>
              <w:rPr>
                <w:lang w:eastAsia="en-AU"/>
              </w:rPr>
            </w:pPr>
            <w:r w:rsidRPr="00493DD8">
              <w:t>78.7</w:t>
            </w:r>
          </w:p>
        </w:tc>
      </w:tr>
      <w:tr w:rsidR="008235D6" w:rsidRPr="00120704" w14:paraId="0A7A3D45" w14:textId="77777777" w:rsidTr="00D15DA3">
        <w:trPr>
          <w:trHeight w:val="290"/>
          <w:jc w:val="center"/>
        </w:trPr>
        <w:tc>
          <w:tcPr>
            <w:tcW w:w="5589" w:type="dxa"/>
            <w:tcBorders>
              <w:top w:val="nil"/>
              <w:left w:val="nil"/>
              <w:bottom w:val="nil"/>
              <w:right w:val="nil"/>
            </w:tcBorders>
            <w:shd w:val="clear" w:color="auto" w:fill="auto"/>
            <w:noWrap/>
            <w:vAlign w:val="bottom"/>
          </w:tcPr>
          <w:p w14:paraId="12759806" w14:textId="79DEE397" w:rsidR="008235D6" w:rsidRPr="00493DD8" w:rsidRDefault="008235D6" w:rsidP="00D15DA3">
            <w:pPr>
              <w:pStyle w:val="Tabletextleft"/>
            </w:pPr>
            <w:r w:rsidRPr="00493DD8">
              <w:t>SA</w:t>
            </w:r>
          </w:p>
        </w:tc>
        <w:tc>
          <w:tcPr>
            <w:tcW w:w="2915" w:type="dxa"/>
            <w:tcBorders>
              <w:top w:val="nil"/>
              <w:left w:val="nil"/>
              <w:bottom w:val="nil"/>
              <w:right w:val="nil"/>
            </w:tcBorders>
            <w:shd w:val="clear" w:color="auto" w:fill="auto"/>
            <w:vAlign w:val="bottom"/>
          </w:tcPr>
          <w:p w14:paraId="4455E6DC" w14:textId="086446C3" w:rsidR="008235D6" w:rsidRPr="00493DD8" w:rsidRDefault="00DB4525" w:rsidP="00D15DA3">
            <w:pPr>
              <w:pStyle w:val="Tabletextcentred"/>
              <w:rPr>
                <w:lang w:eastAsia="en-AU"/>
              </w:rPr>
            </w:pPr>
            <w:r w:rsidRPr="00493DD8">
              <w:t>49.4</w:t>
            </w:r>
          </w:p>
        </w:tc>
      </w:tr>
      <w:tr w:rsidR="008235D6" w:rsidRPr="00120704" w14:paraId="01A43F3D" w14:textId="77777777" w:rsidTr="00D15DA3">
        <w:trPr>
          <w:trHeight w:val="290"/>
          <w:jc w:val="center"/>
        </w:trPr>
        <w:tc>
          <w:tcPr>
            <w:tcW w:w="5589" w:type="dxa"/>
            <w:tcBorders>
              <w:top w:val="nil"/>
              <w:left w:val="nil"/>
              <w:bottom w:val="nil"/>
              <w:right w:val="nil"/>
            </w:tcBorders>
            <w:shd w:val="clear" w:color="auto" w:fill="auto"/>
            <w:noWrap/>
            <w:vAlign w:val="bottom"/>
          </w:tcPr>
          <w:p w14:paraId="0E8D265C" w14:textId="53BEA09A" w:rsidR="008235D6" w:rsidRPr="00493DD8" w:rsidRDefault="008235D6" w:rsidP="00D15DA3">
            <w:pPr>
              <w:pStyle w:val="Tabletextleft"/>
            </w:pPr>
            <w:r w:rsidRPr="00493DD8">
              <w:t>Tas</w:t>
            </w:r>
          </w:p>
        </w:tc>
        <w:tc>
          <w:tcPr>
            <w:tcW w:w="2915" w:type="dxa"/>
            <w:tcBorders>
              <w:top w:val="nil"/>
              <w:left w:val="nil"/>
              <w:bottom w:val="nil"/>
              <w:right w:val="nil"/>
            </w:tcBorders>
            <w:shd w:val="clear" w:color="auto" w:fill="auto"/>
            <w:vAlign w:val="bottom"/>
          </w:tcPr>
          <w:p w14:paraId="580543EE" w14:textId="09FB57FF" w:rsidR="008235D6" w:rsidRPr="00493DD8" w:rsidRDefault="00DB4525" w:rsidP="00D15DA3">
            <w:pPr>
              <w:pStyle w:val="Tabletextcentred"/>
              <w:rPr>
                <w:lang w:eastAsia="en-AU"/>
              </w:rPr>
            </w:pPr>
            <w:r w:rsidRPr="00493DD8">
              <w:t>13.9</w:t>
            </w:r>
          </w:p>
        </w:tc>
      </w:tr>
      <w:tr w:rsidR="008235D6" w:rsidRPr="00120704" w14:paraId="69FE8227" w14:textId="77777777" w:rsidTr="00D15DA3">
        <w:trPr>
          <w:trHeight w:val="290"/>
          <w:jc w:val="center"/>
        </w:trPr>
        <w:tc>
          <w:tcPr>
            <w:tcW w:w="5589" w:type="dxa"/>
            <w:tcBorders>
              <w:top w:val="nil"/>
              <w:left w:val="nil"/>
              <w:bottom w:val="nil"/>
              <w:right w:val="nil"/>
            </w:tcBorders>
            <w:shd w:val="clear" w:color="auto" w:fill="auto"/>
            <w:noWrap/>
            <w:vAlign w:val="bottom"/>
          </w:tcPr>
          <w:p w14:paraId="151AC128" w14:textId="398E448C" w:rsidR="008235D6" w:rsidRPr="00493DD8" w:rsidRDefault="008235D6" w:rsidP="00D15DA3">
            <w:pPr>
              <w:pStyle w:val="Tabletextleft"/>
            </w:pPr>
            <w:r w:rsidRPr="00493DD8">
              <w:t>ACT</w:t>
            </w:r>
          </w:p>
        </w:tc>
        <w:tc>
          <w:tcPr>
            <w:tcW w:w="2915" w:type="dxa"/>
            <w:tcBorders>
              <w:top w:val="nil"/>
              <w:left w:val="nil"/>
              <w:bottom w:val="nil"/>
              <w:right w:val="nil"/>
            </w:tcBorders>
            <w:shd w:val="clear" w:color="auto" w:fill="auto"/>
            <w:vAlign w:val="bottom"/>
          </w:tcPr>
          <w:p w14:paraId="3E70E5A3" w14:textId="0A6B8B1C" w:rsidR="008235D6" w:rsidRPr="00493DD8" w:rsidRDefault="00DB4525" w:rsidP="00D15DA3">
            <w:pPr>
              <w:pStyle w:val="Tabletextcentred"/>
              <w:rPr>
                <w:lang w:eastAsia="en-AU"/>
              </w:rPr>
            </w:pPr>
            <w:r w:rsidRPr="00493DD8">
              <w:t>10.1</w:t>
            </w:r>
          </w:p>
        </w:tc>
      </w:tr>
      <w:tr w:rsidR="008235D6" w:rsidRPr="00120704" w14:paraId="594B8B3F" w14:textId="77777777" w:rsidTr="00D15DA3">
        <w:trPr>
          <w:trHeight w:val="290"/>
          <w:jc w:val="center"/>
        </w:trPr>
        <w:tc>
          <w:tcPr>
            <w:tcW w:w="5589" w:type="dxa"/>
            <w:tcBorders>
              <w:top w:val="nil"/>
              <w:left w:val="nil"/>
              <w:right w:val="nil"/>
            </w:tcBorders>
            <w:shd w:val="clear" w:color="auto" w:fill="auto"/>
            <w:noWrap/>
            <w:vAlign w:val="bottom"/>
          </w:tcPr>
          <w:p w14:paraId="63D410F2" w14:textId="2BC64736" w:rsidR="008235D6" w:rsidRPr="00493DD8" w:rsidRDefault="008235D6" w:rsidP="00D15DA3">
            <w:pPr>
              <w:pStyle w:val="Tabletextleft"/>
            </w:pPr>
            <w:r w:rsidRPr="00493DD8">
              <w:t>NT</w:t>
            </w:r>
          </w:p>
        </w:tc>
        <w:tc>
          <w:tcPr>
            <w:tcW w:w="2915" w:type="dxa"/>
            <w:tcBorders>
              <w:top w:val="nil"/>
              <w:left w:val="nil"/>
              <w:right w:val="nil"/>
            </w:tcBorders>
            <w:shd w:val="clear" w:color="auto" w:fill="auto"/>
            <w:vAlign w:val="bottom"/>
          </w:tcPr>
          <w:p w14:paraId="599AFAA4" w14:textId="5AC470DC" w:rsidR="008235D6" w:rsidRPr="00493DD8" w:rsidRDefault="00DB4525" w:rsidP="00D15DA3">
            <w:pPr>
              <w:pStyle w:val="Tabletextcentred"/>
              <w:rPr>
                <w:lang w:eastAsia="en-AU"/>
              </w:rPr>
            </w:pPr>
            <w:r w:rsidRPr="00493DD8">
              <w:t>4.5</w:t>
            </w:r>
          </w:p>
        </w:tc>
      </w:tr>
      <w:tr w:rsidR="00D15DA3" w:rsidRPr="00120704" w14:paraId="4ADB7A70" w14:textId="77777777" w:rsidTr="00D15DA3">
        <w:trPr>
          <w:trHeight w:val="290"/>
          <w:jc w:val="center"/>
        </w:trPr>
        <w:tc>
          <w:tcPr>
            <w:tcW w:w="5589" w:type="dxa"/>
            <w:tcBorders>
              <w:top w:val="nil"/>
              <w:left w:val="nil"/>
              <w:bottom w:val="single" w:sz="12" w:space="0" w:color="002C47" w:themeColor="accent1"/>
              <w:right w:val="nil"/>
            </w:tcBorders>
            <w:shd w:val="clear" w:color="auto" w:fill="auto"/>
            <w:noWrap/>
            <w:vAlign w:val="bottom"/>
          </w:tcPr>
          <w:p w14:paraId="502E1D24" w14:textId="77CB4363" w:rsidR="00D15DA3" w:rsidRPr="00493DD8" w:rsidRDefault="00D15DA3" w:rsidP="005B477B">
            <w:pPr>
              <w:pStyle w:val="Tabletextleft"/>
            </w:pPr>
            <w:r>
              <w:t>Other/</w:t>
            </w:r>
            <w:r w:rsidR="005B477B">
              <w:t>na</w:t>
            </w:r>
          </w:p>
        </w:tc>
        <w:tc>
          <w:tcPr>
            <w:tcW w:w="2915" w:type="dxa"/>
            <w:tcBorders>
              <w:top w:val="nil"/>
              <w:left w:val="nil"/>
              <w:bottom w:val="single" w:sz="12" w:space="0" w:color="002C47" w:themeColor="accent1"/>
              <w:right w:val="nil"/>
            </w:tcBorders>
            <w:shd w:val="clear" w:color="auto" w:fill="auto"/>
            <w:vAlign w:val="bottom"/>
          </w:tcPr>
          <w:p w14:paraId="1420D6C2" w14:textId="425A788D" w:rsidR="00D15DA3" w:rsidRPr="00493DD8" w:rsidRDefault="00D15DA3" w:rsidP="00D15DA3">
            <w:pPr>
              <w:pStyle w:val="Tabletextcentred"/>
            </w:pPr>
            <w:r>
              <w:t>0.0</w:t>
            </w:r>
          </w:p>
        </w:tc>
      </w:tr>
    </w:tbl>
    <w:p w14:paraId="04A765B0" w14:textId="708112CF" w:rsidR="008235D6" w:rsidRPr="00493DD8" w:rsidRDefault="008235D6" w:rsidP="00D15DA3">
      <w:pPr>
        <w:pStyle w:val="FiguretableNote"/>
      </w:pPr>
      <w:r w:rsidRPr="00493DD8">
        <w:t xml:space="preserve">Notes: </w:t>
      </w:r>
    </w:p>
    <w:p w14:paraId="24F4CF0E" w14:textId="1FD46C25" w:rsidR="008235D6" w:rsidRPr="00493DD8" w:rsidRDefault="008235D6" w:rsidP="00D15DA3">
      <w:pPr>
        <w:pStyle w:val="FiguretableNote"/>
        <w:numPr>
          <w:ilvl w:val="0"/>
          <w:numId w:val="16"/>
        </w:numPr>
        <w:ind w:left="360"/>
      </w:pPr>
      <w:r w:rsidRPr="00493DD8">
        <w:t xml:space="preserve">These </w:t>
      </w:r>
      <w:r w:rsidR="00D74A89" w:rsidRPr="00493DD8">
        <w:t xml:space="preserve">calculations </w:t>
      </w:r>
      <w:r w:rsidRPr="00493DD8">
        <w:t xml:space="preserve">are </w:t>
      </w:r>
      <w:r w:rsidR="00186850" w:rsidRPr="00493DD8">
        <w:t xml:space="preserve">based on unit record </w:t>
      </w:r>
      <w:r w:rsidRPr="00493DD8">
        <w:t xml:space="preserve">data </w:t>
      </w:r>
      <w:r w:rsidR="00186850" w:rsidRPr="00493DD8">
        <w:t>for</w:t>
      </w:r>
      <w:r w:rsidRPr="00493DD8">
        <w:t xml:space="preserve"> payments made in relation to the April </w:t>
      </w:r>
      <w:r w:rsidR="00AD7314">
        <w:t xml:space="preserve">2020 </w:t>
      </w:r>
      <w:r w:rsidRPr="00493DD8">
        <w:t xml:space="preserve">JobKeeper fortnights. The data are </w:t>
      </w:r>
      <w:r w:rsidR="009F75BC" w:rsidRPr="00493DD8">
        <w:t xml:space="preserve">as at </w:t>
      </w:r>
      <w:r w:rsidR="003C2339" w:rsidRPr="00493DD8">
        <w:t>9</w:t>
      </w:r>
      <w:r w:rsidR="009F75BC" w:rsidRPr="00493DD8">
        <w:t xml:space="preserve"> June 2020 and </w:t>
      </w:r>
      <w:r w:rsidRPr="00493DD8">
        <w:t>subject to change.</w:t>
      </w:r>
      <w:r w:rsidR="00DC70FE" w:rsidRPr="00493DD8">
        <w:t xml:space="preserve"> Differences may be due to rounding. </w:t>
      </w:r>
      <w:r w:rsidR="005B477B">
        <w:t xml:space="preserve">na denotes not applicable. </w:t>
      </w:r>
    </w:p>
    <w:p w14:paraId="5EB815D0" w14:textId="4BF5E7B8" w:rsidR="008235D6" w:rsidRPr="00493DD8" w:rsidRDefault="008235D6" w:rsidP="00D15DA3">
      <w:pPr>
        <w:pStyle w:val="FiguretableNote"/>
        <w:numPr>
          <w:ilvl w:val="0"/>
          <w:numId w:val="16"/>
        </w:numPr>
        <w:ind w:left="360"/>
      </w:pPr>
      <w:r w:rsidRPr="00493DD8">
        <w:t>Organisations include businesses and not</w:t>
      </w:r>
      <w:r w:rsidR="00DE2760">
        <w:noBreakHyphen/>
      </w:r>
      <w:r w:rsidRPr="00493DD8">
        <w:t>for</w:t>
      </w:r>
      <w:r w:rsidR="00DE2760">
        <w:noBreakHyphen/>
      </w:r>
      <w:r w:rsidRPr="00493DD8">
        <w:t xml:space="preserve">profit organisations. Businesses include all companies, trusts, partnerships, plus individuals with business income (sole traders). </w:t>
      </w:r>
    </w:p>
    <w:p w14:paraId="781A5E76" w14:textId="40AFE8EA" w:rsidR="008235D6" w:rsidRPr="00493DD8" w:rsidRDefault="008235D6" w:rsidP="00D15DA3">
      <w:pPr>
        <w:pStyle w:val="FiguretableNote"/>
        <w:numPr>
          <w:ilvl w:val="0"/>
          <w:numId w:val="16"/>
        </w:numPr>
        <w:ind w:left="360"/>
      </w:pPr>
      <w:r w:rsidRPr="00493DD8">
        <w:t xml:space="preserve">Employment range is based on the number of employees as at April 2020 and does not represent the number of </w:t>
      </w:r>
      <w:r w:rsidR="00A94BFB">
        <w:t>individual</w:t>
      </w:r>
      <w:r w:rsidR="00863A02">
        <w:t>s</w:t>
      </w:r>
      <w:r w:rsidR="00A94BFB">
        <w:t xml:space="preserve"> </w:t>
      </w:r>
      <w:r w:rsidRPr="00493DD8">
        <w:t xml:space="preserve">receiving the JobKeeper Payment. </w:t>
      </w:r>
    </w:p>
    <w:p w14:paraId="26A6C5A3" w14:textId="77777777" w:rsidR="008235D6" w:rsidRPr="00493DD8" w:rsidRDefault="008235D6" w:rsidP="00D15DA3">
      <w:pPr>
        <w:pStyle w:val="FiguretableNote"/>
        <w:numPr>
          <w:ilvl w:val="0"/>
          <w:numId w:val="16"/>
        </w:numPr>
        <w:ind w:left="360"/>
      </w:pPr>
      <w:r w:rsidRPr="00493DD8">
        <w:t xml:space="preserve">Each organisation is assigned a single state so it does not necessarily reflect the geographic distribution of business activity. </w:t>
      </w:r>
    </w:p>
    <w:p w14:paraId="66F8BFED" w14:textId="2996C0DB" w:rsidR="008235D6" w:rsidRPr="00493DD8" w:rsidRDefault="008235D6" w:rsidP="00D15DA3">
      <w:pPr>
        <w:pStyle w:val="FiguretableNote"/>
        <w:rPr>
          <w:b/>
        </w:rPr>
      </w:pPr>
      <w:r w:rsidRPr="00493DD8">
        <w:rPr>
          <w:rFonts w:cstheme="minorHAnsi"/>
        </w:rPr>
        <w:t xml:space="preserve">Source: </w:t>
      </w:r>
      <w:r w:rsidR="00963264" w:rsidRPr="00493DD8">
        <w:rPr>
          <w:rFonts w:cstheme="minorHAnsi"/>
        </w:rPr>
        <w:t xml:space="preserve">Treasury calculations based on </w:t>
      </w:r>
      <w:r w:rsidRPr="00493DD8">
        <w:rPr>
          <w:rFonts w:cstheme="minorHAnsi"/>
        </w:rPr>
        <w:t>ATO administrative data</w:t>
      </w:r>
    </w:p>
    <w:p w14:paraId="74DC5A79" w14:textId="77777777" w:rsidR="00F60B40" w:rsidRDefault="00F60B40">
      <w:pPr>
        <w:rPr>
          <w:b/>
        </w:rPr>
      </w:pPr>
      <w:r>
        <w:rPr>
          <w:b/>
        </w:rPr>
        <w:br w:type="page"/>
      </w:r>
    </w:p>
    <w:p w14:paraId="231B541F" w14:textId="1BA364BD" w:rsidR="008433B6" w:rsidRPr="00493DD8" w:rsidRDefault="00B27228" w:rsidP="00755C53">
      <w:pPr>
        <w:pStyle w:val="Tableheading"/>
      </w:pPr>
      <w:bookmarkStart w:id="1230" w:name="_Toc43462909"/>
      <w:bookmarkStart w:id="1231" w:name="_Toc43466289"/>
      <w:bookmarkStart w:id="1232" w:name="_Toc43469281"/>
      <w:bookmarkStart w:id="1233" w:name="_Toc43469676"/>
      <w:bookmarkStart w:id="1234" w:name="_Toc43469910"/>
      <w:bookmarkStart w:id="1235" w:name="_Toc43469952"/>
      <w:bookmarkStart w:id="1236" w:name="_Toc43469966"/>
      <w:bookmarkStart w:id="1237" w:name="_Toc43729215"/>
      <w:bookmarkStart w:id="1238" w:name="_Toc43730803"/>
      <w:bookmarkStart w:id="1239" w:name="_Toc43732053"/>
      <w:bookmarkStart w:id="1240" w:name="_Toc43733871"/>
      <w:bookmarkStart w:id="1241" w:name="_Toc43734774"/>
      <w:bookmarkStart w:id="1242" w:name="_Toc43738754"/>
      <w:bookmarkStart w:id="1243" w:name="_Toc43743066"/>
      <w:bookmarkStart w:id="1244" w:name="_Toc43996236"/>
      <w:bookmarkStart w:id="1245" w:name="_Toc43998495"/>
      <w:bookmarkStart w:id="1246" w:name="_Toc43998422"/>
      <w:bookmarkStart w:id="1247" w:name="_Toc44069944"/>
      <w:bookmarkStart w:id="1248" w:name="_Toc44071348"/>
      <w:bookmarkStart w:id="1249" w:name="_Toc44073472"/>
      <w:bookmarkStart w:id="1250" w:name="_Toc44074612"/>
      <w:bookmarkStart w:id="1251" w:name="_Toc44079501"/>
      <w:bookmarkStart w:id="1252" w:name="_Toc44079796"/>
      <w:bookmarkStart w:id="1253" w:name="_Toc44079931"/>
      <w:bookmarkStart w:id="1254" w:name="_Toc44319842"/>
      <w:bookmarkStart w:id="1255" w:name="_Toc44321550"/>
      <w:bookmarkStart w:id="1256" w:name="_Toc44323717"/>
      <w:bookmarkStart w:id="1257" w:name="_Toc44326180"/>
      <w:bookmarkStart w:id="1258" w:name="_Toc44330502"/>
      <w:bookmarkStart w:id="1259" w:name="_Toc44330744"/>
      <w:bookmarkStart w:id="1260" w:name="_Toc44333176"/>
      <w:bookmarkStart w:id="1261" w:name="_Toc44334807"/>
      <w:bookmarkStart w:id="1262" w:name="_Toc45227452"/>
      <w:bookmarkStart w:id="1263" w:name="_Toc45799053"/>
      <w:r w:rsidRPr="00493DD8">
        <w:lastRenderedPageBreak/>
        <w:t xml:space="preserve">Table </w:t>
      </w:r>
      <w:r w:rsidR="00F3083C" w:rsidRPr="00493DD8">
        <w:t>A</w:t>
      </w:r>
      <w:r w:rsidR="00EC70FA" w:rsidRPr="00493DD8">
        <w:t>3</w:t>
      </w:r>
      <w:r w:rsidRPr="00493DD8">
        <w:t xml:space="preserve">: </w:t>
      </w:r>
      <w:r w:rsidR="00F92CAF" w:rsidRPr="00493DD8">
        <w:t xml:space="preserve">Percentage </w:t>
      </w:r>
      <w:r w:rsidRPr="00493DD8">
        <w:t xml:space="preserve">of individual employees and eligible business participants </w:t>
      </w:r>
      <w:r w:rsidR="00E12EDE" w:rsidRPr="00493DD8">
        <w:t xml:space="preserve">for whom </w:t>
      </w:r>
      <w:r w:rsidRPr="00493DD8">
        <w:t xml:space="preserve">organisations have received JobKeeper </w:t>
      </w:r>
      <w:r w:rsidR="00186850" w:rsidRPr="00493DD8">
        <w:t>payments</w:t>
      </w:r>
      <w:r w:rsidRPr="00493DD8">
        <w:t xml:space="preserve">, by </w:t>
      </w:r>
      <w:r w:rsidR="00EE56DB" w:rsidRPr="00493DD8">
        <w:t>age, gender, and State and Territory</w:t>
      </w:r>
      <w:r w:rsidRPr="00493DD8">
        <w:t xml:space="preserve">, </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008D6EAF" w:rsidRPr="00493DD8">
        <w:t>for the April 2020 JobKeeper fortnights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p>
    <w:tbl>
      <w:tblPr>
        <w:tblW w:w="5000" w:type="pct"/>
        <w:jc w:val="center"/>
        <w:tblLook w:val="04A0" w:firstRow="1" w:lastRow="0" w:firstColumn="1" w:lastColumn="0" w:noHBand="0" w:noVBand="1"/>
        <w:tblCaption w:val="Table A3: Percentage of individual employees and eligible business participants for whom organisations have received JobKeeper payments, by age, gender, and State and Territory, for the April 2020 JobKeeper fortnights"/>
        <w:tblDescription w:val="This table provides the percentage of individual employees and eligible business participants for whom organisations received JobKeeper payments in April 2020, broken down by age, gender and state or territory, respectively. For each characteristic, the proportion of private sector employment for each age, gender, and state or territory, is also provided for comparison. &#10;By age: of individual JobKeeper recipients, 13.0 per cent were aged less than 25; 22.6 per cent were aged between 25 to 34; 22.8 per cent weare aged 35 to 44; 21.2 per cent were aged 45 to 54; 15.5 per cent were aged 55 to 64; and 4.9 per cent were aged over 65. By comparison, of all private sector employment, 16.6 per cent were aged less than 25; 24.1 per cent were aged between 25 to 34; 21.1 per cent were aged 35 to 44; 19.5 per cent were aged 45 to 54; 14.1 per cent were aged 55 to 64; and 4.6 per cent were aged over 65. &#10;By gender: of individual JobKeeper recipients, 52.9 per cent were male and 47.1 per cent were female. By comparison, of all private sector employment, 55.1 per cent were male and 44.9 per cent were female. &#10;By state and territory: of individual JobKeeper recipients, 33.1 per cent were from New South Wales; 27.8 per cent were from Victoria; 19.7 per cent were from Queensland; 9.5 per cent were from Western Australia; 6.2 per cent were from South Australia; 1.8 per cent were from Tasmania; 1.3 per cent were from the Australian Capital Territory; and 0.6 per cent were from the Northern Territory. By comparison, of all private sector employment, 32.1 per cent were from New South Wales; 27.0 per cent were from Victoria; 19.8 per cent were from Queensland; 10.5 per cent were from Western Australia; 6.6 per cent were from South Australia; 1.9 per cent were from Tasmania; 1.3 per cent were from the Australian Capital Territory; and 0.8 per cent were from the Northern Territory.&#10;"/>
      </w:tblPr>
      <w:tblGrid>
        <w:gridCol w:w="3952"/>
        <w:gridCol w:w="2161"/>
        <w:gridCol w:w="2287"/>
        <w:gridCol w:w="127"/>
        <w:gridCol w:w="120"/>
      </w:tblGrid>
      <w:tr w:rsidR="00F60B40" w:rsidRPr="00120704" w14:paraId="57D43564" w14:textId="6C4F8107" w:rsidTr="005B477B">
        <w:trPr>
          <w:gridAfter w:val="1"/>
          <w:wAfter w:w="118" w:type="dxa"/>
          <w:trHeight w:val="567"/>
          <w:jc w:val="center"/>
        </w:trPr>
        <w:tc>
          <w:tcPr>
            <w:tcW w:w="3887" w:type="dxa"/>
            <w:tcBorders>
              <w:top w:val="single" w:sz="12" w:space="0" w:color="002C47" w:themeColor="accent1"/>
              <w:left w:val="nil"/>
              <w:bottom w:val="single" w:sz="4" w:space="0" w:color="002C47" w:themeColor="accent1"/>
              <w:right w:val="nil"/>
            </w:tcBorders>
            <w:shd w:val="clear" w:color="auto" w:fill="auto"/>
            <w:noWrap/>
            <w:vAlign w:val="center"/>
            <w:hideMark/>
          </w:tcPr>
          <w:p w14:paraId="0E211AFD" w14:textId="77777777" w:rsidR="00F60B40" w:rsidRPr="00493DD8" w:rsidRDefault="00F60B40" w:rsidP="00351B3E">
            <w:pPr>
              <w:pStyle w:val="Tablecolumnheadingleft"/>
            </w:pPr>
            <w:r w:rsidRPr="00493DD8">
              <w:t>Characteristic</w:t>
            </w:r>
          </w:p>
        </w:tc>
        <w:tc>
          <w:tcPr>
            <w:tcW w:w="2125" w:type="dxa"/>
            <w:tcBorders>
              <w:top w:val="single" w:sz="12" w:space="0" w:color="002C47" w:themeColor="accent1"/>
              <w:left w:val="nil"/>
              <w:bottom w:val="single" w:sz="4" w:space="0" w:color="002C47" w:themeColor="accent1"/>
              <w:right w:val="nil"/>
            </w:tcBorders>
            <w:shd w:val="clear" w:color="auto" w:fill="auto"/>
            <w:vAlign w:val="center"/>
            <w:hideMark/>
          </w:tcPr>
          <w:p w14:paraId="27150C51" w14:textId="52AB0932" w:rsidR="00F60B40" w:rsidRPr="00493DD8" w:rsidRDefault="00BB72BA" w:rsidP="00351B3E">
            <w:pPr>
              <w:pStyle w:val="Tablecolumnheadingcentre"/>
            </w:pPr>
            <w:r w:rsidRPr="00493DD8">
              <w:t xml:space="preserve">Per cent </w:t>
            </w:r>
            <w:r w:rsidR="00F60B40" w:rsidRPr="00493DD8">
              <w:t xml:space="preserve">of </w:t>
            </w:r>
            <w:r w:rsidR="008C107A" w:rsidRPr="00493DD8">
              <w:t>individuals</w:t>
            </w:r>
          </w:p>
        </w:tc>
        <w:tc>
          <w:tcPr>
            <w:tcW w:w="2374" w:type="dxa"/>
            <w:gridSpan w:val="2"/>
            <w:tcBorders>
              <w:top w:val="single" w:sz="12" w:space="0" w:color="002C47" w:themeColor="accent1"/>
              <w:left w:val="nil"/>
              <w:bottom w:val="single" w:sz="4" w:space="0" w:color="002C47" w:themeColor="accent1"/>
              <w:right w:val="nil"/>
            </w:tcBorders>
            <w:vAlign w:val="center"/>
          </w:tcPr>
          <w:p w14:paraId="01682F3E" w14:textId="2CCBECD0" w:rsidR="00C85621" w:rsidRPr="00493DD8" w:rsidRDefault="00C85621" w:rsidP="00351B3E">
            <w:pPr>
              <w:pStyle w:val="Tablecolumnheadingcentre"/>
            </w:pPr>
            <w:r w:rsidRPr="00493DD8">
              <w:t>Per cent of private sector employment</w:t>
            </w:r>
          </w:p>
        </w:tc>
      </w:tr>
      <w:tr w:rsidR="00F60B40" w:rsidRPr="00120704" w14:paraId="484958D2" w14:textId="1C173BFA" w:rsidTr="00744B0B">
        <w:trPr>
          <w:gridAfter w:val="1"/>
          <w:wAfter w:w="118" w:type="dxa"/>
          <w:trHeight w:val="290"/>
          <w:jc w:val="center"/>
        </w:trPr>
        <w:tc>
          <w:tcPr>
            <w:tcW w:w="3887" w:type="dxa"/>
            <w:tcBorders>
              <w:top w:val="single" w:sz="4" w:space="0" w:color="002C47" w:themeColor="accent1"/>
              <w:left w:val="nil"/>
              <w:bottom w:val="nil"/>
              <w:right w:val="nil"/>
            </w:tcBorders>
            <w:shd w:val="clear" w:color="auto" w:fill="auto"/>
            <w:noWrap/>
            <w:vAlign w:val="bottom"/>
            <w:hideMark/>
          </w:tcPr>
          <w:p w14:paraId="0311307F" w14:textId="4A6F20C8" w:rsidR="00F60B40" w:rsidRPr="00493DD8" w:rsidRDefault="00F92CAF" w:rsidP="00744B0B">
            <w:pPr>
              <w:pStyle w:val="Tablecolumnheadingleft"/>
            </w:pPr>
            <w:r w:rsidRPr="00493DD8">
              <w:t>By age</w:t>
            </w:r>
          </w:p>
        </w:tc>
        <w:tc>
          <w:tcPr>
            <w:tcW w:w="2125" w:type="dxa"/>
            <w:tcBorders>
              <w:top w:val="single" w:sz="4" w:space="0" w:color="002C47" w:themeColor="accent1"/>
              <w:left w:val="nil"/>
              <w:bottom w:val="nil"/>
              <w:right w:val="nil"/>
            </w:tcBorders>
            <w:shd w:val="clear" w:color="auto" w:fill="auto"/>
            <w:vAlign w:val="bottom"/>
            <w:hideMark/>
          </w:tcPr>
          <w:p w14:paraId="457E3295" w14:textId="77777777" w:rsidR="00F60B40" w:rsidRPr="00493DD8" w:rsidRDefault="00F60B40" w:rsidP="00D15DA3">
            <w:pPr>
              <w:pStyle w:val="Tabletextcentred"/>
              <w:rPr>
                <w:lang w:eastAsia="en-AU"/>
              </w:rPr>
            </w:pPr>
          </w:p>
        </w:tc>
        <w:tc>
          <w:tcPr>
            <w:tcW w:w="2374" w:type="dxa"/>
            <w:gridSpan w:val="2"/>
            <w:tcBorders>
              <w:top w:val="single" w:sz="4" w:space="0" w:color="002C47" w:themeColor="accent1"/>
              <w:left w:val="nil"/>
              <w:bottom w:val="nil"/>
              <w:right w:val="nil"/>
            </w:tcBorders>
          </w:tcPr>
          <w:p w14:paraId="2D3B823E" w14:textId="77777777" w:rsidR="00C85621" w:rsidRPr="00493DD8" w:rsidRDefault="00C85621" w:rsidP="00D15DA3">
            <w:pPr>
              <w:pStyle w:val="Tabletextcentred"/>
              <w:rPr>
                <w:lang w:eastAsia="en-AU"/>
              </w:rPr>
            </w:pPr>
          </w:p>
        </w:tc>
      </w:tr>
      <w:tr w:rsidR="00796BBE" w:rsidRPr="00120704" w14:paraId="376794C8" w14:textId="053C905B"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40E14EA0" w14:textId="7CE451F2" w:rsidR="00796BBE" w:rsidRPr="00493DD8" w:rsidRDefault="00796BBE" w:rsidP="00D15DA3">
            <w:pPr>
              <w:pStyle w:val="Tabletextleft"/>
            </w:pPr>
            <w:r w:rsidRPr="00493DD8">
              <w:t>Less than</w:t>
            </w:r>
            <w:r w:rsidR="00F311A5" w:rsidRPr="00493DD8">
              <w:t xml:space="preserve"> 25</w:t>
            </w:r>
          </w:p>
        </w:tc>
        <w:tc>
          <w:tcPr>
            <w:tcW w:w="2125" w:type="dxa"/>
            <w:tcBorders>
              <w:top w:val="nil"/>
              <w:left w:val="nil"/>
              <w:bottom w:val="nil"/>
              <w:right w:val="nil"/>
            </w:tcBorders>
            <w:shd w:val="clear" w:color="auto" w:fill="auto"/>
            <w:vAlign w:val="bottom"/>
          </w:tcPr>
          <w:p w14:paraId="1E921DE7" w14:textId="725B90E0" w:rsidR="00796BBE" w:rsidRPr="00493DD8" w:rsidRDefault="00232610" w:rsidP="00D15DA3">
            <w:pPr>
              <w:pStyle w:val="Tabletextcentred"/>
              <w:rPr>
                <w:lang w:eastAsia="en-AU"/>
              </w:rPr>
            </w:pPr>
            <w:r w:rsidRPr="00493DD8">
              <w:rPr>
                <w:lang w:eastAsia="en-AU"/>
              </w:rPr>
              <w:t>13.0</w:t>
            </w:r>
          </w:p>
        </w:tc>
        <w:tc>
          <w:tcPr>
            <w:tcW w:w="2374" w:type="dxa"/>
            <w:gridSpan w:val="2"/>
            <w:tcBorders>
              <w:top w:val="nil"/>
              <w:left w:val="nil"/>
              <w:bottom w:val="nil"/>
              <w:right w:val="nil"/>
            </w:tcBorders>
            <w:vAlign w:val="bottom"/>
          </w:tcPr>
          <w:p w14:paraId="2ABFFC3B" w14:textId="7CF5296E" w:rsidR="00C85621" w:rsidRPr="00493DD8" w:rsidRDefault="00C85621" w:rsidP="00D15DA3">
            <w:pPr>
              <w:pStyle w:val="Tabletextcentred"/>
            </w:pPr>
            <w:r w:rsidRPr="00493DD8">
              <w:t>16.</w:t>
            </w:r>
            <w:r w:rsidR="00D174AB" w:rsidRPr="00493DD8">
              <w:t>6</w:t>
            </w:r>
          </w:p>
        </w:tc>
      </w:tr>
      <w:tr w:rsidR="00796BBE" w:rsidRPr="00120704" w14:paraId="28D20B51" w14:textId="16948813"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1BC37FF2" w14:textId="72CF2E96" w:rsidR="00796BBE" w:rsidRPr="00493DD8" w:rsidRDefault="00F311A5" w:rsidP="00D15DA3">
            <w:pPr>
              <w:pStyle w:val="Tabletextleft"/>
            </w:pPr>
            <w:r w:rsidRPr="00493DD8">
              <w:t>25</w:t>
            </w:r>
            <w:r w:rsidR="00DE2760">
              <w:noBreakHyphen/>
            </w:r>
            <w:r w:rsidRPr="00493DD8">
              <w:t>34</w:t>
            </w:r>
          </w:p>
        </w:tc>
        <w:tc>
          <w:tcPr>
            <w:tcW w:w="2125" w:type="dxa"/>
            <w:tcBorders>
              <w:top w:val="nil"/>
              <w:left w:val="nil"/>
              <w:bottom w:val="nil"/>
              <w:right w:val="nil"/>
            </w:tcBorders>
            <w:shd w:val="clear" w:color="auto" w:fill="auto"/>
            <w:vAlign w:val="bottom"/>
          </w:tcPr>
          <w:p w14:paraId="36101EBD" w14:textId="5E879296" w:rsidR="00796BBE" w:rsidRPr="00493DD8" w:rsidRDefault="00232610" w:rsidP="00D15DA3">
            <w:pPr>
              <w:pStyle w:val="Tabletextcentred"/>
              <w:rPr>
                <w:lang w:eastAsia="en-AU"/>
              </w:rPr>
            </w:pPr>
            <w:r w:rsidRPr="00493DD8">
              <w:rPr>
                <w:lang w:eastAsia="en-AU"/>
              </w:rPr>
              <w:t>22.6</w:t>
            </w:r>
          </w:p>
        </w:tc>
        <w:tc>
          <w:tcPr>
            <w:tcW w:w="2374" w:type="dxa"/>
            <w:gridSpan w:val="2"/>
            <w:tcBorders>
              <w:top w:val="nil"/>
              <w:left w:val="nil"/>
              <w:bottom w:val="nil"/>
              <w:right w:val="nil"/>
            </w:tcBorders>
            <w:vAlign w:val="bottom"/>
          </w:tcPr>
          <w:p w14:paraId="01D551CE" w14:textId="311FF407" w:rsidR="00C85621" w:rsidRPr="00493DD8" w:rsidRDefault="00C85621" w:rsidP="00D15DA3">
            <w:pPr>
              <w:pStyle w:val="Tabletextcentred"/>
            </w:pPr>
            <w:r w:rsidRPr="00493DD8">
              <w:t>24.1</w:t>
            </w:r>
          </w:p>
        </w:tc>
      </w:tr>
      <w:tr w:rsidR="00796BBE" w:rsidRPr="00120704" w14:paraId="5242AD75" w14:textId="4BEA25EB"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1D08E1BE" w14:textId="23C2C834" w:rsidR="00796BBE" w:rsidRPr="00493DD8" w:rsidRDefault="00F311A5" w:rsidP="00D15DA3">
            <w:pPr>
              <w:pStyle w:val="Tabletextleft"/>
            </w:pPr>
            <w:r w:rsidRPr="00493DD8">
              <w:t>35</w:t>
            </w:r>
            <w:r w:rsidR="00DE2760">
              <w:noBreakHyphen/>
            </w:r>
            <w:r w:rsidRPr="00493DD8">
              <w:t>44</w:t>
            </w:r>
          </w:p>
        </w:tc>
        <w:tc>
          <w:tcPr>
            <w:tcW w:w="2125" w:type="dxa"/>
            <w:tcBorders>
              <w:top w:val="nil"/>
              <w:left w:val="nil"/>
              <w:bottom w:val="nil"/>
              <w:right w:val="nil"/>
            </w:tcBorders>
            <w:shd w:val="clear" w:color="auto" w:fill="auto"/>
            <w:vAlign w:val="bottom"/>
          </w:tcPr>
          <w:p w14:paraId="78C8FC27" w14:textId="563FBE97" w:rsidR="00796BBE" w:rsidRPr="00493DD8" w:rsidRDefault="00F91DAB" w:rsidP="00D15DA3">
            <w:pPr>
              <w:pStyle w:val="Tabletextcentred"/>
              <w:rPr>
                <w:lang w:eastAsia="en-AU"/>
              </w:rPr>
            </w:pPr>
            <w:r w:rsidRPr="00493DD8">
              <w:rPr>
                <w:lang w:eastAsia="en-AU"/>
              </w:rPr>
              <w:t>22.</w:t>
            </w:r>
            <w:r w:rsidR="00232610" w:rsidRPr="00493DD8">
              <w:rPr>
                <w:lang w:eastAsia="en-AU"/>
              </w:rPr>
              <w:t>8</w:t>
            </w:r>
          </w:p>
        </w:tc>
        <w:tc>
          <w:tcPr>
            <w:tcW w:w="2374" w:type="dxa"/>
            <w:gridSpan w:val="2"/>
            <w:tcBorders>
              <w:top w:val="nil"/>
              <w:left w:val="nil"/>
              <w:bottom w:val="nil"/>
              <w:right w:val="nil"/>
            </w:tcBorders>
            <w:vAlign w:val="bottom"/>
          </w:tcPr>
          <w:p w14:paraId="63D722BA" w14:textId="31986507" w:rsidR="00C85621" w:rsidRPr="00493DD8" w:rsidRDefault="00C85621" w:rsidP="00D15DA3">
            <w:pPr>
              <w:pStyle w:val="Tabletextcentred"/>
            </w:pPr>
            <w:r w:rsidRPr="00493DD8">
              <w:t>21.1</w:t>
            </w:r>
          </w:p>
        </w:tc>
      </w:tr>
      <w:tr w:rsidR="00796BBE" w:rsidRPr="00120704" w14:paraId="519B907A" w14:textId="46717373"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6305551E" w14:textId="1A9D5EDC" w:rsidR="00796BBE" w:rsidRPr="00493DD8" w:rsidRDefault="00F311A5" w:rsidP="00D15DA3">
            <w:pPr>
              <w:pStyle w:val="Tabletextleft"/>
            </w:pPr>
            <w:r w:rsidRPr="00493DD8">
              <w:t>45</w:t>
            </w:r>
            <w:r w:rsidR="00DE2760">
              <w:noBreakHyphen/>
            </w:r>
            <w:r w:rsidRPr="00493DD8">
              <w:t>54</w:t>
            </w:r>
          </w:p>
        </w:tc>
        <w:tc>
          <w:tcPr>
            <w:tcW w:w="2125" w:type="dxa"/>
            <w:tcBorders>
              <w:top w:val="nil"/>
              <w:left w:val="nil"/>
              <w:bottom w:val="nil"/>
              <w:right w:val="nil"/>
            </w:tcBorders>
            <w:shd w:val="clear" w:color="auto" w:fill="auto"/>
            <w:vAlign w:val="bottom"/>
          </w:tcPr>
          <w:p w14:paraId="5E9F4427" w14:textId="62532DFA" w:rsidR="00796BBE" w:rsidRPr="00493DD8" w:rsidRDefault="00232610" w:rsidP="00D15DA3">
            <w:pPr>
              <w:pStyle w:val="Tabletextcentred"/>
              <w:rPr>
                <w:lang w:eastAsia="en-AU"/>
              </w:rPr>
            </w:pPr>
            <w:r w:rsidRPr="00493DD8">
              <w:rPr>
                <w:lang w:eastAsia="en-AU"/>
              </w:rPr>
              <w:t>21.2</w:t>
            </w:r>
          </w:p>
        </w:tc>
        <w:tc>
          <w:tcPr>
            <w:tcW w:w="2374" w:type="dxa"/>
            <w:gridSpan w:val="2"/>
            <w:tcBorders>
              <w:top w:val="nil"/>
              <w:left w:val="nil"/>
              <w:bottom w:val="nil"/>
              <w:right w:val="nil"/>
            </w:tcBorders>
            <w:vAlign w:val="bottom"/>
          </w:tcPr>
          <w:p w14:paraId="2B253340" w14:textId="3E774305" w:rsidR="00C85621" w:rsidRPr="00493DD8" w:rsidRDefault="00C85621" w:rsidP="00D15DA3">
            <w:pPr>
              <w:pStyle w:val="Tabletextcentred"/>
            </w:pPr>
            <w:r w:rsidRPr="00493DD8">
              <w:t>19.</w:t>
            </w:r>
            <w:r w:rsidR="00D174AB" w:rsidRPr="00493DD8">
              <w:t>5</w:t>
            </w:r>
          </w:p>
        </w:tc>
      </w:tr>
      <w:tr w:rsidR="00796BBE" w:rsidRPr="00120704" w14:paraId="790B522F" w14:textId="785C70EA"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58026D4A" w14:textId="79F5A89D" w:rsidR="00796BBE" w:rsidRPr="00493DD8" w:rsidRDefault="00F311A5" w:rsidP="00D15DA3">
            <w:pPr>
              <w:pStyle w:val="Tabletextleft"/>
            </w:pPr>
            <w:r w:rsidRPr="00493DD8">
              <w:t>55</w:t>
            </w:r>
            <w:r w:rsidR="00DE2760">
              <w:noBreakHyphen/>
            </w:r>
            <w:r w:rsidRPr="00493DD8">
              <w:t>64</w:t>
            </w:r>
          </w:p>
        </w:tc>
        <w:tc>
          <w:tcPr>
            <w:tcW w:w="2125" w:type="dxa"/>
            <w:tcBorders>
              <w:top w:val="nil"/>
              <w:left w:val="nil"/>
              <w:bottom w:val="nil"/>
              <w:right w:val="nil"/>
            </w:tcBorders>
            <w:shd w:val="clear" w:color="auto" w:fill="auto"/>
            <w:vAlign w:val="bottom"/>
          </w:tcPr>
          <w:p w14:paraId="702788F8" w14:textId="586FF1E3" w:rsidR="00796BBE" w:rsidRPr="00493DD8" w:rsidRDefault="00232610" w:rsidP="00D15DA3">
            <w:pPr>
              <w:pStyle w:val="Tabletextcentred"/>
              <w:rPr>
                <w:lang w:eastAsia="en-AU"/>
              </w:rPr>
            </w:pPr>
            <w:r w:rsidRPr="00493DD8">
              <w:rPr>
                <w:lang w:eastAsia="en-AU"/>
              </w:rPr>
              <w:t>15.5</w:t>
            </w:r>
          </w:p>
        </w:tc>
        <w:tc>
          <w:tcPr>
            <w:tcW w:w="2374" w:type="dxa"/>
            <w:gridSpan w:val="2"/>
            <w:tcBorders>
              <w:top w:val="nil"/>
              <w:left w:val="nil"/>
              <w:bottom w:val="nil"/>
              <w:right w:val="nil"/>
            </w:tcBorders>
            <w:vAlign w:val="bottom"/>
          </w:tcPr>
          <w:p w14:paraId="6863CE7B" w14:textId="101B716A" w:rsidR="00C85621" w:rsidRPr="00493DD8" w:rsidRDefault="00C85621" w:rsidP="00D15DA3">
            <w:pPr>
              <w:pStyle w:val="Tabletextcentred"/>
            </w:pPr>
            <w:r w:rsidRPr="00493DD8">
              <w:t>14.</w:t>
            </w:r>
            <w:r w:rsidR="00D174AB" w:rsidRPr="00493DD8">
              <w:t>1</w:t>
            </w:r>
          </w:p>
        </w:tc>
      </w:tr>
      <w:tr w:rsidR="00796BBE" w:rsidRPr="00796BBE" w14:paraId="2B18CFFF" w14:textId="021E4C1A"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425CC40B" w14:textId="21BDBD5E" w:rsidR="00796BBE" w:rsidRPr="00493DD8" w:rsidRDefault="00F311A5" w:rsidP="00D15DA3">
            <w:pPr>
              <w:pStyle w:val="Tabletextleft"/>
            </w:pPr>
            <w:r w:rsidRPr="00493DD8">
              <w:t>65 +</w:t>
            </w:r>
          </w:p>
        </w:tc>
        <w:tc>
          <w:tcPr>
            <w:tcW w:w="2125" w:type="dxa"/>
            <w:tcBorders>
              <w:top w:val="nil"/>
              <w:left w:val="nil"/>
              <w:bottom w:val="nil"/>
              <w:right w:val="nil"/>
            </w:tcBorders>
            <w:shd w:val="clear" w:color="auto" w:fill="auto"/>
            <w:vAlign w:val="bottom"/>
          </w:tcPr>
          <w:p w14:paraId="7BD9B448" w14:textId="37C3F045" w:rsidR="00796BBE" w:rsidRPr="00493DD8" w:rsidRDefault="00232610" w:rsidP="00D15DA3">
            <w:pPr>
              <w:pStyle w:val="Tabletextcentred"/>
              <w:rPr>
                <w:lang w:eastAsia="en-AU"/>
              </w:rPr>
            </w:pPr>
            <w:r w:rsidRPr="00493DD8">
              <w:rPr>
                <w:lang w:eastAsia="en-AU"/>
              </w:rPr>
              <w:t>4.9</w:t>
            </w:r>
          </w:p>
        </w:tc>
        <w:tc>
          <w:tcPr>
            <w:tcW w:w="2374" w:type="dxa"/>
            <w:gridSpan w:val="2"/>
            <w:tcBorders>
              <w:top w:val="nil"/>
              <w:left w:val="nil"/>
              <w:bottom w:val="nil"/>
              <w:right w:val="nil"/>
            </w:tcBorders>
            <w:vAlign w:val="bottom"/>
          </w:tcPr>
          <w:p w14:paraId="7F56BB71" w14:textId="67297883" w:rsidR="00C85621" w:rsidRPr="00493DD8" w:rsidRDefault="00C85621" w:rsidP="00D15DA3">
            <w:pPr>
              <w:pStyle w:val="Tabletextcentred"/>
            </w:pPr>
            <w:r w:rsidRPr="00493DD8">
              <w:t>4.6</w:t>
            </w:r>
          </w:p>
        </w:tc>
      </w:tr>
      <w:tr w:rsidR="00935652" w:rsidRPr="00120704" w14:paraId="71695614" w14:textId="77777777" w:rsidTr="00744B0B">
        <w:trPr>
          <w:gridAfter w:val="2"/>
          <w:wAfter w:w="243" w:type="dxa"/>
          <w:trHeight w:val="290"/>
          <w:jc w:val="center"/>
        </w:trPr>
        <w:tc>
          <w:tcPr>
            <w:tcW w:w="3887" w:type="dxa"/>
            <w:tcBorders>
              <w:top w:val="nil"/>
              <w:left w:val="nil"/>
              <w:bottom w:val="nil"/>
              <w:right w:val="nil"/>
            </w:tcBorders>
            <w:shd w:val="clear" w:color="auto" w:fill="auto"/>
            <w:noWrap/>
            <w:vAlign w:val="bottom"/>
          </w:tcPr>
          <w:p w14:paraId="435C7560" w14:textId="77777777" w:rsidR="00935652" w:rsidRPr="00493DD8" w:rsidRDefault="00935652" w:rsidP="00D15DA3">
            <w:pPr>
              <w:pStyle w:val="Tabletextleft"/>
            </w:pPr>
          </w:p>
        </w:tc>
        <w:tc>
          <w:tcPr>
            <w:tcW w:w="2125" w:type="dxa"/>
            <w:tcBorders>
              <w:top w:val="nil"/>
              <w:left w:val="nil"/>
              <w:bottom w:val="nil"/>
              <w:right w:val="nil"/>
            </w:tcBorders>
          </w:tcPr>
          <w:p w14:paraId="275254F2" w14:textId="77777777" w:rsidR="00C85621" w:rsidRPr="00493DD8" w:rsidRDefault="00C85621" w:rsidP="00D15DA3">
            <w:pPr>
              <w:pStyle w:val="Tabletextcentred"/>
              <w:rPr>
                <w:lang w:eastAsia="en-AU"/>
              </w:rPr>
            </w:pPr>
          </w:p>
        </w:tc>
        <w:tc>
          <w:tcPr>
            <w:tcW w:w="2249" w:type="dxa"/>
            <w:tcBorders>
              <w:top w:val="nil"/>
              <w:left w:val="nil"/>
              <w:bottom w:val="nil"/>
              <w:right w:val="nil"/>
            </w:tcBorders>
            <w:shd w:val="clear" w:color="auto" w:fill="auto"/>
            <w:vAlign w:val="bottom"/>
          </w:tcPr>
          <w:p w14:paraId="4D0FC79B" w14:textId="77777777" w:rsidR="00935652" w:rsidRPr="00493DD8" w:rsidRDefault="00935652" w:rsidP="00D15DA3">
            <w:pPr>
              <w:pStyle w:val="Tabletextcentred"/>
              <w:rPr>
                <w:lang w:eastAsia="en-AU"/>
              </w:rPr>
            </w:pPr>
          </w:p>
        </w:tc>
      </w:tr>
      <w:tr w:rsidR="00796BBE" w:rsidRPr="00120704" w14:paraId="0344D0F3" w14:textId="10292334"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71F0469F" w14:textId="152500DB" w:rsidR="00796BBE" w:rsidRPr="00493DD8" w:rsidRDefault="00935652" w:rsidP="00744B0B">
            <w:pPr>
              <w:pStyle w:val="Tablecolumnheadingleft"/>
            </w:pPr>
            <w:r w:rsidRPr="00493DD8">
              <w:t>By gender</w:t>
            </w:r>
          </w:p>
        </w:tc>
        <w:tc>
          <w:tcPr>
            <w:tcW w:w="2125" w:type="dxa"/>
            <w:tcBorders>
              <w:top w:val="nil"/>
              <w:left w:val="nil"/>
              <w:bottom w:val="nil"/>
              <w:right w:val="nil"/>
            </w:tcBorders>
            <w:shd w:val="clear" w:color="auto" w:fill="auto"/>
            <w:vAlign w:val="bottom"/>
          </w:tcPr>
          <w:p w14:paraId="29D22B90" w14:textId="292282E0" w:rsidR="00796BBE" w:rsidRPr="00493DD8" w:rsidRDefault="00796BBE" w:rsidP="00D15DA3">
            <w:pPr>
              <w:pStyle w:val="Tabletextcentred"/>
              <w:rPr>
                <w:lang w:eastAsia="en-AU"/>
              </w:rPr>
            </w:pPr>
          </w:p>
        </w:tc>
        <w:tc>
          <w:tcPr>
            <w:tcW w:w="2374" w:type="dxa"/>
            <w:gridSpan w:val="2"/>
            <w:tcBorders>
              <w:top w:val="nil"/>
              <w:left w:val="nil"/>
              <w:bottom w:val="nil"/>
              <w:right w:val="nil"/>
            </w:tcBorders>
          </w:tcPr>
          <w:p w14:paraId="3C5B87E4" w14:textId="77777777" w:rsidR="00C85621" w:rsidRPr="00493DD8" w:rsidRDefault="00C85621" w:rsidP="00D15DA3">
            <w:pPr>
              <w:pStyle w:val="Tabletextcentred"/>
              <w:rPr>
                <w:lang w:eastAsia="en-AU"/>
              </w:rPr>
            </w:pPr>
          </w:p>
        </w:tc>
      </w:tr>
      <w:tr w:rsidR="00796BBE" w:rsidRPr="00120704" w14:paraId="4EA5D4DE" w14:textId="05583667"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0210BEC4" w14:textId="479EA0AF" w:rsidR="00796BBE" w:rsidRPr="00493DD8" w:rsidRDefault="00935652" w:rsidP="00D15DA3">
            <w:pPr>
              <w:pStyle w:val="Tabletextleft"/>
            </w:pPr>
            <w:r w:rsidRPr="00493DD8">
              <w:t>Male</w:t>
            </w:r>
          </w:p>
        </w:tc>
        <w:tc>
          <w:tcPr>
            <w:tcW w:w="2125" w:type="dxa"/>
            <w:tcBorders>
              <w:top w:val="nil"/>
              <w:left w:val="nil"/>
              <w:bottom w:val="nil"/>
              <w:right w:val="nil"/>
            </w:tcBorders>
            <w:shd w:val="clear" w:color="auto" w:fill="auto"/>
            <w:vAlign w:val="bottom"/>
          </w:tcPr>
          <w:p w14:paraId="5773196E" w14:textId="6E1C7450" w:rsidR="00796BBE" w:rsidRPr="00493DD8" w:rsidRDefault="00E26CF4" w:rsidP="00D15DA3">
            <w:pPr>
              <w:pStyle w:val="Tabletextcentred"/>
              <w:rPr>
                <w:lang w:eastAsia="en-AU"/>
              </w:rPr>
            </w:pPr>
            <w:r w:rsidRPr="00493DD8">
              <w:rPr>
                <w:lang w:eastAsia="en-AU"/>
              </w:rPr>
              <w:t>52.9</w:t>
            </w:r>
          </w:p>
        </w:tc>
        <w:tc>
          <w:tcPr>
            <w:tcW w:w="2374" w:type="dxa"/>
            <w:gridSpan w:val="2"/>
            <w:tcBorders>
              <w:top w:val="nil"/>
              <w:left w:val="nil"/>
              <w:bottom w:val="nil"/>
              <w:right w:val="nil"/>
            </w:tcBorders>
            <w:vAlign w:val="bottom"/>
          </w:tcPr>
          <w:p w14:paraId="4F1DC801" w14:textId="632D8A66" w:rsidR="00C85621" w:rsidRPr="00493DD8" w:rsidRDefault="00F42D41" w:rsidP="00D15DA3">
            <w:pPr>
              <w:pStyle w:val="Tabletextcentred"/>
            </w:pPr>
            <w:r w:rsidRPr="00493DD8">
              <w:t>55.1</w:t>
            </w:r>
          </w:p>
        </w:tc>
      </w:tr>
      <w:tr w:rsidR="00796BBE" w:rsidRPr="00120704" w14:paraId="74669476" w14:textId="5957D644"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4AE415D3" w14:textId="7BB84797" w:rsidR="00796BBE" w:rsidRPr="00493DD8" w:rsidRDefault="00935652" w:rsidP="00D15DA3">
            <w:pPr>
              <w:pStyle w:val="Tabletextleft"/>
            </w:pPr>
            <w:r w:rsidRPr="00493DD8">
              <w:t>Female</w:t>
            </w:r>
          </w:p>
        </w:tc>
        <w:tc>
          <w:tcPr>
            <w:tcW w:w="2125" w:type="dxa"/>
            <w:tcBorders>
              <w:top w:val="nil"/>
              <w:left w:val="nil"/>
              <w:bottom w:val="nil"/>
              <w:right w:val="nil"/>
            </w:tcBorders>
            <w:shd w:val="clear" w:color="auto" w:fill="auto"/>
            <w:vAlign w:val="bottom"/>
          </w:tcPr>
          <w:p w14:paraId="2B261CF1" w14:textId="6233A7E4" w:rsidR="00796BBE" w:rsidRPr="00493DD8" w:rsidRDefault="00E26CF4" w:rsidP="00D15DA3">
            <w:pPr>
              <w:pStyle w:val="Tabletextcentred"/>
              <w:rPr>
                <w:lang w:eastAsia="en-AU"/>
              </w:rPr>
            </w:pPr>
            <w:r w:rsidRPr="00493DD8">
              <w:rPr>
                <w:lang w:eastAsia="en-AU"/>
              </w:rPr>
              <w:t>47.1</w:t>
            </w:r>
          </w:p>
        </w:tc>
        <w:tc>
          <w:tcPr>
            <w:tcW w:w="2374" w:type="dxa"/>
            <w:gridSpan w:val="2"/>
            <w:tcBorders>
              <w:top w:val="nil"/>
              <w:left w:val="nil"/>
              <w:bottom w:val="nil"/>
              <w:right w:val="nil"/>
            </w:tcBorders>
            <w:vAlign w:val="bottom"/>
          </w:tcPr>
          <w:p w14:paraId="10342234" w14:textId="7E8B33DA" w:rsidR="00C85621" w:rsidRPr="00493DD8" w:rsidRDefault="00F42D41" w:rsidP="00D15DA3">
            <w:pPr>
              <w:pStyle w:val="Tabletextcentred"/>
            </w:pPr>
            <w:r w:rsidRPr="00493DD8">
              <w:t>44.9</w:t>
            </w:r>
          </w:p>
        </w:tc>
      </w:tr>
      <w:tr w:rsidR="00796BBE" w:rsidRPr="00120704" w14:paraId="05014AAF" w14:textId="77D6F3CE" w:rsidTr="00744B0B">
        <w:trPr>
          <w:gridAfter w:val="1"/>
          <w:wAfter w:w="118" w:type="dxa"/>
          <w:trHeight w:val="290"/>
          <w:jc w:val="center"/>
        </w:trPr>
        <w:tc>
          <w:tcPr>
            <w:tcW w:w="3887" w:type="dxa"/>
            <w:tcBorders>
              <w:top w:val="nil"/>
              <w:left w:val="nil"/>
              <w:bottom w:val="nil"/>
              <w:right w:val="nil"/>
            </w:tcBorders>
            <w:shd w:val="clear" w:color="auto" w:fill="auto"/>
            <w:noWrap/>
            <w:vAlign w:val="bottom"/>
          </w:tcPr>
          <w:p w14:paraId="1E5A6369" w14:textId="2402EC9A" w:rsidR="00796BBE" w:rsidRPr="00493DD8" w:rsidRDefault="00796BBE" w:rsidP="00D15DA3">
            <w:pPr>
              <w:pStyle w:val="Tabletextleft"/>
            </w:pPr>
          </w:p>
        </w:tc>
        <w:tc>
          <w:tcPr>
            <w:tcW w:w="2125" w:type="dxa"/>
            <w:tcBorders>
              <w:top w:val="nil"/>
              <w:left w:val="nil"/>
              <w:bottom w:val="nil"/>
              <w:right w:val="nil"/>
            </w:tcBorders>
            <w:shd w:val="clear" w:color="auto" w:fill="auto"/>
            <w:vAlign w:val="bottom"/>
          </w:tcPr>
          <w:p w14:paraId="0CA48665" w14:textId="124CB686" w:rsidR="00796BBE" w:rsidRPr="00493DD8" w:rsidRDefault="00796BBE" w:rsidP="00D15DA3">
            <w:pPr>
              <w:pStyle w:val="Tabletextcentred"/>
              <w:rPr>
                <w:lang w:eastAsia="en-AU"/>
              </w:rPr>
            </w:pPr>
          </w:p>
        </w:tc>
        <w:tc>
          <w:tcPr>
            <w:tcW w:w="2374" w:type="dxa"/>
            <w:gridSpan w:val="2"/>
            <w:tcBorders>
              <w:top w:val="nil"/>
              <w:left w:val="nil"/>
              <w:bottom w:val="nil"/>
              <w:right w:val="nil"/>
            </w:tcBorders>
          </w:tcPr>
          <w:p w14:paraId="12A64786" w14:textId="77777777" w:rsidR="00C85621" w:rsidRPr="00493DD8" w:rsidRDefault="00C85621" w:rsidP="00D15DA3">
            <w:pPr>
              <w:pStyle w:val="Tabletextcentred"/>
              <w:rPr>
                <w:lang w:eastAsia="en-AU"/>
              </w:rPr>
            </w:pPr>
          </w:p>
        </w:tc>
      </w:tr>
      <w:tr w:rsidR="00796BBE" w:rsidRPr="00120704" w14:paraId="1462D0DA" w14:textId="6D26898C" w:rsidTr="00744B0B">
        <w:trPr>
          <w:gridAfter w:val="1"/>
          <w:wAfter w:w="118" w:type="dxa"/>
          <w:trHeight w:val="290"/>
          <w:jc w:val="center"/>
        </w:trPr>
        <w:tc>
          <w:tcPr>
            <w:tcW w:w="3887" w:type="dxa"/>
            <w:tcBorders>
              <w:top w:val="nil"/>
              <w:left w:val="nil"/>
              <w:right w:val="nil"/>
            </w:tcBorders>
            <w:shd w:val="clear" w:color="auto" w:fill="auto"/>
            <w:noWrap/>
            <w:vAlign w:val="bottom"/>
          </w:tcPr>
          <w:p w14:paraId="1546A8BF" w14:textId="6DD0B303" w:rsidR="00796BBE" w:rsidRPr="00493DD8" w:rsidRDefault="00935652" w:rsidP="00744B0B">
            <w:pPr>
              <w:pStyle w:val="Tablecolumnheadingleft"/>
            </w:pPr>
            <w:r w:rsidRPr="00493DD8">
              <w:t>By State and Territory</w:t>
            </w:r>
          </w:p>
        </w:tc>
        <w:tc>
          <w:tcPr>
            <w:tcW w:w="2125" w:type="dxa"/>
            <w:tcBorders>
              <w:top w:val="nil"/>
              <w:left w:val="nil"/>
              <w:right w:val="nil"/>
            </w:tcBorders>
            <w:shd w:val="clear" w:color="auto" w:fill="auto"/>
            <w:vAlign w:val="bottom"/>
          </w:tcPr>
          <w:p w14:paraId="52C4693F" w14:textId="6F8C87B2" w:rsidR="00796BBE" w:rsidRPr="00493DD8" w:rsidRDefault="00796BBE" w:rsidP="00D15DA3">
            <w:pPr>
              <w:pStyle w:val="Tabletextcentred"/>
              <w:rPr>
                <w:lang w:eastAsia="en-AU"/>
              </w:rPr>
            </w:pPr>
          </w:p>
        </w:tc>
        <w:tc>
          <w:tcPr>
            <w:tcW w:w="2374" w:type="dxa"/>
            <w:gridSpan w:val="2"/>
            <w:tcBorders>
              <w:top w:val="nil"/>
              <w:left w:val="nil"/>
              <w:right w:val="nil"/>
            </w:tcBorders>
          </w:tcPr>
          <w:p w14:paraId="0E36C720" w14:textId="77777777" w:rsidR="00C85621" w:rsidRPr="00493DD8" w:rsidRDefault="00C85621" w:rsidP="00D15DA3">
            <w:pPr>
              <w:pStyle w:val="Tabletextcentred"/>
              <w:rPr>
                <w:lang w:eastAsia="en-AU"/>
              </w:rPr>
            </w:pPr>
          </w:p>
        </w:tc>
      </w:tr>
      <w:tr w:rsidR="00935652" w:rsidRPr="00120704" w14:paraId="2A6FBAA7" w14:textId="77777777" w:rsidTr="00744B0B">
        <w:trPr>
          <w:trHeight w:val="290"/>
          <w:jc w:val="center"/>
        </w:trPr>
        <w:tc>
          <w:tcPr>
            <w:tcW w:w="3887" w:type="dxa"/>
            <w:tcBorders>
              <w:top w:val="nil"/>
              <w:left w:val="nil"/>
              <w:right w:val="nil"/>
            </w:tcBorders>
            <w:shd w:val="clear" w:color="auto" w:fill="auto"/>
            <w:noWrap/>
            <w:vAlign w:val="bottom"/>
          </w:tcPr>
          <w:p w14:paraId="3B83AEAF" w14:textId="20706A9E" w:rsidR="00935652" w:rsidRPr="00493DD8" w:rsidRDefault="00935652" w:rsidP="00D15DA3">
            <w:pPr>
              <w:pStyle w:val="Tabletextleft"/>
            </w:pPr>
            <w:r w:rsidRPr="00493DD8">
              <w:t>NSW</w:t>
            </w:r>
          </w:p>
        </w:tc>
        <w:tc>
          <w:tcPr>
            <w:tcW w:w="2125" w:type="dxa"/>
            <w:tcBorders>
              <w:top w:val="nil"/>
              <w:left w:val="nil"/>
              <w:right w:val="nil"/>
            </w:tcBorders>
            <w:vAlign w:val="bottom"/>
          </w:tcPr>
          <w:p w14:paraId="3A96684D" w14:textId="0609BC9D" w:rsidR="00C85621" w:rsidRPr="00493DD8" w:rsidRDefault="00C85621" w:rsidP="00D15DA3">
            <w:pPr>
              <w:pStyle w:val="Tabletextcentred"/>
              <w:rPr>
                <w:lang w:eastAsia="en-AU"/>
              </w:rPr>
            </w:pPr>
            <w:r w:rsidRPr="00493DD8">
              <w:rPr>
                <w:lang w:eastAsia="en-AU"/>
              </w:rPr>
              <w:t>33.1</w:t>
            </w:r>
          </w:p>
        </w:tc>
        <w:tc>
          <w:tcPr>
            <w:tcW w:w="2492" w:type="dxa"/>
            <w:gridSpan w:val="3"/>
            <w:tcBorders>
              <w:top w:val="nil"/>
              <w:left w:val="nil"/>
              <w:right w:val="nil"/>
            </w:tcBorders>
            <w:shd w:val="clear" w:color="auto" w:fill="auto"/>
            <w:vAlign w:val="bottom"/>
          </w:tcPr>
          <w:p w14:paraId="45D1437E" w14:textId="6731C81D" w:rsidR="00935652" w:rsidRPr="00493DD8" w:rsidRDefault="00C85621" w:rsidP="00D15DA3">
            <w:pPr>
              <w:pStyle w:val="Tabletextcentred"/>
              <w:rPr>
                <w:lang w:eastAsia="en-AU"/>
              </w:rPr>
            </w:pPr>
            <w:r w:rsidRPr="00493DD8">
              <w:t>32.</w:t>
            </w:r>
            <w:r w:rsidR="006C6D63" w:rsidRPr="00493DD8">
              <w:t>1</w:t>
            </w:r>
          </w:p>
        </w:tc>
      </w:tr>
      <w:tr w:rsidR="00935652" w:rsidRPr="00120704" w14:paraId="4A6B4D6E" w14:textId="77777777" w:rsidTr="00744B0B">
        <w:trPr>
          <w:trHeight w:val="290"/>
          <w:jc w:val="center"/>
        </w:trPr>
        <w:tc>
          <w:tcPr>
            <w:tcW w:w="3887" w:type="dxa"/>
            <w:tcBorders>
              <w:top w:val="nil"/>
              <w:left w:val="nil"/>
              <w:right w:val="nil"/>
            </w:tcBorders>
            <w:shd w:val="clear" w:color="auto" w:fill="auto"/>
            <w:noWrap/>
            <w:vAlign w:val="bottom"/>
          </w:tcPr>
          <w:p w14:paraId="1B586E2A" w14:textId="7BC75716" w:rsidR="00935652" w:rsidRPr="00493DD8" w:rsidRDefault="00935652" w:rsidP="00D15DA3">
            <w:pPr>
              <w:pStyle w:val="Tabletextleft"/>
            </w:pPr>
            <w:r w:rsidRPr="00493DD8">
              <w:t>Vic</w:t>
            </w:r>
          </w:p>
        </w:tc>
        <w:tc>
          <w:tcPr>
            <w:tcW w:w="2125" w:type="dxa"/>
            <w:tcBorders>
              <w:top w:val="nil"/>
              <w:left w:val="nil"/>
              <w:right w:val="nil"/>
            </w:tcBorders>
            <w:vAlign w:val="bottom"/>
          </w:tcPr>
          <w:p w14:paraId="2D86A479" w14:textId="0A1C7858" w:rsidR="00C85621" w:rsidRPr="00493DD8" w:rsidRDefault="00C85621" w:rsidP="00D15DA3">
            <w:pPr>
              <w:pStyle w:val="Tabletextcentred"/>
              <w:rPr>
                <w:lang w:eastAsia="en-AU"/>
              </w:rPr>
            </w:pPr>
            <w:r w:rsidRPr="00493DD8">
              <w:rPr>
                <w:lang w:eastAsia="en-AU"/>
              </w:rPr>
              <w:t>27.8</w:t>
            </w:r>
          </w:p>
        </w:tc>
        <w:tc>
          <w:tcPr>
            <w:tcW w:w="2492" w:type="dxa"/>
            <w:gridSpan w:val="3"/>
            <w:tcBorders>
              <w:top w:val="nil"/>
              <w:left w:val="nil"/>
              <w:right w:val="nil"/>
            </w:tcBorders>
            <w:shd w:val="clear" w:color="auto" w:fill="auto"/>
            <w:vAlign w:val="bottom"/>
          </w:tcPr>
          <w:p w14:paraId="2A86FE67" w14:textId="1A051877" w:rsidR="00935652" w:rsidRPr="00493DD8" w:rsidRDefault="00935652" w:rsidP="00D15DA3">
            <w:pPr>
              <w:pStyle w:val="Tabletextcentred"/>
              <w:rPr>
                <w:lang w:eastAsia="en-AU"/>
              </w:rPr>
            </w:pPr>
            <w:r w:rsidRPr="00493DD8">
              <w:rPr>
                <w:lang w:eastAsia="en-AU"/>
              </w:rPr>
              <w:t>27.</w:t>
            </w:r>
            <w:r w:rsidR="006C6D63" w:rsidRPr="00493DD8">
              <w:t>0</w:t>
            </w:r>
          </w:p>
        </w:tc>
      </w:tr>
      <w:tr w:rsidR="00935652" w:rsidRPr="00120704" w14:paraId="791E5BBF" w14:textId="77777777" w:rsidTr="00744B0B">
        <w:trPr>
          <w:trHeight w:val="290"/>
          <w:jc w:val="center"/>
        </w:trPr>
        <w:tc>
          <w:tcPr>
            <w:tcW w:w="3887" w:type="dxa"/>
            <w:tcBorders>
              <w:top w:val="nil"/>
              <w:left w:val="nil"/>
              <w:right w:val="nil"/>
            </w:tcBorders>
            <w:shd w:val="clear" w:color="auto" w:fill="auto"/>
            <w:noWrap/>
            <w:vAlign w:val="bottom"/>
          </w:tcPr>
          <w:p w14:paraId="5665EC63" w14:textId="52088EC7" w:rsidR="00935652" w:rsidRPr="00493DD8" w:rsidRDefault="00935652" w:rsidP="00D15DA3">
            <w:pPr>
              <w:pStyle w:val="Tabletextleft"/>
            </w:pPr>
            <w:r w:rsidRPr="00493DD8">
              <w:t>Qld</w:t>
            </w:r>
          </w:p>
        </w:tc>
        <w:tc>
          <w:tcPr>
            <w:tcW w:w="2125" w:type="dxa"/>
            <w:tcBorders>
              <w:top w:val="nil"/>
              <w:left w:val="nil"/>
              <w:right w:val="nil"/>
            </w:tcBorders>
            <w:vAlign w:val="bottom"/>
          </w:tcPr>
          <w:p w14:paraId="5415412A" w14:textId="45B9D226" w:rsidR="00C85621" w:rsidRPr="00493DD8" w:rsidRDefault="00C85621" w:rsidP="00D15DA3">
            <w:pPr>
              <w:pStyle w:val="Tabletextcentred"/>
              <w:rPr>
                <w:lang w:eastAsia="en-AU"/>
              </w:rPr>
            </w:pPr>
            <w:r w:rsidRPr="00493DD8">
              <w:rPr>
                <w:lang w:eastAsia="en-AU"/>
              </w:rPr>
              <w:t>19.7</w:t>
            </w:r>
          </w:p>
        </w:tc>
        <w:tc>
          <w:tcPr>
            <w:tcW w:w="2492" w:type="dxa"/>
            <w:gridSpan w:val="3"/>
            <w:tcBorders>
              <w:top w:val="nil"/>
              <w:left w:val="nil"/>
              <w:right w:val="nil"/>
            </w:tcBorders>
            <w:shd w:val="clear" w:color="auto" w:fill="auto"/>
            <w:vAlign w:val="bottom"/>
          </w:tcPr>
          <w:p w14:paraId="1F2A7F70" w14:textId="5C6312F3" w:rsidR="00935652" w:rsidRPr="00493DD8" w:rsidRDefault="00935652" w:rsidP="00D15DA3">
            <w:pPr>
              <w:pStyle w:val="Tabletextcentred"/>
              <w:rPr>
                <w:lang w:eastAsia="en-AU"/>
              </w:rPr>
            </w:pPr>
            <w:r w:rsidRPr="00493DD8">
              <w:rPr>
                <w:lang w:eastAsia="en-AU"/>
              </w:rPr>
              <w:t>19.</w:t>
            </w:r>
            <w:r w:rsidR="00C85621" w:rsidRPr="00493DD8">
              <w:t>8</w:t>
            </w:r>
          </w:p>
        </w:tc>
      </w:tr>
      <w:tr w:rsidR="00935652" w:rsidRPr="00120704" w14:paraId="1EA3E413" w14:textId="77777777" w:rsidTr="00744B0B">
        <w:trPr>
          <w:trHeight w:val="290"/>
          <w:jc w:val="center"/>
        </w:trPr>
        <w:tc>
          <w:tcPr>
            <w:tcW w:w="3887" w:type="dxa"/>
            <w:tcBorders>
              <w:top w:val="nil"/>
              <w:left w:val="nil"/>
              <w:right w:val="nil"/>
            </w:tcBorders>
            <w:shd w:val="clear" w:color="auto" w:fill="auto"/>
            <w:noWrap/>
            <w:vAlign w:val="bottom"/>
          </w:tcPr>
          <w:p w14:paraId="5718E4EA" w14:textId="33F5C2F5" w:rsidR="00935652" w:rsidRPr="00493DD8" w:rsidRDefault="00935652" w:rsidP="00D15DA3">
            <w:pPr>
              <w:pStyle w:val="Tabletextleft"/>
            </w:pPr>
            <w:r w:rsidRPr="00493DD8">
              <w:t>WA</w:t>
            </w:r>
          </w:p>
        </w:tc>
        <w:tc>
          <w:tcPr>
            <w:tcW w:w="2125" w:type="dxa"/>
            <w:tcBorders>
              <w:top w:val="nil"/>
              <w:left w:val="nil"/>
              <w:right w:val="nil"/>
            </w:tcBorders>
            <w:vAlign w:val="bottom"/>
          </w:tcPr>
          <w:p w14:paraId="273B0A0E" w14:textId="502BC44A" w:rsidR="00C85621" w:rsidRPr="00493DD8" w:rsidRDefault="00C85621" w:rsidP="00D15DA3">
            <w:pPr>
              <w:pStyle w:val="Tabletextcentred"/>
              <w:rPr>
                <w:lang w:eastAsia="en-AU"/>
              </w:rPr>
            </w:pPr>
            <w:r w:rsidRPr="00493DD8">
              <w:rPr>
                <w:lang w:eastAsia="en-AU"/>
              </w:rPr>
              <w:t>9.5</w:t>
            </w:r>
          </w:p>
        </w:tc>
        <w:tc>
          <w:tcPr>
            <w:tcW w:w="2492" w:type="dxa"/>
            <w:gridSpan w:val="3"/>
            <w:tcBorders>
              <w:top w:val="nil"/>
              <w:left w:val="nil"/>
              <w:right w:val="nil"/>
            </w:tcBorders>
            <w:shd w:val="clear" w:color="auto" w:fill="auto"/>
            <w:vAlign w:val="bottom"/>
          </w:tcPr>
          <w:p w14:paraId="7112D8C5" w14:textId="0BC7FC1C" w:rsidR="00935652" w:rsidRPr="00493DD8" w:rsidRDefault="00C85621" w:rsidP="00D15DA3">
            <w:pPr>
              <w:pStyle w:val="Tabletextcentred"/>
              <w:rPr>
                <w:lang w:eastAsia="en-AU"/>
              </w:rPr>
            </w:pPr>
            <w:r w:rsidRPr="00493DD8">
              <w:t>10</w:t>
            </w:r>
            <w:r w:rsidR="00935652" w:rsidRPr="00493DD8">
              <w:rPr>
                <w:lang w:eastAsia="en-AU"/>
              </w:rPr>
              <w:t>.5</w:t>
            </w:r>
          </w:p>
        </w:tc>
      </w:tr>
      <w:tr w:rsidR="00935652" w:rsidRPr="00120704" w14:paraId="3EED8EF4" w14:textId="77777777" w:rsidTr="00744B0B">
        <w:trPr>
          <w:trHeight w:val="290"/>
          <w:jc w:val="center"/>
        </w:trPr>
        <w:tc>
          <w:tcPr>
            <w:tcW w:w="3887" w:type="dxa"/>
            <w:tcBorders>
              <w:top w:val="nil"/>
              <w:left w:val="nil"/>
              <w:right w:val="nil"/>
            </w:tcBorders>
            <w:shd w:val="clear" w:color="auto" w:fill="auto"/>
            <w:noWrap/>
            <w:vAlign w:val="bottom"/>
          </w:tcPr>
          <w:p w14:paraId="1CB29EB5" w14:textId="2B12F086" w:rsidR="00935652" w:rsidRPr="00493DD8" w:rsidRDefault="00935652" w:rsidP="00D15DA3">
            <w:pPr>
              <w:pStyle w:val="Tabletextleft"/>
            </w:pPr>
            <w:r w:rsidRPr="00493DD8">
              <w:t>SA</w:t>
            </w:r>
          </w:p>
        </w:tc>
        <w:tc>
          <w:tcPr>
            <w:tcW w:w="2125" w:type="dxa"/>
            <w:tcBorders>
              <w:top w:val="nil"/>
              <w:left w:val="nil"/>
              <w:right w:val="nil"/>
            </w:tcBorders>
            <w:vAlign w:val="bottom"/>
          </w:tcPr>
          <w:p w14:paraId="3E47AAEC" w14:textId="0085881F" w:rsidR="00C85621" w:rsidRPr="00493DD8" w:rsidRDefault="00C85621" w:rsidP="00D15DA3">
            <w:pPr>
              <w:pStyle w:val="Tabletextcentred"/>
              <w:rPr>
                <w:lang w:eastAsia="en-AU"/>
              </w:rPr>
            </w:pPr>
            <w:r w:rsidRPr="00493DD8">
              <w:rPr>
                <w:lang w:eastAsia="en-AU"/>
              </w:rPr>
              <w:t>6.2</w:t>
            </w:r>
          </w:p>
        </w:tc>
        <w:tc>
          <w:tcPr>
            <w:tcW w:w="2492" w:type="dxa"/>
            <w:gridSpan w:val="3"/>
            <w:tcBorders>
              <w:top w:val="nil"/>
              <w:left w:val="nil"/>
              <w:right w:val="nil"/>
            </w:tcBorders>
            <w:shd w:val="clear" w:color="auto" w:fill="auto"/>
            <w:vAlign w:val="bottom"/>
          </w:tcPr>
          <w:p w14:paraId="0B7F4406" w14:textId="3409016E" w:rsidR="00935652" w:rsidRPr="00493DD8" w:rsidRDefault="00935652" w:rsidP="00D15DA3">
            <w:pPr>
              <w:pStyle w:val="Tabletextcentred"/>
              <w:rPr>
                <w:lang w:eastAsia="en-AU"/>
              </w:rPr>
            </w:pPr>
            <w:r w:rsidRPr="00493DD8">
              <w:rPr>
                <w:lang w:eastAsia="en-AU"/>
              </w:rPr>
              <w:t>6.</w:t>
            </w:r>
            <w:r w:rsidR="00C85621" w:rsidRPr="00493DD8">
              <w:t>6</w:t>
            </w:r>
          </w:p>
        </w:tc>
      </w:tr>
      <w:tr w:rsidR="00935652" w:rsidRPr="00120704" w14:paraId="401BCD6B" w14:textId="77777777" w:rsidTr="00744B0B">
        <w:trPr>
          <w:trHeight w:val="290"/>
          <w:jc w:val="center"/>
        </w:trPr>
        <w:tc>
          <w:tcPr>
            <w:tcW w:w="3887" w:type="dxa"/>
            <w:tcBorders>
              <w:top w:val="nil"/>
              <w:left w:val="nil"/>
              <w:right w:val="nil"/>
            </w:tcBorders>
            <w:shd w:val="clear" w:color="auto" w:fill="auto"/>
            <w:noWrap/>
            <w:vAlign w:val="bottom"/>
          </w:tcPr>
          <w:p w14:paraId="3A91EA00" w14:textId="64610097" w:rsidR="00935652" w:rsidRPr="00493DD8" w:rsidRDefault="00935652" w:rsidP="00D15DA3">
            <w:pPr>
              <w:pStyle w:val="Tabletextleft"/>
            </w:pPr>
            <w:r w:rsidRPr="00493DD8">
              <w:t>Tas</w:t>
            </w:r>
          </w:p>
        </w:tc>
        <w:tc>
          <w:tcPr>
            <w:tcW w:w="2125" w:type="dxa"/>
            <w:tcBorders>
              <w:top w:val="nil"/>
              <w:left w:val="nil"/>
              <w:right w:val="nil"/>
            </w:tcBorders>
            <w:vAlign w:val="bottom"/>
          </w:tcPr>
          <w:p w14:paraId="7DA4A9AE" w14:textId="7A3E9EE6" w:rsidR="00C85621" w:rsidRPr="00493DD8" w:rsidRDefault="00C85621" w:rsidP="00D15DA3">
            <w:pPr>
              <w:pStyle w:val="Tabletextcentred"/>
              <w:rPr>
                <w:lang w:eastAsia="en-AU"/>
              </w:rPr>
            </w:pPr>
            <w:r w:rsidRPr="00493DD8">
              <w:rPr>
                <w:lang w:eastAsia="en-AU"/>
              </w:rPr>
              <w:t>1.8</w:t>
            </w:r>
          </w:p>
        </w:tc>
        <w:tc>
          <w:tcPr>
            <w:tcW w:w="2492" w:type="dxa"/>
            <w:gridSpan w:val="3"/>
            <w:tcBorders>
              <w:top w:val="nil"/>
              <w:left w:val="nil"/>
              <w:right w:val="nil"/>
            </w:tcBorders>
            <w:shd w:val="clear" w:color="auto" w:fill="auto"/>
            <w:vAlign w:val="bottom"/>
          </w:tcPr>
          <w:p w14:paraId="0ACAE728" w14:textId="6EC6E5FD" w:rsidR="00935652" w:rsidRPr="00493DD8" w:rsidRDefault="00935652" w:rsidP="00D15DA3">
            <w:pPr>
              <w:pStyle w:val="Tabletextcentred"/>
              <w:rPr>
                <w:lang w:eastAsia="en-AU"/>
              </w:rPr>
            </w:pPr>
            <w:r w:rsidRPr="00493DD8">
              <w:rPr>
                <w:lang w:eastAsia="en-AU"/>
              </w:rPr>
              <w:t>1.</w:t>
            </w:r>
            <w:r w:rsidR="00C85621" w:rsidRPr="00493DD8">
              <w:t>9</w:t>
            </w:r>
          </w:p>
        </w:tc>
      </w:tr>
      <w:tr w:rsidR="00935652" w:rsidRPr="00120704" w14:paraId="42C6AF98" w14:textId="77777777" w:rsidTr="00744B0B">
        <w:trPr>
          <w:trHeight w:val="290"/>
          <w:jc w:val="center"/>
        </w:trPr>
        <w:tc>
          <w:tcPr>
            <w:tcW w:w="3887" w:type="dxa"/>
            <w:tcBorders>
              <w:top w:val="nil"/>
              <w:left w:val="nil"/>
              <w:right w:val="nil"/>
            </w:tcBorders>
            <w:shd w:val="clear" w:color="auto" w:fill="auto"/>
            <w:noWrap/>
            <w:vAlign w:val="bottom"/>
          </w:tcPr>
          <w:p w14:paraId="6D20A744" w14:textId="1095FBB4" w:rsidR="00935652" w:rsidRPr="00493DD8" w:rsidRDefault="00935652" w:rsidP="00D15DA3">
            <w:pPr>
              <w:pStyle w:val="Tabletextleft"/>
            </w:pPr>
            <w:r w:rsidRPr="00493DD8">
              <w:t>ACT</w:t>
            </w:r>
          </w:p>
        </w:tc>
        <w:tc>
          <w:tcPr>
            <w:tcW w:w="2125" w:type="dxa"/>
            <w:tcBorders>
              <w:top w:val="nil"/>
              <w:left w:val="nil"/>
              <w:right w:val="nil"/>
            </w:tcBorders>
            <w:vAlign w:val="bottom"/>
          </w:tcPr>
          <w:p w14:paraId="53265429" w14:textId="1D990C12" w:rsidR="00C85621" w:rsidRPr="00493DD8" w:rsidRDefault="00C85621" w:rsidP="00D15DA3">
            <w:pPr>
              <w:pStyle w:val="Tabletextcentred"/>
              <w:rPr>
                <w:lang w:eastAsia="en-AU"/>
              </w:rPr>
            </w:pPr>
            <w:r w:rsidRPr="00493DD8">
              <w:rPr>
                <w:lang w:eastAsia="en-AU"/>
              </w:rPr>
              <w:t>1.3</w:t>
            </w:r>
          </w:p>
        </w:tc>
        <w:tc>
          <w:tcPr>
            <w:tcW w:w="2492" w:type="dxa"/>
            <w:gridSpan w:val="3"/>
            <w:tcBorders>
              <w:top w:val="nil"/>
              <w:left w:val="nil"/>
              <w:right w:val="nil"/>
            </w:tcBorders>
            <w:shd w:val="clear" w:color="auto" w:fill="auto"/>
            <w:vAlign w:val="bottom"/>
          </w:tcPr>
          <w:p w14:paraId="18BDCD4C" w14:textId="62E3EA0B" w:rsidR="00935652" w:rsidRPr="00493DD8" w:rsidRDefault="00935652" w:rsidP="00D15DA3">
            <w:pPr>
              <w:pStyle w:val="Tabletextcentred"/>
              <w:rPr>
                <w:lang w:eastAsia="en-AU"/>
              </w:rPr>
            </w:pPr>
            <w:r w:rsidRPr="00493DD8">
              <w:rPr>
                <w:lang w:eastAsia="en-AU"/>
              </w:rPr>
              <w:t>1.3</w:t>
            </w:r>
          </w:p>
        </w:tc>
      </w:tr>
      <w:tr w:rsidR="00935652" w:rsidRPr="00120704" w14:paraId="2BE8867F" w14:textId="77777777" w:rsidTr="00744B0B">
        <w:trPr>
          <w:trHeight w:val="290"/>
          <w:jc w:val="center"/>
        </w:trPr>
        <w:tc>
          <w:tcPr>
            <w:tcW w:w="3887" w:type="dxa"/>
            <w:tcBorders>
              <w:top w:val="nil"/>
              <w:left w:val="nil"/>
              <w:bottom w:val="single" w:sz="12" w:space="0" w:color="002C47" w:themeColor="accent1"/>
              <w:right w:val="nil"/>
            </w:tcBorders>
            <w:shd w:val="clear" w:color="auto" w:fill="auto"/>
            <w:noWrap/>
            <w:vAlign w:val="bottom"/>
          </w:tcPr>
          <w:p w14:paraId="5B4B2226" w14:textId="2FEEA1C4" w:rsidR="00935652" w:rsidRPr="00493DD8" w:rsidRDefault="00935652" w:rsidP="00D15DA3">
            <w:pPr>
              <w:pStyle w:val="Tabletextleft"/>
            </w:pPr>
            <w:r w:rsidRPr="00493DD8">
              <w:t>NT</w:t>
            </w:r>
          </w:p>
        </w:tc>
        <w:tc>
          <w:tcPr>
            <w:tcW w:w="2125" w:type="dxa"/>
            <w:tcBorders>
              <w:top w:val="nil"/>
              <w:left w:val="nil"/>
              <w:bottom w:val="single" w:sz="12" w:space="0" w:color="002C47" w:themeColor="accent1"/>
              <w:right w:val="nil"/>
            </w:tcBorders>
            <w:vAlign w:val="bottom"/>
          </w:tcPr>
          <w:p w14:paraId="330462FB" w14:textId="6B08E002" w:rsidR="00C85621" w:rsidRPr="00493DD8" w:rsidRDefault="00C85621" w:rsidP="00D15DA3">
            <w:pPr>
              <w:pStyle w:val="Tabletextcentred"/>
              <w:rPr>
                <w:lang w:eastAsia="en-AU"/>
              </w:rPr>
            </w:pPr>
            <w:r w:rsidRPr="00493DD8">
              <w:rPr>
                <w:lang w:eastAsia="en-AU"/>
              </w:rPr>
              <w:t>0.6</w:t>
            </w:r>
          </w:p>
        </w:tc>
        <w:tc>
          <w:tcPr>
            <w:tcW w:w="2492" w:type="dxa"/>
            <w:gridSpan w:val="3"/>
            <w:tcBorders>
              <w:top w:val="nil"/>
              <w:left w:val="nil"/>
              <w:bottom w:val="single" w:sz="12" w:space="0" w:color="002C47" w:themeColor="accent1"/>
              <w:right w:val="nil"/>
            </w:tcBorders>
            <w:shd w:val="clear" w:color="auto" w:fill="auto"/>
            <w:vAlign w:val="bottom"/>
          </w:tcPr>
          <w:p w14:paraId="6C69F407" w14:textId="6F6EDF5F" w:rsidR="00935652" w:rsidRPr="00493DD8" w:rsidRDefault="00935652" w:rsidP="00D15DA3">
            <w:pPr>
              <w:pStyle w:val="Tabletextcentred"/>
              <w:rPr>
                <w:lang w:eastAsia="en-AU"/>
              </w:rPr>
            </w:pPr>
            <w:r w:rsidRPr="00493DD8">
              <w:rPr>
                <w:lang w:eastAsia="en-AU"/>
              </w:rPr>
              <w:t>0.</w:t>
            </w:r>
            <w:r w:rsidR="00C85621" w:rsidRPr="00493DD8">
              <w:t>8</w:t>
            </w:r>
          </w:p>
        </w:tc>
      </w:tr>
    </w:tbl>
    <w:p w14:paraId="248FC0EA" w14:textId="5546BFE6" w:rsidR="000C0D45" w:rsidRDefault="0009096A" w:rsidP="00D15DA3">
      <w:pPr>
        <w:pStyle w:val="FiguretableNote"/>
      </w:pPr>
      <w:r w:rsidRPr="00493DD8">
        <w:t>Note</w:t>
      </w:r>
      <w:r w:rsidR="00550803" w:rsidRPr="00493DD8">
        <w:t>s</w:t>
      </w:r>
      <w:r w:rsidRPr="00493DD8">
        <w:t xml:space="preserve">: </w:t>
      </w:r>
    </w:p>
    <w:p w14:paraId="39227700" w14:textId="77777777" w:rsidR="000C0D45" w:rsidRDefault="00D21027" w:rsidP="00D15DA3">
      <w:pPr>
        <w:pStyle w:val="FiguretableNote"/>
        <w:numPr>
          <w:ilvl w:val="0"/>
          <w:numId w:val="16"/>
        </w:numPr>
        <w:ind w:left="360"/>
      </w:pPr>
      <w:r w:rsidRPr="00493DD8">
        <w:t xml:space="preserve">These data are for </w:t>
      </w:r>
      <w:r w:rsidR="004E1E25" w:rsidRPr="00493DD8">
        <w:t>employees and eligible business participants who have been nominated by organisations as eligible for JobKeeper Payment claims relatin</w:t>
      </w:r>
      <w:r w:rsidR="002138FE" w:rsidRPr="00493DD8">
        <w:t>g</w:t>
      </w:r>
      <w:r w:rsidR="004E1E25" w:rsidRPr="00493DD8">
        <w:t xml:space="preserve"> to the </w:t>
      </w:r>
      <w:r w:rsidRPr="00493DD8">
        <w:t xml:space="preserve">April </w:t>
      </w:r>
      <w:r w:rsidR="00407415">
        <w:t xml:space="preserve">2020 </w:t>
      </w:r>
      <w:r w:rsidRPr="00493DD8">
        <w:t>JobKeeper fortnights.</w:t>
      </w:r>
      <w:r w:rsidR="00B52EFC" w:rsidRPr="00493DD8">
        <w:t xml:space="preserve"> </w:t>
      </w:r>
      <w:r w:rsidR="004E1E25" w:rsidRPr="00493DD8">
        <w:t xml:space="preserve">The organisation providing the identification may not have progressed through to payment disbursement. The data are </w:t>
      </w:r>
      <w:r w:rsidR="00B52EFC" w:rsidRPr="00493DD8">
        <w:t>for the JobKeeper April population as at 18 June 2020</w:t>
      </w:r>
      <w:r w:rsidR="009F1A85" w:rsidRPr="00493DD8">
        <w:t xml:space="preserve"> and subject to change. </w:t>
      </w:r>
    </w:p>
    <w:p w14:paraId="7378F019" w14:textId="25A1540E" w:rsidR="0009096A" w:rsidRPr="00493DD8" w:rsidRDefault="00B90C8B" w:rsidP="00D15DA3">
      <w:pPr>
        <w:pStyle w:val="FiguretableNote"/>
        <w:numPr>
          <w:ilvl w:val="0"/>
          <w:numId w:val="16"/>
        </w:numPr>
        <w:ind w:left="360"/>
      </w:pPr>
      <w:r w:rsidRPr="00493DD8">
        <w:t>The percentage of private sector employment is calculated for the broader demographic group, not the JobKeeper cohort. Percentages may not sum to 100 due to rounding</w:t>
      </w:r>
      <w:r w:rsidR="00DE2760">
        <w:t xml:space="preserve">. </w:t>
      </w:r>
    </w:p>
    <w:p w14:paraId="02184892" w14:textId="11430FF1" w:rsidR="00977E19" w:rsidRPr="00493DD8" w:rsidRDefault="00977E19" w:rsidP="00D15DA3">
      <w:pPr>
        <w:pStyle w:val="FiguretableNote"/>
        <w:rPr>
          <w:rFonts w:cstheme="minorHAnsi"/>
        </w:rPr>
      </w:pPr>
      <w:r w:rsidRPr="00493DD8">
        <w:rPr>
          <w:rFonts w:cstheme="minorHAnsi"/>
        </w:rPr>
        <w:t>Source: ATO administrative data</w:t>
      </w:r>
      <w:r w:rsidR="00D30314" w:rsidRPr="00493DD8">
        <w:rPr>
          <w:rFonts w:cstheme="minorHAnsi"/>
        </w:rPr>
        <w:t>; ABS</w:t>
      </w:r>
      <w:r w:rsidR="00D74A89" w:rsidRPr="00493DD8">
        <w:rPr>
          <w:rFonts w:cstheme="minorHAnsi"/>
        </w:rPr>
        <w:t xml:space="preserve"> </w:t>
      </w:r>
      <w:r w:rsidR="005E4B52" w:rsidRPr="00493DD8">
        <w:rPr>
          <w:rFonts w:cstheme="minorHAnsi"/>
        </w:rPr>
        <w:t>Labour Force, Australia, Detailed, Quarterly</w:t>
      </w:r>
      <w:r w:rsidR="00A30A9C" w:rsidRPr="00493DD8">
        <w:rPr>
          <w:rFonts w:cstheme="minorHAnsi"/>
        </w:rPr>
        <w:t>,</w:t>
      </w:r>
      <w:r w:rsidR="005E4B52" w:rsidRPr="00493DD8">
        <w:rPr>
          <w:rFonts w:cstheme="minorHAnsi"/>
        </w:rPr>
        <w:t xml:space="preserve"> </w:t>
      </w:r>
      <w:r w:rsidR="005A5EC6" w:rsidRPr="00493DD8">
        <w:rPr>
          <w:rFonts w:cstheme="minorHAnsi"/>
        </w:rPr>
        <w:t xml:space="preserve">May 2020 </w:t>
      </w:r>
      <w:r w:rsidR="005E4B52" w:rsidRPr="00493DD8">
        <w:rPr>
          <w:rFonts w:cstheme="minorHAnsi"/>
        </w:rPr>
        <w:t>(</w:t>
      </w:r>
      <w:r w:rsidR="00D74A89" w:rsidRPr="00493DD8">
        <w:rPr>
          <w:rFonts w:cstheme="minorHAnsi"/>
        </w:rPr>
        <w:t xml:space="preserve">Cat. No. </w:t>
      </w:r>
      <w:r w:rsidR="00485A38" w:rsidRPr="00493DD8">
        <w:rPr>
          <w:rFonts w:cstheme="minorHAnsi"/>
        </w:rPr>
        <w:t>62</w:t>
      </w:r>
      <w:r w:rsidR="00ED5DC4" w:rsidRPr="00493DD8">
        <w:rPr>
          <w:rFonts w:cstheme="minorHAnsi"/>
        </w:rPr>
        <w:t>91</w:t>
      </w:r>
      <w:r w:rsidR="00485A38" w:rsidRPr="00493DD8">
        <w:rPr>
          <w:rFonts w:cstheme="minorHAnsi"/>
        </w:rPr>
        <w:t>.0.55.003</w:t>
      </w:r>
      <w:r w:rsidR="005E4B52" w:rsidRPr="00493DD8">
        <w:rPr>
          <w:rFonts w:cstheme="minorHAnsi"/>
        </w:rPr>
        <w:t>)</w:t>
      </w:r>
    </w:p>
    <w:p w14:paraId="57A4A557" w14:textId="38DB3C73" w:rsidR="00DD00B4" w:rsidRDefault="00DD00B4" w:rsidP="00BA13AA">
      <w:pPr>
        <w:jc w:val="center"/>
        <w:rPr>
          <w:b/>
        </w:rPr>
      </w:pPr>
      <w:r>
        <w:rPr>
          <w:b/>
        </w:rPr>
        <w:br w:type="page"/>
      </w:r>
    </w:p>
    <w:p w14:paraId="15544A90" w14:textId="05DED4D3" w:rsidR="00DD00B4" w:rsidRPr="00493DD8" w:rsidRDefault="00C41303" w:rsidP="00755C53">
      <w:pPr>
        <w:pStyle w:val="Tableheading"/>
      </w:pPr>
      <w:bookmarkStart w:id="1264" w:name="_Toc43462910"/>
      <w:bookmarkStart w:id="1265" w:name="_Toc43466290"/>
      <w:bookmarkStart w:id="1266" w:name="_Toc43469282"/>
      <w:bookmarkStart w:id="1267" w:name="_Toc43469677"/>
      <w:bookmarkStart w:id="1268" w:name="_Toc43469911"/>
      <w:bookmarkStart w:id="1269" w:name="_Toc43469953"/>
      <w:bookmarkStart w:id="1270" w:name="_Toc43469967"/>
      <w:bookmarkStart w:id="1271" w:name="_Toc43729216"/>
      <w:bookmarkStart w:id="1272" w:name="_Toc43730804"/>
      <w:bookmarkStart w:id="1273" w:name="_Toc43732054"/>
      <w:bookmarkStart w:id="1274" w:name="_Toc43733872"/>
      <w:bookmarkStart w:id="1275" w:name="_Toc43734775"/>
      <w:bookmarkStart w:id="1276" w:name="_Toc43738755"/>
      <w:bookmarkStart w:id="1277" w:name="_Toc43743067"/>
      <w:bookmarkStart w:id="1278" w:name="_Toc43996237"/>
      <w:bookmarkStart w:id="1279" w:name="_Toc43998496"/>
      <w:bookmarkStart w:id="1280" w:name="_Toc43998423"/>
      <w:bookmarkStart w:id="1281" w:name="_Toc44069945"/>
      <w:bookmarkStart w:id="1282" w:name="_Toc44071349"/>
      <w:bookmarkStart w:id="1283" w:name="_Toc44073473"/>
      <w:bookmarkStart w:id="1284" w:name="_Toc44074613"/>
      <w:bookmarkStart w:id="1285" w:name="_Toc44079502"/>
      <w:bookmarkStart w:id="1286" w:name="_Toc44079797"/>
      <w:bookmarkStart w:id="1287" w:name="_Toc44079932"/>
      <w:bookmarkStart w:id="1288" w:name="_Toc44319843"/>
      <w:bookmarkStart w:id="1289" w:name="_Toc44321551"/>
      <w:bookmarkStart w:id="1290" w:name="_Toc44323718"/>
      <w:bookmarkStart w:id="1291" w:name="_Toc44326181"/>
      <w:bookmarkStart w:id="1292" w:name="_Toc44330503"/>
      <w:bookmarkStart w:id="1293" w:name="_Toc44330745"/>
      <w:bookmarkStart w:id="1294" w:name="_Toc44333177"/>
      <w:bookmarkStart w:id="1295" w:name="_Toc44334808"/>
      <w:bookmarkStart w:id="1296" w:name="_Toc45227453"/>
      <w:bookmarkStart w:id="1297" w:name="_Toc45799054"/>
      <w:r w:rsidRPr="00493DD8">
        <w:lastRenderedPageBreak/>
        <w:t xml:space="preserve">Table </w:t>
      </w:r>
      <w:r w:rsidR="00F3083C" w:rsidRPr="00493DD8">
        <w:t>A</w:t>
      </w:r>
      <w:r w:rsidR="00EC70FA" w:rsidRPr="00493DD8">
        <w:t>4</w:t>
      </w:r>
      <w:r w:rsidRPr="00493DD8">
        <w:t xml:space="preserve">: Number of organisations that have </w:t>
      </w:r>
      <w:r w:rsidR="00341227" w:rsidRPr="00493DD8">
        <w:t xml:space="preserve">had </w:t>
      </w:r>
      <w:r w:rsidRPr="00493DD8">
        <w:t xml:space="preserve">applications processed for the JobKeeper Payment, and number of individual employees and eligible business participants </w:t>
      </w:r>
      <w:r w:rsidR="0000572D" w:rsidRPr="00493DD8">
        <w:t xml:space="preserve">for whom </w:t>
      </w:r>
      <w:r w:rsidRPr="00493DD8">
        <w:t>organisations have received a Payment</w:t>
      </w:r>
      <w:r w:rsidR="00C20E2A" w:rsidRPr="00493DD8">
        <w:t xml:space="preserve"> disbursement</w:t>
      </w:r>
      <w:r w:rsidRPr="00493DD8">
        <w:t xml:space="preserve">, by industry, </w:t>
      </w:r>
      <w:r w:rsidR="00341227" w:rsidRPr="00493DD8">
        <w:t xml:space="preserve">for the </w:t>
      </w:r>
      <w:r w:rsidRPr="00493DD8">
        <w:t>April 2</w:t>
      </w:r>
      <w:r w:rsidR="00D21027" w:rsidRPr="00493DD8">
        <w:t>020</w:t>
      </w:r>
      <w:r w:rsidR="00341227" w:rsidRPr="00493DD8">
        <w:t xml:space="preserve"> JobKeeper</w:t>
      </w:r>
      <w:r w:rsidR="0093092A">
        <w:t> </w:t>
      </w:r>
      <w:r w:rsidR="00341227" w:rsidRPr="00493DD8">
        <w:t>fortnights</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tbl>
      <w:tblPr>
        <w:tblW w:w="5000" w:type="pct"/>
        <w:jc w:val="center"/>
        <w:tblLayout w:type="fixed"/>
        <w:tblLook w:val="04A0" w:firstRow="1" w:lastRow="0" w:firstColumn="1" w:lastColumn="0" w:noHBand="0" w:noVBand="1"/>
        <w:tblCaption w:val="Table A4: Number of organisations that have had applications processed for the JobKeeper Payment, and number of individual employees and eligible business participants for whom organisations have received a Payment disbursement, by industry, for the April 2020 JobKeeper fortnights"/>
        <w:tblDescription w:val="This table breaks down the organisations that had applications processed for JobKeeper Payment, and the individual employees and eligible business participants who received a payment in April 2020, by the number and proportion in each industry. &#10;Of the total 849,700 businesses and not-for-profit organisations that had applications processed for JobKeeper Payment: 27,100 organisations or 3.2 per cent of all organisations were in Agriculture, forestry and fishing; 1,600 organisations or 0.2 per cent were in Mining; 42,700 organisations or 5.0 per cent were in Manufacturing; 1,800 organisations or 0.2 per cent were in Electricity, gas, water and waste services; 129,700 organisations or 15.3 per cent were in Construction; 24,800 or 2.9 per cent were in Wholesale trade; 55,100 organisations or 6.5 per cent were in Retail trade; 57,700 organisations or 6.8 per cent were in Accommodation and food services; 64,800 organisations or 7.6 per cent were in Transport, postal and warehousing; 13,000 organisations or 1.5 per cent were in Information media and telecommunications; 14,600 organisations or 1.7 per cent were in Financial and insurance services; 26,000 organisations or 3.1 per cent were in Rental, hiring and real estate services; 121,600 organisations or 14.3 per cent were in Professional, scientific and technical services; 42,700 organisations or 5.0 per cent were in Administrative and support services; 3,100 organisations or 0.4 per cent were in Public administration and safety; 25,200 organisations or 3.0 per cent were in Education and training; 78,200 organisations or 9.2 per cent were in Health care and social assistance; 36,200 organisations or 4.3 per cent were in Arts and recreation services; 83,200 or 9.8 per cent were in Other services; and 900 organisations or 0.1 per cent were unclassified or industry was not available.&#10;Of the 3.3 million individual employees and eligible business participants for whom organisations received a Payment disbursement in April 2020: 58,500 individuals or 1.8 per cent of all individuals were in Agriculture, forestry and fishing; 12,100 individuals or 0.4 per cent were in Mining; 246,000 individuals or 7.4 per cent were in Manufacturing; 9,000 individuals or 0.3 per cent were in Electricity, gas, water and waste services; 348,100 individuals or 10.5 per cent were in Construction; 160,100 individuals or 4.8 per cent were in Wholesale trade; 313,400 individuals or 9.5 per cent were in Retail trade; 313,500 individuals or 9.5 per cent were in Accommodation and food services; 157,700 individuals or 4.8 per cent were in Transport, postal and warehousing; 50,700 individuals or 1.5 per cent were in Information media and telecommunications; 58,400 individuals or 1.8 per cent were in Financial and insurance services; 100,700 individuals or 3.0 per cent were in Rental, hiring and real estate services; 396,400 individuals or 12.0 per cent were in Professional, scientific and technical services; 188,500 individuals or 5.7 per cent were in Administrative and support services; 19,100 or 0.6 per cent were in Public administration and safety; 124,000 individuals or 3.8 per cent were in Education and training; 385,700 individuals or 11.7 per cent were in Health care and social assistance; 129,100 individuals or 3.9 per cent were in Arts and recreation services; 233,400 individuals or 7.1 per cent were in Other services; and 2,500 individuals or 0.1 per cent were unclassified or industry information was not available.&#10;"/>
      </w:tblPr>
      <w:tblGrid>
        <w:gridCol w:w="3851"/>
        <w:gridCol w:w="1417"/>
        <w:gridCol w:w="1008"/>
        <w:gridCol w:w="1363"/>
        <w:gridCol w:w="1008"/>
      </w:tblGrid>
      <w:tr w:rsidR="00744B0B" w:rsidRPr="00120704" w14:paraId="59CB8507" w14:textId="77777777" w:rsidTr="005B477B">
        <w:trPr>
          <w:trHeight w:val="290"/>
          <w:jc w:val="center"/>
        </w:trPr>
        <w:tc>
          <w:tcPr>
            <w:tcW w:w="3685" w:type="dxa"/>
            <w:tcBorders>
              <w:top w:val="single" w:sz="12" w:space="0" w:color="002C47" w:themeColor="accent1"/>
              <w:left w:val="nil"/>
              <w:bottom w:val="single" w:sz="4" w:space="0" w:color="002C47" w:themeColor="accent1"/>
              <w:right w:val="nil"/>
            </w:tcBorders>
            <w:shd w:val="clear" w:color="auto" w:fill="auto"/>
            <w:noWrap/>
            <w:vAlign w:val="center"/>
          </w:tcPr>
          <w:p w14:paraId="532B2C06" w14:textId="5FB4F213" w:rsidR="00744B0B" w:rsidRPr="00493DD8" w:rsidRDefault="00744B0B" w:rsidP="00FF69F0">
            <w:pPr>
              <w:pStyle w:val="Tabletextleft"/>
            </w:pPr>
            <w:r w:rsidRPr="00493DD8">
              <w:rPr>
                <w:b/>
              </w:rPr>
              <w:t>Industry</w:t>
            </w:r>
          </w:p>
        </w:tc>
        <w:tc>
          <w:tcPr>
            <w:tcW w:w="1356" w:type="dxa"/>
            <w:tcBorders>
              <w:top w:val="single" w:sz="12" w:space="0" w:color="002C47" w:themeColor="accent1"/>
              <w:left w:val="nil"/>
              <w:bottom w:val="single" w:sz="4" w:space="0" w:color="002C47" w:themeColor="accent1"/>
              <w:right w:val="nil"/>
            </w:tcBorders>
            <w:shd w:val="clear" w:color="auto" w:fill="auto"/>
            <w:vAlign w:val="center"/>
          </w:tcPr>
          <w:p w14:paraId="5B43EE98" w14:textId="7F0C199B" w:rsidR="00744B0B" w:rsidRPr="00493DD8" w:rsidRDefault="00744B0B" w:rsidP="00FF69F0">
            <w:pPr>
              <w:pStyle w:val="Tablecolumnheadingcentre"/>
            </w:pPr>
            <w:r w:rsidRPr="00493DD8">
              <w:t xml:space="preserve">Businesses and </w:t>
            </w:r>
            <w:r w:rsidR="00F76CA6">
              <w:br/>
            </w:r>
            <w:r w:rsidRPr="00493DD8">
              <w:t>not</w:t>
            </w:r>
            <w:r w:rsidR="00DE2760">
              <w:noBreakHyphen/>
            </w:r>
            <w:r w:rsidRPr="00493DD8">
              <w:t>for</w:t>
            </w:r>
            <w:r w:rsidR="00DE2760">
              <w:noBreakHyphen/>
            </w:r>
            <w:r w:rsidRPr="00493DD8">
              <w:t>profit organisations</w:t>
            </w:r>
          </w:p>
          <w:p w14:paraId="3A44BD85" w14:textId="4C27D9D5" w:rsidR="00744B0B" w:rsidRPr="00493DD8" w:rsidRDefault="00744B0B" w:rsidP="00FF69F0">
            <w:pPr>
              <w:pStyle w:val="Tabletextcentred"/>
              <w:rPr>
                <w:lang w:eastAsia="en-AU"/>
              </w:rPr>
            </w:pPr>
            <w:r w:rsidRPr="00493DD8">
              <w:rPr>
                <w:b/>
              </w:rPr>
              <w:t>(</w:t>
            </w:r>
            <w:r w:rsidR="00DE2760">
              <w:rPr>
                <w:b/>
              </w:rPr>
              <w:t>‘</w:t>
            </w:r>
            <w:r w:rsidRPr="00493DD8">
              <w:rPr>
                <w:b/>
              </w:rPr>
              <w:t>000)</w:t>
            </w:r>
          </w:p>
        </w:tc>
        <w:tc>
          <w:tcPr>
            <w:tcW w:w="964" w:type="dxa"/>
            <w:tcBorders>
              <w:top w:val="single" w:sz="12" w:space="0" w:color="002C47" w:themeColor="accent1"/>
              <w:left w:val="nil"/>
              <w:bottom w:val="single" w:sz="4" w:space="0" w:color="002C47" w:themeColor="accent1"/>
              <w:right w:val="nil"/>
            </w:tcBorders>
            <w:vAlign w:val="center"/>
          </w:tcPr>
          <w:p w14:paraId="7A275AE6" w14:textId="73B0D79C" w:rsidR="00744B0B" w:rsidRPr="00493DD8" w:rsidRDefault="00744B0B" w:rsidP="00FF69F0">
            <w:pPr>
              <w:pStyle w:val="Tabletextcentred"/>
            </w:pPr>
            <w:r w:rsidRPr="00493DD8">
              <w:rPr>
                <w:b/>
              </w:rPr>
              <w:t>Per cent of total</w:t>
            </w:r>
          </w:p>
        </w:tc>
        <w:tc>
          <w:tcPr>
            <w:tcW w:w="1304" w:type="dxa"/>
            <w:tcBorders>
              <w:top w:val="single" w:sz="12" w:space="0" w:color="002C47" w:themeColor="accent1"/>
              <w:left w:val="nil"/>
              <w:bottom w:val="single" w:sz="4" w:space="0" w:color="002C47" w:themeColor="accent1"/>
              <w:right w:val="nil"/>
            </w:tcBorders>
            <w:vAlign w:val="center"/>
          </w:tcPr>
          <w:p w14:paraId="77029E4C" w14:textId="77777777" w:rsidR="00744B0B" w:rsidRPr="00493DD8" w:rsidRDefault="00744B0B" w:rsidP="00FF69F0">
            <w:pPr>
              <w:pStyle w:val="Tablecolumnheadingcentre"/>
              <w:rPr>
                <w:rFonts w:ascii="Calibri" w:hAnsi="Calibri"/>
              </w:rPr>
            </w:pPr>
            <w:r w:rsidRPr="00493DD8">
              <w:rPr>
                <w:rFonts w:ascii="Calibri" w:hAnsi="Calibri"/>
              </w:rPr>
              <w:t>Individual employees and eligible business participants</w:t>
            </w:r>
          </w:p>
          <w:p w14:paraId="52D7239D" w14:textId="3BCA96E3" w:rsidR="00744B0B" w:rsidRPr="00493DD8" w:rsidRDefault="00744B0B" w:rsidP="00FF69F0">
            <w:pPr>
              <w:pStyle w:val="Tabletextcentred"/>
            </w:pPr>
            <w:r w:rsidRPr="00493DD8">
              <w:rPr>
                <w:b/>
              </w:rPr>
              <w:t>(</w:t>
            </w:r>
            <w:r w:rsidR="00DE2760">
              <w:rPr>
                <w:b/>
              </w:rPr>
              <w:t>‘</w:t>
            </w:r>
            <w:r w:rsidRPr="00493DD8">
              <w:rPr>
                <w:b/>
              </w:rPr>
              <w:t>000)</w:t>
            </w:r>
          </w:p>
        </w:tc>
        <w:tc>
          <w:tcPr>
            <w:tcW w:w="964" w:type="dxa"/>
            <w:tcBorders>
              <w:top w:val="single" w:sz="12" w:space="0" w:color="002C47" w:themeColor="accent1"/>
              <w:left w:val="nil"/>
              <w:bottom w:val="single" w:sz="4" w:space="0" w:color="002C47" w:themeColor="accent1"/>
              <w:right w:val="nil"/>
            </w:tcBorders>
            <w:vAlign w:val="center"/>
          </w:tcPr>
          <w:p w14:paraId="227E13D5" w14:textId="22281997" w:rsidR="00744B0B" w:rsidRPr="00493DD8" w:rsidRDefault="00744B0B" w:rsidP="00FF69F0">
            <w:pPr>
              <w:pStyle w:val="Tabletextcentred"/>
            </w:pPr>
            <w:r w:rsidRPr="00493DD8">
              <w:rPr>
                <w:b/>
              </w:rPr>
              <w:t>Per cent of total</w:t>
            </w:r>
          </w:p>
        </w:tc>
      </w:tr>
      <w:tr w:rsidR="00744B0B" w:rsidRPr="00120704" w14:paraId="5F7869FA" w14:textId="77777777" w:rsidTr="00744B0B">
        <w:trPr>
          <w:trHeight w:val="290"/>
          <w:jc w:val="center"/>
        </w:trPr>
        <w:tc>
          <w:tcPr>
            <w:tcW w:w="3685" w:type="dxa"/>
            <w:tcBorders>
              <w:top w:val="single" w:sz="4" w:space="0" w:color="002C47" w:themeColor="accent1"/>
              <w:left w:val="nil"/>
              <w:bottom w:val="nil"/>
              <w:right w:val="nil"/>
            </w:tcBorders>
            <w:shd w:val="clear" w:color="auto" w:fill="auto"/>
            <w:noWrap/>
            <w:vAlign w:val="bottom"/>
            <w:hideMark/>
          </w:tcPr>
          <w:p w14:paraId="7AA5C83E" w14:textId="77777777" w:rsidR="00744B0B" w:rsidRPr="00493DD8" w:rsidRDefault="00744B0B" w:rsidP="00EE6DB5">
            <w:pPr>
              <w:pStyle w:val="Tabletextleft"/>
            </w:pPr>
            <w:r w:rsidRPr="00493DD8">
              <w:t>Agriculture, forestry and fishing</w:t>
            </w:r>
          </w:p>
        </w:tc>
        <w:tc>
          <w:tcPr>
            <w:tcW w:w="1356" w:type="dxa"/>
            <w:tcBorders>
              <w:top w:val="single" w:sz="4" w:space="0" w:color="002C47" w:themeColor="accent1"/>
              <w:left w:val="nil"/>
              <w:bottom w:val="nil"/>
              <w:right w:val="nil"/>
            </w:tcBorders>
            <w:shd w:val="clear" w:color="auto" w:fill="auto"/>
            <w:vAlign w:val="center"/>
          </w:tcPr>
          <w:p w14:paraId="44FFDF52" w14:textId="77777777" w:rsidR="00744B0B" w:rsidRPr="00493DD8" w:rsidRDefault="00744B0B" w:rsidP="00EE6DB5">
            <w:pPr>
              <w:pStyle w:val="Tabletextcentred"/>
              <w:rPr>
                <w:lang w:eastAsia="en-AU"/>
              </w:rPr>
            </w:pPr>
            <w:r w:rsidRPr="00493DD8">
              <w:rPr>
                <w:lang w:eastAsia="en-AU"/>
              </w:rPr>
              <w:t>27</w:t>
            </w:r>
            <w:r w:rsidRPr="00493DD8">
              <w:t>.1</w:t>
            </w:r>
          </w:p>
        </w:tc>
        <w:tc>
          <w:tcPr>
            <w:tcW w:w="964" w:type="dxa"/>
            <w:tcBorders>
              <w:top w:val="single" w:sz="4" w:space="0" w:color="002C47" w:themeColor="accent1"/>
              <w:left w:val="nil"/>
              <w:bottom w:val="nil"/>
              <w:right w:val="nil"/>
            </w:tcBorders>
            <w:vAlign w:val="center"/>
          </w:tcPr>
          <w:p w14:paraId="27271CBD" w14:textId="77777777" w:rsidR="00744B0B" w:rsidRPr="00493DD8" w:rsidRDefault="00744B0B" w:rsidP="00EE6DB5">
            <w:pPr>
              <w:pStyle w:val="Tabletextcentred"/>
            </w:pPr>
            <w:r w:rsidRPr="00493DD8">
              <w:t>3.2</w:t>
            </w:r>
          </w:p>
        </w:tc>
        <w:tc>
          <w:tcPr>
            <w:tcW w:w="1304" w:type="dxa"/>
            <w:tcBorders>
              <w:top w:val="single" w:sz="4" w:space="0" w:color="002C47" w:themeColor="accent1"/>
              <w:left w:val="nil"/>
              <w:bottom w:val="nil"/>
              <w:right w:val="nil"/>
            </w:tcBorders>
            <w:vAlign w:val="center"/>
          </w:tcPr>
          <w:p w14:paraId="2286513C" w14:textId="77777777" w:rsidR="00744B0B" w:rsidRPr="00493DD8" w:rsidRDefault="00744B0B" w:rsidP="00EE6DB5">
            <w:pPr>
              <w:pStyle w:val="Tabletextcentred"/>
            </w:pPr>
            <w:r w:rsidRPr="00493DD8">
              <w:t>58.5</w:t>
            </w:r>
          </w:p>
        </w:tc>
        <w:tc>
          <w:tcPr>
            <w:tcW w:w="964" w:type="dxa"/>
            <w:tcBorders>
              <w:top w:val="single" w:sz="4" w:space="0" w:color="002C47" w:themeColor="accent1"/>
              <w:left w:val="nil"/>
              <w:bottom w:val="nil"/>
              <w:right w:val="nil"/>
            </w:tcBorders>
            <w:vAlign w:val="center"/>
          </w:tcPr>
          <w:p w14:paraId="15E724B8" w14:textId="77777777" w:rsidR="00744B0B" w:rsidRPr="00493DD8" w:rsidRDefault="00744B0B" w:rsidP="00EE6DB5">
            <w:pPr>
              <w:pStyle w:val="Tabletextcentred"/>
            </w:pPr>
            <w:r w:rsidRPr="00493DD8">
              <w:t>1.8</w:t>
            </w:r>
          </w:p>
        </w:tc>
      </w:tr>
      <w:tr w:rsidR="00744B0B" w:rsidRPr="00120704" w14:paraId="1DDEFC15"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78CF2D67" w14:textId="77777777" w:rsidR="00744B0B" w:rsidRPr="00493DD8" w:rsidRDefault="00744B0B" w:rsidP="00744B0B">
            <w:pPr>
              <w:pStyle w:val="Tabletextleft"/>
            </w:pPr>
            <w:r w:rsidRPr="00493DD8">
              <w:t>Mining</w:t>
            </w:r>
          </w:p>
        </w:tc>
        <w:tc>
          <w:tcPr>
            <w:tcW w:w="1356" w:type="dxa"/>
            <w:tcBorders>
              <w:top w:val="nil"/>
              <w:left w:val="nil"/>
              <w:bottom w:val="nil"/>
              <w:right w:val="nil"/>
            </w:tcBorders>
            <w:shd w:val="clear" w:color="auto" w:fill="auto"/>
            <w:vAlign w:val="center"/>
          </w:tcPr>
          <w:p w14:paraId="3F0DB36A" w14:textId="447BC40B" w:rsidR="00744B0B" w:rsidRPr="00493DD8" w:rsidRDefault="00744B0B" w:rsidP="00744B0B">
            <w:pPr>
              <w:pStyle w:val="Tabletextcentred"/>
              <w:rPr>
                <w:lang w:eastAsia="en-AU"/>
              </w:rPr>
            </w:pPr>
            <w:r w:rsidRPr="00493DD8">
              <w:t>1.6</w:t>
            </w:r>
          </w:p>
        </w:tc>
        <w:tc>
          <w:tcPr>
            <w:tcW w:w="964" w:type="dxa"/>
            <w:tcBorders>
              <w:top w:val="nil"/>
              <w:left w:val="nil"/>
              <w:bottom w:val="nil"/>
              <w:right w:val="nil"/>
            </w:tcBorders>
            <w:vAlign w:val="center"/>
          </w:tcPr>
          <w:p w14:paraId="75FD1AA6" w14:textId="438F5B2C" w:rsidR="00744B0B" w:rsidRPr="00493DD8" w:rsidRDefault="00744B0B" w:rsidP="00744B0B">
            <w:pPr>
              <w:pStyle w:val="Tabletextcentred"/>
            </w:pPr>
            <w:r w:rsidRPr="00493DD8">
              <w:t>0.2</w:t>
            </w:r>
          </w:p>
        </w:tc>
        <w:tc>
          <w:tcPr>
            <w:tcW w:w="1304" w:type="dxa"/>
            <w:tcBorders>
              <w:top w:val="nil"/>
              <w:left w:val="nil"/>
              <w:bottom w:val="nil"/>
              <w:right w:val="nil"/>
            </w:tcBorders>
            <w:vAlign w:val="center"/>
          </w:tcPr>
          <w:p w14:paraId="632D3D2B" w14:textId="1E64231F" w:rsidR="00744B0B" w:rsidRPr="00493DD8" w:rsidRDefault="00744B0B" w:rsidP="00744B0B">
            <w:pPr>
              <w:pStyle w:val="Tabletextcentred"/>
            </w:pPr>
            <w:r w:rsidRPr="00493DD8">
              <w:t>12.1</w:t>
            </w:r>
          </w:p>
        </w:tc>
        <w:tc>
          <w:tcPr>
            <w:tcW w:w="964" w:type="dxa"/>
            <w:tcBorders>
              <w:top w:val="nil"/>
              <w:left w:val="nil"/>
              <w:bottom w:val="nil"/>
              <w:right w:val="nil"/>
            </w:tcBorders>
            <w:vAlign w:val="center"/>
          </w:tcPr>
          <w:p w14:paraId="6348134C" w14:textId="7852AB38" w:rsidR="00744B0B" w:rsidRPr="00493DD8" w:rsidRDefault="00744B0B" w:rsidP="00744B0B">
            <w:pPr>
              <w:pStyle w:val="Tabletextcentred"/>
            </w:pPr>
            <w:r w:rsidRPr="00493DD8">
              <w:t>0.4</w:t>
            </w:r>
          </w:p>
        </w:tc>
      </w:tr>
      <w:tr w:rsidR="00744B0B" w:rsidRPr="00120704" w14:paraId="405E1C50"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0E797DAF" w14:textId="77777777" w:rsidR="00744B0B" w:rsidRPr="00493DD8" w:rsidRDefault="00744B0B" w:rsidP="00744B0B">
            <w:pPr>
              <w:pStyle w:val="Tabletextleft"/>
            </w:pPr>
            <w:r w:rsidRPr="00493DD8">
              <w:t>Manufacturing</w:t>
            </w:r>
          </w:p>
        </w:tc>
        <w:tc>
          <w:tcPr>
            <w:tcW w:w="1356" w:type="dxa"/>
            <w:tcBorders>
              <w:top w:val="nil"/>
              <w:left w:val="nil"/>
              <w:bottom w:val="nil"/>
              <w:right w:val="nil"/>
            </w:tcBorders>
            <w:shd w:val="clear" w:color="auto" w:fill="auto"/>
            <w:vAlign w:val="center"/>
          </w:tcPr>
          <w:p w14:paraId="65D7640F" w14:textId="74ED0447" w:rsidR="00744B0B" w:rsidRPr="00493DD8" w:rsidRDefault="00744B0B" w:rsidP="00744B0B">
            <w:pPr>
              <w:pStyle w:val="Tabletextcentred"/>
              <w:rPr>
                <w:lang w:eastAsia="en-AU"/>
              </w:rPr>
            </w:pPr>
            <w:r w:rsidRPr="00493DD8">
              <w:rPr>
                <w:lang w:eastAsia="en-AU"/>
              </w:rPr>
              <w:t>42</w:t>
            </w:r>
            <w:r w:rsidRPr="00493DD8">
              <w:t>.7</w:t>
            </w:r>
          </w:p>
        </w:tc>
        <w:tc>
          <w:tcPr>
            <w:tcW w:w="964" w:type="dxa"/>
            <w:tcBorders>
              <w:top w:val="nil"/>
              <w:left w:val="nil"/>
              <w:bottom w:val="nil"/>
              <w:right w:val="nil"/>
            </w:tcBorders>
            <w:vAlign w:val="center"/>
          </w:tcPr>
          <w:p w14:paraId="4343BB34" w14:textId="6DA98637" w:rsidR="00744B0B" w:rsidRPr="00493DD8" w:rsidRDefault="00744B0B" w:rsidP="00744B0B">
            <w:pPr>
              <w:pStyle w:val="Tabletextcentred"/>
            </w:pPr>
            <w:r w:rsidRPr="00493DD8">
              <w:t>5.0</w:t>
            </w:r>
          </w:p>
        </w:tc>
        <w:tc>
          <w:tcPr>
            <w:tcW w:w="1304" w:type="dxa"/>
            <w:tcBorders>
              <w:top w:val="nil"/>
              <w:left w:val="nil"/>
              <w:bottom w:val="nil"/>
              <w:right w:val="nil"/>
            </w:tcBorders>
            <w:vAlign w:val="center"/>
          </w:tcPr>
          <w:p w14:paraId="275FF39F" w14:textId="65DAEA53" w:rsidR="00744B0B" w:rsidRPr="00493DD8" w:rsidRDefault="00744B0B" w:rsidP="00744B0B">
            <w:pPr>
              <w:pStyle w:val="Tabletextcentred"/>
            </w:pPr>
            <w:r w:rsidRPr="00493DD8">
              <w:t>246.0</w:t>
            </w:r>
          </w:p>
        </w:tc>
        <w:tc>
          <w:tcPr>
            <w:tcW w:w="964" w:type="dxa"/>
            <w:tcBorders>
              <w:top w:val="nil"/>
              <w:left w:val="nil"/>
              <w:bottom w:val="nil"/>
              <w:right w:val="nil"/>
            </w:tcBorders>
            <w:vAlign w:val="center"/>
          </w:tcPr>
          <w:p w14:paraId="0DF1AD8E" w14:textId="167F8280" w:rsidR="00744B0B" w:rsidRPr="00493DD8" w:rsidRDefault="00744B0B" w:rsidP="00744B0B">
            <w:pPr>
              <w:pStyle w:val="Tabletextcentred"/>
            </w:pPr>
            <w:r w:rsidRPr="00493DD8">
              <w:t>7.4</w:t>
            </w:r>
          </w:p>
        </w:tc>
      </w:tr>
      <w:tr w:rsidR="00744B0B" w:rsidRPr="00120704" w14:paraId="4ACFAEE1"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75710A8B" w14:textId="6C84E4FE" w:rsidR="00744B0B" w:rsidRPr="00493DD8" w:rsidRDefault="00744B0B" w:rsidP="00744B0B">
            <w:pPr>
              <w:pStyle w:val="Tabletextleft"/>
            </w:pPr>
            <w:r w:rsidRPr="00493DD8">
              <w:t>Electricity, gas, water and waste services</w:t>
            </w:r>
          </w:p>
        </w:tc>
        <w:tc>
          <w:tcPr>
            <w:tcW w:w="1356" w:type="dxa"/>
            <w:tcBorders>
              <w:top w:val="nil"/>
              <w:left w:val="nil"/>
              <w:bottom w:val="nil"/>
              <w:right w:val="nil"/>
            </w:tcBorders>
            <w:shd w:val="clear" w:color="auto" w:fill="auto"/>
            <w:vAlign w:val="center"/>
          </w:tcPr>
          <w:p w14:paraId="0CAE6A0A" w14:textId="37FF464D" w:rsidR="00744B0B" w:rsidRPr="00493DD8" w:rsidRDefault="00744B0B" w:rsidP="00744B0B">
            <w:pPr>
              <w:pStyle w:val="Tabletextcentred"/>
              <w:rPr>
                <w:lang w:eastAsia="en-AU"/>
              </w:rPr>
            </w:pPr>
            <w:r w:rsidRPr="00493DD8">
              <w:t>1.8</w:t>
            </w:r>
          </w:p>
        </w:tc>
        <w:tc>
          <w:tcPr>
            <w:tcW w:w="964" w:type="dxa"/>
            <w:tcBorders>
              <w:top w:val="nil"/>
              <w:left w:val="nil"/>
              <w:bottom w:val="nil"/>
              <w:right w:val="nil"/>
            </w:tcBorders>
            <w:vAlign w:val="center"/>
          </w:tcPr>
          <w:p w14:paraId="7D1A74A5" w14:textId="1B8EE704" w:rsidR="00744B0B" w:rsidRPr="00493DD8" w:rsidRDefault="00744B0B" w:rsidP="00744B0B">
            <w:pPr>
              <w:pStyle w:val="Tabletextcentred"/>
            </w:pPr>
            <w:r w:rsidRPr="00493DD8">
              <w:t>0.2</w:t>
            </w:r>
          </w:p>
        </w:tc>
        <w:tc>
          <w:tcPr>
            <w:tcW w:w="1304" w:type="dxa"/>
            <w:tcBorders>
              <w:top w:val="nil"/>
              <w:left w:val="nil"/>
              <w:bottom w:val="nil"/>
              <w:right w:val="nil"/>
            </w:tcBorders>
            <w:vAlign w:val="center"/>
          </w:tcPr>
          <w:p w14:paraId="11675D19" w14:textId="19BF401A" w:rsidR="00744B0B" w:rsidRPr="00493DD8" w:rsidRDefault="00744B0B" w:rsidP="00744B0B">
            <w:pPr>
              <w:pStyle w:val="Tabletextcentred"/>
            </w:pPr>
            <w:r w:rsidRPr="00493DD8">
              <w:t>9.0</w:t>
            </w:r>
          </w:p>
        </w:tc>
        <w:tc>
          <w:tcPr>
            <w:tcW w:w="964" w:type="dxa"/>
            <w:tcBorders>
              <w:top w:val="nil"/>
              <w:left w:val="nil"/>
              <w:bottom w:val="nil"/>
              <w:right w:val="nil"/>
            </w:tcBorders>
            <w:vAlign w:val="center"/>
          </w:tcPr>
          <w:p w14:paraId="525CE73B" w14:textId="34BE256B" w:rsidR="00744B0B" w:rsidRPr="00493DD8" w:rsidRDefault="00744B0B" w:rsidP="00744B0B">
            <w:pPr>
              <w:pStyle w:val="Tabletextcentred"/>
            </w:pPr>
            <w:r w:rsidRPr="00493DD8">
              <w:t>0.3</w:t>
            </w:r>
          </w:p>
        </w:tc>
      </w:tr>
      <w:tr w:rsidR="00744B0B" w:rsidRPr="00120704" w14:paraId="00F7BA2C"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C74D045" w14:textId="77777777" w:rsidR="00744B0B" w:rsidRPr="00493DD8" w:rsidRDefault="00744B0B" w:rsidP="00744B0B">
            <w:pPr>
              <w:pStyle w:val="Tabletextleft"/>
            </w:pPr>
            <w:r w:rsidRPr="00493DD8">
              <w:t>Construction</w:t>
            </w:r>
          </w:p>
        </w:tc>
        <w:tc>
          <w:tcPr>
            <w:tcW w:w="1356" w:type="dxa"/>
            <w:tcBorders>
              <w:top w:val="nil"/>
              <w:left w:val="nil"/>
              <w:bottom w:val="nil"/>
              <w:right w:val="nil"/>
            </w:tcBorders>
            <w:shd w:val="clear" w:color="auto" w:fill="auto"/>
            <w:vAlign w:val="center"/>
          </w:tcPr>
          <w:p w14:paraId="4866BB6F" w14:textId="3AD5BEBA" w:rsidR="00744B0B" w:rsidRPr="00493DD8" w:rsidRDefault="00744B0B" w:rsidP="00744B0B">
            <w:pPr>
              <w:pStyle w:val="Tabletextcentred"/>
              <w:rPr>
                <w:lang w:eastAsia="en-AU"/>
              </w:rPr>
            </w:pPr>
            <w:r w:rsidRPr="00493DD8">
              <w:rPr>
                <w:lang w:eastAsia="en-AU"/>
              </w:rPr>
              <w:t>129</w:t>
            </w:r>
            <w:r w:rsidRPr="00493DD8">
              <w:t>.7</w:t>
            </w:r>
          </w:p>
        </w:tc>
        <w:tc>
          <w:tcPr>
            <w:tcW w:w="964" w:type="dxa"/>
            <w:tcBorders>
              <w:top w:val="nil"/>
              <w:left w:val="nil"/>
              <w:bottom w:val="nil"/>
              <w:right w:val="nil"/>
            </w:tcBorders>
            <w:vAlign w:val="center"/>
          </w:tcPr>
          <w:p w14:paraId="6640A9F0" w14:textId="544141D2" w:rsidR="00744B0B" w:rsidRPr="00493DD8" w:rsidRDefault="00744B0B" w:rsidP="00744B0B">
            <w:pPr>
              <w:pStyle w:val="Tabletextcentred"/>
            </w:pPr>
            <w:r w:rsidRPr="00493DD8">
              <w:t>15.3</w:t>
            </w:r>
          </w:p>
        </w:tc>
        <w:tc>
          <w:tcPr>
            <w:tcW w:w="1304" w:type="dxa"/>
            <w:tcBorders>
              <w:top w:val="nil"/>
              <w:left w:val="nil"/>
              <w:bottom w:val="nil"/>
              <w:right w:val="nil"/>
            </w:tcBorders>
            <w:vAlign w:val="center"/>
          </w:tcPr>
          <w:p w14:paraId="5190CD44" w14:textId="7BDEA72C" w:rsidR="00744B0B" w:rsidRPr="00493DD8" w:rsidRDefault="00744B0B" w:rsidP="00744B0B">
            <w:pPr>
              <w:pStyle w:val="Tabletextcentred"/>
            </w:pPr>
            <w:r w:rsidRPr="00493DD8">
              <w:t>348.1</w:t>
            </w:r>
          </w:p>
        </w:tc>
        <w:tc>
          <w:tcPr>
            <w:tcW w:w="964" w:type="dxa"/>
            <w:tcBorders>
              <w:top w:val="nil"/>
              <w:left w:val="nil"/>
              <w:bottom w:val="nil"/>
              <w:right w:val="nil"/>
            </w:tcBorders>
            <w:vAlign w:val="center"/>
          </w:tcPr>
          <w:p w14:paraId="343430E0" w14:textId="7DAE4732" w:rsidR="00744B0B" w:rsidRPr="00493DD8" w:rsidRDefault="00744B0B" w:rsidP="00744B0B">
            <w:pPr>
              <w:pStyle w:val="Tabletextcentred"/>
            </w:pPr>
            <w:r w:rsidRPr="00493DD8">
              <w:t>10.5</w:t>
            </w:r>
          </w:p>
        </w:tc>
      </w:tr>
      <w:tr w:rsidR="00744B0B" w:rsidRPr="00120704" w14:paraId="5568B561"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3AADD7C4" w14:textId="0ED0A66D" w:rsidR="00744B0B" w:rsidRPr="00493DD8" w:rsidRDefault="00744B0B" w:rsidP="00744B0B">
            <w:pPr>
              <w:pStyle w:val="Tabletextleft"/>
            </w:pPr>
            <w:r w:rsidRPr="00493DD8">
              <w:t>Wholesale trade</w:t>
            </w:r>
          </w:p>
        </w:tc>
        <w:tc>
          <w:tcPr>
            <w:tcW w:w="1356" w:type="dxa"/>
            <w:tcBorders>
              <w:top w:val="nil"/>
              <w:left w:val="nil"/>
              <w:bottom w:val="nil"/>
              <w:right w:val="nil"/>
            </w:tcBorders>
            <w:shd w:val="clear" w:color="auto" w:fill="auto"/>
            <w:vAlign w:val="center"/>
          </w:tcPr>
          <w:p w14:paraId="3A3B535F" w14:textId="422BB6B6" w:rsidR="00744B0B" w:rsidRPr="00493DD8" w:rsidRDefault="00744B0B" w:rsidP="00744B0B">
            <w:pPr>
              <w:pStyle w:val="Tabletextcentred"/>
              <w:rPr>
                <w:lang w:eastAsia="en-AU"/>
              </w:rPr>
            </w:pPr>
            <w:r w:rsidRPr="00493DD8">
              <w:rPr>
                <w:lang w:eastAsia="en-AU"/>
              </w:rPr>
              <w:t>24</w:t>
            </w:r>
            <w:r w:rsidRPr="00493DD8">
              <w:t>.8</w:t>
            </w:r>
          </w:p>
        </w:tc>
        <w:tc>
          <w:tcPr>
            <w:tcW w:w="964" w:type="dxa"/>
            <w:tcBorders>
              <w:top w:val="nil"/>
              <w:left w:val="nil"/>
              <w:bottom w:val="nil"/>
              <w:right w:val="nil"/>
            </w:tcBorders>
            <w:vAlign w:val="center"/>
          </w:tcPr>
          <w:p w14:paraId="16A96F1F" w14:textId="6686E60F" w:rsidR="00744B0B" w:rsidRPr="00493DD8" w:rsidRDefault="00744B0B" w:rsidP="00744B0B">
            <w:pPr>
              <w:pStyle w:val="Tabletextcentred"/>
            </w:pPr>
            <w:r w:rsidRPr="00493DD8">
              <w:t>2.9</w:t>
            </w:r>
          </w:p>
        </w:tc>
        <w:tc>
          <w:tcPr>
            <w:tcW w:w="1304" w:type="dxa"/>
            <w:tcBorders>
              <w:top w:val="nil"/>
              <w:left w:val="nil"/>
              <w:bottom w:val="nil"/>
              <w:right w:val="nil"/>
            </w:tcBorders>
            <w:vAlign w:val="center"/>
          </w:tcPr>
          <w:p w14:paraId="3133481E" w14:textId="2856533C" w:rsidR="00744B0B" w:rsidRPr="00493DD8" w:rsidRDefault="00744B0B" w:rsidP="00744B0B">
            <w:pPr>
              <w:pStyle w:val="Tabletextcentred"/>
            </w:pPr>
            <w:r w:rsidRPr="00493DD8">
              <w:t>160.1</w:t>
            </w:r>
          </w:p>
        </w:tc>
        <w:tc>
          <w:tcPr>
            <w:tcW w:w="964" w:type="dxa"/>
            <w:tcBorders>
              <w:top w:val="nil"/>
              <w:left w:val="nil"/>
              <w:bottom w:val="nil"/>
              <w:right w:val="nil"/>
            </w:tcBorders>
            <w:vAlign w:val="center"/>
          </w:tcPr>
          <w:p w14:paraId="0B24F127" w14:textId="21EE3463" w:rsidR="00744B0B" w:rsidRPr="00493DD8" w:rsidRDefault="00744B0B" w:rsidP="00744B0B">
            <w:pPr>
              <w:pStyle w:val="Tabletextcentred"/>
            </w:pPr>
            <w:r w:rsidRPr="00493DD8">
              <w:t>4.8</w:t>
            </w:r>
          </w:p>
        </w:tc>
      </w:tr>
      <w:tr w:rsidR="00744B0B" w:rsidRPr="00120704" w14:paraId="60D64807"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2D03347D" w14:textId="764D5164" w:rsidR="00744B0B" w:rsidRPr="00493DD8" w:rsidRDefault="00744B0B" w:rsidP="00744B0B">
            <w:pPr>
              <w:pStyle w:val="Tabletextleft"/>
            </w:pPr>
            <w:r w:rsidRPr="00493DD8">
              <w:t>Retail trade</w:t>
            </w:r>
          </w:p>
        </w:tc>
        <w:tc>
          <w:tcPr>
            <w:tcW w:w="1356" w:type="dxa"/>
            <w:tcBorders>
              <w:top w:val="nil"/>
              <w:left w:val="nil"/>
              <w:bottom w:val="nil"/>
              <w:right w:val="nil"/>
            </w:tcBorders>
            <w:shd w:val="clear" w:color="auto" w:fill="auto"/>
            <w:vAlign w:val="center"/>
          </w:tcPr>
          <w:p w14:paraId="6F01689D" w14:textId="6DF8353D" w:rsidR="00744B0B" w:rsidRPr="00493DD8" w:rsidRDefault="00744B0B" w:rsidP="00744B0B">
            <w:pPr>
              <w:pStyle w:val="Tabletextcentred"/>
              <w:rPr>
                <w:lang w:eastAsia="en-AU"/>
              </w:rPr>
            </w:pPr>
            <w:r w:rsidRPr="00493DD8">
              <w:rPr>
                <w:lang w:eastAsia="en-AU"/>
              </w:rPr>
              <w:t>55</w:t>
            </w:r>
            <w:r w:rsidRPr="00493DD8">
              <w:t>.1</w:t>
            </w:r>
          </w:p>
        </w:tc>
        <w:tc>
          <w:tcPr>
            <w:tcW w:w="964" w:type="dxa"/>
            <w:tcBorders>
              <w:top w:val="nil"/>
              <w:left w:val="nil"/>
              <w:bottom w:val="nil"/>
              <w:right w:val="nil"/>
            </w:tcBorders>
            <w:vAlign w:val="center"/>
          </w:tcPr>
          <w:p w14:paraId="403F59E8" w14:textId="6034C64F" w:rsidR="00744B0B" w:rsidRPr="00493DD8" w:rsidRDefault="00744B0B" w:rsidP="00744B0B">
            <w:pPr>
              <w:pStyle w:val="Tabletextcentred"/>
            </w:pPr>
            <w:r w:rsidRPr="00493DD8">
              <w:t>6.5</w:t>
            </w:r>
          </w:p>
        </w:tc>
        <w:tc>
          <w:tcPr>
            <w:tcW w:w="1304" w:type="dxa"/>
            <w:tcBorders>
              <w:top w:val="nil"/>
              <w:left w:val="nil"/>
              <w:bottom w:val="nil"/>
              <w:right w:val="nil"/>
            </w:tcBorders>
            <w:vAlign w:val="center"/>
          </w:tcPr>
          <w:p w14:paraId="3CCC97E2" w14:textId="3C7FB577" w:rsidR="00744B0B" w:rsidRPr="00493DD8" w:rsidRDefault="00744B0B" w:rsidP="00744B0B">
            <w:pPr>
              <w:pStyle w:val="Tabletextcentred"/>
            </w:pPr>
            <w:r w:rsidRPr="00493DD8">
              <w:t>313.4</w:t>
            </w:r>
          </w:p>
        </w:tc>
        <w:tc>
          <w:tcPr>
            <w:tcW w:w="964" w:type="dxa"/>
            <w:tcBorders>
              <w:top w:val="nil"/>
              <w:left w:val="nil"/>
              <w:bottom w:val="nil"/>
              <w:right w:val="nil"/>
            </w:tcBorders>
            <w:vAlign w:val="center"/>
          </w:tcPr>
          <w:p w14:paraId="4D9AAF0B" w14:textId="4A5C911B" w:rsidR="00744B0B" w:rsidRPr="00493DD8" w:rsidRDefault="00744B0B" w:rsidP="00744B0B">
            <w:pPr>
              <w:pStyle w:val="Tabletextcentred"/>
            </w:pPr>
            <w:r w:rsidRPr="00493DD8">
              <w:t>9.5</w:t>
            </w:r>
          </w:p>
        </w:tc>
      </w:tr>
      <w:tr w:rsidR="00744B0B" w:rsidRPr="00120704" w14:paraId="665B6A81"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7963007" w14:textId="4151E1EE" w:rsidR="00744B0B" w:rsidRPr="00493DD8" w:rsidRDefault="00744B0B" w:rsidP="00744B0B">
            <w:pPr>
              <w:pStyle w:val="Tabletextleft"/>
            </w:pPr>
            <w:r w:rsidRPr="00493DD8">
              <w:t>Accommodation and food services</w:t>
            </w:r>
          </w:p>
        </w:tc>
        <w:tc>
          <w:tcPr>
            <w:tcW w:w="1356" w:type="dxa"/>
            <w:tcBorders>
              <w:top w:val="nil"/>
              <w:left w:val="nil"/>
              <w:bottom w:val="nil"/>
              <w:right w:val="nil"/>
            </w:tcBorders>
            <w:shd w:val="clear" w:color="auto" w:fill="auto"/>
            <w:vAlign w:val="center"/>
          </w:tcPr>
          <w:p w14:paraId="77BD3D34" w14:textId="5ACBB1C6" w:rsidR="00744B0B" w:rsidRPr="00493DD8" w:rsidRDefault="00744B0B" w:rsidP="00744B0B">
            <w:pPr>
              <w:pStyle w:val="Tabletextcentred"/>
              <w:rPr>
                <w:lang w:eastAsia="en-AU"/>
              </w:rPr>
            </w:pPr>
            <w:r w:rsidRPr="00493DD8">
              <w:rPr>
                <w:lang w:eastAsia="en-AU"/>
              </w:rPr>
              <w:t>57</w:t>
            </w:r>
            <w:r w:rsidRPr="00493DD8">
              <w:t>.7</w:t>
            </w:r>
          </w:p>
        </w:tc>
        <w:tc>
          <w:tcPr>
            <w:tcW w:w="964" w:type="dxa"/>
            <w:tcBorders>
              <w:top w:val="nil"/>
              <w:left w:val="nil"/>
              <w:bottom w:val="nil"/>
              <w:right w:val="nil"/>
            </w:tcBorders>
            <w:vAlign w:val="center"/>
          </w:tcPr>
          <w:p w14:paraId="11762E4E" w14:textId="63A89E03" w:rsidR="00744B0B" w:rsidRPr="00493DD8" w:rsidRDefault="00744B0B" w:rsidP="00744B0B">
            <w:pPr>
              <w:pStyle w:val="Tabletextcentred"/>
            </w:pPr>
            <w:r w:rsidRPr="00493DD8">
              <w:t>6.8</w:t>
            </w:r>
          </w:p>
        </w:tc>
        <w:tc>
          <w:tcPr>
            <w:tcW w:w="1304" w:type="dxa"/>
            <w:tcBorders>
              <w:top w:val="nil"/>
              <w:left w:val="nil"/>
              <w:bottom w:val="nil"/>
              <w:right w:val="nil"/>
            </w:tcBorders>
            <w:vAlign w:val="center"/>
          </w:tcPr>
          <w:p w14:paraId="0597B9C2" w14:textId="0E6ED7C6" w:rsidR="00744B0B" w:rsidRPr="00493DD8" w:rsidRDefault="00744B0B" w:rsidP="00744B0B">
            <w:pPr>
              <w:pStyle w:val="Tabletextcentred"/>
            </w:pPr>
            <w:r w:rsidRPr="00493DD8">
              <w:t>313.5</w:t>
            </w:r>
          </w:p>
        </w:tc>
        <w:tc>
          <w:tcPr>
            <w:tcW w:w="964" w:type="dxa"/>
            <w:tcBorders>
              <w:top w:val="nil"/>
              <w:left w:val="nil"/>
              <w:bottom w:val="nil"/>
              <w:right w:val="nil"/>
            </w:tcBorders>
            <w:vAlign w:val="center"/>
          </w:tcPr>
          <w:p w14:paraId="768727C9" w14:textId="5C379C2A" w:rsidR="00744B0B" w:rsidRPr="00493DD8" w:rsidRDefault="00744B0B" w:rsidP="00744B0B">
            <w:pPr>
              <w:pStyle w:val="Tabletextcentred"/>
            </w:pPr>
            <w:r w:rsidRPr="00493DD8">
              <w:t>9.5</w:t>
            </w:r>
          </w:p>
        </w:tc>
      </w:tr>
      <w:tr w:rsidR="00744B0B" w:rsidRPr="00120704" w14:paraId="47CFB890"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5C11B592" w14:textId="720AB4A2" w:rsidR="00744B0B" w:rsidRPr="00493DD8" w:rsidRDefault="00744B0B" w:rsidP="00744B0B">
            <w:pPr>
              <w:pStyle w:val="Tabletextleft"/>
            </w:pPr>
            <w:r w:rsidRPr="00493DD8">
              <w:t>Transport, postal and warehousing</w:t>
            </w:r>
          </w:p>
        </w:tc>
        <w:tc>
          <w:tcPr>
            <w:tcW w:w="1356" w:type="dxa"/>
            <w:tcBorders>
              <w:top w:val="nil"/>
              <w:left w:val="nil"/>
              <w:bottom w:val="nil"/>
              <w:right w:val="nil"/>
            </w:tcBorders>
            <w:shd w:val="clear" w:color="auto" w:fill="auto"/>
            <w:vAlign w:val="center"/>
          </w:tcPr>
          <w:p w14:paraId="2E6F92A8" w14:textId="05573156" w:rsidR="00744B0B" w:rsidRPr="00493DD8" w:rsidRDefault="00744B0B" w:rsidP="00744B0B">
            <w:pPr>
              <w:pStyle w:val="Tabletextcentred"/>
              <w:rPr>
                <w:lang w:eastAsia="en-AU"/>
              </w:rPr>
            </w:pPr>
            <w:r w:rsidRPr="00493DD8">
              <w:rPr>
                <w:lang w:eastAsia="en-AU"/>
              </w:rPr>
              <w:t>64</w:t>
            </w:r>
            <w:r w:rsidRPr="00493DD8">
              <w:t>.8</w:t>
            </w:r>
          </w:p>
        </w:tc>
        <w:tc>
          <w:tcPr>
            <w:tcW w:w="964" w:type="dxa"/>
            <w:tcBorders>
              <w:top w:val="nil"/>
              <w:left w:val="nil"/>
              <w:bottom w:val="nil"/>
              <w:right w:val="nil"/>
            </w:tcBorders>
            <w:vAlign w:val="center"/>
          </w:tcPr>
          <w:p w14:paraId="3BEDBFF2" w14:textId="56C2C6B5" w:rsidR="00744B0B" w:rsidRPr="00493DD8" w:rsidRDefault="00744B0B" w:rsidP="00744B0B">
            <w:pPr>
              <w:pStyle w:val="Tabletextcentred"/>
            </w:pPr>
            <w:r w:rsidRPr="00493DD8">
              <w:t>7.6</w:t>
            </w:r>
          </w:p>
        </w:tc>
        <w:tc>
          <w:tcPr>
            <w:tcW w:w="1304" w:type="dxa"/>
            <w:tcBorders>
              <w:top w:val="nil"/>
              <w:left w:val="nil"/>
              <w:bottom w:val="nil"/>
              <w:right w:val="nil"/>
            </w:tcBorders>
            <w:vAlign w:val="center"/>
          </w:tcPr>
          <w:p w14:paraId="47DC818E" w14:textId="68E545D2" w:rsidR="00744B0B" w:rsidRPr="00493DD8" w:rsidRDefault="00744B0B" w:rsidP="00744B0B">
            <w:pPr>
              <w:pStyle w:val="Tabletextcentred"/>
            </w:pPr>
            <w:r w:rsidRPr="00493DD8">
              <w:t>157.7</w:t>
            </w:r>
          </w:p>
        </w:tc>
        <w:tc>
          <w:tcPr>
            <w:tcW w:w="964" w:type="dxa"/>
            <w:tcBorders>
              <w:top w:val="nil"/>
              <w:left w:val="nil"/>
              <w:bottom w:val="nil"/>
              <w:right w:val="nil"/>
            </w:tcBorders>
            <w:vAlign w:val="center"/>
          </w:tcPr>
          <w:p w14:paraId="38DA2579" w14:textId="5C6ECB8D" w:rsidR="00744B0B" w:rsidRPr="00493DD8" w:rsidRDefault="00744B0B" w:rsidP="00744B0B">
            <w:pPr>
              <w:pStyle w:val="Tabletextcentred"/>
            </w:pPr>
            <w:r w:rsidRPr="00493DD8">
              <w:t>4.8</w:t>
            </w:r>
          </w:p>
        </w:tc>
      </w:tr>
      <w:tr w:rsidR="00744B0B" w:rsidRPr="00120704" w14:paraId="2C855F24"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06E853DE" w14:textId="5B77205D" w:rsidR="00744B0B" w:rsidRPr="00493DD8" w:rsidRDefault="00744B0B" w:rsidP="00744B0B">
            <w:pPr>
              <w:pStyle w:val="Tabletextleft"/>
            </w:pPr>
            <w:r w:rsidRPr="00493DD8">
              <w:t>Information media and telecommunications</w:t>
            </w:r>
          </w:p>
        </w:tc>
        <w:tc>
          <w:tcPr>
            <w:tcW w:w="1356" w:type="dxa"/>
            <w:tcBorders>
              <w:top w:val="nil"/>
              <w:left w:val="nil"/>
              <w:bottom w:val="nil"/>
              <w:right w:val="nil"/>
            </w:tcBorders>
            <w:shd w:val="clear" w:color="auto" w:fill="auto"/>
            <w:vAlign w:val="center"/>
          </w:tcPr>
          <w:p w14:paraId="19E6202D" w14:textId="5E0FCA63" w:rsidR="00744B0B" w:rsidRPr="00493DD8" w:rsidRDefault="00744B0B" w:rsidP="00744B0B">
            <w:pPr>
              <w:pStyle w:val="Tabletextcentred"/>
              <w:rPr>
                <w:lang w:eastAsia="en-AU"/>
              </w:rPr>
            </w:pPr>
            <w:r w:rsidRPr="00493DD8">
              <w:t>13.0</w:t>
            </w:r>
          </w:p>
        </w:tc>
        <w:tc>
          <w:tcPr>
            <w:tcW w:w="964" w:type="dxa"/>
            <w:tcBorders>
              <w:top w:val="nil"/>
              <w:left w:val="nil"/>
              <w:bottom w:val="nil"/>
              <w:right w:val="nil"/>
            </w:tcBorders>
            <w:vAlign w:val="center"/>
          </w:tcPr>
          <w:p w14:paraId="06880418" w14:textId="094E03FF" w:rsidR="00744B0B" w:rsidRPr="00493DD8" w:rsidRDefault="00744B0B" w:rsidP="00744B0B">
            <w:pPr>
              <w:pStyle w:val="Tabletextcentred"/>
            </w:pPr>
            <w:r w:rsidRPr="00493DD8">
              <w:t>1.5</w:t>
            </w:r>
          </w:p>
        </w:tc>
        <w:tc>
          <w:tcPr>
            <w:tcW w:w="1304" w:type="dxa"/>
            <w:tcBorders>
              <w:top w:val="nil"/>
              <w:left w:val="nil"/>
              <w:bottom w:val="nil"/>
              <w:right w:val="nil"/>
            </w:tcBorders>
            <w:vAlign w:val="center"/>
          </w:tcPr>
          <w:p w14:paraId="33BE1B8C" w14:textId="1A4B0706" w:rsidR="00744B0B" w:rsidRPr="00493DD8" w:rsidRDefault="00744B0B" w:rsidP="00744B0B">
            <w:pPr>
              <w:pStyle w:val="Tabletextcentred"/>
            </w:pPr>
            <w:r w:rsidRPr="00493DD8">
              <w:t>50.7</w:t>
            </w:r>
          </w:p>
        </w:tc>
        <w:tc>
          <w:tcPr>
            <w:tcW w:w="964" w:type="dxa"/>
            <w:tcBorders>
              <w:top w:val="nil"/>
              <w:left w:val="nil"/>
              <w:bottom w:val="nil"/>
              <w:right w:val="nil"/>
            </w:tcBorders>
            <w:vAlign w:val="center"/>
          </w:tcPr>
          <w:p w14:paraId="4810D164" w14:textId="2183C753" w:rsidR="00744B0B" w:rsidRPr="00493DD8" w:rsidRDefault="00744B0B" w:rsidP="00744B0B">
            <w:pPr>
              <w:pStyle w:val="Tabletextcentred"/>
            </w:pPr>
            <w:r w:rsidRPr="00493DD8">
              <w:t>1.5</w:t>
            </w:r>
          </w:p>
        </w:tc>
      </w:tr>
      <w:tr w:rsidR="00744B0B" w:rsidRPr="00120704" w14:paraId="18367A28"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39FAE24" w14:textId="6201F5CD" w:rsidR="00744B0B" w:rsidRPr="00493DD8" w:rsidRDefault="00744B0B" w:rsidP="00744B0B">
            <w:pPr>
              <w:pStyle w:val="Tabletextleft"/>
            </w:pPr>
            <w:r w:rsidRPr="00493DD8">
              <w:t>Financial and insurance services</w:t>
            </w:r>
          </w:p>
        </w:tc>
        <w:tc>
          <w:tcPr>
            <w:tcW w:w="1356" w:type="dxa"/>
            <w:tcBorders>
              <w:top w:val="nil"/>
              <w:left w:val="nil"/>
              <w:bottom w:val="nil"/>
              <w:right w:val="nil"/>
            </w:tcBorders>
            <w:shd w:val="clear" w:color="auto" w:fill="auto"/>
            <w:vAlign w:val="center"/>
          </w:tcPr>
          <w:p w14:paraId="6FE8482F" w14:textId="4AB5C6BF" w:rsidR="00744B0B" w:rsidRPr="00493DD8" w:rsidRDefault="00744B0B" w:rsidP="00744B0B">
            <w:pPr>
              <w:pStyle w:val="Tabletextcentred"/>
              <w:rPr>
                <w:lang w:eastAsia="en-AU"/>
              </w:rPr>
            </w:pPr>
            <w:r w:rsidRPr="00493DD8">
              <w:rPr>
                <w:lang w:eastAsia="en-AU"/>
              </w:rPr>
              <w:t>14</w:t>
            </w:r>
            <w:r w:rsidRPr="00493DD8">
              <w:t>.6</w:t>
            </w:r>
          </w:p>
        </w:tc>
        <w:tc>
          <w:tcPr>
            <w:tcW w:w="964" w:type="dxa"/>
            <w:tcBorders>
              <w:top w:val="nil"/>
              <w:left w:val="nil"/>
              <w:bottom w:val="nil"/>
              <w:right w:val="nil"/>
            </w:tcBorders>
            <w:vAlign w:val="center"/>
          </w:tcPr>
          <w:p w14:paraId="32ABC39E" w14:textId="10FBF2E1" w:rsidR="00744B0B" w:rsidRPr="00493DD8" w:rsidRDefault="00744B0B" w:rsidP="00744B0B">
            <w:pPr>
              <w:pStyle w:val="Tabletextcentred"/>
            </w:pPr>
            <w:r w:rsidRPr="00493DD8">
              <w:t>1.7</w:t>
            </w:r>
          </w:p>
        </w:tc>
        <w:tc>
          <w:tcPr>
            <w:tcW w:w="1304" w:type="dxa"/>
            <w:tcBorders>
              <w:top w:val="nil"/>
              <w:left w:val="nil"/>
              <w:bottom w:val="nil"/>
              <w:right w:val="nil"/>
            </w:tcBorders>
            <w:vAlign w:val="center"/>
          </w:tcPr>
          <w:p w14:paraId="76800C87" w14:textId="3F02B912" w:rsidR="00744B0B" w:rsidRPr="00493DD8" w:rsidRDefault="00744B0B" w:rsidP="00744B0B">
            <w:pPr>
              <w:pStyle w:val="Tabletextcentred"/>
            </w:pPr>
            <w:r w:rsidRPr="00493DD8">
              <w:t>58.4</w:t>
            </w:r>
          </w:p>
        </w:tc>
        <w:tc>
          <w:tcPr>
            <w:tcW w:w="964" w:type="dxa"/>
            <w:tcBorders>
              <w:top w:val="nil"/>
              <w:left w:val="nil"/>
              <w:bottom w:val="nil"/>
              <w:right w:val="nil"/>
            </w:tcBorders>
            <w:vAlign w:val="center"/>
          </w:tcPr>
          <w:p w14:paraId="3C053136" w14:textId="57829298" w:rsidR="00744B0B" w:rsidRPr="00493DD8" w:rsidRDefault="00744B0B" w:rsidP="00744B0B">
            <w:pPr>
              <w:pStyle w:val="Tabletextcentred"/>
            </w:pPr>
            <w:r w:rsidRPr="00493DD8">
              <w:t>1.8</w:t>
            </w:r>
          </w:p>
        </w:tc>
      </w:tr>
      <w:tr w:rsidR="00744B0B" w:rsidRPr="00120704" w14:paraId="71AF5F72"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7CF90F9E" w14:textId="448B2325" w:rsidR="00744B0B" w:rsidRPr="00493DD8" w:rsidRDefault="00744B0B" w:rsidP="00744B0B">
            <w:pPr>
              <w:pStyle w:val="Tabletextleft"/>
            </w:pPr>
            <w:r w:rsidRPr="00493DD8">
              <w:t>Rental, hiring and real estate services</w:t>
            </w:r>
          </w:p>
        </w:tc>
        <w:tc>
          <w:tcPr>
            <w:tcW w:w="1356" w:type="dxa"/>
            <w:tcBorders>
              <w:top w:val="nil"/>
              <w:left w:val="nil"/>
              <w:bottom w:val="nil"/>
              <w:right w:val="nil"/>
            </w:tcBorders>
            <w:shd w:val="clear" w:color="auto" w:fill="auto"/>
            <w:vAlign w:val="center"/>
          </w:tcPr>
          <w:p w14:paraId="79D91E5A" w14:textId="377BA850" w:rsidR="00744B0B" w:rsidRPr="00493DD8" w:rsidRDefault="00744B0B" w:rsidP="00744B0B">
            <w:pPr>
              <w:pStyle w:val="Tabletextcentred"/>
              <w:rPr>
                <w:lang w:eastAsia="en-AU"/>
              </w:rPr>
            </w:pPr>
            <w:r w:rsidRPr="00493DD8">
              <w:t>26.0</w:t>
            </w:r>
          </w:p>
        </w:tc>
        <w:tc>
          <w:tcPr>
            <w:tcW w:w="964" w:type="dxa"/>
            <w:tcBorders>
              <w:top w:val="nil"/>
              <w:left w:val="nil"/>
              <w:bottom w:val="nil"/>
              <w:right w:val="nil"/>
            </w:tcBorders>
            <w:vAlign w:val="center"/>
          </w:tcPr>
          <w:p w14:paraId="3D56040B" w14:textId="2CA15FC8" w:rsidR="00744B0B" w:rsidRPr="00493DD8" w:rsidRDefault="00744B0B" w:rsidP="00744B0B">
            <w:pPr>
              <w:pStyle w:val="Tabletextcentred"/>
            </w:pPr>
            <w:r w:rsidRPr="00493DD8">
              <w:t>3.1</w:t>
            </w:r>
          </w:p>
        </w:tc>
        <w:tc>
          <w:tcPr>
            <w:tcW w:w="1304" w:type="dxa"/>
            <w:tcBorders>
              <w:top w:val="nil"/>
              <w:left w:val="nil"/>
              <w:bottom w:val="nil"/>
              <w:right w:val="nil"/>
            </w:tcBorders>
            <w:vAlign w:val="center"/>
          </w:tcPr>
          <w:p w14:paraId="1E3032A3" w14:textId="10F60380" w:rsidR="00744B0B" w:rsidRPr="00493DD8" w:rsidRDefault="00744B0B" w:rsidP="00744B0B">
            <w:pPr>
              <w:pStyle w:val="Tabletextcentred"/>
            </w:pPr>
            <w:r w:rsidRPr="00493DD8">
              <w:t>100.7</w:t>
            </w:r>
          </w:p>
        </w:tc>
        <w:tc>
          <w:tcPr>
            <w:tcW w:w="964" w:type="dxa"/>
            <w:tcBorders>
              <w:top w:val="nil"/>
              <w:left w:val="nil"/>
              <w:bottom w:val="nil"/>
              <w:right w:val="nil"/>
            </w:tcBorders>
            <w:vAlign w:val="center"/>
          </w:tcPr>
          <w:p w14:paraId="150F06C8" w14:textId="473EAA15" w:rsidR="00744B0B" w:rsidRPr="00493DD8" w:rsidRDefault="00744B0B" w:rsidP="00744B0B">
            <w:pPr>
              <w:pStyle w:val="Tabletextcentred"/>
            </w:pPr>
            <w:r w:rsidRPr="00493DD8">
              <w:t>3.0</w:t>
            </w:r>
          </w:p>
        </w:tc>
      </w:tr>
      <w:tr w:rsidR="00744B0B" w:rsidRPr="00120704" w14:paraId="589B8691"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6FED8C07" w14:textId="69CE34F7" w:rsidR="00744B0B" w:rsidRPr="00493DD8" w:rsidRDefault="00744B0B" w:rsidP="00744B0B">
            <w:pPr>
              <w:pStyle w:val="Tabletextleft"/>
            </w:pPr>
            <w:r w:rsidRPr="00493DD8">
              <w:t>Professional, scientific and technical services</w:t>
            </w:r>
          </w:p>
        </w:tc>
        <w:tc>
          <w:tcPr>
            <w:tcW w:w="1356" w:type="dxa"/>
            <w:tcBorders>
              <w:top w:val="nil"/>
              <w:left w:val="nil"/>
              <w:bottom w:val="nil"/>
              <w:right w:val="nil"/>
            </w:tcBorders>
            <w:shd w:val="clear" w:color="auto" w:fill="auto"/>
            <w:vAlign w:val="center"/>
          </w:tcPr>
          <w:p w14:paraId="0721CCE0" w14:textId="5315B840" w:rsidR="00744B0B" w:rsidRPr="00493DD8" w:rsidRDefault="00744B0B" w:rsidP="00744B0B">
            <w:pPr>
              <w:pStyle w:val="Tabletextcentred"/>
              <w:rPr>
                <w:lang w:eastAsia="en-AU"/>
              </w:rPr>
            </w:pPr>
            <w:r w:rsidRPr="00493DD8">
              <w:rPr>
                <w:lang w:eastAsia="en-AU"/>
              </w:rPr>
              <w:t>121</w:t>
            </w:r>
            <w:r w:rsidRPr="00493DD8">
              <w:t>.6</w:t>
            </w:r>
          </w:p>
        </w:tc>
        <w:tc>
          <w:tcPr>
            <w:tcW w:w="964" w:type="dxa"/>
            <w:tcBorders>
              <w:top w:val="nil"/>
              <w:left w:val="nil"/>
              <w:bottom w:val="nil"/>
              <w:right w:val="nil"/>
            </w:tcBorders>
            <w:vAlign w:val="center"/>
          </w:tcPr>
          <w:p w14:paraId="291DCCC6" w14:textId="45E43E6B" w:rsidR="00744B0B" w:rsidRPr="00493DD8" w:rsidRDefault="00744B0B" w:rsidP="00744B0B">
            <w:pPr>
              <w:pStyle w:val="Tabletextcentred"/>
            </w:pPr>
            <w:r w:rsidRPr="00493DD8">
              <w:t>14.3</w:t>
            </w:r>
          </w:p>
        </w:tc>
        <w:tc>
          <w:tcPr>
            <w:tcW w:w="1304" w:type="dxa"/>
            <w:tcBorders>
              <w:top w:val="nil"/>
              <w:left w:val="nil"/>
              <w:bottom w:val="nil"/>
              <w:right w:val="nil"/>
            </w:tcBorders>
            <w:vAlign w:val="center"/>
          </w:tcPr>
          <w:p w14:paraId="5A0EB77D" w14:textId="449DE7AB" w:rsidR="00744B0B" w:rsidRPr="00493DD8" w:rsidRDefault="00744B0B" w:rsidP="00744B0B">
            <w:pPr>
              <w:pStyle w:val="Tabletextcentred"/>
            </w:pPr>
            <w:r w:rsidRPr="00493DD8">
              <w:t>396.4</w:t>
            </w:r>
          </w:p>
        </w:tc>
        <w:tc>
          <w:tcPr>
            <w:tcW w:w="964" w:type="dxa"/>
            <w:tcBorders>
              <w:top w:val="nil"/>
              <w:left w:val="nil"/>
              <w:bottom w:val="nil"/>
              <w:right w:val="nil"/>
            </w:tcBorders>
            <w:vAlign w:val="center"/>
          </w:tcPr>
          <w:p w14:paraId="02152B06" w14:textId="4A0FD1CD" w:rsidR="00744B0B" w:rsidRPr="00493DD8" w:rsidRDefault="00744B0B" w:rsidP="00744B0B">
            <w:pPr>
              <w:pStyle w:val="Tabletextcentred"/>
            </w:pPr>
            <w:r w:rsidRPr="00493DD8">
              <w:t>12.0</w:t>
            </w:r>
          </w:p>
        </w:tc>
      </w:tr>
      <w:tr w:rsidR="00744B0B" w:rsidRPr="00120704" w14:paraId="4F65EE42"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61865000" w14:textId="3E83D151" w:rsidR="00744B0B" w:rsidRPr="00493DD8" w:rsidRDefault="00744B0B" w:rsidP="00744B0B">
            <w:pPr>
              <w:pStyle w:val="Tabletextleft"/>
            </w:pPr>
            <w:r w:rsidRPr="00493DD8">
              <w:t>Administrative and support services</w:t>
            </w:r>
          </w:p>
        </w:tc>
        <w:tc>
          <w:tcPr>
            <w:tcW w:w="1356" w:type="dxa"/>
            <w:tcBorders>
              <w:top w:val="nil"/>
              <w:left w:val="nil"/>
              <w:bottom w:val="nil"/>
              <w:right w:val="nil"/>
            </w:tcBorders>
            <w:shd w:val="clear" w:color="auto" w:fill="auto"/>
            <w:vAlign w:val="center"/>
          </w:tcPr>
          <w:p w14:paraId="78B7FC58" w14:textId="529B17C5" w:rsidR="00744B0B" w:rsidRPr="00493DD8" w:rsidRDefault="00744B0B" w:rsidP="00744B0B">
            <w:pPr>
              <w:pStyle w:val="Tabletextcentred"/>
              <w:rPr>
                <w:lang w:eastAsia="en-AU"/>
              </w:rPr>
            </w:pPr>
            <w:r w:rsidRPr="00493DD8">
              <w:rPr>
                <w:lang w:eastAsia="en-AU"/>
              </w:rPr>
              <w:t>42</w:t>
            </w:r>
            <w:r w:rsidRPr="00493DD8">
              <w:t>.7</w:t>
            </w:r>
          </w:p>
        </w:tc>
        <w:tc>
          <w:tcPr>
            <w:tcW w:w="964" w:type="dxa"/>
            <w:tcBorders>
              <w:top w:val="nil"/>
              <w:left w:val="nil"/>
              <w:bottom w:val="nil"/>
              <w:right w:val="nil"/>
            </w:tcBorders>
            <w:vAlign w:val="center"/>
          </w:tcPr>
          <w:p w14:paraId="0248B388" w14:textId="603B62A4" w:rsidR="00744B0B" w:rsidRPr="00493DD8" w:rsidRDefault="00744B0B" w:rsidP="00744B0B">
            <w:pPr>
              <w:pStyle w:val="Tabletextcentred"/>
            </w:pPr>
            <w:r w:rsidRPr="00493DD8">
              <w:t>5.0</w:t>
            </w:r>
          </w:p>
        </w:tc>
        <w:tc>
          <w:tcPr>
            <w:tcW w:w="1304" w:type="dxa"/>
            <w:tcBorders>
              <w:top w:val="nil"/>
              <w:left w:val="nil"/>
              <w:bottom w:val="nil"/>
              <w:right w:val="nil"/>
            </w:tcBorders>
            <w:vAlign w:val="center"/>
          </w:tcPr>
          <w:p w14:paraId="502CF10D" w14:textId="5F2348E7" w:rsidR="00744B0B" w:rsidRPr="00493DD8" w:rsidRDefault="00744B0B" w:rsidP="00744B0B">
            <w:pPr>
              <w:pStyle w:val="Tabletextcentred"/>
            </w:pPr>
            <w:r w:rsidRPr="00493DD8">
              <w:t>188.5</w:t>
            </w:r>
          </w:p>
        </w:tc>
        <w:tc>
          <w:tcPr>
            <w:tcW w:w="964" w:type="dxa"/>
            <w:tcBorders>
              <w:top w:val="nil"/>
              <w:left w:val="nil"/>
              <w:bottom w:val="nil"/>
              <w:right w:val="nil"/>
            </w:tcBorders>
            <w:vAlign w:val="center"/>
          </w:tcPr>
          <w:p w14:paraId="6313314D" w14:textId="5BF08E12" w:rsidR="00744B0B" w:rsidRPr="00493DD8" w:rsidRDefault="00744B0B" w:rsidP="00744B0B">
            <w:pPr>
              <w:pStyle w:val="Tabletextcentred"/>
            </w:pPr>
            <w:r w:rsidRPr="00493DD8">
              <w:t>5.7</w:t>
            </w:r>
          </w:p>
        </w:tc>
      </w:tr>
      <w:tr w:rsidR="00744B0B" w:rsidRPr="00120704" w14:paraId="66990F55"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4723325" w14:textId="54CFAF45" w:rsidR="00744B0B" w:rsidRPr="00493DD8" w:rsidRDefault="00744B0B" w:rsidP="00744B0B">
            <w:pPr>
              <w:pStyle w:val="Tabletextleft"/>
            </w:pPr>
            <w:r w:rsidRPr="00493DD8">
              <w:t>Public administration and safety</w:t>
            </w:r>
          </w:p>
        </w:tc>
        <w:tc>
          <w:tcPr>
            <w:tcW w:w="1356" w:type="dxa"/>
            <w:tcBorders>
              <w:top w:val="nil"/>
              <w:left w:val="nil"/>
              <w:bottom w:val="nil"/>
              <w:right w:val="nil"/>
            </w:tcBorders>
            <w:shd w:val="clear" w:color="auto" w:fill="auto"/>
            <w:vAlign w:val="center"/>
          </w:tcPr>
          <w:p w14:paraId="7C20CBC2" w14:textId="49B400F0" w:rsidR="00744B0B" w:rsidRPr="00493DD8" w:rsidRDefault="00744B0B" w:rsidP="00744B0B">
            <w:pPr>
              <w:pStyle w:val="Tabletextcentred"/>
              <w:rPr>
                <w:lang w:eastAsia="en-AU"/>
              </w:rPr>
            </w:pPr>
            <w:r w:rsidRPr="00493DD8">
              <w:t>3.1</w:t>
            </w:r>
          </w:p>
        </w:tc>
        <w:tc>
          <w:tcPr>
            <w:tcW w:w="964" w:type="dxa"/>
            <w:tcBorders>
              <w:top w:val="nil"/>
              <w:left w:val="nil"/>
              <w:bottom w:val="nil"/>
              <w:right w:val="nil"/>
            </w:tcBorders>
            <w:vAlign w:val="center"/>
          </w:tcPr>
          <w:p w14:paraId="17EF7961" w14:textId="61440A43" w:rsidR="00744B0B" w:rsidRPr="00493DD8" w:rsidRDefault="00744B0B" w:rsidP="00744B0B">
            <w:pPr>
              <w:pStyle w:val="Tabletextcentred"/>
            </w:pPr>
            <w:r w:rsidRPr="00493DD8">
              <w:t>0.4</w:t>
            </w:r>
          </w:p>
        </w:tc>
        <w:tc>
          <w:tcPr>
            <w:tcW w:w="1304" w:type="dxa"/>
            <w:tcBorders>
              <w:top w:val="nil"/>
              <w:left w:val="nil"/>
              <w:bottom w:val="nil"/>
              <w:right w:val="nil"/>
            </w:tcBorders>
            <w:vAlign w:val="center"/>
          </w:tcPr>
          <w:p w14:paraId="2E3D8EE1" w14:textId="63155268" w:rsidR="00744B0B" w:rsidRPr="00493DD8" w:rsidRDefault="00744B0B" w:rsidP="00744B0B">
            <w:pPr>
              <w:pStyle w:val="Tabletextcentred"/>
            </w:pPr>
            <w:r w:rsidRPr="00493DD8">
              <w:t>19.1</w:t>
            </w:r>
          </w:p>
        </w:tc>
        <w:tc>
          <w:tcPr>
            <w:tcW w:w="964" w:type="dxa"/>
            <w:tcBorders>
              <w:top w:val="nil"/>
              <w:left w:val="nil"/>
              <w:bottom w:val="nil"/>
              <w:right w:val="nil"/>
            </w:tcBorders>
            <w:vAlign w:val="center"/>
          </w:tcPr>
          <w:p w14:paraId="1FFABDC9" w14:textId="36873842" w:rsidR="00744B0B" w:rsidRPr="00493DD8" w:rsidRDefault="00744B0B" w:rsidP="00744B0B">
            <w:pPr>
              <w:pStyle w:val="Tabletextcentred"/>
            </w:pPr>
            <w:r w:rsidRPr="00493DD8">
              <w:t>0.6</w:t>
            </w:r>
          </w:p>
        </w:tc>
      </w:tr>
      <w:tr w:rsidR="00744B0B" w:rsidRPr="00120704" w14:paraId="57922000"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8EE2645" w14:textId="2A080D78" w:rsidR="00744B0B" w:rsidRPr="00493DD8" w:rsidRDefault="00744B0B" w:rsidP="00744B0B">
            <w:pPr>
              <w:pStyle w:val="Tabletextleft"/>
            </w:pPr>
            <w:r w:rsidRPr="00493DD8">
              <w:t>Education and training</w:t>
            </w:r>
          </w:p>
        </w:tc>
        <w:tc>
          <w:tcPr>
            <w:tcW w:w="1356" w:type="dxa"/>
            <w:tcBorders>
              <w:top w:val="nil"/>
              <w:left w:val="nil"/>
              <w:bottom w:val="nil"/>
              <w:right w:val="nil"/>
            </w:tcBorders>
            <w:shd w:val="clear" w:color="auto" w:fill="auto"/>
            <w:vAlign w:val="center"/>
          </w:tcPr>
          <w:p w14:paraId="033ED83F" w14:textId="7C57B465" w:rsidR="00744B0B" w:rsidRPr="00493DD8" w:rsidRDefault="00744B0B" w:rsidP="00744B0B">
            <w:pPr>
              <w:pStyle w:val="Tabletextcentred"/>
              <w:rPr>
                <w:lang w:eastAsia="en-AU"/>
              </w:rPr>
            </w:pPr>
            <w:r w:rsidRPr="00493DD8">
              <w:rPr>
                <w:lang w:eastAsia="en-AU"/>
              </w:rPr>
              <w:t>25</w:t>
            </w:r>
            <w:r w:rsidRPr="00493DD8">
              <w:t>.2</w:t>
            </w:r>
          </w:p>
        </w:tc>
        <w:tc>
          <w:tcPr>
            <w:tcW w:w="964" w:type="dxa"/>
            <w:tcBorders>
              <w:top w:val="nil"/>
              <w:left w:val="nil"/>
              <w:bottom w:val="nil"/>
              <w:right w:val="nil"/>
            </w:tcBorders>
            <w:vAlign w:val="center"/>
          </w:tcPr>
          <w:p w14:paraId="4231C3AD" w14:textId="0A4AA0A2" w:rsidR="00744B0B" w:rsidRPr="00493DD8" w:rsidRDefault="00744B0B" w:rsidP="00744B0B">
            <w:pPr>
              <w:pStyle w:val="Tabletextcentred"/>
            </w:pPr>
            <w:r w:rsidRPr="00493DD8">
              <w:t>3.0</w:t>
            </w:r>
          </w:p>
        </w:tc>
        <w:tc>
          <w:tcPr>
            <w:tcW w:w="1304" w:type="dxa"/>
            <w:tcBorders>
              <w:top w:val="nil"/>
              <w:left w:val="nil"/>
              <w:bottom w:val="nil"/>
              <w:right w:val="nil"/>
            </w:tcBorders>
            <w:vAlign w:val="center"/>
          </w:tcPr>
          <w:p w14:paraId="41C3CED6" w14:textId="523BAD56" w:rsidR="00744B0B" w:rsidRPr="00493DD8" w:rsidRDefault="00744B0B" w:rsidP="00744B0B">
            <w:pPr>
              <w:pStyle w:val="Tabletextcentred"/>
            </w:pPr>
            <w:r w:rsidRPr="00493DD8">
              <w:t>124.0</w:t>
            </w:r>
          </w:p>
        </w:tc>
        <w:tc>
          <w:tcPr>
            <w:tcW w:w="964" w:type="dxa"/>
            <w:tcBorders>
              <w:top w:val="nil"/>
              <w:left w:val="nil"/>
              <w:bottom w:val="nil"/>
              <w:right w:val="nil"/>
            </w:tcBorders>
            <w:vAlign w:val="center"/>
          </w:tcPr>
          <w:p w14:paraId="275FC083" w14:textId="7C860F25" w:rsidR="00744B0B" w:rsidRPr="00493DD8" w:rsidRDefault="00744B0B" w:rsidP="00744B0B">
            <w:pPr>
              <w:pStyle w:val="Tabletextcentred"/>
            </w:pPr>
            <w:r w:rsidRPr="00493DD8">
              <w:t>3.8</w:t>
            </w:r>
          </w:p>
        </w:tc>
      </w:tr>
      <w:tr w:rsidR="00744B0B" w:rsidRPr="00120704" w14:paraId="40498E08"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1BE272A6" w14:textId="48934520" w:rsidR="00744B0B" w:rsidRPr="00493DD8" w:rsidRDefault="00744B0B" w:rsidP="00744B0B">
            <w:pPr>
              <w:pStyle w:val="Tabletextleft"/>
            </w:pPr>
            <w:r w:rsidRPr="00493DD8">
              <w:t>Health care and asocial assistance</w:t>
            </w:r>
          </w:p>
        </w:tc>
        <w:tc>
          <w:tcPr>
            <w:tcW w:w="1356" w:type="dxa"/>
            <w:tcBorders>
              <w:top w:val="nil"/>
              <w:left w:val="nil"/>
              <w:bottom w:val="nil"/>
              <w:right w:val="nil"/>
            </w:tcBorders>
            <w:shd w:val="clear" w:color="auto" w:fill="auto"/>
            <w:vAlign w:val="center"/>
          </w:tcPr>
          <w:p w14:paraId="59550B31" w14:textId="4BFD8A7D" w:rsidR="00744B0B" w:rsidRPr="00493DD8" w:rsidRDefault="00744B0B" w:rsidP="00744B0B">
            <w:pPr>
              <w:pStyle w:val="Tabletextcentred"/>
              <w:rPr>
                <w:lang w:eastAsia="en-AU"/>
              </w:rPr>
            </w:pPr>
            <w:r w:rsidRPr="00493DD8">
              <w:rPr>
                <w:lang w:eastAsia="en-AU"/>
              </w:rPr>
              <w:t>78</w:t>
            </w:r>
            <w:r w:rsidRPr="00493DD8">
              <w:t>.2</w:t>
            </w:r>
          </w:p>
        </w:tc>
        <w:tc>
          <w:tcPr>
            <w:tcW w:w="964" w:type="dxa"/>
            <w:tcBorders>
              <w:top w:val="nil"/>
              <w:left w:val="nil"/>
              <w:bottom w:val="nil"/>
              <w:right w:val="nil"/>
            </w:tcBorders>
            <w:vAlign w:val="center"/>
          </w:tcPr>
          <w:p w14:paraId="0A88A07C" w14:textId="6C0116BA" w:rsidR="00744B0B" w:rsidRPr="00493DD8" w:rsidRDefault="00744B0B" w:rsidP="00744B0B">
            <w:pPr>
              <w:pStyle w:val="Tabletextcentred"/>
            </w:pPr>
            <w:r w:rsidRPr="00493DD8">
              <w:t>9.2</w:t>
            </w:r>
          </w:p>
        </w:tc>
        <w:tc>
          <w:tcPr>
            <w:tcW w:w="1304" w:type="dxa"/>
            <w:tcBorders>
              <w:top w:val="nil"/>
              <w:left w:val="nil"/>
              <w:bottom w:val="nil"/>
              <w:right w:val="nil"/>
            </w:tcBorders>
            <w:vAlign w:val="center"/>
          </w:tcPr>
          <w:p w14:paraId="5A92F39F" w14:textId="72EB07D9" w:rsidR="00744B0B" w:rsidRPr="00493DD8" w:rsidRDefault="00744B0B" w:rsidP="00744B0B">
            <w:pPr>
              <w:pStyle w:val="Tabletextcentred"/>
            </w:pPr>
            <w:r w:rsidRPr="00493DD8">
              <w:t>385.7</w:t>
            </w:r>
          </w:p>
        </w:tc>
        <w:tc>
          <w:tcPr>
            <w:tcW w:w="964" w:type="dxa"/>
            <w:tcBorders>
              <w:top w:val="nil"/>
              <w:left w:val="nil"/>
              <w:bottom w:val="nil"/>
              <w:right w:val="nil"/>
            </w:tcBorders>
            <w:vAlign w:val="center"/>
          </w:tcPr>
          <w:p w14:paraId="6EA4E81A" w14:textId="3DFFF01C" w:rsidR="00744B0B" w:rsidRPr="00493DD8" w:rsidRDefault="00744B0B" w:rsidP="00744B0B">
            <w:pPr>
              <w:pStyle w:val="Tabletextcentred"/>
            </w:pPr>
            <w:r w:rsidRPr="00493DD8">
              <w:t>11.7</w:t>
            </w:r>
          </w:p>
        </w:tc>
      </w:tr>
      <w:tr w:rsidR="00744B0B" w:rsidRPr="00120704" w14:paraId="3D0B75F8"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60DA8F69" w14:textId="1DF7C4FB" w:rsidR="00744B0B" w:rsidRPr="00493DD8" w:rsidRDefault="00744B0B" w:rsidP="00744B0B">
            <w:pPr>
              <w:pStyle w:val="Tabletextleft"/>
            </w:pPr>
            <w:r w:rsidRPr="00493DD8">
              <w:t>Arts and recreation services</w:t>
            </w:r>
          </w:p>
        </w:tc>
        <w:tc>
          <w:tcPr>
            <w:tcW w:w="1356" w:type="dxa"/>
            <w:tcBorders>
              <w:top w:val="nil"/>
              <w:left w:val="nil"/>
              <w:bottom w:val="nil"/>
              <w:right w:val="nil"/>
            </w:tcBorders>
            <w:shd w:val="clear" w:color="auto" w:fill="auto"/>
            <w:vAlign w:val="center"/>
          </w:tcPr>
          <w:p w14:paraId="3BBCAC6D" w14:textId="7794E1E8" w:rsidR="00744B0B" w:rsidRPr="00493DD8" w:rsidRDefault="00744B0B" w:rsidP="00744B0B">
            <w:pPr>
              <w:pStyle w:val="Tabletextcentred"/>
              <w:rPr>
                <w:lang w:eastAsia="en-AU"/>
              </w:rPr>
            </w:pPr>
            <w:r w:rsidRPr="00493DD8">
              <w:rPr>
                <w:lang w:eastAsia="en-AU"/>
              </w:rPr>
              <w:t>36</w:t>
            </w:r>
            <w:r w:rsidRPr="00493DD8">
              <w:t>.2</w:t>
            </w:r>
          </w:p>
        </w:tc>
        <w:tc>
          <w:tcPr>
            <w:tcW w:w="964" w:type="dxa"/>
            <w:tcBorders>
              <w:top w:val="nil"/>
              <w:left w:val="nil"/>
              <w:bottom w:val="nil"/>
              <w:right w:val="nil"/>
            </w:tcBorders>
            <w:vAlign w:val="center"/>
          </w:tcPr>
          <w:p w14:paraId="110A8810" w14:textId="00D1E066" w:rsidR="00744B0B" w:rsidRPr="00493DD8" w:rsidRDefault="00744B0B" w:rsidP="00744B0B">
            <w:pPr>
              <w:pStyle w:val="Tabletextcentred"/>
            </w:pPr>
            <w:r w:rsidRPr="00493DD8">
              <w:t>4.3</w:t>
            </w:r>
          </w:p>
        </w:tc>
        <w:tc>
          <w:tcPr>
            <w:tcW w:w="1304" w:type="dxa"/>
            <w:tcBorders>
              <w:top w:val="nil"/>
              <w:left w:val="nil"/>
              <w:bottom w:val="nil"/>
              <w:right w:val="nil"/>
            </w:tcBorders>
            <w:vAlign w:val="center"/>
          </w:tcPr>
          <w:p w14:paraId="033A0E8F" w14:textId="05FD8255" w:rsidR="00744B0B" w:rsidRPr="00493DD8" w:rsidRDefault="00744B0B" w:rsidP="00744B0B">
            <w:pPr>
              <w:pStyle w:val="Tabletextcentred"/>
            </w:pPr>
            <w:r w:rsidRPr="00493DD8">
              <w:t>129.1</w:t>
            </w:r>
          </w:p>
        </w:tc>
        <w:tc>
          <w:tcPr>
            <w:tcW w:w="964" w:type="dxa"/>
            <w:tcBorders>
              <w:top w:val="nil"/>
              <w:left w:val="nil"/>
              <w:bottom w:val="nil"/>
              <w:right w:val="nil"/>
            </w:tcBorders>
            <w:vAlign w:val="center"/>
          </w:tcPr>
          <w:p w14:paraId="550A1463" w14:textId="1EAB2AC8" w:rsidR="00744B0B" w:rsidRPr="00493DD8" w:rsidRDefault="00744B0B" w:rsidP="00744B0B">
            <w:pPr>
              <w:pStyle w:val="Tabletextcentred"/>
            </w:pPr>
            <w:r w:rsidRPr="00493DD8">
              <w:t>3.9</w:t>
            </w:r>
          </w:p>
        </w:tc>
      </w:tr>
      <w:tr w:rsidR="00744B0B" w:rsidRPr="00120704" w14:paraId="411C8240" w14:textId="77777777" w:rsidTr="00744B0B">
        <w:trPr>
          <w:trHeight w:val="290"/>
          <w:jc w:val="center"/>
        </w:trPr>
        <w:tc>
          <w:tcPr>
            <w:tcW w:w="3685" w:type="dxa"/>
            <w:tcBorders>
              <w:top w:val="nil"/>
              <w:left w:val="nil"/>
              <w:bottom w:val="nil"/>
              <w:right w:val="nil"/>
            </w:tcBorders>
            <w:shd w:val="clear" w:color="auto" w:fill="auto"/>
            <w:noWrap/>
            <w:vAlign w:val="bottom"/>
            <w:hideMark/>
          </w:tcPr>
          <w:p w14:paraId="7BB9750B" w14:textId="77777777" w:rsidR="00744B0B" w:rsidRPr="00493DD8" w:rsidRDefault="00744B0B" w:rsidP="00744B0B">
            <w:pPr>
              <w:pStyle w:val="Tabletextleft"/>
            </w:pPr>
            <w:r w:rsidRPr="00493DD8">
              <w:t>Other Services</w:t>
            </w:r>
          </w:p>
        </w:tc>
        <w:tc>
          <w:tcPr>
            <w:tcW w:w="1356" w:type="dxa"/>
            <w:tcBorders>
              <w:top w:val="nil"/>
              <w:left w:val="nil"/>
              <w:bottom w:val="nil"/>
              <w:right w:val="nil"/>
            </w:tcBorders>
            <w:shd w:val="clear" w:color="auto" w:fill="auto"/>
            <w:vAlign w:val="center"/>
          </w:tcPr>
          <w:p w14:paraId="14CC31EB" w14:textId="3E0F352E" w:rsidR="00744B0B" w:rsidRPr="00493DD8" w:rsidRDefault="00744B0B" w:rsidP="00744B0B">
            <w:pPr>
              <w:pStyle w:val="Tabletextcentred"/>
              <w:rPr>
                <w:lang w:eastAsia="en-AU"/>
              </w:rPr>
            </w:pPr>
            <w:r w:rsidRPr="00493DD8">
              <w:rPr>
                <w:lang w:eastAsia="en-AU"/>
              </w:rPr>
              <w:t>83</w:t>
            </w:r>
            <w:r w:rsidRPr="00493DD8">
              <w:t>.2</w:t>
            </w:r>
          </w:p>
        </w:tc>
        <w:tc>
          <w:tcPr>
            <w:tcW w:w="964" w:type="dxa"/>
            <w:tcBorders>
              <w:top w:val="nil"/>
              <w:left w:val="nil"/>
              <w:bottom w:val="nil"/>
              <w:right w:val="nil"/>
            </w:tcBorders>
            <w:vAlign w:val="center"/>
          </w:tcPr>
          <w:p w14:paraId="48328BA2" w14:textId="0E9A623A" w:rsidR="00744B0B" w:rsidRPr="00493DD8" w:rsidRDefault="00744B0B" w:rsidP="00744B0B">
            <w:pPr>
              <w:pStyle w:val="Tabletextcentred"/>
            </w:pPr>
            <w:r w:rsidRPr="00493DD8">
              <w:t>9.8</w:t>
            </w:r>
          </w:p>
        </w:tc>
        <w:tc>
          <w:tcPr>
            <w:tcW w:w="1304" w:type="dxa"/>
            <w:tcBorders>
              <w:top w:val="nil"/>
              <w:left w:val="nil"/>
              <w:bottom w:val="nil"/>
              <w:right w:val="nil"/>
            </w:tcBorders>
            <w:vAlign w:val="center"/>
          </w:tcPr>
          <w:p w14:paraId="7130B9DF" w14:textId="35FA8E29" w:rsidR="00744B0B" w:rsidRPr="00493DD8" w:rsidRDefault="00744B0B" w:rsidP="00744B0B">
            <w:pPr>
              <w:pStyle w:val="Tabletextcentred"/>
            </w:pPr>
            <w:r w:rsidRPr="00493DD8">
              <w:t>233.4</w:t>
            </w:r>
          </w:p>
        </w:tc>
        <w:tc>
          <w:tcPr>
            <w:tcW w:w="964" w:type="dxa"/>
            <w:tcBorders>
              <w:top w:val="nil"/>
              <w:left w:val="nil"/>
              <w:bottom w:val="nil"/>
              <w:right w:val="nil"/>
            </w:tcBorders>
            <w:vAlign w:val="center"/>
          </w:tcPr>
          <w:p w14:paraId="47CDC259" w14:textId="2794EE82" w:rsidR="00744B0B" w:rsidRPr="00493DD8" w:rsidRDefault="00744B0B" w:rsidP="00744B0B">
            <w:pPr>
              <w:pStyle w:val="Tabletextcentred"/>
            </w:pPr>
            <w:r w:rsidRPr="00493DD8">
              <w:t>7.1</w:t>
            </w:r>
          </w:p>
        </w:tc>
      </w:tr>
      <w:tr w:rsidR="00744B0B" w:rsidRPr="00120704" w14:paraId="3B3B79D3" w14:textId="77777777" w:rsidTr="00744B0B">
        <w:trPr>
          <w:trHeight w:val="290"/>
          <w:jc w:val="center"/>
        </w:trPr>
        <w:tc>
          <w:tcPr>
            <w:tcW w:w="3685" w:type="dxa"/>
            <w:tcBorders>
              <w:top w:val="nil"/>
              <w:left w:val="nil"/>
              <w:right w:val="nil"/>
            </w:tcBorders>
            <w:shd w:val="clear" w:color="auto" w:fill="auto"/>
            <w:noWrap/>
            <w:vAlign w:val="bottom"/>
          </w:tcPr>
          <w:p w14:paraId="655C8789" w14:textId="2DE2E48A" w:rsidR="00744B0B" w:rsidRPr="00493DD8" w:rsidRDefault="00744B0B" w:rsidP="00744B0B">
            <w:pPr>
              <w:pStyle w:val="Tabletextleft"/>
            </w:pPr>
            <w:r w:rsidRPr="00493DD8">
              <w:t>Unclassified or not available</w:t>
            </w:r>
          </w:p>
        </w:tc>
        <w:tc>
          <w:tcPr>
            <w:tcW w:w="1356" w:type="dxa"/>
            <w:tcBorders>
              <w:top w:val="nil"/>
              <w:left w:val="nil"/>
              <w:right w:val="nil"/>
            </w:tcBorders>
            <w:shd w:val="clear" w:color="auto" w:fill="auto"/>
            <w:vAlign w:val="center"/>
          </w:tcPr>
          <w:p w14:paraId="29C875E7" w14:textId="6EF359F5" w:rsidR="00744B0B" w:rsidRPr="00493DD8" w:rsidRDefault="00744B0B" w:rsidP="00744B0B">
            <w:pPr>
              <w:pStyle w:val="Tabletextcentred"/>
              <w:rPr>
                <w:lang w:eastAsia="en-AU"/>
              </w:rPr>
            </w:pPr>
            <w:r w:rsidRPr="00493DD8">
              <w:rPr>
                <w:lang w:eastAsia="en-AU"/>
              </w:rPr>
              <w:t>0.9</w:t>
            </w:r>
          </w:p>
        </w:tc>
        <w:tc>
          <w:tcPr>
            <w:tcW w:w="964" w:type="dxa"/>
            <w:tcBorders>
              <w:top w:val="nil"/>
              <w:left w:val="nil"/>
              <w:right w:val="nil"/>
            </w:tcBorders>
            <w:vAlign w:val="center"/>
          </w:tcPr>
          <w:p w14:paraId="0A5FDE50" w14:textId="738D2B9F" w:rsidR="00744B0B" w:rsidRPr="00493DD8" w:rsidRDefault="00744B0B" w:rsidP="00744B0B">
            <w:pPr>
              <w:pStyle w:val="Tabletextcentred"/>
            </w:pPr>
            <w:r w:rsidRPr="00493DD8">
              <w:t>0.1</w:t>
            </w:r>
          </w:p>
        </w:tc>
        <w:tc>
          <w:tcPr>
            <w:tcW w:w="1304" w:type="dxa"/>
            <w:tcBorders>
              <w:top w:val="nil"/>
              <w:left w:val="nil"/>
              <w:right w:val="nil"/>
            </w:tcBorders>
            <w:vAlign w:val="center"/>
          </w:tcPr>
          <w:p w14:paraId="1AE049CE" w14:textId="4C775DFA" w:rsidR="00744B0B" w:rsidRPr="00493DD8" w:rsidRDefault="00744B0B" w:rsidP="00744B0B">
            <w:pPr>
              <w:pStyle w:val="Tabletextcentred"/>
            </w:pPr>
            <w:r w:rsidRPr="00493DD8">
              <w:t>2.5</w:t>
            </w:r>
          </w:p>
        </w:tc>
        <w:tc>
          <w:tcPr>
            <w:tcW w:w="964" w:type="dxa"/>
            <w:tcBorders>
              <w:top w:val="nil"/>
              <w:left w:val="nil"/>
              <w:right w:val="nil"/>
            </w:tcBorders>
            <w:vAlign w:val="center"/>
          </w:tcPr>
          <w:p w14:paraId="18100FD1" w14:textId="4C2B4E1B" w:rsidR="00744B0B" w:rsidRPr="00493DD8" w:rsidRDefault="00744B0B" w:rsidP="00744B0B">
            <w:pPr>
              <w:pStyle w:val="Tabletextcentred"/>
            </w:pPr>
            <w:r w:rsidRPr="00493DD8">
              <w:t>0.1</w:t>
            </w:r>
          </w:p>
        </w:tc>
      </w:tr>
      <w:tr w:rsidR="00744B0B" w:rsidRPr="00120704" w14:paraId="1AA8DC53" w14:textId="77777777" w:rsidTr="00744B0B">
        <w:trPr>
          <w:trHeight w:val="290"/>
          <w:jc w:val="center"/>
        </w:trPr>
        <w:tc>
          <w:tcPr>
            <w:tcW w:w="3685" w:type="dxa"/>
            <w:tcBorders>
              <w:top w:val="nil"/>
              <w:left w:val="nil"/>
              <w:bottom w:val="single" w:sz="12" w:space="0" w:color="002C47" w:themeColor="accent1"/>
              <w:right w:val="nil"/>
            </w:tcBorders>
            <w:shd w:val="clear" w:color="auto" w:fill="auto"/>
            <w:noWrap/>
            <w:vAlign w:val="bottom"/>
            <w:hideMark/>
          </w:tcPr>
          <w:p w14:paraId="7DBD955B" w14:textId="4DE91B9F" w:rsidR="00744B0B" w:rsidRPr="00493DD8" w:rsidRDefault="00744B0B" w:rsidP="00744B0B">
            <w:pPr>
              <w:pStyle w:val="Tabletextleft"/>
              <w:rPr>
                <w:b/>
              </w:rPr>
            </w:pPr>
            <w:r w:rsidRPr="00493DD8">
              <w:rPr>
                <w:b/>
              </w:rPr>
              <w:t>Total</w:t>
            </w:r>
          </w:p>
        </w:tc>
        <w:tc>
          <w:tcPr>
            <w:tcW w:w="1356" w:type="dxa"/>
            <w:tcBorders>
              <w:top w:val="nil"/>
              <w:left w:val="nil"/>
              <w:bottom w:val="single" w:sz="12" w:space="0" w:color="002C47" w:themeColor="accent1"/>
              <w:right w:val="nil"/>
            </w:tcBorders>
            <w:shd w:val="clear" w:color="auto" w:fill="auto"/>
            <w:vAlign w:val="center"/>
            <w:hideMark/>
          </w:tcPr>
          <w:p w14:paraId="6D17C888" w14:textId="00949C70" w:rsidR="00744B0B" w:rsidRPr="00493DD8" w:rsidRDefault="00744B0B" w:rsidP="00744B0B">
            <w:pPr>
              <w:pStyle w:val="Tabletextcentred"/>
              <w:rPr>
                <w:b/>
                <w:lang w:eastAsia="en-AU"/>
              </w:rPr>
            </w:pPr>
            <w:r w:rsidRPr="00493DD8">
              <w:rPr>
                <w:b/>
                <w:lang w:eastAsia="en-AU"/>
              </w:rPr>
              <w:t>849</w:t>
            </w:r>
            <w:r w:rsidRPr="00493DD8">
              <w:rPr>
                <w:b/>
              </w:rPr>
              <w:t>.7</w:t>
            </w:r>
          </w:p>
        </w:tc>
        <w:tc>
          <w:tcPr>
            <w:tcW w:w="964" w:type="dxa"/>
            <w:tcBorders>
              <w:top w:val="nil"/>
              <w:left w:val="nil"/>
              <w:bottom w:val="single" w:sz="12" w:space="0" w:color="002C47" w:themeColor="accent1"/>
              <w:right w:val="nil"/>
            </w:tcBorders>
            <w:vAlign w:val="center"/>
          </w:tcPr>
          <w:p w14:paraId="6CEC9726" w14:textId="60A456CD" w:rsidR="00744B0B" w:rsidRPr="00493DD8" w:rsidRDefault="00744B0B" w:rsidP="00744B0B">
            <w:pPr>
              <w:pStyle w:val="Tabletextcentred"/>
              <w:rPr>
                <w:b/>
                <w:lang w:eastAsia="en-AU"/>
              </w:rPr>
            </w:pPr>
            <w:r w:rsidRPr="00493DD8">
              <w:rPr>
                <w:b/>
                <w:lang w:eastAsia="en-AU"/>
              </w:rPr>
              <w:t>100</w:t>
            </w:r>
          </w:p>
        </w:tc>
        <w:tc>
          <w:tcPr>
            <w:tcW w:w="1304" w:type="dxa"/>
            <w:tcBorders>
              <w:top w:val="nil"/>
              <w:left w:val="nil"/>
              <w:bottom w:val="single" w:sz="12" w:space="0" w:color="002C47" w:themeColor="accent1"/>
              <w:right w:val="nil"/>
            </w:tcBorders>
            <w:vAlign w:val="center"/>
          </w:tcPr>
          <w:p w14:paraId="16CFAFFA" w14:textId="610DB1B0" w:rsidR="00744B0B" w:rsidRPr="00493DD8" w:rsidRDefault="00744B0B" w:rsidP="00744B0B">
            <w:pPr>
              <w:pStyle w:val="Tabletextcentred"/>
              <w:rPr>
                <w:b/>
                <w:lang w:eastAsia="en-AU"/>
              </w:rPr>
            </w:pPr>
            <w:r w:rsidRPr="00493DD8">
              <w:rPr>
                <w:b/>
                <w:lang w:eastAsia="en-AU"/>
              </w:rPr>
              <w:t>3,307.0</w:t>
            </w:r>
          </w:p>
        </w:tc>
        <w:tc>
          <w:tcPr>
            <w:tcW w:w="964" w:type="dxa"/>
            <w:tcBorders>
              <w:top w:val="nil"/>
              <w:left w:val="nil"/>
              <w:bottom w:val="single" w:sz="12" w:space="0" w:color="002C47" w:themeColor="accent1"/>
              <w:right w:val="nil"/>
            </w:tcBorders>
            <w:vAlign w:val="center"/>
          </w:tcPr>
          <w:p w14:paraId="292F0FA1" w14:textId="585C07CA" w:rsidR="00744B0B" w:rsidRPr="00493DD8" w:rsidRDefault="00744B0B" w:rsidP="00744B0B">
            <w:pPr>
              <w:pStyle w:val="Tabletextcentred"/>
              <w:rPr>
                <w:b/>
                <w:lang w:eastAsia="en-AU"/>
              </w:rPr>
            </w:pPr>
            <w:r w:rsidRPr="00493DD8">
              <w:rPr>
                <w:b/>
                <w:lang w:eastAsia="en-AU"/>
              </w:rPr>
              <w:t>100</w:t>
            </w:r>
          </w:p>
        </w:tc>
      </w:tr>
    </w:tbl>
    <w:p w14:paraId="0D55F9B6" w14:textId="77777777" w:rsidR="000C0D45" w:rsidRDefault="00D21027" w:rsidP="00744B0B">
      <w:pPr>
        <w:pStyle w:val="FiguretableNote"/>
        <w:rPr>
          <w:rFonts w:cstheme="minorHAnsi"/>
        </w:rPr>
      </w:pPr>
      <w:r w:rsidRPr="00493DD8">
        <w:rPr>
          <w:rFonts w:cstheme="minorHAnsi"/>
        </w:rPr>
        <w:t>Note</w:t>
      </w:r>
      <w:r w:rsidR="00550803" w:rsidRPr="00493DD8">
        <w:rPr>
          <w:rFonts w:cstheme="minorHAnsi"/>
        </w:rPr>
        <w:t>s</w:t>
      </w:r>
      <w:r w:rsidRPr="00493DD8">
        <w:rPr>
          <w:rFonts w:cstheme="minorHAnsi"/>
        </w:rPr>
        <w:t>:</w:t>
      </w:r>
    </w:p>
    <w:p w14:paraId="44577899" w14:textId="77777777" w:rsidR="000C0D45" w:rsidRDefault="00D21027" w:rsidP="00744B0B">
      <w:pPr>
        <w:pStyle w:val="FiguretableNote"/>
        <w:numPr>
          <w:ilvl w:val="0"/>
          <w:numId w:val="16"/>
        </w:numPr>
        <w:ind w:left="360"/>
      </w:pPr>
      <w:r w:rsidRPr="00493DD8">
        <w:t>These data are for accrued</w:t>
      </w:r>
      <w:r w:rsidR="00C01AE0" w:rsidRPr="00493DD8">
        <w:t xml:space="preserve"> (applications processed)</w:t>
      </w:r>
      <w:r w:rsidRPr="00493DD8">
        <w:t>, rather than actual, payments made in relation to the April</w:t>
      </w:r>
      <w:r w:rsidR="005B477B">
        <w:t> </w:t>
      </w:r>
      <w:r w:rsidR="008E1B97">
        <w:t>2020</w:t>
      </w:r>
      <w:r w:rsidR="00407415">
        <w:t xml:space="preserve"> </w:t>
      </w:r>
      <w:r w:rsidRPr="00493DD8">
        <w:t xml:space="preserve">JobKeeper fortnights. Therefore the totals exceed those in </w:t>
      </w:r>
      <w:r w:rsidR="00B24567" w:rsidRPr="00493DD8">
        <w:t xml:space="preserve">Tables </w:t>
      </w:r>
      <w:r w:rsidR="00C01AE0" w:rsidRPr="00493DD8">
        <w:t>A</w:t>
      </w:r>
      <w:r w:rsidR="00B24567" w:rsidRPr="00493DD8">
        <w:t xml:space="preserve">1 and </w:t>
      </w:r>
      <w:r w:rsidR="00C01AE0" w:rsidRPr="00493DD8">
        <w:t>A</w:t>
      </w:r>
      <w:r w:rsidR="00B24567" w:rsidRPr="00493DD8">
        <w:t>2.</w:t>
      </w:r>
      <w:r w:rsidR="009F1A85" w:rsidRPr="00493DD8">
        <w:t xml:space="preserve"> The data are </w:t>
      </w:r>
      <w:r w:rsidR="004C1634" w:rsidRPr="00493DD8">
        <w:t xml:space="preserve">as at </w:t>
      </w:r>
      <w:r w:rsidR="003C2339" w:rsidRPr="00493DD8">
        <w:t>9</w:t>
      </w:r>
      <w:r w:rsidR="005B477B">
        <w:t> </w:t>
      </w:r>
      <w:r w:rsidR="004C1634" w:rsidRPr="00493DD8">
        <w:t>June</w:t>
      </w:r>
      <w:r w:rsidR="005B477B">
        <w:t> </w:t>
      </w:r>
      <w:r w:rsidR="004C1634" w:rsidRPr="00493DD8">
        <w:t xml:space="preserve">2020 and </w:t>
      </w:r>
      <w:r w:rsidR="009F1A85" w:rsidRPr="00493DD8">
        <w:t xml:space="preserve">subject to change. </w:t>
      </w:r>
      <w:r w:rsidR="004C1634" w:rsidRPr="00493DD8">
        <w:t xml:space="preserve">Differences may be due to rounding. </w:t>
      </w:r>
    </w:p>
    <w:p w14:paraId="3A4F25CC" w14:textId="77777777" w:rsidR="000C0D45" w:rsidRPr="000C0D45" w:rsidRDefault="00B90C8B" w:rsidP="00744B0B">
      <w:pPr>
        <w:pStyle w:val="FiguretableNote"/>
        <w:numPr>
          <w:ilvl w:val="0"/>
          <w:numId w:val="16"/>
        </w:numPr>
        <w:ind w:left="360"/>
      </w:pPr>
      <w:r w:rsidRPr="00493DD8">
        <w:t>Industry classifications are based on internal ATO data. The data are based on ATO administrative collections and care should be taken in comparing with ABS data series</w:t>
      </w:r>
      <w:r w:rsidR="00C43FE1" w:rsidRPr="00493DD8">
        <w:t xml:space="preserve"> due to differences in industry classification methodologies</w:t>
      </w:r>
      <w:r w:rsidRPr="00493DD8">
        <w:t xml:space="preserve">. </w:t>
      </w:r>
      <w:r w:rsidR="00C53B40" w:rsidRPr="000C0D45">
        <w:rPr>
          <w:rFonts w:cstheme="minorHAnsi"/>
        </w:rPr>
        <w:t xml:space="preserve">Industry data should be treated with caution. </w:t>
      </w:r>
    </w:p>
    <w:p w14:paraId="4DFD4690" w14:textId="03EBD902" w:rsidR="00C53B40" w:rsidRPr="000C0D45" w:rsidRDefault="00C53B40" w:rsidP="00012542">
      <w:pPr>
        <w:pStyle w:val="FiguretableNote"/>
        <w:numPr>
          <w:ilvl w:val="0"/>
          <w:numId w:val="16"/>
        </w:numPr>
        <w:ind w:left="360"/>
      </w:pPr>
      <w:r w:rsidRPr="00241ADE">
        <w:rPr>
          <w:rFonts w:cstheme="minorHAnsi"/>
        </w:rPr>
        <w:t xml:space="preserve">Differences in the coverage of organisations and individuals within and between industries may reflect a range of factors including: the distribution of business size and labour intensity within industries; the concentration of casual workers and temporary migrants; and other labour market features such the prevalence of contracting work and sole traders. Higher concentrations of casual work and temporary migrants in certain industries may also weigh on labour force coverage, reflecting eligibility requirements as well as the tendency of casuals to be stood down before other workers. </w:t>
      </w:r>
      <w:r w:rsidR="000C0D45" w:rsidRPr="00241ADE">
        <w:rPr>
          <w:rFonts w:cstheme="minorHAnsi"/>
        </w:rPr>
        <w:t xml:space="preserve">The </w:t>
      </w:r>
      <w:r w:rsidRPr="00241ADE">
        <w:rPr>
          <w:rFonts w:cstheme="minorHAnsi"/>
        </w:rPr>
        <w:t xml:space="preserve">JobKeeper </w:t>
      </w:r>
      <w:r w:rsidR="000C0D45" w:rsidRPr="00241ADE">
        <w:rPr>
          <w:rFonts w:cstheme="minorHAnsi"/>
        </w:rPr>
        <w:t xml:space="preserve">Payment </w:t>
      </w:r>
      <w:r w:rsidRPr="00241ADE">
        <w:rPr>
          <w:rFonts w:cstheme="minorHAnsi"/>
        </w:rPr>
        <w:t>can only be accessed through one job</w:t>
      </w:r>
      <w:r w:rsidR="00241ADE" w:rsidRPr="00241ADE">
        <w:rPr>
          <w:rFonts w:cstheme="minorHAnsi"/>
        </w:rPr>
        <w:t xml:space="preserve">, whereas some </w:t>
      </w:r>
      <w:r w:rsidRPr="00241ADE">
        <w:rPr>
          <w:rFonts w:cstheme="minorHAnsi"/>
        </w:rPr>
        <w:t xml:space="preserve">individuals </w:t>
      </w:r>
      <w:r w:rsidR="00241ADE" w:rsidRPr="00241ADE">
        <w:rPr>
          <w:rFonts w:cstheme="minorHAnsi"/>
        </w:rPr>
        <w:t xml:space="preserve">may hold </w:t>
      </w:r>
      <w:r w:rsidRPr="00241ADE">
        <w:rPr>
          <w:rFonts w:cstheme="minorHAnsi"/>
        </w:rPr>
        <w:t>multiple jobs in different industries.</w:t>
      </w:r>
    </w:p>
    <w:p w14:paraId="471FDAFD" w14:textId="25714F2D" w:rsidR="00DD00B4" w:rsidRPr="00F646EE" w:rsidRDefault="00DD00B4" w:rsidP="00744B0B">
      <w:pPr>
        <w:pStyle w:val="FiguretableNote"/>
      </w:pPr>
      <w:r w:rsidRPr="00493DD8">
        <w:t>Source: ATO administrative data</w:t>
      </w:r>
    </w:p>
    <w:p w14:paraId="419A1332" w14:textId="18E8F1E5" w:rsidR="00DD00B4" w:rsidRDefault="007B4E4B" w:rsidP="0009096A">
      <w:pPr>
        <w:rPr>
          <w:b/>
        </w:rPr>
      </w:pPr>
      <w:r>
        <w:rPr>
          <w:b/>
        </w:rPr>
        <w:br w:type="page"/>
      </w:r>
    </w:p>
    <w:p w14:paraId="51E9E942" w14:textId="0184B814" w:rsidR="00F3083C" w:rsidRDefault="00F3083C" w:rsidP="009B6E0C">
      <w:pPr>
        <w:pStyle w:val="Heading1"/>
      </w:pPr>
      <w:bookmarkStart w:id="1298" w:name="_Toc43294099"/>
      <w:bookmarkStart w:id="1299" w:name="_Toc43302297"/>
      <w:bookmarkStart w:id="1300" w:name="_Toc43303736"/>
      <w:bookmarkStart w:id="1301" w:name="_Toc43305348"/>
      <w:bookmarkStart w:id="1302" w:name="_Toc43306319"/>
      <w:bookmarkStart w:id="1303" w:name="_Toc43309527"/>
      <w:bookmarkStart w:id="1304" w:name="_Toc43802513"/>
      <w:bookmarkStart w:id="1305" w:name="_Toc43809361"/>
      <w:bookmarkStart w:id="1306" w:name="_Toc43815626"/>
      <w:bookmarkStart w:id="1307" w:name="_Toc43817559"/>
      <w:bookmarkStart w:id="1308" w:name="_Toc43825330"/>
      <w:bookmarkStart w:id="1309" w:name="_Toc43825436"/>
      <w:bookmarkStart w:id="1310" w:name="_Toc43825529"/>
      <w:bookmarkStart w:id="1311" w:name="_Toc43996267"/>
      <w:bookmarkStart w:id="1312" w:name="_Toc43998526"/>
      <w:bookmarkStart w:id="1313" w:name="_Toc43998453"/>
      <w:bookmarkStart w:id="1314" w:name="_Toc44069971"/>
      <w:bookmarkStart w:id="1315" w:name="_Toc44071375"/>
      <w:bookmarkStart w:id="1316" w:name="_Toc44073499"/>
      <w:bookmarkStart w:id="1317" w:name="_Toc44074639"/>
      <w:bookmarkStart w:id="1318" w:name="_Toc44079824"/>
      <w:bookmarkStart w:id="1319" w:name="_Toc44079959"/>
      <w:bookmarkStart w:id="1320" w:name="_Toc44319870"/>
      <w:bookmarkStart w:id="1321" w:name="_Toc44321578"/>
      <w:bookmarkStart w:id="1322" w:name="_Toc44323745"/>
      <w:bookmarkStart w:id="1323" w:name="_Toc44326208"/>
      <w:bookmarkStart w:id="1324" w:name="_Toc44330530"/>
      <w:bookmarkStart w:id="1325" w:name="_Toc44330772"/>
      <w:bookmarkStart w:id="1326" w:name="_Toc44333204"/>
      <w:bookmarkStart w:id="1327" w:name="_Toc44334835"/>
      <w:bookmarkStart w:id="1328" w:name="_Toc45227454"/>
      <w:bookmarkStart w:id="1329" w:name="_Toc45799055"/>
      <w:r>
        <w:lastRenderedPageBreak/>
        <w:t>Attachment B: Data sources used in the review</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665B15B1" w14:textId="77777777" w:rsidR="00CB0C68" w:rsidRPr="00493DD8" w:rsidRDefault="00CB0C68" w:rsidP="00CB0C68">
      <w:pPr>
        <w:pStyle w:val="Tableheading"/>
      </w:pPr>
      <w:bookmarkStart w:id="1330" w:name="_Toc43733868"/>
      <w:bookmarkStart w:id="1331" w:name="_Toc43734771"/>
      <w:bookmarkStart w:id="1332" w:name="_Toc43738751"/>
      <w:bookmarkStart w:id="1333" w:name="_Toc43743063"/>
      <w:bookmarkStart w:id="1334" w:name="_Toc43996238"/>
      <w:bookmarkStart w:id="1335" w:name="_Toc43998497"/>
      <w:bookmarkStart w:id="1336" w:name="_Toc43998424"/>
      <w:bookmarkStart w:id="1337" w:name="_Toc44069946"/>
      <w:bookmarkStart w:id="1338" w:name="_Toc44071350"/>
      <w:bookmarkStart w:id="1339" w:name="_Toc44073474"/>
      <w:bookmarkStart w:id="1340" w:name="_Toc44074614"/>
      <w:bookmarkStart w:id="1341" w:name="_Toc44079503"/>
      <w:bookmarkStart w:id="1342" w:name="_Toc44079798"/>
      <w:bookmarkStart w:id="1343" w:name="_Toc44079933"/>
      <w:bookmarkStart w:id="1344" w:name="_Toc44319844"/>
      <w:bookmarkStart w:id="1345" w:name="_Toc44321552"/>
      <w:bookmarkStart w:id="1346" w:name="_Toc44323719"/>
      <w:bookmarkStart w:id="1347" w:name="_Toc44326182"/>
      <w:bookmarkStart w:id="1348" w:name="_Toc44330504"/>
      <w:bookmarkStart w:id="1349" w:name="_Toc44330746"/>
      <w:bookmarkStart w:id="1350" w:name="_Toc44333178"/>
      <w:bookmarkStart w:id="1351" w:name="_Toc44334809"/>
      <w:bookmarkStart w:id="1352" w:name="_Toc45227455"/>
      <w:bookmarkStart w:id="1353" w:name="_Toc45799056"/>
      <w:r w:rsidRPr="00493DD8">
        <w:t>Table B1: Data sources used in the review</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tbl>
      <w:tblPr>
        <w:tblStyle w:val="Style1"/>
        <w:tblW w:w="5000" w:type="pct"/>
        <w:tblCellMar>
          <w:top w:w="113" w:type="dxa"/>
          <w:bottom w:w="113" w:type="dxa"/>
        </w:tblCellMar>
        <w:tblLook w:val="04A0" w:firstRow="1" w:lastRow="0" w:firstColumn="1" w:lastColumn="0" w:noHBand="0" w:noVBand="1"/>
      </w:tblPr>
      <w:tblGrid>
        <w:gridCol w:w="1904"/>
        <w:gridCol w:w="2037"/>
        <w:gridCol w:w="1780"/>
        <w:gridCol w:w="2926"/>
      </w:tblGrid>
      <w:tr w:rsidR="00CB0C68" w:rsidRPr="00F76CA6" w14:paraId="5BB59DE7" w14:textId="77777777" w:rsidTr="009F135E">
        <w:trPr>
          <w:cnfStyle w:val="100000000000" w:firstRow="1" w:lastRow="0" w:firstColumn="0" w:lastColumn="0" w:oddVBand="0" w:evenVBand="0" w:oddHBand="0" w:evenHBand="0" w:firstRowFirstColumn="0" w:firstRowLastColumn="0" w:lastRowFirstColumn="0" w:lastRowLastColumn="0"/>
          <w:cantSplit/>
          <w:tblHeader/>
        </w:trPr>
        <w:tc>
          <w:tcPr>
            <w:tcW w:w="1101" w:type="pct"/>
            <w:tcBorders>
              <w:top w:val="single" w:sz="12" w:space="0" w:color="002C47" w:themeColor="accent1"/>
              <w:bottom w:val="single" w:sz="4" w:space="0" w:color="002C47" w:themeColor="accent1"/>
            </w:tcBorders>
            <w:vAlign w:val="center"/>
          </w:tcPr>
          <w:p w14:paraId="4F5C1944" w14:textId="77777777" w:rsidR="00CB0C68" w:rsidRPr="00F76CA6" w:rsidRDefault="00CB0C68" w:rsidP="009F135E">
            <w:pPr>
              <w:pStyle w:val="Tablecolumnheadingleft"/>
            </w:pPr>
            <w:r w:rsidRPr="00F76CA6">
              <w:t>Data source</w:t>
            </w:r>
          </w:p>
        </w:tc>
        <w:tc>
          <w:tcPr>
            <w:tcW w:w="1178" w:type="pct"/>
            <w:tcBorders>
              <w:top w:val="single" w:sz="12" w:space="0" w:color="002C47" w:themeColor="accent1"/>
              <w:bottom w:val="single" w:sz="4" w:space="0" w:color="002C47" w:themeColor="accent1"/>
            </w:tcBorders>
            <w:vAlign w:val="center"/>
          </w:tcPr>
          <w:p w14:paraId="1B422A1C" w14:textId="77777777" w:rsidR="00CB0C68" w:rsidRPr="00F76CA6" w:rsidRDefault="00CB0C68" w:rsidP="009F135E">
            <w:pPr>
              <w:pStyle w:val="Tablecolumnheadingleft"/>
            </w:pPr>
            <w:r w:rsidRPr="00F76CA6">
              <w:t>Population</w:t>
            </w:r>
          </w:p>
        </w:tc>
        <w:tc>
          <w:tcPr>
            <w:tcW w:w="1029" w:type="pct"/>
            <w:tcBorders>
              <w:top w:val="single" w:sz="12" w:space="0" w:color="002C47" w:themeColor="accent1"/>
              <w:bottom w:val="single" w:sz="4" w:space="0" w:color="002C47" w:themeColor="accent1"/>
            </w:tcBorders>
            <w:vAlign w:val="center"/>
          </w:tcPr>
          <w:p w14:paraId="545636EF" w14:textId="77777777" w:rsidR="00CB0C68" w:rsidRPr="00F76CA6" w:rsidRDefault="00CB0C68" w:rsidP="009F135E">
            <w:pPr>
              <w:pStyle w:val="Tablecolumnheadingleft"/>
            </w:pPr>
            <w:r w:rsidRPr="00F76CA6">
              <w:t>Reference period(s)</w:t>
            </w:r>
          </w:p>
        </w:tc>
        <w:tc>
          <w:tcPr>
            <w:tcW w:w="1692" w:type="pct"/>
            <w:tcBorders>
              <w:top w:val="single" w:sz="12" w:space="0" w:color="002C47" w:themeColor="accent1"/>
              <w:bottom w:val="single" w:sz="4" w:space="0" w:color="002C47" w:themeColor="accent1"/>
            </w:tcBorders>
            <w:vAlign w:val="center"/>
          </w:tcPr>
          <w:p w14:paraId="0A864299" w14:textId="77777777" w:rsidR="00CB0C68" w:rsidRPr="00F76CA6" w:rsidRDefault="00CB0C68" w:rsidP="009F135E">
            <w:pPr>
              <w:pStyle w:val="Tablecolumnheadingleft"/>
            </w:pPr>
            <w:r w:rsidRPr="00F76CA6">
              <w:t>Type of information captured</w:t>
            </w:r>
          </w:p>
        </w:tc>
      </w:tr>
      <w:tr w:rsidR="00CB0C68" w:rsidRPr="00636EEB" w14:paraId="204A2F33" w14:textId="77777777" w:rsidTr="009F135E">
        <w:trPr>
          <w:cantSplit/>
        </w:trPr>
        <w:tc>
          <w:tcPr>
            <w:tcW w:w="1101" w:type="pct"/>
            <w:tcBorders>
              <w:top w:val="single" w:sz="4" w:space="0" w:color="002C47" w:themeColor="accent1"/>
            </w:tcBorders>
          </w:tcPr>
          <w:p w14:paraId="61779B34" w14:textId="77777777" w:rsidR="00CB0C68" w:rsidRPr="00493DD8" w:rsidRDefault="00CB0C68" w:rsidP="009F135E">
            <w:pPr>
              <w:pStyle w:val="Tabletextleft"/>
            </w:pPr>
            <w:r w:rsidRPr="00493DD8">
              <w:t>ABS Business Indicators, Business Impacts of COVID</w:t>
            </w:r>
            <w:r>
              <w:noBreakHyphen/>
            </w:r>
            <w:r w:rsidRPr="00493DD8">
              <w:t>19</w:t>
            </w:r>
          </w:p>
          <w:p w14:paraId="448A167F" w14:textId="77777777" w:rsidR="00CB0C68" w:rsidRPr="00493DD8" w:rsidRDefault="00CB0C68" w:rsidP="009F135E">
            <w:pPr>
              <w:pStyle w:val="Tabletextleft"/>
            </w:pPr>
            <w:r w:rsidRPr="00493DD8">
              <w:t>(Cat. No. 5676.0.55.003)</w:t>
            </w:r>
          </w:p>
        </w:tc>
        <w:tc>
          <w:tcPr>
            <w:tcW w:w="1178" w:type="pct"/>
            <w:tcBorders>
              <w:top w:val="single" w:sz="4" w:space="0" w:color="002C47" w:themeColor="accent1"/>
            </w:tcBorders>
          </w:tcPr>
          <w:p w14:paraId="008DE29A" w14:textId="77777777" w:rsidR="00CB0C68" w:rsidRPr="00493DD8" w:rsidRDefault="00CB0C68" w:rsidP="009F135E">
            <w:pPr>
              <w:pStyle w:val="Tabletextleft"/>
            </w:pPr>
            <w:r w:rsidRPr="00493DD8">
              <w:t>Private sector business units</w:t>
            </w:r>
          </w:p>
        </w:tc>
        <w:tc>
          <w:tcPr>
            <w:tcW w:w="1029" w:type="pct"/>
            <w:tcBorders>
              <w:top w:val="single" w:sz="4" w:space="0" w:color="002C47" w:themeColor="accent1"/>
            </w:tcBorders>
          </w:tcPr>
          <w:p w14:paraId="5E3AE6F7" w14:textId="77777777" w:rsidR="00CB0C68" w:rsidRPr="00493DD8" w:rsidRDefault="00CB0C68" w:rsidP="009F135E">
            <w:pPr>
              <w:pStyle w:val="Tabletextleft"/>
            </w:pPr>
            <w:r w:rsidRPr="00493DD8">
              <w:t>Survey cycles conducted:</w:t>
            </w:r>
          </w:p>
          <w:p w14:paraId="14BB7457" w14:textId="77777777" w:rsidR="00CB0C68" w:rsidRPr="00493DD8" w:rsidRDefault="00CB0C68" w:rsidP="009F135E">
            <w:pPr>
              <w:pStyle w:val="Tabletextleft"/>
            </w:pPr>
            <w:r w:rsidRPr="00493DD8">
              <w:t>16</w:t>
            </w:r>
            <w:r>
              <w:t xml:space="preserve"> — </w:t>
            </w:r>
            <w:r w:rsidRPr="00493DD8">
              <w:t>23 Mar 2020</w:t>
            </w:r>
          </w:p>
          <w:p w14:paraId="766AEE0A" w14:textId="77777777" w:rsidR="00CB0C68" w:rsidRPr="00493DD8" w:rsidRDefault="00CB0C68" w:rsidP="009F135E">
            <w:pPr>
              <w:pStyle w:val="Tabletextleft"/>
            </w:pPr>
            <w:r w:rsidRPr="00493DD8">
              <w:t>30 Mar</w:t>
            </w:r>
            <w:r>
              <w:t xml:space="preserve"> — </w:t>
            </w:r>
            <w:r w:rsidRPr="00493DD8">
              <w:t>3 Apr 2020</w:t>
            </w:r>
          </w:p>
          <w:p w14:paraId="7F3AFDED" w14:textId="77777777" w:rsidR="00CB0C68" w:rsidRPr="00493DD8" w:rsidRDefault="00CB0C68" w:rsidP="009F135E">
            <w:pPr>
              <w:pStyle w:val="Tabletextleft"/>
            </w:pPr>
            <w:r w:rsidRPr="00493DD8">
              <w:t>22</w:t>
            </w:r>
            <w:r>
              <w:t xml:space="preserve"> — </w:t>
            </w:r>
            <w:r w:rsidRPr="00493DD8">
              <w:t>28 Apr 2020</w:t>
            </w:r>
          </w:p>
          <w:p w14:paraId="152C5686" w14:textId="77777777" w:rsidR="00CB0C68" w:rsidRPr="00493DD8" w:rsidRDefault="00CB0C68" w:rsidP="009F135E">
            <w:pPr>
              <w:pStyle w:val="Tabletextleft"/>
            </w:pPr>
            <w:r w:rsidRPr="00493DD8">
              <w:t>13</w:t>
            </w:r>
            <w:r>
              <w:t xml:space="preserve"> — </w:t>
            </w:r>
            <w:r w:rsidRPr="00493DD8">
              <w:t>22 May 2020</w:t>
            </w:r>
          </w:p>
          <w:p w14:paraId="61001C08" w14:textId="77777777" w:rsidR="00CB0C68" w:rsidRPr="00493DD8" w:rsidRDefault="00CB0C68" w:rsidP="009F135E">
            <w:pPr>
              <w:pStyle w:val="Tabletextleft"/>
            </w:pPr>
            <w:r w:rsidRPr="00493DD8">
              <w:t>10</w:t>
            </w:r>
            <w:r>
              <w:t xml:space="preserve"> — </w:t>
            </w:r>
            <w:r w:rsidRPr="00493DD8">
              <w:t>17 Jun 2020</w:t>
            </w:r>
          </w:p>
        </w:tc>
        <w:tc>
          <w:tcPr>
            <w:tcW w:w="1692" w:type="pct"/>
            <w:tcBorders>
              <w:top w:val="single" w:sz="4" w:space="0" w:color="002C47" w:themeColor="accent1"/>
            </w:tcBorders>
          </w:tcPr>
          <w:p w14:paraId="5C405870" w14:textId="77777777" w:rsidR="00CB0C68" w:rsidRPr="00493DD8" w:rsidRDefault="00CB0C68" w:rsidP="009F135E">
            <w:pPr>
              <w:pStyle w:val="Tabletextleft"/>
            </w:pPr>
            <w:r w:rsidRPr="00493DD8">
              <w:t>Survey on the impacts due to COVID</w:t>
            </w:r>
            <w:r>
              <w:noBreakHyphen/>
            </w:r>
            <w:r w:rsidRPr="00493DD8">
              <w:t>19 experienced by businesses operating in Australia. Information collected changes for each survey cycle, but includes topics such as:</w:t>
            </w:r>
          </w:p>
          <w:p w14:paraId="2B8DB25B" w14:textId="77777777" w:rsidR="00CB0C68" w:rsidRPr="00493DD8" w:rsidRDefault="00CB0C68" w:rsidP="009F135E">
            <w:pPr>
              <w:pStyle w:val="Tabletextbullets"/>
            </w:pPr>
            <w:bookmarkStart w:id="1354" w:name="tempbookmark"/>
            <w:r>
              <w:t>o</w:t>
            </w:r>
            <w:r w:rsidRPr="00493DD8">
              <w:t>perating conditions of businesses</w:t>
            </w:r>
          </w:p>
          <w:p w14:paraId="76001596" w14:textId="77777777" w:rsidR="00CB0C68" w:rsidRPr="00493DD8" w:rsidRDefault="00CB0C68" w:rsidP="009F135E">
            <w:pPr>
              <w:pStyle w:val="Tabletextbullets"/>
            </w:pPr>
            <w:r>
              <w:t>c</w:t>
            </w:r>
            <w:r w:rsidRPr="00493DD8">
              <w:t>hanges in revenue</w:t>
            </w:r>
          </w:p>
          <w:p w14:paraId="7C491519" w14:textId="77777777" w:rsidR="00CB0C68" w:rsidRPr="00493DD8" w:rsidRDefault="00CB0C68" w:rsidP="009F135E">
            <w:pPr>
              <w:pStyle w:val="Tabletextbullets"/>
            </w:pPr>
            <w:r>
              <w:t>b</w:t>
            </w:r>
            <w:r w:rsidRPr="00493DD8">
              <w:t>usiness response to the JobKeeper Payment</w:t>
            </w:r>
          </w:p>
          <w:p w14:paraId="1ABB58CB" w14:textId="77777777" w:rsidR="00CB0C68" w:rsidRPr="00493DD8" w:rsidRDefault="00CB0C68" w:rsidP="009F135E">
            <w:pPr>
              <w:pStyle w:val="Tabletextbullets"/>
            </w:pPr>
            <w:r>
              <w:t>a</w:t>
            </w:r>
            <w:r w:rsidRPr="00493DD8">
              <w:t>dverse business impacts due to COVID</w:t>
            </w:r>
            <w:r>
              <w:noBreakHyphen/>
            </w:r>
            <w:bookmarkEnd w:id="1354"/>
            <w:r w:rsidRPr="00493DD8">
              <w:t>1</w:t>
            </w:r>
            <w:r>
              <w:t>9</w:t>
            </w:r>
          </w:p>
        </w:tc>
      </w:tr>
      <w:tr w:rsidR="00CB0C68" w:rsidRPr="00636EEB" w14:paraId="6C92F2D5" w14:textId="77777777" w:rsidTr="009F135E">
        <w:trPr>
          <w:cnfStyle w:val="000000010000" w:firstRow="0" w:lastRow="0" w:firstColumn="0" w:lastColumn="0" w:oddVBand="0" w:evenVBand="0" w:oddHBand="0" w:evenHBand="1" w:firstRowFirstColumn="0" w:firstRowLastColumn="0" w:lastRowFirstColumn="0" w:lastRowLastColumn="0"/>
          <w:cantSplit/>
        </w:trPr>
        <w:tc>
          <w:tcPr>
            <w:tcW w:w="1101" w:type="pct"/>
          </w:tcPr>
          <w:p w14:paraId="59018DFE" w14:textId="77777777" w:rsidR="00CB0C68" w:rsidRPr="00493DD8" w:rsidRDefault="00CB0C68" w:rsidP="009F135E">
            <w:pPr>
              <w:pStyle w:val="Tabletextleft"/>
            </w:pPr>
            <w:r w:rsidRPr="00493DD8">
              <w:t>ABS Employee Earnings and Hours, Australia, May 2018 (Cat. No. 6306.0)</w:t>
            </w:r>
          </w:p>
        </w:tc>
        <w:tc>
          <w:tcPr>
            <w:tcW w:w="1178" w:type="pct"/>
          </w:tcPr>
          <w:p w14:paraId="2BB13AA4" w14:textId="77777777" w:rsidR="00CB0C68" w:rsidRPr="00493DD8" w:rsidRDefault="00CB0C68" w:rsidP="009F135E">
            <w:pPr>
              <w:pStyle w:val="Tabletextleft"/>
            </w:pPr>
            <w:r w:rsidRPr="00493DD8">
              <w:t>All employing organisations in Australia (public and private sectors), except members of the Australian permanent defence forces; enterprises primarily engaged in agriculture, forestry and fishing; private households employing staff; and foreign embassies, consulates, etc.</w:t>
            </w:r>
          </w:p>
        </w:tc>
        <w:tc>
          <w:tcPr>
            <w:tcW w:w="1029" w:type="pct"/>
          </w:tcPr>
          <w:p w14:paraId="49237899" w14:textId="77777777" w:rsidR="00CB0C68" w:rsidRPr="00493DD8" w:rsidRDefault="00CB0C68" w:rsidP="009F135E">
            <w:pPr>
              <w:pStyle w:val="Tabletextleft"/>
            </w:pPr>
            <w:r w:rsidRPr="00493DD8">
              <w:t>The last pay period on or before 18</w:t>
            </w:r>
            <w:r>
              <w:t> </w:t>
            </w:r>
            <w:r w:rsidRPr="00493DD8">
              <w:t>May</w:t>
            </w:r>
            <w:r>
              <w:t> </w:t>
            </w:r>
            <w:r w:rsidRPr="00493DD8">
              <w:t>2018</w:t>
            </w:r>
          </w:p>
        </w:tc>
        <w:tc>
          <w:tcPr>
            <w:tcW w:w="1692" w:type="pct"/>
          </w:tcPr>
          <w:p w14:paraId="70D6694F" w14:textId="77777777" w:rsidR="00CB0C68" w:rsidRPr="00493DD8" w:rsidRDefault="00CB0C68" w:rsidP="009F135E">
            <w:pPr>
              <w:pStyle w:val="Tabletextleft"/>
            </w:pPr>
            <w:r w:rsidRPr="00493DD8">
              <w:t>Estimates relating to numbers of employees and average earnings, including distribution of earnings.</w:t>
            </w:r>
          </w:p>
        </w:tc>
      </w:tr>
      <w:tr w:rsidR="00CB0C68" w:rsidRPr="00636EEB" w14:paraId="72F1C5A1" w14:textId="77777777" w:rsidTr="009F135E">
        <w:trPr>
          <w:cantSplit/>
        </w:trPr>
        <w:tc>
          <w:tcPr>
            <w:tcW w:w="1101" w:type="pct"/>
          </w:tcPr>
          <w:p w14:paraId="5C7ACE63" w14:textId="77777777" w:rsidR="00CB0C68" w:rsidRPr="00493DD8" w:rsidRDefault="00CB0C68" w:rsidP="009F135E">
            <w:pPr>
              <w:pStyle w:val="Tabletextleft"/>
            </w:pPr>
            <w:r w:rsidRPr="00493DD8">
              <w:t>ABS Household Impacts of COVID</w:t>
            </w:r>
            <w:r>
              <w:noBreakHyphen/>
            </w:r>
            <w:r w:rsidRPr="00493DD8">
              <w:t>19 Survey (Cat.</w:t>
            </w:r>
            <w:r>
              <w:t> </w:t>
            </w:r>
            <w:r w:rsidRPr="00493DD8">
              <w:t>No.</w:t>
            </w:r>
            <w:r>
              <w:t> </w:t>
            </w:r>
            <w:r w:rsidRPr="00493DD8">
              <w:t>4940.0)</w:t>
            </w:r>
          </w:p>
        </w:tc>
        <w:tc>
          <w:tcPr>
            <w:tcW w:w="1178" w:type="pct"/>
          </w:tcPr>
          <w:p w14:paraId="6E4C934A" w14:textId="77777777" w:rsidR="00CB0C68" w:rsidRDefault="00CB0C68" w:rsidP="009F135E">
            <w:pPr>
              <w:pStyle w:val="Tabletextleft"/>
            </w:pPr>
            <w:r w:rsidRPr="00493DD8">
              <w:t>Survey of private dwelling households</w:t>
            </w:r>
            <w:r>
              <w:t>.</w:t>
            </w:r>
          </w:p>
          <w:p w14:paraId="0ABB6A3C" w14:textId="77777777" w:rsidR="00CB0C68" w:rsidRPr="00493DD8" w:rsidRDefault="00CB0C68" w:rsidP="009F135E">
            <w:pPr>
              <w:pStyle w:val="Tabletextleft"/>
            </w:pPr>
          </w:p>
          <w:p w14:paraId="52E72616" w14:textId="77777777" w:rsidR="00CB0C68" w:rsidRPr="00493DD8" w:rsidRDefault="00CB0C68" w:rsidP="009F135E">
            <w:pPr>
              <w:pStyle w:val="Tabletextleft"/>
            </w:pPr>
            <w:r w:rsidRPr="00493DD8">
              <w:t>Longitudinal panel surveys based on sample of approximately 1,000 dwellings.</w:t>
            </w:r>
          </w:p>
        </w:tc>
        <w:tc>
          <w:tcPr>
            <w:tcW w:w="1029" w:type="pct"/>
          </w:tcPr>
          <w:p w14:paraId="08ACECDE" w14:textId="77777777" w:rsidR="00CB0C68" w:rsidRPr="00493DD8" w:rsidRDefault="00CB0C68" w:rsidP="009F135E">
            <w:pPr>
              <w:pStyle w:val="Tabletextleft"/>
            </w:pPr>
            <w:r w:rsidRPr="00493DD8">
              <w:t>Survey cycles:</w:t>
            </w:r>
          </w:p>
          <w:p w14:paraId="6D07B013" w14:textId="77777777" w:rsidR="00CB0C68" w:rsidRPr="00493DD8" w:rsidRDefault="00CB0C68" w:rsidP="009F135E">
            <w:pPr>
              <w:pStyle w:val="Tabletextbullets"/>
            </w:pPr>
            <w:r w:rsidRPr="00493DD8">
              <w:t>1</w:t>
            </w:r>
            <w:r>
              <w:t xml:space="preserve"> — </w:t>
            </w:r>
            <w:r w:rsidRPr="00493DD8">
              <w:t xml:space="preserve">6 Apr 2020 </w:t>
            </w:r>
          </w:p>
          <w:p w14:paraId="5AFAC847" w14:textId="77777777" w:rsidR="00CB0C68" w:rsidRPr="00493DD8" w:rsidRDefault="00CB0C68" w:rsidP="009F135E">
            <w:pPr>
              <w:pStyle w:val="Tabletextbullets"/>
            </w:pPr>
            <w:r w:rsidRPr="00493DD8">
              <w:t>14</w:t>
            </w:r>
            <w:r>
              <w:t xml:space="preserve"> — </w:t>
            </w:r>
            <w:r w:rsidRPr="00493DD8">
              <w:t>17 Apr 2020</w:t>
            </w:r>
          </w:p>
          <w:p w14:paraId="61E243E7" w14:textId="77777777" w:rsidR="00CB0C68" w:rsidRPr="00493DD8" w:rsidRDefault="00CB0C68" w:rsidP="009F135E">
            <w:pPr>
              <w:pStyle w:val="Tabletextbullets"/>
            </w:pPr>
            <w:r w:rsidRPr="00493DD8">
              <w:t>29 Apr</w:t>
            </w:r>
            <w:r>
              <w:t xml:space="preserve"> — </w:t>
            </w:r>
            <w:r w:rsidRPr="00493DD8">
              <w:t>4 May 2020</w:t>
            </w:r>
          </w:p>
          <w:p w14:paraId="4053D547" w14:textId="77777777" w:rsidR="00CB0C68" w:rsidRPr="00493DD8" w:rsidRDefault="00CB0C68" w:rsidP="009F135E">
            <w:pPr>
              <w:pStyle w:val="Tabletextbullets"/>
            </w:pPr>
            <w:r w:rsidRPr="00493DD8">
              <w:t>12</w:t>
            </w:r>
            <w:r>
              <w:t xml:space="preserve"> — </w:t>
            </w:r>
            <w:r w:rsidRPr="00493DD8">
              <w:t>15 May 2020</w:t>
            </w:r>
          </w:p>
          <w:p w14:paraId="6B29CEE5" w14:textId="77777777" w:rsidR="00CB0C68" w:rsidRDefault="00CB0C68" w:rsidP="009F135E">
            <w:pPr>
              <w:pStyle w:val="Tabletextbullets"/>
            </w:pPr>
            <w:r w:rsidRPr="00493DD8">
              <w:t>26</w:t>
            </w:r>
            <w:r>
              <w:t xml:space="preserve"> — </w:t>
            </w:r>
            <w:r w:rsidRPr="00493DD8">
              <w:t>29 May 2020</w:t>
            </w:r>
          </w:p>
          <w:p w14:paraId="3DF319AF" w14:textId="77777777" w:rsidR="00CB0C68" w:rsidRPr="00493DD8" w:rsidRDefault="00CB0C68" w:rsidP="009F135E">
            <w:pPr>
              <w:pStyle w:val="Tabletextbullets"/>
            </w:pPr>
            <w:r>
              <w:t>10 — 15 June 2020</w:t>
            </w:r>
          </w:p>
        </w:tc>
        <w:tc>
          <w:tcPr>
            <w:tcW w:w="1692" w:type="pct"/>
          </w:tcPr>
          <w:p w14:paraId="322D1708" w14:textId="77777777" w:rsidR="00CB0C68" w:rsidRPr="00493DD8" w:rsidRDefault="00CB0C68" w:rsidP="009F135E">
            <w:pPr>
              <w:pStyle w:val="Tabletextleft"/>
            </w:pPr>
            <w:r w:rsidRPr="00493DD8">
              <w:t>Survey on how households are faring in response to COVID</w:t>
            </w:r>
            <w:r>
              <w:noBreakHyphen/>
            </w:r>
            <w:r w:rsidRPr="00493DD8">
              <w:t xml:space="preserve">19. Information collected changes for each survey cycle, but each cycle includes information on </w:t>
            </w:r>
            <w:r>
              <w:t>j</w:t>
            </w:r>
            <w:r w:rsidRPr="00493DD8">
              <w:t>ob status i.e. whether has a job, whether working paid hours</w:t>
            </w:r>
            <w:r>
              <w:t>.</w:t>
            </w:r>
          </w:p>
          <w:p w14:paraId="06D95A30" w14:textId="77777777" w:rsidR="00CB0C68" w:rsidRPr="00493DD8" w:rsidRDefault="00CB0C68" w:rsidP="009F135E">
            <w:pPr>
              <w:pStyle w:val="Tabletextleft"/>
            </w:pPr>
            <w:r w:rsidRPr="00493DD8">
              <w:t>Examples of other topics covered in various modules include:</w:t>
            </w:r>
          </w:p>
          <w:p w14:paraId="5B659377" w14:textId="77777777" w:rsidR="00CB0C68" w:rsidRPr="00493DD8" w:rsidRDefault="00CB0C68" w:rsidP="009F135E">
            <w:pPr>
              <w:pStyle w:val="Tabletextbullets"/>
            </w:pPr>
            <w:r>
              <w:t>e</w:t>
            </w:r>
            <w:r w:rsidRPr="00493DD8">
              <w:t>ligibility for JobKeeper and other support benefits</w:t>
            </w:r>
          </w:p>
          <w:p w14:paraId="62D726A0" w14:textId="77777777" w:rsidR="00CB0C68" w:rsidRPr="00493DD8" w:rsidRDefault="00CB0C68" w:rsidP="009F135E">
            <w:pPr>
              <w:pStyle w:val="Tabletextbullets"/>
            </w:pPr>
            <w:r>
              <w:t>f</w:t>
            </w:r>
            <w:r w:rsidRPr="00493DD8">
              <w:t>inancial stress</w:t>
            </w:r>
          </w:p>
        </w:tc>
      </w:tr>
      <w:tr w:rsidR="00CB0C68" w:rsidRPr="00636EEB" w14:paraId="6CBCED18" w14:textId="77777777" w:rsidTr="009F135E">
        <w:trPr>
          <w:cnfStyle w:val="000000010000" w:firstRow="0" w:lastRow="0" w:firstColumn="0" w:lastColumn="0" w:oddVBand="0" w:evenVBand="0" w:oddHBand="0" w:evenHBand="1" w:firstRowFirstColumn="0" w:firstRowLastColumn="0" w:lastRowFirstColumn="0" w:lastRowLastColumn="0"/>
          <w:cantSplit/>
        </w:trPr>
        <w:tc>
          <w:tcPr>
            <w:tcW w:w="1101" w:type="pct"/>
          </w:tcPr>
          <w:p w14:paraId="403794D8" w14:textId="77777777" w:rsidR="00CB0C68" w:rsidRDefault="00CB0C68" w:rsidP="009F135E">
            <w:pPr>
              <w:pStyle w:val="Tabletextleft"/>
              <w:rPr>
                <w:lang w:val="en"/>
              </w:rPr>
            </w:pPr>
            <w:r w:rsidRPr="00493DD8">
              <w:rPr>
                <w:lang w:val="en"/>
              </w:rPr>
              <w:lastRenderedPageBreak/>
              <w:t>ABS Labour Force, Australia</w:t>
            </w:r>
            <w:r w:rsidRPr="00493DD8">
              <w:rPr>
                <w:i/>
                <w:lang w:val="en"/>
              </w:rPr>
              <w:t xml:space="preserve"> </w:t>
            </w:r>
            <w:r w:rsidRPr="00493DD8">
              <w:rPr>
                <w:lang w:val="en"/>
              </w:rPr>
              <w:t>(Cat.</w:t>
            </w:r>
            <w:r>
              <w:rPr>
                <w:lang w:val="en"/>
              </w:rPr>
              <w:t> </w:t>
            </w:r>
            <w:r w:rsidRPr="00493DD8">
              <w:rPr>
                <w:lang w:val="en"/>
              </w:rPr>
              <w:t>No.</w:t>
            </w:r>
            <w:r>
              <w:rPr>
                <w:lang w:val="en"/>
              </w:rPr>
              <w:t> </w:t>
            </w:r>
            <w:r w:rsidRPr="00493DD8">
              <w:rPr>
                <w:lang w:val="en"/>
              </w:rPr>
              <w:t>6202.0)</w:t>
            </w:r>
          </w:p>
          <w:p w14:paraId="2F55F6EA" w14:textId="77777777" w:rsidR="00CB0C68" w:rsidRPr="00493DD8" w:rsidRDefault="00CB0C68" w:rsidP="009F135E">
            <w:pPr>
              <w:pStyle w:val="Tabletextleft"/>
              <w:rPr>
                <w:lang w:val="en"/>
              </w:rPr>
            </w:pPr>
          </w:p>
          <w:p w14:paraId="0FEE3DB0" w14:textId="77777777" w:rsidR="00CB0C68" w:rsidRDefault="00CB0C68" w:rsidP="009F135E">
            <w:pPr>
              <w:pStyle w:val="Tabletextleft"/>
            </w:pPr>
            <w:r>
              <w:t>with:</w:t>
            </w:r>
          </w:p>
          <w:p w14:paraId="41C131C6" w14:textId="77777777" w:rsidR="00CB0C68" w:rsidRPr="00493DD8" w:rsidRDefault="00CB0C68" w:rsidP="009F135E">
            <w:pPr>
              <w:pStyle w:val="Tabletextleft"/>
            </w:pPr>
          </w:p>
          <w:p w14:paraId="2B9F528C" w14:textId="77777777" w:rsidR="00CB0C68" w:rsidRPr="00493DD8" w:rsidRDefault="00CB0C68" w:rsidP="009F135E">
            <w:pPr>
              <w:pStyle w:val="Tabletextleft"/>
            </w:pPr>
            <w:r w:rsidRPr="00493DD8">
              <w:t>ABS Labour Force, Australia, Detailed, Quarterly, May 2020 (Cat. No. 6291.0.55.003)</w:t>
            </w:r>
          </w:p>
          <w:p w14:paraId="1A2E81A1" w14:textId="77777777" w:rsidR="00CB0C68" w:rsidRPr="00493DD8" w:rsidRDefault="00CB0C68" w:rsidP="009F135E">
            <w:pPr>
              <w:pStyle w:val="Tabletextleft"/>
            </w:pPr>
          </w:p>
          <w:p w14:paraId="052FBCE2" w14:textId="77777777" w:rsidR="00CB0C68" w:rsidRPr="00493DD8" w:rsidRDefault="00CB0C68" w:rsidP="009F135E">
            <w:pPr>
              <w:pStyle w:val="Tabletextleft"/>
            </w:pPr>
            <w:r w:rsidRPr="00493DD8">
              <w:t xml:space="preserve">ABS Labour Force, Australia, Detailed </w:t>
            </w:r>
            <w:r>
              <w:t>—</w:t>
            </w:r>
            <w:r w:rsidRPr="00493DD8">
              <w:t xml:space="preserve"> Electronic Delivery </w:t>
            </w:r>
            <w:r>
              <w:t>—</w:t>
            </w:r>
            <w:r w:rsidRPr="00493DD8">
              <w:t xml:space="preserve"> May 2020 (Cat. No</w:t>
            </w:r>
            <w:r>
              <w:t>.</w:t>
            </w:r>
            <w:r w:rsidRPr="00493DD8">
              <w:t xml:space="preserve"> 6291.0.55.001)</w:t>
            </w:r>
          </w:p>
        </w:tc>
        <w:tc>
          <w:tcPr>
            <w:tcW w:w="1178" w:type="pct"/>
          </w:tcPr>
          <w:p w14:paraId="136DD0D8" w14:textId="77777777" w:rsidR="00CB0C68" w:rsidRPr="00493DD8" w:rsidRDefault="00CB0C68" w:rsidP="009F135E">
            <w:pPr>
              <w:pStyle w:val="Tabletextleft"/>
            </w:pPr>
            <w:r w:rsidRPr="00493DD8">
              <w:t>Civilian labour force</w:t>
            </w:r>
            <w:r>
              <w:t xml:space="preserve"> — </w:t>
            </w:r>
            <w:r w:rsidRPr="00493DD8">
              <w:t>all people aged 15 years and over except members of the permanent defence forces, certain diplomatic personnel of overseas governments customarily excluded from census and estimated population counts, overseas residents in Australia, and members of non</w:t>
            </w:r>
            <w:r>
              <w:noBreakHyphen/>
            </w:r>
            <w:r w:rsidRPr="00493DD8">
              <w:t>Australian defence forces (and their dependants) stationed in Australia.</w:t>
            </w:r>
          </w:p>
        </w:tc>
        <w:tc>
          <w:tcPr>
            <w:tcW w:w="1029" w:type="pct"/>
          </w:tcPr>
          <w:p w14:paraId="76F19E6B" w14:textId="77777777" w:rsidR="00CB0C68" w:rsidRPr="00493DD8" w:rsidRDefault="00CB0C68" w:rsidP="009F135E">
            <w:pPr>
              <w:pStyle w:val="Tabletextleft"/>
            </w:pPr>
            <w:r w:rsidRPr="00493DD8">
              <w:t>May 2020 (first half of month)</w:t>
            </w:r>
          </w:p>
        </w:tc>
        <w:tc>
          <w:tcPr>
            <w:tcW w:w="1692" w:type="pct"/>
          </w:tcPr>
          <w:p w14:paraId="2E5778AA" w14:textId="77777777" w:rsidR="00CB0C68" w:rsidRPr="00493DD8" w:rsidRDefault="00CB0C68" w:rsidP="009F135E">
            <w:pPr>
              <w:pStyle w:val="Tabletextleft"/>
            </w:pPr>
            <w:r w:rsidRPr="00493DD8">
              <w:t xml:space="preserve">Levels, changes and trends in employment, unemployment, labour force participation, persons not in labour force, monthly hours worked, by characteristics such as: </w:t>
            </w:r>
            <w:r>
              <w:t>age, gender,</w:t>
            </w:r>
            <w:r w:rsidRPr="00493DD8">
              <w:t xml:space="preserve"> </w:t>
            </w:r>
            <w:r>
              <w:t>industry, sector, s</w:t>
            </w:r>
            <w:r w:rsidRPr="00493DD8">
              <w:t>tate/territory and region</w:t>
            </w:r>
          </w:p>
        </w:tc>
      </w:tr>
      <w:tr w:rsidR="00CB0C68" w:rsidRPr="00636EEB" w14:paraId="6EDA482E" w14:textId="77777777" w:rsidTr="009F135E">
        <w:trPr>
          <w:cantSplit/>
        </w:trPr>
        <w:tc>
          <w:tcPr>
            <w:tcW w:w="1101" w:type="pct"/>
          </w:tcPr>
          <w:p w14:paraId="26E09BAB" w14:textId="77777777" w:rsidR="00CB0C68" w:rsidRPr="00493DD8" w:rsidRDefault="00CB0C68" w:rsidP="009F135E">
            <w:pPr>
              <w:pStyle w:val="Tabletextleft"/>
              <w:rPr>
                <w:lang w:val="en"/>
              </w:rPr>
            </w:pPr>
            <w:r w:rsidRPr="00493DD8">
              <w:t xml:space="preserve">ABS </w:t>
            </w:r>
            <w:r w:rsidRPr="00493DD8">
              <w:rPr>
                <w:lang w:val="en"/>
              </w:rPr>
              <w:t>Weekly Payroll Jobs and Wages in Australia (Cat. No. 6160.0.55.001)</w:t>
            </w:r>
          </w:p>
        </w:tc>
        <w:tc>
          <w:tcPr>
            <w:tcW w:w="1178" w:type="pct"/>
          </w:tcPr>
          <w:p w14:paraId="11C0C2F8" w14:textId="77777777" w:rsidR="00CB0C68" w:rsidRPr="00493DD8" w:rsidRDefault="00CB0C68" w:rsidP="009F135E">
            <w:pPr>
              <w:pStyle w:val="Tabletextleft"/>
            </w:pPr>
            <w:r w:rsidRPr="00493DD8">
              <w:t>All employee jobs reported to the ATO by businesses with STP</w:t>
            </w:r>
            <w:r>
              <w:noBreakHyphen/>
            </w:r>
            <w:r w:rsidRPr="00493DD8">
              <w:t>enabled payroll or accounting software</w:t>
            </w:r>
          </w:p>
        </w:tc>
        <w:tc>
          <w:tcPr>
            <w:tcW w:w="1029" w:type="pct"/>
          </w:tcPr>
          <w:p w14:paraId="2B046163" w14:textId="77777777" w:rsidR="00CB0C68" w:rsidRPr="00493DD8" w:rsidRDefault="00CB0C68" w:rsidP="009F135E">
            <w:pPr>
              <w:pStyle w:val="Tabletextleft"/>
            </w:pPr>
            <w:r w:rsidRPr="00493DD8">
              <w:t>Weekly estimates from week ending 14</w:t>
            </w:r>
            <w:r>
              <w:t> </w:t>
            </w:r>
            <w:r w:rsidRPr="00493DD8">
              <w:t xml:space="preserve">March </w:t>
            </w:r>
            <w:r>
              <w:t xml:space="preserve">2020 </w:t>
            </w:r>
            <w:r w:rsidRPr="00493DD8">
              <w:t>(first publication) to week ending 30 May 2020 (most recent publication)</w:t>
            </w:r>
          </w:p>
        </w:tc>
        <w:tc>
          <w:tcPr>
            <w:tcW w:w="1692" w:type="pct"/>
          </w:tcPr>
          <w:p w14:paraId="6218DCC4" w14:textId="77777777" w:rsidR="00CB0C68" w:rsidRPr="00493DD8" w:rsidRDefault="00CB0C68" w:rsidP="009F135E">
            <w:pPr>
              <w:pStyle w:val="Tabletextleft"/>
            </w:pPr>
            <w:r w:rsidRPr="00493DD8">
              <w:t xml:space="preserve">Changes in payroll jobs, changes in total wages paid, and changes in average weekly wages per job, by characteristics such as: </w:t>
            </w:r>
            <w:r>
              <w:t>age, gender, industry, s</w:t>
            </w:r>
            <w:r w:rsidRPr="00493DD8">
              <w:t>tate/territory and region</w:t>
            </w:r>
          </w:p>
        </w:tc>
      </w:tr>
      <w:tr w:rsidR="00CB0C68" w:rsidRPr="000474E8" w14:paraId="079617AF" w14:textId="77777777" w:rsidTr="009F135E">
        <w:trPr>
          <w:cnfStyle w:val="000000010000" w:firstRow="0" w:lastRow="0" w:firstColumn="0" w:lastColumn="0" w:oddVBand="0" w:evenVBand="0" w:oddHBand="0" w:evenHBand="1" w:firstRowFirstColumn="0" w:firstRowLastColumn="0" w:lastRowFirstColumn="0" w:lastRowLastColumn="0"/>
          <w:cantSplit/>
        </w:trPr>
        <w:tc>
          <w:tcPr>
            <w:tcW w:w="1101" w:type="pct"/>
          </w:tcPr>
          <w:p w14:paraId="47100C04" w14:textId="77777777" w:rsidR="00CB0C68" w:rsidRPr="00493DD8" w:rsidRDefault="00CB0C68" w:rsidP="009F135E">
            <w:pPr>
              <w:pStyle w:val="Tabletextleft"/>
            </w:pPr>
            <w:r w:rsidRPr="00493DD8">
              <w:t xml:space="preserve">Applications data for JobKeeper for April and May fortnights, linked to </w:t>
            </w:r>
            <w:r>
              <w:t xml:space="preserve">STP </w:t>
            </w:r>
            <w:r w:rsidRPr="00493DD8">
              <w:t xml:space="preserve">data (for employees) and past business tax data </w:t>
            </w:r>
          </w:p>
        </w:tc>
        <w:tc>
          <w:tcPr>
            <w:tcW w:w="1178" w:type="pct"/>
          </w:tcPr>
          <w:p w14:paraId="4DA9C04E" w14:textId="77777777" w:rsidR="00CB0C68" w:rsidRPr="00493DD8" w:rsidRDefault="00CB0C68" w:rsidP="009F135E">
            <w:pPr>
              <w:pStyle w:val="Tabletextleft"/>
            </w:pPr>
            <w:r w:rsidRPr="00493DD8">
              <w:t xml:space="preserve">Employees in businesses reporting through </w:t>
            </w:r>
            <w:r>
              <w:t xml:space="preserve">STP </w:t>
            </w:r>
          </w:p>
          <w:p w14:paraId="04435BC9" w14:textId="77777777" w:rsidR="00CB0C68" w:rsidRPr="00493DD8" w:rsidRDefault="00CB0C68" w:rsidP="009F135E">
            <w:pPr>
              <w:pStyle w:val="Tabletextleft"/>
            </w:pPr>
          </w:p>
        </w:tc>
        <w:tc>
          <w:tcPr>
            <w:tcW w:w="1029" w:type="pct"/>
          </w:tcPr>
          <w:p w14:paraId="2724F3A1" w14:textId="77777777" w:rsidR="00CB0C68" w:rsidRPr="00493DD8" w:rsidRDefault="00CB0C68" w:rsidP="009F135E">
            <w:pPr>
              <w:pStyle w:val="Tabletextleft"/>
            </w:pPr>
            <w:r w:rsidRPr="00493DD8">
              <w:t>Fortnights ending 16</w:t>
            </w:r>
            <w:r>
              <w:t> </w:t>
            </w:r>
            <w:r w:rsidRPr="00493DD8">
              <w:t xml:space="preserve">February </w:t>
            </w:r>
            <w:r>
              <w:t xml:space="preserve">2020 </w:t>
            </w:r>
            <w:r w:rsidRPr="00493DD8">
              <w:t>through to 24 May 2020</w:t>
            </w:r>
          </w:p>
        </w:tc>
        <w:tc>
          <w:tcPr>
            <w:tcW w:w="1692" w:type="pct"/>
          </w:tcPr>
          <w:p w14:paraId="4FA33783" w14:textId="77777777" w:rsidR="00CB0C68" w:rsidRPr="00493DD8" w:rsidRDefault="00CB0C68" w:rsidP="009F135E">
            <w:pPr>
              <w:pStyle w:val="Tabletextleft"/>
            </w:pPr>
            <w:r w:rsidRPr="00493DD8">
              <w:t>Trends in paid jobs, hires and separations by JobKeeper recipient and nomination status of employer and employee respectively.</w:t>
            </w:r>
          </w:p>
          <w:p w14:paraId="43957621" w14:textId="77777777" w:rsidR="00CB0C68" w:rsidRPr="00493DD8" w:rsidRDefault="00CB0C68" w:rsidP="009F135E">
            <w:pPr>
              <w:pStyle w:val="Tabletextleft"/>
            </w:pPr>
          </w:p>
          <w:p w14:paraId="57E1AC26" w14:textId="77777777" w:rsidR="00CB0C68" w:rsidRPr="00493DD8" w:rsidRDefault="00CB0C68" w:rsidP="009F135E">
            <w:pPr>
              <w:pStyle w:val="Tabletextleft"/>
            </w:pPr>
            <w:r w:rsidRPr="00493DD8">
              <w:t>Trends in and changes in earnings, with and without JobKeeper.</w:t>
            </w:r>
          </w:p>
        </w:tc>
      </w:tr>
      <w:tr w:rsidR="00CB0C68" w14:paraId="2D8022D0" w14:textId="77777777" w:rsidTr="009F135E">
        <w:trPr>
          <w:cantSplit/>
        </w:trPr>
        <w:tc>
          <w:tcPr>
            <w:tcW w:w="1101" w:type="pct"/>
          </w:tcPr>
          <w:p w14:paraId="24173AF1" w14:textId="77777777" w:rsidR="00CB0C68" w:rsidRPr="00493DD8" w:rsidRDefault="00CB0C68" w:rsidP="009F135E">
            <w:pPr>
              <w:pStyle w:val="Tabletextleft"/>
            </w:pPr>
            <w:r w:rsidRPr="00493DD8">
              <w:t xml:space="preserve">JobKeeper Payment program data </w:t>
            </w:r>
            <w:r>
              <w:t>—</w:t>
            </w:r>
            <w:r w:rsidRPr="00493DD8">
              <w:t xml:space="preserve"> organisations</w:t>
            </w:r>
          </w:p>
        </w:tc>
        <w:tc>
          <w:tcPr>
            <w:tcW w:w="1178" w:type="pct"/>
          </w:tcPr>
          <w:p w14:paraId="2A3CE307" w14:textId="77777777" w:rsidR="00CB0C68" w:rsidRPr="00493DD8" w:rsidRDefault="00CB0C68" w:rsidP="009F135E">
            <w:pPr>
              <w:pStyle w:val="Tabletextleft"/>
            </w:pPr>
            <w:r w:rsidRPr="00493DD8">
              <w:t xml:space="preserve">Organisations participating in JobKeeper </w:t>
            </w:r>
            <w:r>
              <w:t>p</w:t>
            </w:r>
            <w:r w:rsidRPr="00493DD8">
              <w:t>rogram (ATO data)</w:t>
            </w:r>
          </w:p>
        </w:tc>
        <w:tc>
          <w:tcPr>
            <w:tcW w:w="1029" w:type="pct"/>
          </w:tcPr>
          <w:p w14:paraId="7CDE5536" w14:textId="77777777" w:rsidR="00CB0C68" w:rsidRPr="00493DD8" w:rsidRDefault="00CB0C68" w:rsidP="009F135E">
            <w:pPr>
              <w:pStyle w:val="Tabletextleft"/>
            </w:pPr>
            <w:r w:rsidRPr="00493DD8">
              <w:t xml:space="preserve">As at 9 June 2020 (for </w:t>
            </w:r>
            <w:r>
              <w:t>JobK</w:t>
            </w:r>
            <w:r w:rsidRPr="00493DD8">
              <w:t>eeper payments in April and/or May)</w:t>
            </w:r>
          </w:p>
        </w:tc>
        <w:tc>
          <w:tcPr>
            <w:tcW w:w="1692" w:type="pct"/>
          </w:tcPr>
          <w:p w14:paraId="7877F85E" w14:textId="77777777" w:rsidR="00CB0C68" w:rsidRPr="00493DD8" w:rsidRDefault="00CB0C68" w:rsidP="009F135E">
            <w:pPr>
              <w:pStyle w:val="Tabletextleft"/>
            </w:pPr>
            <w:r w:rsidRPr="00493DD8">
              <w:t xml:space="preserve">Number of eligible organisations that have processed applications, by characteristics such as: </w:t>
            </w:r>
            <w:r>
              <w:t>business size, business type and industry</w:t>
            </w:r>
          </w:p>
        </w:tc>
      </w:tr>
      <w:tr w:rsidR="00CB0C68" w14:paraId="73598E19" w14:textId="77777777" w:rsidTr="009F135E">
        <w:trPr>
          <w:cnfStyle w:val="000000010000" w:firstRow="0" w:lastRow="0" w:firstColumn="0" w:lastColumn="0" w:oddVBand="0" w:evenVBand="0" w:oddHBand="0" w:evenHBand="1" w:firstRowFirstColumn="0" w:firstRowLastColumn="0" w:lastRowFirstColumn="0" w:lastRowLastColumn="0"/>
          <w:cantSplit/>
        </w:trPr>
        <w:tc>
          <w:tcPr>
            <w:tcW w:w="1101" w:type="pct"/>
            <w:tcBorders>
              <w:bottom w:val="single" w:sz="12" w:space="0" w:color="002C47" w:themeColor="accent1"/>
            </w:tcBorders>
          </w:tcPr>
          <w:p w14:paraId="27C4585C" w14:textId="77777777" w:rsidR="00CB0C68" w:rsidRPr="00493DD8" w:rsidRDefault="00CB0C68" w:rsidP="009F135E">
            <w:pPr>
              <w:pStyle w:val="Tabletextleft"/>
            </w:pPr>
            <w:r w:rsidRPr="00493DD8">
              <w:t xml:space="preserve">JobKeeper Payment program data </w:t>
            </w:r>
            <w:r>
              <w:t>—</w:t>
            </w:r>
            <w:r w:rsidRPr="00493DD8">
              <w:t xml:space="preserve"> </w:t>
            </w:r>
            <w:r>
              <w:t>individual recipients</w:t>
            </w:r>
          </w:p>
        </w:tc>
        <w:tc>
          <w:tcPr>
            <w:tcW w:w="1178" w:type="pct"/>
            <w:tcBorders>
              <w:bottom w:val="single" w:sz="12" w:space="0" w:color="002C47" w:themeColor="accent1"/>
            </w:tcBorders>
          </w:tcPr>
          <w:p w14:paraId="327E903F" w14:textId="77777777" w:rsidR="00CB0C68" w:rsidRPr="00493DD8" w:rsidRDefault="00CB0C68" w:rsidP="009F135E">
            <w:pPr>
              <w:pStyle w:val="Tabletextleft"/>
            </w:pPr>
            <w:r>
              <w:t>Individual recipients</w:t>
            </w:r>
            <w:r w:rsidRPr="00493DD8">
              <w:t xml:space="preserve"> in </w:t>
            </w:r>
            <w:r>
              <w:t xml:space="preserve">the </w:t>
            </w:r>
            <w:r w:rsidRPr="00493DD8">
              <w:t xml:space="preserve">JobKeeper </w:t>
            </w:r>
            <w:r>
              <w:t>p</w:t>
            </w:r>
            <w:r w:rsidRPr="00493DD8">
              <w:t>rogram (ATO data)</w:t>
            </w:r>
          </w:p>
        </w:tc>
        <w:tc>
          <w:tcPr>
            <w:tcW w:w="1029" w:type="pct"/>
            <w:tcBorders>
              <w:bottom w:val="single" w:sz="12" w:space="0" w:color="002C47" w:themeColor="accent1"/>
            </w:tcBorders>
          </w:tcPr>
          <w:p w14:paraId="3C709E06" w14:textId="77777777" w:rsidR="00CB0C68" w:rsidRPr="00493DD8" w:rsidRDefault="00CB0C68" w:rsidP="009F135E">
            <w:pPr>
              <w:pStyle w:val="Tabletextleft"/>
            </w:pPr>
            <w:r w:rsidRPr="00493DD8">
              <w:t>As at 18 June 2020 (for JobKeeper payments in April)</w:t>
            </w:r>
          </w:p>
        </w:tc>
        <w:tc>
          <w:tcPr>
            <w:tcW w:w="1692" w:type="pct"/>
            <w:tcBorders>
              <w:bottom w:val="single" w:sz="12" w:space="0" w:color="002C47" w:themeColor="accent1"/>
            </w:tcBorders>
          </w:tcPr>
          <w:p w14:paraId="476B1D8D" w14:textId="77777777" w:rsidR="00CB0C68" w:rsidRPr="00493DD8" w:rsidRDefault="00CB0C68" w:rsidP="009F135E">
            <w:pPr>
              <w:pStyle w:val="Tabletextleft"/>
            </w:pPr>
            <w:r w:rsidRPr="00493DD8">
              <w:t xml:space="preserve">Approximate number of </w:t>
            </w:r>
            <w:r>
              <w:t xml:space="preserve">individuals </w:t>
            </w:r>
            <w:r w:rsidRPr="00493DD8">
              <w:t xml:space="preserve">that have received JobKeeper payments by percentage, by characteristics such as: </w:t>
            </w:r>
            <w:r>
              <w:t>age, gender and o</w:t>
            </w:r>
            <w:r w:rsidRPr="00493DD8">
              <w:t>ccupation</w:t>
            </w:r>
          </w:p>
        </w:tc>
      </w:tr>
    </w:tbl>
    <w:p w14:paraId="4DAD5A27" w14:textId="77777777" w:rsidR="00CB0C68" w:rsidRDefault="00CB0C68" w:rsidP="00CB0C68"/>
    <w:p w14:paraId="5B968891" w14:textId="77777777" w:rsidR="00CB0C68" w:rsidRPr="00CB0C68" w:rsidRDefault="00CB0C68" w:rsidP="00CB0C68"/>
    <w:p w14:paraId="77F5D716" w14:textId="54C55D2D" w:rsidR="0065726C" w:rsidRDefault="0065726C" w:rsidP="009B6E0C">
      <w:pPr>
        <w:pStyle w:val="Heading1"/>
      </w:pPr>
      <w:bookmarkStart w:id="1355" w:name="_Toc44079825"/>
      <w:bookmarkStart w:id="1356" w:name="_Toc44079960"/>
      <w:bookmarkStart w:id="1357" w:name="_Toc44319871"/>
      <w:bookmarkStart w:id="1358" w:name="_Toc44321579"/>
      <w:bookmarkStart w:id="1359" w:name="_Toc44323746"/>
      <w:bookmarkStart w:id="1360" w:name="_Toc44326209"/>
      <w:bookmarkStart w:id="1361" w:name="_Toc44330531"/>
      <w:bookmarkStart w:id="1362" w:name="_Toc44330773"/>
      <w:bookmarkStart w:id="1363" w:name="_Toc44333205"/>
      <w:bookmarkStart w:id="1364" w:name="_Toc44334836"/>
      <w:bookmarkStart w:id="1365" w:name="_Toc45227456"/>
      <w:bookmarkStart w:id="1366" w:name="_Toc45799057"/>
      <w:r>
        <w:lastRenderedPageBreak/>
        <w:t>Attachment C: Notes on analysis using microdata</w:t>
      </w:r>
      <w:bookmarkEnd w:id="1355"/>
      <w:bookmarkEnd w:id="1356"/>
      <w:bookmarkEnd w:id="1357"/>
      <w:bookmarkEnd w:id="1358"/>
      <w:bookmarkEnd w:id="1359"/>
      <w:bookmarkEnd w:id="1360"/>
      <w:bookmarkEnd w:id="1361"/>
      <w:bookmarkEnd w:id="1362"/>
      <w:bookmarkEnd w:id="1363"/>
      <w:bookmarkEnd w:id="1364"/>
      <w:bookmarkEnd w:id="1365"/>
      <w:bookmarkEnd w:id="1366"/>
    </w:p>
    <w:p w14:paraId="2D495630" w14:textId="2710B95B" w:rsidR="0065726C" w:rsidRPr="00493DD8" w:rsidRDefault="0065726C" w:rsidP="0065726C">
      <w:pPr>
        <w:rPr>
          <w:color w:val="000000" w:themeColor="text1"/>
        </w:rPr>
      </w:pPr>
      <w:r w:rsidRPr="00493DD8">
        <w:rPr>
          <w:color w:val="000000" w:themeColor="text1"/>
        </w:rPr>
        <w:t>This attachment describes the unit record tax data underlying some of the analysis presented in this review, including its coverage and some unavoidable limitations. All analysis draws on de</w:t>
      </w:r>
      <w:r w:rsidR="00DE2760">
        <w:rPr>
          <w:color w:val="000000" w:themeColor="text1"/>
        </w:rPr>
        <w:noBreakHyphen/>
      </w:r>
      <w:r w:rsidRPr="00493DD8">
        <w:rPr>
          <w:color w:val="000000" w:themeColor="text1"/>
        </w:rPr>
        <w:t xml:space="preserve">identified data on JobKeeper recipient </w:t>
      </w:r>
      <w:r w:rsidR="00407415">
        <w:rPr>
          <w:color w:val="000000" w:themeColor="text1"/>
        </w:rPr>
        <w:t xml:space="preserve">organisations </w:t>
      </w:r>
      <w:r w:rsidRPr="00493DD8">
        <w:rPr>
          <w:color w:val="000000" w:themeColor="text1"/>
        </w:rPr>
        <w:t xml:space="preserve">and </w:t>
      </w:r>
      <w:r w:rsidR="00407415">
        <w:rPr>
          <w:color w:val="000000" w:themeColor="text1"/>
        </w:rPr>
        <w:t>individuals,</w:t>
      </w:r>
      <w:r w:rsidRPr="00493DD8">
        <w:rPr>
          <w:color w:val="000000" w:themeColor="text1"/>
        </w:rPr>
        <w:t xml:space="preserve"> drawn from completed applications and provided to Treasury by the ATO on 12</w:t>
      </w:r>
      <w:r w:rsidR="00407415">
        <w:rPr>
          <w:color w:val="000000" w:themeColor="text1"/>
        </w:rPr>
        <w:t> </w:t>
      </w:r>
      <w:r w:rsidRPr="00493DD8">
        <w:rPr>
          <w:color w:val="000000" w:themeColor="text1"/>
        </w:rPr>
        <w:t>June</w:t>
      </w:r>
      <w:r w:rsidR="00407415">
        <w:rPr>
          <w:color w:val="000000" w:themeColor="text1"/>
        </w:rPr>
        <w:t> </w:t>
      </w:r>
      <w:r w:rsidRPr="00493DD8">
        <w:rPr>
          <w:color w:val="000000" w:themeColor="text1"/>
        </w:rPr>
        <w:t xml:space="preserve">2020. To analyse a variety of </w:t>
      </w:r>
      <w:r w:rsidR="00EA49D7">
        <w:rPr>
          <w:color w:val="000000" w:themeColor="text1"/>
        </w:rPr>
        <w:t>business</w:t>
      </w:r>
      <w:r w:rsidRPr="00493DD8">
        <w:rPr>
          <w:color w:val="000000" w:themeColor="text1"/>
        </w:rPr>
        <w:t xml:space="preserve"> and worker outcomes we also drew on other de</w:t>
      </w:r>
      <w:r w:rsidR="00DE2760">
        <w:rPr>
          <w:color w:val="000000" w:themeColor="text1"/>
        </w:rPr>
        <w:noBreakHyphen/>
      </w:r>
      <w:r w:rsidRPr="00493DD8">
        <w:rPr>
          <w:color w:val="000000" w:themeColor="text1"/>
        </w:rPr>
        <w:t>identified business microdata provided by the ATO, namely monthly BAS, STP and business characteristics data.</w:t>
      </w:r>
    </w:p>
    <w:p w14:paraId="717C3831" w14:textId="2CDFF5B5" w:rsidR="0065726C" w:rsidRDefault="00407415" w:rsidP="00127EEB">
      <w:pPr>
        <w:pStyle w:val="Heading2noTOC"/>
      </w:pPr>
      <w:bookmarkStart w:id="1367" w:name="_Toc44079826"/>
      <w:bookmarkStart w:id="1368" w:name="_Toc44079961"/>
      <w:bookmarkStart w:id="1369" w:name="_Toc44319872"/>
      <w:bookmarkStart w:id="1370" w:name="_Toc44321580"/>
      <w:bookmarkStart w:id="1371" w:name="_Toc44323747"/>
      <w:bookmarkStart w:id="1372" w:name="_Toc44326210"/>
      <w:bookmarkStart w:id="1373" w:name="_Toc44330532"/>
      <w:bookmarkStart w:id="1374" w:name="_Toc44330774"/>
      <w:bookmarkStart w:id="1375" w:name="_Toc44333206"/>
      <w:bookmarkStart w:id="1376" w:name="_Toc44334837"/>
      <w:bookmarkStart w:id="1377" w:name="_Toc44336941"/>
      <w:bookmarkStart w:id="1378" w:name="_Toc45227457"/>
      <w:bookmarkStart w:id="1379" w:name="_Toc45799058"/>
      <w:r>
        <w:t xml:space="preserve">Business </w:t>
      </w:r>
      <w:r w:rsidR="0065726C">
        <w:t>turnover declines and characteristics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458497F3" w14:textId="545F9FB9" w:rsidR="0065726C" w:rsidRPr="00493DD8" w:rsidRDefault="0065726C" w:rsidP="0065726C">
      <w:pPr>
        <w:rPr>
          <w:color w:val="000000" w:themeColor="text1"/>
        </w:rPr>
      </w:pPr>
      <w:r w:rsidRPr="00493DD8">
        <w:rPr>
          <w:color w:val="000000" w:themeColor="text1"/>
        </w:rPr>
        <w:t>Analysis of turnover draws on monthly BAS data. As a results it covers only a portion of Australia</w:t>
      </w:r>
      <w:r w:rsidR="00DE2760">
        <w:rPr>
          <w:color w:val="000000" w:themeColor="text1"/>
        </w:rPr>
        <w:t>’</w:t>
      </w:r>
      <w:r w:rsidRPr="00493DD8">
        <w:rPr>
          <w:color w:val="000000" w:themeColor="text1"/>
        </w:rPr>
        <w:t xml:space="preserve">s business population. The sample consists of around 63,000 </w:t>
      </w:r>
      <w:r w:rsidR="00105188">
        <w:rPr>
          <w:color w:val="000000" w:themeColor="text1"/>
        </w:rPr>
        <w:t>organisations</w:t>
      </w:r>
      <w:r w:rsidRPr="00493DD8">
        <w:rPr>
          <w:color w:val="000000" w:themeColor="text1"/>
        </w:rPr>
        <w:t xml:space="preserve"> (26,000</w:t>
      </w:r>
      <w:r w:rsidR="00340799">
        <w:rPr>
          <w:color w:val="000000" w:themeColor="text1"/>
        </w:rPr>
        <w:t> </w:t>
      </w:r>
      <w:r w:rsidR="003E48DD">
        <w:rPr>
          <w:color w:val="000000" w:themeColor="text1"/>
        </w:rPr>
        <w:t>r</w:t>
      </w:r>
      <w:r w:rsidRPr="00493DD8">
        <w:rPr>
          <w:color w:val="000000" w:themeColor="text1"/>
        </w:rPr>
        <w:t>ecipients and 37,000 non</w:t>
      </w:r>
      <w:r w:rsidR="00DE2760">
        <w:rPr>
          <w:color w:val="000000" w:themeColor="text1"/>
        </w:rPr>
        <w:noBreakHyphen/>
      </w:r>
      <w:r w:rsidRPr="00493DD8">
        <w:rPr>
          <w:color w:val="000000" w:themeColor="text1"/>
        </w:rPr>
        <w:t xml:space="preserve">recipients). </w:t>
      </w:r>
      <w:r w:rsidR="00105188">
        <w:rPr>
          <w:color w:val="000000" w:themeColor="text1"/>
        </w:rPr>
        <w:t>Businesses</w:t>
      </w:r>
      <w:r w:rsidRPr="00493DD8">
        <w:rPr>
          <w:color w:val="000000" w:themeColor="text1"/>
        </w:rPr>
        <w:t xml:space="preserve"> with turnover above $20</w:t>
      </w:r>
      <w:r w:rsidR="00105188">
        <w:rPr>
          <w:color w:val="000000" w:themeColor="text1"/>
        </w:rPr>
        <w:t> </w:t>
      </w:r>
      <w:r w:rsidRPr="00493DD8">
        <w:rPr>
          <w:color w:val="000000" w:themeColor="text1"/>
        </w:rPr>
        <w:t>m</w:t>
      </w:r>
      <w:r w:rsidR="00105188">
        <w:rPr>
          <w:color w:val="000000" w:themeColor="text1"/>
        </w:rPr>
        <w:t>illion</w:t>
      </w:r>
      <w:r w:rsidRPr="00493DD8">
        <w:rPr>
          <w:color w:val="000000" w:themeColor="text1"/>
        </w:rPr>
        <w:t xml:space="preserve"> are required to lodge BAS on a monthly basis. As such, the sample is likely to be biased towards larger </w:t>
      </w:r>
      <w:r w:rsidR="00105188">
        <w:rPr>
          <w:color w:val="000000" w:themeColor="text1"/>
        </w:rPr>
        <w:t>businesses</w:t>
      </w:r>
      <w:r w:rsidRPr="00493DD8">
        <w:rPr>
          <w:color w:val="000000" w:themeColor="text1"/>
        </w:rPr>
        <w:t xml:space="preserve">. The sample also unavoidably excludes late reporting </w:t>
      </w:r>
      <w:r w:rsidR="00105188">
        <w:rPr>
          <w:color w:val="000000" w:themeColor="text1"/>
        </w:rPr>
        <w:t>businesses</w:t>
      </w:r>
      <w:r w:rsidR="00F820D1">
        <w:rPr>
          <w:color w:val="000000" w:themeColor="text1"/>
        </w:rPr>
        <w:t xml:space="preserve"> a</w:t>
      </w:r>
      <w:r w:rsidRPr="00493DD8">
        <w:rPr>
          <w:color w:val="000000" w:themeColor="text1"/>
        </w:rPr>
        <w:t xml:space="preserve">nd new </w:t>
      </w:r>
      <w:r w:rsidR="00105188">
        <w:rPr>
          <w:color w:val="000000" w:themeColor="text1"/>
        </w:rPr>
        <w:t xml:space="preserve">businesses </w:t>
      </w:r>
      <w:r w:rsidRPr="00493DD8">
        <w:rPr>
          <w:color w:val="000000" w:themeColor="text1"/>
        </w:rPr>
        <w:t xml:space="preserve">with no sales in the previous year. </w:t>
      </w:r>
    </w:p>
    <w:p w14:paraId="0AC631B4" w14:textId="3216B766" w:rsidR="0065726C" w:rsidRPr="00493DD8" w:rsidRDefault="0065726C" w:rsidP="0065726C">
      <w:pPr>
        <w:rPr>
          <w:color w:val="000000" w:themeColor="text1"/>
        </w:rPr>
      </w:pPr>
      <w:r w:rsidRPr="00493DD8">
        <w:rPr>
          <w:color w:val="000000" w:themeColor="text1"/>
        </w:rPr>
        <w:t>The measure of</w:t>
      </w:r>
      <w:r w:rsidRPr="00493DD8" w:rsidDel="00AA34CE">
        <w:rPr>
          <w:color w:val="000000" w:themeColor="text1"/>
        </w:rPr>
        <w:t xml:space="preserve"> </w:t>
      </w:r>
      <w:r w:rsidR="00AA34CE" w:rsidRPr="00493DD8">
        <w:rPr>
          <w:color w:val="000000" w:themeColor="text1"/>
        </w:rPr>
        <w:t xml:space="preserve">turnover </w:t>
      </w:r>
      <w:r w:rsidRPr="00493DD8">
        <w:rPr>
          <w:color w:val="000000" w:themeColor="text1"/>
        </w:rPr>
        <w:t xml:space="preserve">used is total sales. While this should align reasonably well with the concept of turnover relevant for JobKeeper, it does have some unavoidable limitations. </w:t>
      </w:r>
      <w:r w:rsidR="00105188">
        <w:rPr>
          <w:color w:val="000000" w:themeColor="text1"/>
        </w:rPr>
        <w:t xml:space="preserve">Businesses </w:t>
      </w:r>
      <w:r w:rsidRPr="00493DD8">
        <w:rPr>
          <w:color w:val="000000" w:themeColor="text1"/>
        </w:rPr>
        <w:t xml:space="preserve">may choose whether or not to include GST in their sales figures. If </w:t>
      </w:r>
      <w:r w:rsidR="00105188">
        <w:rPr>
          <w:color w:val="000000" w:themeColor="text1"/>
        </w:rPr>
        <w:t xml:space="preserve">businesses </w:t>
      </w:r>
      <w:r w:rsidRPr="00493DD8">
        <w:rPr>
          <w:color w:val="000000" w:themeColor="text1"/>
        </w:rPr>
        <w:t>change the way they are reporting, this could affect measured growth rates. BAS measures of sales can also include sales of assets, which may also influence measured growth rates.</w:t>
      </w:r>
    </w:p>
    <w:p w14:paraId="706D737F" w14:textId="4A18055D" w:rsidR="0065726C" w:rsidRPr="00493DD8" w:rsidRDefault="0065726C" w:rsidP="0065726C">
      <w:pPr>
        <w:rPr>
          <w:color w:val="000000" w:themeColor="text1"/>
        </w:rPr>
      </w:pPr>
      <w:r w:rsidRPr="00493DD8">
        <w:rPr>
          <w:color w:val="000000" w:themeColor="text1"/>
        </w:rPr>
        <w:t xml:space="preserve">It is important to note that information on the growth rate of </w:t>
      </w:r>
      <w:r w:rsidR="00AA34CE" w:rsidRPr="00493DD8">
        <w:rPr>
          <w:color w:val="000000" w:themeColor="text1"/>
        </w:rPr>
        <w:t>turnover</w:t>
      </w:r>
      <w:r w:rsidRPr="00493DD8">
        <w:rPr>
          <w:color w:val="000000" w:themeColor="text1"/>
        </w:rPr>
        <w:t xml:space="preserve"> cannot be directly compared to nominal GDP growth, or other similar metrics reported on by the ABS. This reflects a number of factors including:</w:t>
      </w:r>
    </w:p>
    <w:p w14:paraId="31F4B650" w14:textId="670FC29C" w:rsidR="0065726C" w:rsidRPr="00493DD8" w:rsidRDefault="00BB11AE" w:rsidP="0065726C">
      <w:pPr>
        <w:pStyle w:val="Bullet"/>
        <w:numPr>
          <w:ilvl w:val="0"/>
          <w:numId w:val="15"/>
        </w:numPr>
        <w:rPr>
          <w:color w:val="000000" w:themeColor="text1"/>
        </w:rPr>
      </w:pPr>
      <w:r>
        <w:rPr>
          <w:color w:val="000000" w:themeColor="text1"/>
        </w:rPr>
        <w:t>n</w:t>
      </w:r>
      <w:r w:rsidR="0065726C" w:rsidRPr="00493DD8">
        <w:rPr>
          <w:color w:val="000000" w:themeColor="text1"/>
        </w:rPr>
        <w:t xml:space="preserve">o weighting is applied to the </w:t>
      </w:r>
      <w:r w:rsidR="00F820D1">
        <w:rPr>
          <w:color w:val="000000" w:themeColor="text1"/>
        </w:rPr>
        <w:t xml:space="preserve">business </w:t>
      </w:r>
      <w:r w:rsidR="0065726C" w:rsidRPr="00493DD8">
        <w:rPr>
          <w:color w:val="000000" w:themeColor="text1"/>
        </w:rPr>
        <w:t xml:space="preserve">level growth rates. In considering growth in aggregate turnover, larger </w:t>
      </w:r>
      <w:r w:rsidR="00105188">
        <w:rPr>
          <w:color w:val="000000" w:themeColor="text1"/>
        </w:rPr>
        <w:t>businesses</w:t>
      </w:r>
      <w:r w:rsidR="0065726C" w:rsidRPr="00493DD8">
        <w:rPr>
          <w:color w:val="000000" w:themeColor="text1"/>
        </w:rPr>
        <w:t xml:space="preserve"> receive a higher weight</w:t>
      </w:r>
    </w:p>
    <w:p w14:paraId="1402F98D" w14:textId="130EA164" w:rsidR="0065726C" w:rsidRPr="00493DD8" w:rsidRDefault="0065726C" w:rsidP="0065726C">
      <w:pPr>
        <w:pStyle w:val="Bullet"/>
        <w:numPr>
          <w:ilvl w:val="0"/>
          <w:numId w:val="15"/>
        </w:numPr>
        <w:rPr>
          <w:color w:val="000000" w:themeColor="text1"/>
        </w:rPr>
      </w:pPr>
      <w:r w:rsidRPr="00493DD8">
        <w:rPr>
          <w:color w:val="000000" w:themeColor="text1"/>
        </w:rPr>
        <w:t xml:space="preserve">growth rates only capture growth within </w:t>
      </w:r>
      <w:r w:rsidR="00F820D1">
        <w:rPr>
          <w:color w:val="000000" w:themeColor="text1"/>
        </w:rPr>
        <w:t>businesses</w:t>
      </w:r>
      <w:r w:rsidRPr="00493DD8">
        <w:rPr>
          <w:color w:val="000000" w:themeColor="text1"/>
        </w:rPr>
        <w:t xml:space="preserve">, and do not capture reallocation of resources between </w:t>
      </w:r>
      <w:r w:rsidR="00974C04">
        <w:rPr>
          <w:color w:val="000000" w:themeColor="text1"/>
        </w:rPr>
        <w:t>them</w:t>
      </w:r>
      <w:r w:rsidRPr="00493DD8">
        <w:rPr>
          <w:color w:val="000000" w:themeColor="text1"/>
        </w:rPr>
        <w:t>, which can add to GDP growth</w:t>
      </w:r>
    </w:p>
    <w:p w14:paraId="512C4B92" w14:textId="5A8F84DA" w:rsidR="0065726C" w:rsidRPr="00493DD8" w:rsidRDefault="0065726C" w:rsidP="0065726C">
      <w:pPr>
        <w:pStyle w:val="Bullet"/>
        <w:numPr>
          <w:ilvl w:val="0"/>
          <w:numId w:val="15"/>
        </w:numPr>
        <w:rPr>
          <w:color w:val="000000" w:themeColor="text1"/>
        </w:rPr>
      </w:pPr>
      <w:r w:rsidRPr="00493DD8">
        <w:rPr>
          <w:color w:val="000000" w:themeColor="text1"/>
        </w:rPr>
        <w:t>for some sectors, the definition of value</w:t>
      </w:r>
      <w:r w:rsidR="00DE2760">
        <w:rPr>
          <w:color w:val="000000" w:themeColor="text1"/>
        </w:rPr>
        <w:noBreakHyphen/>
      </w:r>
      <w:r w:rsidRPr="00493DD8">
        <w:rPr>
          <w:color w:val="000000" w:themeColor="text1"/>
        </w:rPr>
        <w:t>added and BAS sales do not align well.</w:t>
      </w:r>
      <w:r w:rsidRPr="00493DD8">
        <w:rPr>
          <w:rStyle w:val="FootnoteReference"/>
          <w:color w:val="000000" w:themeColor="text1"/>
        </w:rPr>
        <w:footnoteReference w:id="58"/>
      </w:r>
    </w:p>
    <w:p w14:paraId="2B5C0678" w14:textId="77777777" w:rsidR="0065726C" w:rsidRDefault="0065726C" w:rsidP="00127EEB">
      <w:pPr>
        <w:pStyle w:val="Heading2noTOC"/>
      </w:pPr>
      <w:bookmarkStart w:id="1380" w:name="_Toc44079827"/>
      <w:bookmarkStart w:id="1381" w:name="_Toc44079962"/>
      <w:bookmarkStart w:id="1382" w:name="_Toc44319873"/>
      <w:bookmarkStart w:id="1383" w:name="_Toc44321581"/>
      <w:bookmarkStart w:id="1384" w:name="_Toc44323748"/>
      <w:bookmarkStart w:id="1385" w:name="_Toc44326211"/>
      <w:bookmarkStart w:id="1386" w:name="_Toc44330533"/>
      <w:bookmarkStart w:id="1387" w:name="_Toc44330775"/>
      <w:bookmarkStart w:id="1388" w:name="_Toc44333207"/>
      <w:bookmarkStart w:id="1389" w:name="_Toc44334838"/>
      <w:bookmarkStart w:id="1390" w:name="_Toc44336942"/>
      <w:bookmarkStart w:id="1391" w:name="_Toc45227458"/>
      <w:bookmarkStart w:id="1392" w:name="_Toc45799059"/>
      <w:r>
        <w:t>Employment levels, flows and earnings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r>
        <w:t xml:space="preserve"> </w:t>
      </w:r>
    </w:p>
    <w:p w14:paraId="0470E8B0" w14:textId="4B1E7FC8" w:rsidR="0065726C" w:rsidRPr="00493DD8" w:rsidRDefault="0065726C" w:rsidP="0065726C">
      <w:pPr>
        <w:rPr>
          <w:color w:val="000000" w:themeColor="text1"/>
        </w:rPr>
      </w:pPr>
      <w:r w:rsidRPr="00493DD8">
        <w:rPr>
          <w:color w:val="000000" w:themeColor="text1"/>
        </w:rPr>
        <w:t>Analysis of employment levels, flows and earnings draws on de</w:t>
      </w:r>
      <w:r w:rsidR="00DE2760">
        <w:rPr>
          <w:color w:val="000000" w:themeColor="text1"/>
        </w:rPr>
        <w:noBreakHyphen/>
      </w:r>
      <w:r w:rsidRPr="00493DD8">
        <w:rPr>
          <w:color w:val="000000" w:themeColor="text1"/>
        </w:rPr>
        <w:t>identified STP data. STP data is a relatively new source of economic statistics, and is the basis of the ABS</w:t>
      </w:r>
      <w:r w:rsidRPr="00493DD8">
        <w:rPr>
          <w:i/>
          <w:color w:val="000000" w:themeColor="text1"/>
        </w:rPr>
        <w:t xml:space="preserve"> Weekly Payroll Jobs and Wages in Australia</w:t>
      </w:r>
      <w:r w:rsidRPr="00493DD8">
        <w:rPr>
          <w:color w:val="000000" w:themeColor="text1"/>
        </w:rPr>
        <w:t xml:space="preserve"> publication.</w:t>
      </w:r>
      <w:r w:rsidRPr="00493DD8">
        <w:rPr>
          <w:rStyle w:val="FootnoteReference"/>
          <w:color w:val="000000" w:themeColor="text1"/>
        </w:rPr>
        <w:footnoteReference w:id="59"/>
      </w:r>
      <w:r w:rsidRPr="00493DD8">
        <w:rPr>
          <w:color w:val="000000" w:themeColor="text1"/>
        </w:rPr>
        <w:t> While an invaluable source of high</w:t>
      </w:r>
      <w:r w:rsidR="00DE2760">
        <w:rPr>
          <w:color w:val="000000" w:themeColor="text1"/>
        </w:rPr>
        <w:noBreakHyphen/>
      </w:r>
      <w:r w:rsidRPr="00493DD8">
        <w:rPr>
          <w:color w:val="000000" w:themeColor="text1"/>
        </w:rPr>
        <w:t xml:space="preserve">frequency economic statistics, the STP data </w:t>
      </w:r>
      <w:r w:rsidR="00105188">
        <w:rPr>
          <w:color w:val="000000" w:themeColor="text1"/>
        </w:rPr>
        <w:t>are</w:t>
      </w:r>
      <w:r w:rsidRPr="00493DD8">
        <w:rPr>
          <w:color w:val="000000" w:themeColor="text1"/>
        </w:rPr>
        <w:t xml:space="preserve"> not without some unavoidable limitations, including potential </w:t>
      </w:r>
      <w:r w:rsidRPr="00493DD8">
        <w:rPr>
          <w:color w:val="000000" w:themeColor="text1"/>
        </w:rPr>
        <w:lastRenderedPageBreak/>
        <w:t xml:space="preserve">biases. For example, the STP data </w:t>
      </w:r>
      <w:r w:rsidR="00105188">
        <w:rPr>
          <w:color w:val="000000" w:themeColor="text1"/>
        </w:rPr>
        <w:t>are</w:t>
      </w:r>
      <w:r w:rsidRPr="00493DD8">
        <w:rPr>
          <w:color w:val="000000" w:themeColor="text1"/>
        </w:rPr>
        <w:t xml:space="preserve"> limited to employees and do not capture sole</w:t>
      </w:r>
      <w:r w:rsidR="00DE2760">
        <w:rPr>
          <w:color w:val="000000" w:themeColor="text1"/>
        </w:rPr>
        <w:noBreakHyphen/>
      </w:r>
      <w:r w:rsidRPr="00493DD8">
        <w:rPr>
          <w:color w:val="000000" w:themeColor="text1"/>
        </w:rPr>
        <w:t>traders. Further, employees of small businesses will be underrepresented</w:t>
      </w:r>
      <w:r w:rsidR="00DE2760">
        <w:rPr>
          <w:color w:val="000000" w:themeColor="text1"/>
        </w:rPr>
        <w:t xml:space="preserve"> — </w:t>
      </w:r>
      <w:r w:rsidRPr="00493DD8">
        <w:rPr>
          <w:color w:val="000000" w:themeColor="text1"/>
        </w:rPr>
        <w:t>the ABS reports that STP</w:t>
      </w:r>
      <w:r w:rsidR="00105188">
        <w:rPr>
          <w:color w:val="000000" w:themeColor="text1"/>
        </w:rPr>
        <w:t> </w:t>
      </w:r>
      <w:r w:rsidRPr="00493DD8">
        <w:rPr>
          <w:color w:val="000000" w:themeColor="text1"/>
        </w:rPr>
        <w:t>data currently capture around 99</w:t>
      </w:r>
      <w:r w:rsidR="0093092A">
        <w:rPr>
          <w:color w:val="000000" w:themeColor="text1"/>
        </w:rPr>
        <w:t> per cent</w:t>
      </w:r>
      <w:r w:rsidRPr="00493DD8">
        <w:rPr>
          <w:color w:val="000000" w:themeColor="text1"/>
        </w:rPr>
        <w:t xml:space="preserve"> of employers with 20 or more employees but only 80</w:t>
      </w:r>
      <w:r w:rsidR="00105188">
        <w:rPr>
          <w:color w:val="000000" w:themeColor="text1"/>
        </w:rPr>
        <w:t> per cent</w:t>
      </w:r>
      <w:r w:rsidRPr="00493DD8">
        <w:rPr>
          <w:color w:val="000000" w:themeColor="text1"/>
        </w:rPr>
        <w:t xml:space="preserve"> of those with 19 or fewer employees.</w:t>
      </w:r>
      <w:r w:rsidRPr="00493DD8">
        <w:rPr>
          <w:rStyle w:val="FootnoteReference"/>
          <w:color w:val="000000" w:themeColor="text1"/>
        </w:rPr>
        <w:footnoteReference w:id="60"/>
      </w:r>
      <w:r w:rsidRPr="00493DD8">
        <w:rPr>
          <w:color w:val="000000" w:themeColor="text1"/>
        </w:rPr>
        <w:t> Since</w:t>
      </w:r>
      <w:r w:rsidR="0093092A">
        <w:rPr>
          <w:color w:val="000000" w:themeColor="text1"/>
        </w:rPr>
        <w:t> </w:t>
      </w:r>
      <w:r w:rsidRPr="00493DD8">
        <w:rPr>
          <w:color w:val="000000" w:themeColor="text1"/>
        </w:rPr>
        <w:t xml:space="preserve">small business employees have lower average earnings, this may inflate the past earnings reported in this </w:t>
      </w:r>
      <w:r w:rsidR="00731681">
        <w:rPr>
          <w:color w:val="000000" w:themeColor="text1"/>
        </w:rPr>
        <w:t>r</w:t>
      </w:r>
      <w:r w:rsidR="00731681" w:rsidRPr="00493DD8">
        <w:rPr>
          <w:color w:val="000000" w:themeColor="text1"/>
        </w:rPr>
        <w:t>eview</w:t>
      </w:r>
      <w:r w:rsidR="00DE2760">
        <w:rPr>
          <w:color w:val="000000" w:themeColor="text1"/>
        </w:rPr>
        <w:t xml:space="preserve">. </w:t>
      </w:r>
      <w:r w:rsidRPr="00493DD8">
        <w:rPr>
          <w:color w:val="000000" w:themeColor="text1"/>
        </w:rPr>
        <w:t xml:space="preserve"> </w:t>
      </w:r>
    </w:p>
    <w:p w14:paraId="7A9B592A" w14:textId="67C3D0DB" w:rsidR="0065726C" w:rsidRPr="00493DD8" w:rsidRDefault="0065726C" w:rsidP="0065726C">
      <w:pPr>
        <w:rPr>
          <w:color w:val="000000" w:themeColor="text1"/>
        </w:rPr>
      </w:pPr>
      <w:r w:rsidRPr="00493DD8">
        <w:rPr>
          <w:color w:val="000000" w:themeColor="text1"/>
        </w:rPr>
        <w:t xml:space="preserve">The measures of employment levels and flows in this </w:t>
      </w:r>
      <w:r w:rsidR="00731681">
        <w:rPr>
          <w:color w:val="000000" w:themeColor="text1"/>
        </w:rPr>
        <w:t>r</w:t>
      </w:r>
      <w:r w:rsidR="00731681" w:rsidRPr="00493DD8">
        <w:rPr>
          <w:color w:val="000000" w:themeColor="text1"/>
        </w:rPr>
        <w:t xml:space="preserve">eview </w:t>
      </w:r>
      <w:r w:rsidRPr="00493DD8">
        <w:rPr>
          <w:color w:val="000000" w:themeColor="text1"/>
        </w:rPr>
        <w:t>also differ from standard labour force concepts in a number of important ways. For example, both are measured at the job level rather than the person level</w:t>
      </w:r>
      <w:r w:rsidR="00DE2760">
        <w:rPr>
          <w:color w:val="000000" w:themeColor="text1"/>
        </w:rPr>
        <w:t xml:space="preserve"> — </w:t>
      </w:r>
      <w:r w:rsidRPr="00493DD8">
        <w:rPr>
          <w:color w:val="000000" w:themeColor="text1"/>
        </w:rPr>
        <w:t>hence if a multiple job holder loses one job, we record a fall in the level of employment and a separation, whereas the ABS Labour Force Survey would continue to record the person as employed</w:t>
      </w:r>
      <w:r w:rsidR="00DE2760">
        <w:rPr>
          <w:color w:val="000000" w:themeColor="text1"/>
        </w:rPr>
        <w:t xml:space="preserve">. </w:t>
      </w:r>
      <w:r w:rsidRPr="00493DD8">
        <w:rPr>
          <w:color w:val="000000" w:themeColor="text1"/>
        </w:rPr>
        <w:t xml:space="preserve">We also measure </w:t>
      </w:r>
      <w:r w:rsidRPr="00493DD8">
        <w:rPr>
          <w:i/>
          <w:color w:val="000000" w:themeColor="text1"/>
        </w:rPr>
        <w:t>paid</w:t>
      </w:r>
      <w:r w:rsidRPr="00493DD8">
        <w:rPr>
          <w:color w:val="000000" w:themeColor="text1"/>
        </w:rPr>
        <w:t xml:space="preserve"> employment levels, so a stood</w:t>
      </w:r>
      <w:r w:rsidR="00105188">
        <w:rPr>
          <w:color w:val="000000" w:themeColor="text1"/>
        </w:rPr>
        <w:t xml:space="preserve"> </w:t>
      </w:r>
      <w:r w:rsidRPr="00493DD8">
        <w:rPr>
          <w:color w:val="000000" w:themeColor="text1"/>
        </w:rPr>
        <w:t>down worker who receives no pay in a fortnight will not be counted as having a job. These methodological differences could lead to larger reported falls in employment, although the absence of sole</w:t>
      </w:r>
      <w:r w:rsidR="00DE2760">
        <w:rPr>
          <w:color w:val="000000" w:themeColor="text1"/>
        </w:rPr>
        <w:noBreakHyphen/>
      </w:r>
      <w:r w:rsidRPr="00493DD8">
        <w:rPr>
          <w:color w:val="000000" w:themeColor="text1"/>
        </w:rPr>
        <w:t xml:space="preserve">traders and underrepresentation </w:t>
      </w:r>
      <w:r w:rsidR="00731681">
        <w:rPr>
          <w:color w:val="000000" w:themeColor="text1"/>
        </w:rPr>
        <w:t xml:space="preserve">of </w:t>
      </w:r>
      <w:r w:rsidRPr="00493DD8">
        <w:rPr>
          <w:color w:val="000000" w:themeColor="text1"/>
        </w:rPr>
        <w:t xml:space="preserve">small business employees may lead to smaller reported falls in employment if these workers have been more heavily affected by the labour market shock. As a result, the trends identified in the analysis cannot be directly mapped to analysis based on more traditional labour market concepts. </w:t>
      </w:r>
    </w:p>
    <w:p w14:paraId="34B8870F" w14:textId="46CDB97B" w:rsidR="0065726C" w:rsidRPr="00493DD8" w:rsidRDefault="0065726C" w:rsidP="0065726C">
      <w:pPr>
        <w:rPr>
          <w:color w:val="000000" w:themeColor="text1"/>
        </w:rPr>
      </w:pPr>
      <w:r w:rsidRPr="00493DD8">
        <w:rPr>
          <w:color w:val="000000" w:themeColor="text1"/>
        </w:rPr>
        <w:t>Finally, by necessity, the samples used in calculating various statistics differ. For example:</w:t>
      </w:r>
    </w:p>
    <w:p w14:paraId="6C93150E" w14:textId="202312D1" w:rsidR="001E4E39" w:rsidRPr="00B73DC6" w:rsidRDefault="0065726C" w:rsidP="00B73DC6">
      <w:pPr>
        <w:pStyle w:val="Bullet"/>
        <w:numPr>
          <w:ilvl w:val="0"/>
          <w:numId w:val="15"/>
        </w:numPr>
        <w:spacing w:line="252" w:lineRule="auto"/>
        <w:rPr>
          <w:color w:val="000000"/>
        </w:rPr>
      </w:pPr>
      <w:r>
        <w:rPr>
          <w:color w:val="000000"/>
        </w:rPr>
        <w:t>The unit record data ha</w:t>
      </w:r>
      <w:r w:rsidR="005D0FB4">
        <w:rPr>
          <w:color w:val="000000"/>
        </w:rPr>
        <w:t>ve</w:t>
      </w:r>
      <w:r>
        <w:rPr>
          <w:color w:val="000000"/>
        </w:rPr>
        <w:t xml:space="preserve"> around 3.7 million</w:t>
      </w:r>
      <w:r w:rsidR="00DB3070">
        <w:rPr>
          <w:color w:val="000000"/>
        </w:rPr>
        <w:t xml:space="preserve"> unique</w:t>
      </w:r>
      <w:r>
        <w:rPr>
          <w:color w:val="000000"/>
        </w:rPr>
        <w:t xml:space="preserve"> </w:t>
      </w:r>
      <w:r w:rsidR="001E4E39">
        <w:rPr>
          <w:color w:val="000000"/>
        </w:rPr>
        <w:t>individual recipients</w:t>
      </w:r>
      <w:r>
        <w:rPr>
          <w:color w:val="000000"/>
        </w:rPr>
        <w:t xml:space="preserve"> nominated for JobKeeper</w:t>
      </w:r>
      <w:r w:rsidR="00DE2760">
        <w:rPr>
          <w:color w:val="000000"/>
        </w:rPr>
        <w:t xml:space="preserve">. </w:t>
      </w:r>
      <w:r w:rsidR="001E4E39">
        <w:rPr>
          <w:color w:val="000000"/>
        </w:rPr>
        <w:t xml:space="preserve">This number differs from the 3.3 million individual recipients identified in the program data (see, for example, </w:t>
      </w:r>
      <w:r w:rsidR="005D0FB4">
        <w:rPr>
          <w:color w:val="000000"/>
        </w:rPr>
        <w:t>T</w:t>
      </w:r>
      <w:r w:rsidR="001E4E39">
        <w:rPr>
          <w:color w:val="000000"/>
        </w:rPr>
        <w:t>able A4). Di</w:t>
      </w:r>
      <w:r w:rsidR="00B73DC6">
        <w:rPr>
          <w:color w:val="000000"/>
        </w:rPr>
        <w:t>fferences reflect that u</w:t>
      </w:r>
      <w:r w:rsidR="001E4E39" w:rsidRPr="00B73DC6">
        <w:rPr>
          <w:color w:val="000000"/>
        </w:rPr>
        <w:t>nit record data capture anyone who has ever been on JobKeeper while the program data includes only those who received JobKeeper payments in any given fortnight.</w:t>
      </w:r>
      <w:r w:rsidR="005D0FB4" w:rsidRPr="00B73DC6">
        <w:rPr>
          <w:color w:val="000000"/>
        </w:rPr>
        <w:t xml:space="preserve"> </w:t>
      </w:r>
      <w:r w:rsidR="00B73DC6">
        <w:rPr>
          <w:color w:val="000000"/>
        </w:rPr>
        <w:t>The u</w:t>
      </w:r>
      <w:r w:rsidR="00B73DC6" w:rsidRPr="005D0FB4">
        <w:rPr>
          <w:color w:val="000000"/>
        </w:rPr>
        <w:t xml:space="preserve">nit record data are </w:t>
      </w:r>
      <w:r w:rsidR="00B73DC6">
        <w:rPr>
          <w:color w:val="000000"/>
        </w:rPr>
        <w:t xml:space="preserve">also </w:t>
      </w:r>
      <w:r w:rsidR="00B73DC6" w:rsidRPr="005D0FB4">
        <w:rPr>
          <w:color w:val="000000"/>
        </w:rPr>
        <w:t xml:space="preserve">to </w:t>
      </w:r>
      <w:r w:rsidR="00974C04">
        <w:rPr>
          <w:color w:val="000000"/>
        </w:rPr>
        <w:t xml:space="preserve">the </w:t>
      </w:r>
      <w:r w:rsidR="00B73DC6" w:rsidRPr="005D0FB4">
        <w:rPr>
          <w:color w:val="000000"/>
        </w:rPr>
        <w:t xml:space="preserve">end </w:t>
      </w:r>
      <w:r w:rsidR="00974C04">
        <w:rPr>
          <w:color w:val="000000"/>
        </w:rPr>
        <w:t xml:space="preserve">of </w:t>
      </w:r>
      <w:r w:rsidR="00B73DC6" w:rsidRPr="005D0FB4">
        <w:rPr>
          <w:color w:val="000000"/>
        </w:rPr>
        <w:t xml:space="preserve">May while </w:t>
      </w:r>
      <w:r w:rsidR="00B73DC6">
        <w:rPr>
          <w:color w:val="000000"/>
        </w:rPr>
        <w:t xml:space="preserve">the reported </w:t>
      </w:r>
      <w:r w:rsidR="00B73DC6" w:rsidRPr="005D0FB4">
        <w:rPr>
          <w:color w:val="000000"/>
        </w:rPr>
        <w:t xml:space="preserve">program data are for </w:t>
      </w:r>
      <w:r w:rsidR="00B73DC6">
        <w:rPr>
          <w:color w:val="000000"/>
        </w:rPr>
        <w:t xml:space="preserve">the </w:t>
      </w:r>
      <w:r w:rsidR="00B73DC6" w:rsidRPr="005D0FB4">
        <w:rPr>
          <w:color w:val="000000"/>
        </w:rPr>
        <w:t>April</w:t>
      </w:r>
      <w:r w:rsidR="00B73DC6">
        <w:rPr>
          <w:color w:val="000000"/>
        </w:rPr>
        <w:t xml:space="preserve"> JobKeeper fortnights</w:t>
      </w:r>
      <w:r w:rsidR="00B73DC6" w:rsidRPr="005D0FB4">
        <w:rPr>
          <w:color w:val="000000"/>
        </w:rPr>
        <w:t>.</w:t>
      </w:r>
    </w:p>
    <w:p w14:paraId="619BBCAF" w14:textId="641A4040" w:rsidR="001E4E39" w:rsidRDefault="001E4E39" w:rsidP="001E4E39">
      <w:pPr>
        <w:pStyle w:val="Bullet"/>
        <w:numPr>
          <w:ilvl w:val="0"/>
          <w:numId w:val="15"/>
        </w:numPr>
        <w:spacing w:line="252" w:lineRule="auto"/>
        <w:rPr>
          <w:color w:val="000000"/>
        </w:rPr>
      </w:pPr>
      <w:r>
        <w:rPr>
          <w:color w:val="000000"/>
        </w:rPr>
        <w:t xml:space="preserve">Around 2.9 million of these individual recipients can be linked to STP data on the basis of both </w:t>
      </w:r>
      <w:r w:rsidR="00EA49D7">
        <w:rPr>
          <w:color w:val="000000"/>
        </w:rPr>
        <w:t>business</w:t>
      </w:r>
      <w:r>
        <w:rPr>
          <w:color w:val="000000"/>
        </w:rPr>
        <w:t xml:space="preserve"> and worker identifiers. This sample covers individuals receiving a payslip from an STP-enabled </w:t>
      </w:r>
      <w:r w:rsidR="00EA49D7">
        <w:rPr>
          <w:color w:val="000000"/>
        </w:rPr>
        <w:t>business</w:t>
      </w:r>
      <w:r>
        <w:rPr>
          <w:color w:val="000000"/>
        </w:rPr>
        <w:t xml:space="preserve">. The other 0.8 million individual recipients largely represent business participants who do not receive wages, as well as some employees that work at non-STP enabled </w:t>
      </w:r>
      <w:r w:rsidR="00EA49D7">
        <w:rPr>
          <w:color w:val="000000"/>
        </w:rPr>
        <w:t>businesses</w:t>
      </w:r>
      <w:r>
        <w:rPr>
          <w:color w:val="000000"/>
        </w:rPr>
        <w:t>. We do not have high</w:t>
      </w:r>
      <w:r>
        <w:rPr>
          <w:color w:val="000000"/>
        </w:rPr>
        <w:noBreakHyphen/>
        <w:t>frequency information on the employment or earnings of employees outside the STP data.</w:t>
      </w:r>
    </w:p>
    <w:p w14:paraId="06802198" w14:textId="79DD374D" w:rsidR="00636D41" w:rsidRPr="00B73DC6" w:rsidRDefault="001E4E39" w:rsidP="00F3083C">
      <w:pPr>
        <w:pStyle w:val="Bullet"/>
        <w:numPr>
          <w:ilvl w:val="0"/>
          <w:numId w:val="15"/>
        </w:numPr>
        <w:rPr>
          <w:color w:val="000000" w:themeColor="text1"/>
        </w:rPr>
      </w:pPr>
      <w:r>
        <w:rPr>
          <w:color w:val="000000"/>
        </w:rPr>
        <w:t>These 2.9 million employees provide our overall sample for the microdata analysis presented in this review. However samples used in calculating various statistics vary reflecting difficulties related to differing pay cycles and the period of analysis. For example, the analysis of increases in income relative to past earnings is based on the 2.1 million of the 2.9 million JobKeeper employees who had regular weekly, fortnightly or monthly pay cycles in February and received pay in February. The analysis of top</w:t>
      </w:r>
      <w:r>
        <w:rPr>
          <w:color w:val="000000"/>
        </w:rPr>
        <w:noBreakHyphen/>
        <w:t>up payments is based on the 1.9 million employees with regular weekly or fortnight pay cycles in the fortnight ending 24 May 2020.</w:t>
      </w:r>
    </w:p>
    <w:sectPr w:rsidR="00636D41" w:rsidRPr="00B73DC6" w:rsidSect="00CB0C68">
      <w:headerReference w:type="even" r:id="rId33"/>
      <w:headerReference w:type="default" r:id="rId34"/>
      <w:headerReference w:type="first" r:id="rId35"/>
      <w:footerReference w:type="first" r:id="rId36"/>
      <w:type w:val="oddPage"/>
      <w:pgSz w:w="11906" w:h="16838"/>
      <w:pgMar w:top="1560" w:right="1558"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9A67" w14:textId="77777777" w:rsidR="009F135E" w:rsidRDefault="009F135E" w:rsidP="00042C43">
      <w:pPr>
        <w:spacing w:after="0" w:line="240" w:lineRule="auto"/>
      </w:pPr>
      <w:r>
        <w:separator/>
      </w:r>
    </w:p>
  </w:endnote>
  <w:endnote w:type="continuationSeparator" w:id="0">
    <w:p w14:paraId="604D3F9A" w14:textId="77777777" w:rsidR="009F135E" w:rsidRDefault="009F135E" w:rsidP="00042C43">
      <w:pPr>
        <w:spacing w:after="0" w:line="240" w:lineRule="auto"/>
      </w:pPr>
      <w:r>
        <w:continuationSeparator/>
      </w:r>
    </w:p>
  </w:endnote>
  <w:endnote w:type="continuationNotice" w:id="1">
    <w:p w14:paraId="76272BCB" w14:textId="77777777" w:rsidR="009F135E" w:rsidRDefault="009F1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color w:val="3A6FAF" w:themeColor="accent2"/>
        <w:sz w:val="20"/>
      </w:rPr>
      <w:id w:val="-186142967"/>
      <w:docPartObj>
        <w:docPartGallery w:val="Page Numbers (Bottom of Page)"/>
        <w:docPartUnique/>
      </w:docPartObj>
    </w:sdtPr>
    <w:sdtContent>
      <w:p w14:paraId="0B79513C" w14:textId="1376EA85" w:rsidR="009F135E" w:rsidRPr="00CB0C68" w:rsidRDefault="009F135E">
        <w:pPr>
          <w:pStyle w:val="Footer"/>
          <w:jc w:val="right"/>
          <w:rPr>
            <w:b/>
            <w:noProof/>
            <w:color w:val="3A6FAF" w:themeColor="accent2"/>
            <w:sz w:val="20"/>
          </w:rPr>
        </w:pPr>
        <w:r w:rsidRPr="00CB0C68">
          <w:rPr>
            <w:b/>
            <w:noProof/>
            <w:color w:val="3A6FAF" w:themeColor="accent2"/>
            <w:sz w:val="20"/>
          </w:rPr>
          <w:fldChar w:fldCharType="begin"/>
        </w:r>
        <w:r w:rsidRPr="00CB0C68">
          <w:rPr>
            <w:b/>
            <w:noProof/>
            <w:color w:val="3A6FAF" w:themeColor="accent2"/>
            <w:sz w:val="20"/>
          </w:rPr>
          <w:instrText xml:space="preserve"> PAGE   \* MERGEFORMAT </w:instrText>
        </w:r>
        <w:r w:rsidRPr="00CB0C68">
          <w:rPr>
            <w:b/>
            <w:noProof/>
            <w:color w:val="3A6FAF" w:themeColor="accent2"/>
            <w:sz w:val="20"/>
          </w:rPr>
          <w:fldChar w:fldCharType="separate"/>
        </w:r>
        <w:r w:rsidR="00B535F1">
          <w:rPr>
            <w:b/>
            <w:noProof/>
            <w:color w:val="3A6FAF" w:themeColor="accent2"/>
            <w:sz w:val="20"/>
          </w:rPr>
          <w:t>10</w:t>
        </w:r>
        <w:r w:rsidRPr="00CB0C68">
          <w:rPr>
            <w:b/>
            <w:noProof/>
            <w:color w:val="3A6FAF" w:themeColor="accent2"/>
            <w:sz w:val="20"/>
          </w:rPr>
          <w:fldChar w:fldCharType="end"/>
        </w:r>
      </w:p>
    </w:sdtContent>
  </w:sdt>
  <w:p w14:paraId="001BE3E1" w14:textId="77777777" w:rsidR="009F135E" w:rsidRDefault="009F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246372"/>
      <w:docPartObj>
        <w:docPartGallery w:val="Page Numbers (Bottom of Page)"/>
        <w:docPartUnique/>
      </w:docPartObj>
    </w:sdtPr>
    <w:sdtEndPr>
      <w:rPr>
        <w:b/>
        <w:noProof/>
        <w:color w:val="3A6FAF" w:themeColor="accent2"/>
        <w:sz w:val="20"/>
      </w:rPr>
    </w:sdtEndPr>
    <w:sdtContent>
      <w:p w14:paraId="3CFAAD52" w14:textId="28261D5A" w:rsidR="009F135E" w:rsidRPr="00CB0C68" w:rsidRDefault="009F135E">
        <w:pPr>
          <w:pStyle w:val="Footer"/>
          <w:rPr>
            <w:b/>
            <w:noProof/>
            <w:color w:val="3A6FAF" w:themeColor="accent2"/>
            <w:sz w:val="20"/>
          </w:rPr>
        </w:pPr>
        <w:r w:rsidRPr="00CB0C68">
          <w:rPr>
            <w:b/>
            <w:noProof/>
            <w:color w:val="3A6FAF" w:themeColor="accent2"/>
            <w:sz w:val="20"/>
          </w:rPr>
          <w:fldChar w:fldCharType="begin"/>
        </w:r>
        <w:r w:rsidRPr="00CB0C68">
          <w:rPr>
            <w:b/>
            <w:noProof/>
            <w:color w:val="3A6FAF" w:themeColor="accent2"/>
            <w:sz w:val="20"/>
          </w:rPr>
          <w:instrText xml:space="preserve"> PAGE   \* MERGEFORMAT </w:instrText>
        </w:r>
        <w:r w:rsidRPr="00CB0C68">
          <w:rPr>
            <w:b/>
            <w:noProof/>
            <w:color w:val="3A6FAF" w:themeColor="accent2"/>
            <w:sz w:val="20"/>
          </w:rPr>
          <w:fldChar w:fldCharType="separate"/>
        </w:r>
        <w:r w:rsidR="00B535F1">
          <w:rPr>
            <w:b/>
            <w:noProof/>
            <w:color w:val="3A6FAF" w:themeColor="accent2"/>
            <w:sz w:val="20"/>
          </w:rPr>
          <w:t>11</w:t>
        </w:r>
        <w:r w:rsidRPr="00CB0C68">
          <w:rPr>
            <w:b/>
            <w:noProof/>
            <w:color w:val="3A6FAF" w:themeColor="accent2"/>
            <w:sz w:val="20"/>
          </w:rPr>
          <w:fldChar w:fldCharType="end"/>
        </w:r>
      </w:p>
    </w:sdtContent>
  </w:sdt>
  <w:p w14:paraId="54D03598" w14:textId="77777777" w:rsidR="009F135E" w:rsidRDefault="009F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D61D" w14:textId="261D5B5A" w:rsidR="009F135E" w:rsidRPr="00065F92" w:rsidRDefault="009F135E" w:rsidP="00065F92">
    <w:pPr>
      <w:pStyle w:val="Footerodd"/>
    </w:pPr>
    <w:r>
      <w:fldChar w:fldCharType="begin"/>
    </w:r>
    <w:r>
      <w:instrText xml:space="preserve"> PAGE   \* MERGEFORMAT </w:instrText>
    </w:r>
    <w:r>
      <w:fldChar w:fldCharType="separate"/>
    </w:r>
    <w:r w:rsidR="00B535F1">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6BFB" w14:textId="3630148B" w:rsidR="009F135E" w:rsidRPr="00CB0C68" w:rsidRDefault="009F135E" w:rsidP="00065F92">
    <w:pPr>
      <w:pStyle w:val="Footerodd"/>
      <w:rPr>
        <w:sz w:val="20"/>
      </w:rPr>
    </w:pPr>
    <w:r w:rsidRPr="00CB0C68">
      <w:rPr>
        <w:sz w:val="20"/>
      </w:rPr>
      <w:fldChar w:fldCharType="begin"/>
    </w:r>
    <w:r w:rsidRPr="00CB0C68">
      <w:rPr>
        <w:sz w:val="20"/>
      </w:rPr>
      <w:instrText xml:space="preserve"> PAGE   \* MERGEFORMAT </w:instrText>
    </w:r>
    <w:r w:rsidRPr="00CB0C68">
      <w:rPr>
        <w:sz w:val="20"/>
      </w:rPr>
      <w:fldChar w:fldCharType="separate"/>
    </w:r>
    <w:r w:rsidR="00B535F1">
      <w:rPr>
        <w:noProof/>
        <w:sz w:val="20"/>
      </w:rPr>
      <w:t>1</w:t>
    </w:r>
    <w:r w:rsidRPr="00CB0C68">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F195" w14:textId="77777777" w:rsidR="009F135E" w:rsidRDefault="009F135E" w:rsidP="00042C43">
      <w:pPr>
        <w:spacing w:after="0" w:line="240" w:lineRule="auto"/>
      </w:pPr>
      <w:r>
        <w:separator/>
      </w:r>
    </w:p>
  </w:footnote>
  <w:footnote w:type="continuationSeparator" w:id="0">
    <w:p w14:paraId="43D2E4F9" w14:textId="77777777" w:rsidR="009F135E" w:rsidRDefault="009F135E" w:rsidP="00042C43">
      <w:pPr>
        <w:spacing w:after="0" w:line="240" w:lineRule="auto"/>
      </w:pPr>
      <w:r>
        <w:continuationSeparator/>
      </w:r>
    </w:p>
  </w:footnote>
  <w:footnote w:type="continuationNotice" w:id="1">
    <w:p w14:paraId="7EC10C68" w14:textId="77777777" w:rsidR="009F135E" w:rsidRDefault="009F135E">
      <w:pPr>
        <w:spacing w:after="0" w:line="240" w:lineRule="auto"/>
      </w:pPr>
    </w:p>
  </w:footnote>
  <w:footnote w:id="2">
    <w:p w14:paraId="6D81FE85" w14:textId="6E48F069"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ATO administ</w:t>
      </w:r>
      <w:r>
        <w:t>rative data, as at 23 June 2020</w:t>
      </w:r>
    </w:p>
  </w:footnote>
  <w:footnote w:id="3">
    <w:p w14:paraId="5FAAE47A" w14:textId="07030566"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Private sector employment based on ABS Labour Force, Australia, Detailed, Quarterly, May 2020 (Cat. No. 6291.0.55.003)</w:t>
      </w:r>
    </w:p>
  </w:footnote>
  <w:footnote w:id="4">
    <w:p w14:paraId="4E0A6F2F" w14:textId="71FA26B2"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Gross National Income for March quarter 2020 was $474.5 billion in current prices. On a pro</w:t>
      </w:r>
      <w:r>
        <w:noBreakHyphen/>
      </w:r>
      <w:r w:rsidRPr="00D00D86">
        <w:t>rata basis (</w:t>
      </w:r>
      <w:r>
        <w:t>eight</w:t>
      </w:r>
      <w:r w:rsidRPr="00D00D86">
        <w:t xml:space="preserve"> weeks) it was $292.0 billion</w:t>
      </w:r>
      <w:r w:rsidRPr="00D00D86">
        <w:rPr>
          <w:rFonts w:cstheme="minorHAnsi"/>
        </w:rPr>
        <w:t xml:space="preserve">. ABS </w:t>
      </w:r>
      <w:r w:rsidRPr="00D00D86">
        <w:rPr>
          <w:rFonts w:cstheme="minorHAnsi"/>
          <w:shd w:val="clear" w:color="auto" w:fill="FFFFFF"/>
        </w:rPr>
        <w:t>Australian National Accounts: National Income, Expenditure and Product, Mar 2020 (Cat. No. 5206.0)</w:t>
      </w:r>
    </w:p>
  </w:footnote>
  <w:footnote w:id="5">
    <w:p w14:paraId="01584794" w14:textId="2B5B3F6A" w:rsidR="009F135E" w:rsidRDefault="009F135E" w:rsidP="00397077">
      <w:pPr>
        <w:pStyle w:val="FootnoteText"/>
      </w:pPr>
      <w:r w:rsidRPr="00EE6DB5">
        <w:rPr>
          <w:rStyle w:val="FootnoteReference"/>
          <w:vertAlign w:val="baseline"/>
        </w:rPr>
        <w:footnoteRef/>
      </w:r>
      <w:r w:rsidRPr="00D00D86">
        <w:t xml:space="preserve"> </w:t>
      </w:r>
      <w:r>
        <w:tab/>
        <w:t xml:space="preserve">Based on </w:t>
      </w:r>
      <w:r w:rsidRPr="00D00D86">
        <w:t>Treasury</w:t>
      </w:r>
      <w:r>
        <w:t xml:space="preserve"> analysis of business microdata</w:t>
      </w:r>
    </w:p>
  </w:footnote>
  <w:footnote w:id="6">
    <w:p w14:paraId="32BEA2A7" w14:textId="338B1B16"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The underutilisation rate is the sum of the number of people unemployed and underemployed as a proportion of the labour force. The May 2020 figure is the highest on record since the series began in 1978.</w:t>
      </w:r>
    </w:p>
  </w:footnote>
  <w:footnote w:id="7">
    <w:p w14:paraId="06C9D95B" w14:textId="0938F46C" w:rsidR="009F135E" w:rsidRPr="00AF0BE1" w:rsidRDefault="009F135E" w:rsidP="00397077">
      <w:pPr>
        <w:pStyle w:val="FootnoteText"/>
      </w:pPr>
      <w:r w:rsidRPr="00EE6DB5">
        <w:rPr>
          <w:rStyle w:val="FootnoteReference"/>
          <w:vertAlign w:val="baseline"/>
        </w:rPr>
        <w:footnoteRef/>
      </w:r>
      <w:r w:rsidRPr="00D00D86">
        <w:t xml:space="preserve"> </w:t>
      </w:r>
      <w:r>
        <w:tab/>
      </w:r>
      <w:r w:rsidRPr="00D00D86">
        <w:t>Information on the Government</w:t>
      </w:r>
      <w:r>
        <w:t>’</w:t>
      </w:r>
      <w:r w:rsidRPr="00D00D86">
        <w:t xml:space="preserve">s Economic Response to the Coronavirus is available at </w:t>
      </w:r>
      <w:hyperlink r:id="rId1" w:history="1">
        <w:r w:rsidRPr="00AF0BE1">
          <w:rPr>
            <w:rStyle w:val="Hyperlink"/>
            <w:color w:val="000000" w:themeColor="text1"/>
          </w:rPr>
          <w:t>https://treasury.gov.au/</w:t>
        </w:r>
      </w:hyperlink>
    </w:p>
  </w:footnote>
  <w:footnote w:id="8">
    <w:p w14:paraId="1F099BAB" w14:textId="49C3C9A0" w:rsidR="009F135E" w:rsidRPr="00AF0BE1" w:rsidRDefault="009F135E" w:rsidP="00397077">
      <w:pPr>
        <w:pStyle w:val="FootnoteText"/>
      </w:pPr>
      <w:r w:rsidRPr="00EE6DB5">
        <w:rPr>
          <w:rStyle w:val="FootnoteReference"/>
          <w:vertAlign w:val="baseline"/>
        </w:rPr>
        <w:footnoteRef/>
      </w:r>
      <w:r w:rsidRPr="00D00D86">
        <w:t xml:space="preserve"> </w:t>
      </w:r>
      <w:r>
        <w:tab/>
      </w:r>
      <w:r w:rsidRPr="00D00D86">
        <w:t xml:space="preserve">World Health Organisation, accessed at </w:t>
      </w:r>
      <w:hyperlink r:id="rId2" w:history="1">
        <w:r w:rsidRPr="00AF0BE1">
          <w:rPr>
            <w:rStyle w:val="Hyperlink"/>
            <w:color w:val="000000" w:themeColor="text1"/>
          </w:rPr>
          <w:t>https://covid19.who.int/region/wpro/country/au</w:t>
        </w:r>
      </w:hyperlink>
    </w:p>
  </w:footnote>
  <w:footnote w:id="9">
    <w:p w14:paraId="6C05AC18" w14:textId="12309B43" w:rsidR="009F135E" w:rsidRPr="00B84691" w:rsidRDefault="009F135E" w:rsidP="00397077">
      <w:pPr>
        <w:pStyle w:val="FootnoteText"/>
      </w:pPr>
      <w:r w:rsidRPr="00EE6DB5">
        <w:rPr>
          <w:rStyle w:val="FootnoteReference"/>
          <w:vertAlign w:val="baseline"/>
        </w:rPr>
        <w:footnoteRef/>
      </w:r>
      <w:r w:rsidRPr="00D00D86">
        <w:t xml:space="preserve"> </w:t>
      </w:r>
      <w:r>
        <w:tab/>
      </w:r>
      <w:r w:rsidRPr="00D00D86">
        <w:t>Further discussion of the context in which the JobKeeper Payment was introduced can be found in the Secretary to the Treasury</w:t>
      </w:r>
      <w:r>
        <w:t>’</w:t>
      </w:r>
      <w:r w:rsidRPr="00D00D86">
        <w:t>s opening statement to the Senate Select Committee on COVID</w:t>
      </w:r>
      <w:r>
        <w:noBreakHyphen/>
      </w:r>
      <w:r w:rsidRPr="00D00D86">
        <w:t>19 on 9 June 2020, available at</w:t>
      </w:r>
      <w:r w:rsidRPr="00AF0BE1">
        <w:t xml:space="preserve"> </w:t>
      </w:r>
      <w:hyperlink r:id="rId3" w:history="1">
        <w:r w:rsidRPr="00B84691">
          <w:rPr>
            <w:rStyle w:val="Hyperlink"/>
            <w:color w:val="000000" w:themeColor="text1"/>
          </w:rPr>
          <w:t>https://treasury.gov.au/speech/opening</w:t>
        </w:r>
        <w:r w:rsidRPr="00B84691">
          <w:rPr>
            <w:rStyle w:val="Hyperlink"/>
            <w:color w:val="000000" w:themeColor="text1"/>
          </w:rPr>
          <w:noBreakHyphen/>
          <w:t>statement</w:t>
        </w:r>
        <w:r w:rsidRPr="00B84691">
          <w:rPr>
            <w:rStyle w:val="Hyperlink"/>
            <w:color w:val="000000" w:themeColor="text1"/>
          </w:rPr>
          <w:noBreakHyphen/>
          <w:t>june</w:t>
        </w:r>
        <w:r w:rsidRPr="00B84691">
          <w:rPr>
            <w:rStyle w:val="Hyperlink"/>
            <w:color w:val="000000" w:themeColor="text1"/>
          </w:rPr>
          <w:noBreakHyphen/>
          <w:t>2020</w:t>
        </w:r>
        <w:r w:rsidRPr="00B84691">
          <w:rPr>
            <w:rStyle w:val="Hyperlink"/>
            <w:color w:val="000000" w:themeColor="text1"/>
          </w:rPr>
          <w:noBreakHyphen/>
          <w:t>senate</w:t>
        </w:r>
        <w:r w:rsidRPr="00B84691">
          <w:rPr>
            <w:rStyle w:val="Hyperlink"/>
            <w:color w:val="000000" w:themeColor="text1"/>
          </w:rPr>
          <w:noBreakHyphen/>
          <w:t>select</w:t>
        </w:r>
        <w:r w:rsidRPr="00B84691">
          <w:rPr>
            <w:rStyle w:val="Hyperlink"/>
            <w:color w:val="000000" w:themeColor="text1"/>
          </w:rPr>
          <w:noBreakHyphen/>
          <w:t>committee</w:t>
        </w:r>
        <w:r w:rsidRPr="00B84691">
          <w:rPr>
            <w:rStyle w:val="Hyperlink"/>
            <w:color w:val="000000" w:themeColor="text1"/>
          </w:rPr>
          <w:noBreakHyphen/>
          <w:t>covid</w:t>
        </w:r>
        <w:r w:rsidRPr="00B84691">
          <w:rPr>
            <w:rStyle w:val="Hyperlink"/>
            <w:color w:val="000000" w:themeColor="text1"/>
          </w:rPr>
          <w:noBreakHyphen/>
          <w:t>19</w:t>
        </w:r>
      </w:hyperlink>
    </w:p>
  </w:footnote>
  <w:footnote w:id="10">
    <w:p w14:paraId="6B1DAA4B" w14:textId="2BA24E1B" w:rsidR="009F135E" w:rsidRPr="00E60049" w:rsidRDefault="009F135E" w:rsidP="00397077">
      <w:pPr>
        <w:pStyle w:val="FootnoteText"/>
        <w:rPr>
          <w:color w:val="auto"/>
        </w:rPr>
      </w:pPr>
      <w:r w:rsidRPr="00EE6DB5">
        <w:rPr>
          <w:rStyle w:val="FootnoteReference"/>
          <w:vertAlign w:val="baseline"/>
        </w:rPr>
        <w:footnoteRef/>
      </w:r>
      <w:r>
        <w:t xml:space="preserve"> </w:t>
      </w:r>
      <w:r>
        <w:tab/>
        <w:t xml:space="preserve">Google Community Mobility Reports, accessed at </w:t>
      </w:r>
      <w:hyperlink r:id="rId4" w:history="1">
        <w:r w:rsidRPr="00E60049">
          <w:rPr>
            <w:rStyle w:val="Hyperlink"/>
          </w:rPr>
          <w:t>https://www.google.com/covid19/mobility/</w:t>
        </w:r>
      </w:hyperlink>
      <w:r w:rsidRPr="00E60049">
        <w:rPr>
          <w:color w:val="auto"/>
        </w:rPr>
        <w:t xml:space="preserve"> </w:t>
      </w:r>
    </w:p>
    <w:p w14:paraId="72746427" w14:textId="036DB984" w:rsidR="009F135E" w:rsidRDefault="009F135E" w:rsidP="009B6E0C">
      <w:pPr>
        <w:pStyle w:val="FootnoteText"/>
        <w:ind w:firstLine="0"/>
      </w:pPr>
      <w:r w:rsidRPr="00E60049">
        <w:t>Apple Mobility Trends Reports</w:t>
      </w:r>
      <w:r>
        <w:t>,</w:t>
      </w:r>
      <w:r w:rsidRPr="00E60049">
        <w:t xml:space="preserve"> accessed at </w:t>
      </w:r>
      <w:hyperlink r:id="rId5" w:history="1">
        <w:r w:rsidRPr="00E60049">
          <w:rPr>
            <w:rStyle w:val="Hyperlink"/>
          </w:rPr>
          <w:t>https://www.apple.com/covid19/mobility</w:t>
        </w:r>
      </w:hyperlink>
      <w:r w:rsidRPr="00E60049">
        <w:t xml:space="preserve"> </w:t>
      </w:r>
    </w:p>
    <w:p w14:paraId="261312F6" w14:textId="1E04CB40" w:rsidR="009F135E" w:rsidRDefault="009F135E" w:rsidP="009B6E0C">
      <w:pPr>
        <w:pStyle w:val="FootnoteText"/>
        <w:ind w:firstLine="0"/>
      </w:pPr>
      <w:r>
        <w:t>City of Melbourne Pedestrian Counting System, accessed a</w:t>
      </w:r>
      <w:r w:rsidRPr="00C46852">
        <w:t xml:space="preserve">t </w:t>
      </w:r>
      <w:hyperlink r:id="rId6" w:history="1">
        <w:r w:rsidRPr="00C46852">
          <w:rPr>
            <w:rStyle w:val="Hyperlink"/>
          </w:rPr>
          <w:t>http://www.pedestrian.melbourne.vic.gov.au/</w:t>
        </w:r>
      </w:hyperlink>
      <w:r w:rsidRPr="00C46852">
        <w:t xml:space="preserve"> </w:t>
      </w:r>
    </w:p>
  </w:footnote>
  <w:footnote w:id="11">
    <w:p w14:paraId="18263C8F" w14:textId="77777777" w:rsidR="009F135E" w:rsidRDefault="009F135E" w:rsidP="00397077">
      <w:pPr>
        <w:pStyle w:val="FootnoteText"/>
        <w:rPr>
          <w:rStyle w:val="Hyperlink"/>
          <w:color w:val="000000" w:themeColor="text1"/>
        </w:rPr>
      </w:pPr>
      <w:r w:rsidRPr="00EE6DB5">
        <w:rPr>
          <w:rStyle w:val="FootnoteReference"/>
          <w:vertAlign w:val="baseline"/>
        </w:rPr>
        <w:footnoteRef/>
      </w:r>
      <w:r w:rsidRPr="00D00D86">
        <w:t xml:space="preserve"> </w:t>
      </w:r>
      <w:r>
        <w:tab/>
      </w:r>
      <w:r w:rsidRPr="00D00D86">
        <w:t>Illion real</w:t>
      </w:r>
      <w:r>
        <w:noBreakHyphen/>
      </w:r>
      <w:r w:rsidRPr="00D00D86">
        <w:t>time tracking data</w:t>
      </w:r>
      <w:r>
        <w:t>,</w:t>
      </w:r>
      <w:r w:rsidRPr="00D00D86">
        <w:t xml:space="preserve"> accessed at </w:t>
      </w:r>
      <w:hyperlink r:id="rId7" w:history="1">
        <w:r w:rsidRPr="00AF0BE1">
          <w:rPr>
            <w:rStyle w:val="Hyperlink"/>
            <w:color w:val="000000" w:themeColor="text1"/>
          </w:rPr>
          <w:t>https://www.alphabeta.com/illiontracking</w:t>
        </w:r>
      </w:hyperlink>
    </w:p>
    <w:p w14:paraId="1006E366" w14:textId="58D2557B" w:rsidR="009F135E" w:rsidRDefault="009F135E" w:rsidP="005F3CFA">
      <w:pPr>
        <w:pStyle w:val="FootnoteText"/>
        <w:ind w:firstLine="0"/>
      </w:pPr>
      <w:r w:rsidRPr="00D00D86">
        <w:t xml:space="preserve">CommBank Global and Economics Market Research, accessed at </w:t>
      </w:r>
      <w:hyperlink r:id="rId8" w:history="1">
        <w:r w:rsidRPr="00AF0BE1">
          <w:rPr>
            <w:rStyle w:val="Hyperlink"/>
            <w:color w:val="000000" w:themeColor="text1"/>
          </w:rPr>
          <w:t>https://www.commbank.com.au/guidance/business/an</w:t>
        </w:r>
        <w:r>
          <w:rPr>
            <w:rStyle w:val="Hyperlink"/>
            <w:color w:val="000000" w:themeColor="text1"/>
          </w:rPr>
          <w:noBreakHyphen/>
        </w:r>
        <w:r w:rsidRPr="00AF0BE1">
          <w:rPr>
            <w:rStyle w:val="Hyperlink"/>
            <w:color w:val="000000" w:themeColor="text1"/>
          </w:rPr>
          <w:t>early</w:t>
        </w:r>
        <w:r>
          <w:rPr>
            <w:rStyle w:val="Hyperlink"/>
            <w:color w:val="000000" w:themeColor="text1"/>
          </w:rPr>
          <w:noBreakHyphen/>
        </w:r>
        <w:r w:rsidRPr="00AF0BE1">
          <w:rPr>
            <w:rStyle w:val="Hyperlink"/>
            <w:color w:val="000000" w:themeColor="text1"/>
          </w:rPr>
          <w:t>look</w:t>
        </w:r>
        <w:r>
          <w:rPr>
            <w:rStyle w:val="Hyperlink"/>
            <w:color w:val="000000" w:themeColor="text1"/>
          </w:rPr>
          <w:noBreakHyphen/>
        </w:r>
        <w:r w:rsidRPr="00AF0BE1">
          <w:rPr>
            <w:rStyle w:val="Hyperlink"/>
            <w:color w:val="000000" w:themeColor="text1"/>
          </w:rPr>
          <w:t>at</w:t>
        </w:r>
        <w:r>
          <w:rPr>
            <w:rStyle w:val="Hyperlink"/>
            <w:color w:val="000000" w:themeColor="text1"/>
          </w:rPr>
          <w:noBreakHyphen/>
        </w:r>
        <w:r w:rsidRPr="00AF0BE1">
          <w:rPr>
            <w:rStyle w:val="Hyperlink"/>
            <w:color w:val="000000" w:themeColor="text1"/>
          </w:rPr>
          <w:t>how</w:t>
        </w:r>
        <w:r>
          <w:rPr>
            <w:rStyle w:val="Hyperlink"/>
            <w:color w:val="000000" w:themeColor="text1"/>
          </w:rPr>
          <w:noBreakHyphen/>
        </w:r>
        <w:r w:rsidRPr="00AF0BE1">
          <w:rPr>
            <w:rStyle w:val="Hyperlink"/>
            <w:color w:val="000000" w:themeColor="text1"/>
          </w:rPr>
          <w:t>the</w:t>
        </w:r>
        <w:r>
          <w:rPr>
            <w:rStyle w:val="Hyperlink"/>
            <w:color w:val="000000" w:themeColor="text1"/>
          </w:rPr>
          <w:noBreakHyphen/>
        </w:r>
        <w:r w:rsidRPr="00AF0BE1">
          <w:rPr>
            <w:rStyle w:val="Hyperlink"/>
            <w:color w:val="000000" w:themeColor="text1"/>
          </w:rPr>
          <w:t>coronavirus</w:t>
        </w:r>
        <w:r>
          <w:rPr>
            <w:rStyle w:val="Hyperlink"/>
            <w:color w:val="000000" w:themeColor="text1"/>
          </w:rPr>
          <w:noBreakHyphen/>
        </w:r>
        <w:r w:rsidRPr="00AF0BE1">
          <w:rPr>
            <w:rStyle w:val="Hyperlink"/>
            <w:color w:val="000000" w:themeColor="text1"/>
          </w:rPr>
          <w:t>is</w:t>
        </w:r>
        <w:r>
          <w:rPr>
            <w:rStyle w:val="Hyperlink"/>
            <w:color w:val="000000" w:themeColor="text1"/>
          </w:rPr>
          <w:noBreakHyphen/>
        </w:r>
        <w:r w:rsidRPr="00AF0BE1">
          <w:rPr>
            <w:rStyle w:val="Hyperlink"/>
            <w:color w:val="000000" w:themeColor="text1"/>
          </w:rPr>
          <w:t>affecting</w:t>
        </w:r>
        <w:r>
          <w:rPr>
            <w:rStyle w:val="Hyperlink"/>
            <w:color w:val="000000" w:themeColor="text1"/>
          </w:rPr>
          <w:noBreakHyphen/>
        </w:r>
        <w:r w:rsidRPr="00AF0BE1">
          <w:rPr>
            <w:rStyle w:val="Hyperlink"/>
            <w:color w:val="000000" w:themeColor="text1"/>
          </w:rPr>
          <w:t>household</w:t>
        </w:r>
        <w:r>
          <w:rPr>
            <w:rStyle w:val="Hyperlink"/>
            <w:color w:val="000000" w:themeColor="text1"/>
          </w:rPr>
          <w:noBreakHyphen/>
        </w:r>
        <w:r w:rsidRPr="00AF0BE1">
          <w:rPr>
            <w:rStyle w:val="Hyperlink"/>
            <w:color w:val="000000" w:themeColor="text1"/>
          </w:rPr>
          <w:t>spen</w:t>
        </w:r>
        <w:r>
          <w:rPr>
            <w:rStyle w:val="Hyperlink"/>
            <w:color w:val="000000" w:themeColor="text1"/>
          </w:rPr>
          <w:noBreakHyphen/>
        </w:r>
        <w:r w:rsidRPr="00AF0BE1">
          <w:rPr>
            <w:rStyle w:val="Hyperlink"/>
            <w:color w:val="000000" w:themeColor="text1"/>
          </w:rPr>
          <w:t>202003.html</w:t>
        </w:r>
      </w:hyperlink>
    </w:p>
    <w:p w14:paraId="0901A1FD" w14:textId="0DF5FCCD" w:rsidR="009F135E" w:rsidRPr="00AF0BE1" w:rsidRDefault="009F135E" w:rsidP="00961FC9">
      <w:pPr>
        <w:pStyle w:val="FootnoteText"/>
        <w:ind w:firstLine="0"/>
      </w:pPr>
    </w:p>
  </w:footnote>
  <w:footnote w:id="12">
    <w:p w14:paraId="4EC5A903" w14:textId="77777777" w:rsidR="009F135E" w:rsidRDefault="009F135E" w:rsidP="00397077">
      <w:pPr>
        <w:pStyle w:val="FootnoteText"/>
      </w:pPr>
      <w:r w:rsidRPr="00EE6DB5">
        <w:rPr>
          <w:rStyle w:val="FootnoteReference"/>
          <w:vertAlign w:val="baseline"/>
        </w:rPr>
        <w:footnoteRef/>
      </w:r>
      <w:r w:rsidRPr="00D00D86">
        <w:t xml:space="preserve"> </w:t>
      </w:r>
      <w:r>
        <w:tab/>
        <w:t>F</w:t>
      </w:r>
      <w:r w:rsidRPr="00D00D86">
        <w:t xml:space="preserve">urther details on these measures are available at </w:t>
      </w:r>
    </w:p>
    <w:p w14:paraId="7F227274" w14:textId="387CAA86" w:rsidR="009F135E" w:rsidRDefault="009F135E" w:rsidP="00397077">
      <w:pPr>
        <w:pStyle w:val="FootnoteText"/>
      </w:pPr>
      <w:hyperlink r:id="rId9" w:history="1">
        <w:r w:rsidRPr="00CC1ABD">
          <w:rPr>
            <w:rStyle w:val="Hyperlink"/>
            <w:sz w:val="18"/>
          </w:rPr>
          <w:t>https://treasury.gov.au/sites/default/files/2020</w:t>
        </w:r>
        <w:r w:rsidRPr="00CC1ABD">
          <w:rPr>
            <w:rStyle w:val="Hyperlink"/>
            <w:sz w:val="18"/>
          </w:rPr>
          <w:noBreakHyphen/>
          <w:t>05/OverviewEconomic_Response_to_the_Coronavirus_3.pdf</w:t>
        </w:r>
      </w:hyperlink>
      <w:r w:rsidRPr="00CC1ABD">
        <w:rPr>
          <w:sz w:val="18"/>
        </w:rPr>
        <w:t xml:space="preserve"> </w:t>
      </w:r>
    </w:p>
  </w:footnote>
  <w:footnote w:id="13">
    <w:p w14:paraId="0D42DB47" w14:textId="09921F42" w:rsidR="009F135E" w:rsidRDefault="009F135E" w:rsidP="00F3775D">
      <w:pPr>
        <w:pStyle w:val="FootnoteText"/>
      </w:pPr>
      <w:r w:rsidRPr="0006307E">
        <w:rPr>
          <w:rStyle w:val="FootnoteReference"/>
          <w:vertAlign w:val="baseline"/>
        </w:rPr>
        <w:footnoteRef/>
      </w:r>
      <w:r w:rsidRPr="0006307E">
        <w:t xml:space="preserve"> </w:t>
      </w:r>
      <w:r>
        <w:tab/>
        <w:t xml:space="preserve">OECD Economic Outlook, Volume 2020 Issue 1: Preliminary version, Issue Note 5: ‘Flattening the unemployment curve? Policies to support workers’ income and promote a speedy labour market recovery’, p.115, accessed at </w:t>
      </w:r>
      <w:hyperlink r:id="rId10" w:history="1">
        <w:r w:rsidRPr="00AF0BE1">
          <w:rPr>
            <w:rStyle w:val="Hyperlink"/>
            <w:color w:val="000000" w:themeColor="text1"/>
          </w:rPr>
          <w:t>http://www.oecd.org/economic</w:t>
        </w:r>
        <w:r>
          <w:rPr>
            <w:rStyle w:val="Hyperlink"/>
            <w:color w:val="000000" w:themeColor="text1"/>
          </w:rPr>
          <w:noBreakHyphen/>
        </w:r>
        <w:r w:rsidRPr="00AF0BE1">
          <w:rPr>
            <w:rStyle w:val="Hyperlink"/>
            <w:color w:val="000000" w:themeColor="text1"/>
          </w:rPr>
          <w:t>outlook/</w:t>
        </w:r>
      </w:hyperlink>
      <w:r>
        <w:t xml:space="preserve"> </w:t>
      </w:r>
    </w:p>
  </w:footnote>
  <w:footnote w:id="14">
    <w:p w14:paraId="4807FCA6" w14:textId="2F285ED0" w:rsidR="009F135E" w:rsidRPr="00AF0BE1" w:rsidRDefault="009F135E" w:rsidP="0055333A">
      <w:pPr>
        <w:pStyle w:val="FootnoteText"/>
      </w:pPr>
      <w:r w:rsidRPr="00EE6DB5">
        <w:rPr>
          <w:rStyle w:val="FootnoteReference"/>
          <w:vertAlign w:val="baseline"/>
        </w:rPr>
        <w:footnoteRef/>
      </w:r>
      <w:r w:rsidRPr="00D00D86">
        <w:t xml:space="preserve"> </w:t>
      </w:r>
      <w:r>
        <w:tab/>
      </w:r>
      <w:r w:rsidRPr="00D00D86">
        <w:t xml:space="preserve">OECD Economic Outlook, </w:t>
      </w:r>
      <w:r>
        <w:t xml:space="preserve">presentation by the Chief Economist, 10 June 2020, </w:t>
      </w:r>
      <w:r w:rsidRPr="00D00D86">
        <w:t xml:space="preserve">accessed at </w:t>
      </w:r>
      <w:hyperlink r:id="rId11" w:history="1">
        <w:r w:rsidRPr="00AF0BE1">
          <w:rPr>
            <w:rStyle w:val="Hyperlink"/>
            <w:color w:val="000000" w:themeColor="text1"/>
          </w:rPr>
          <w:t>http://www.oecd.org/economic</w:t>
        </w:r>
        <w:r>
          <w:rPr>
            <w:rStyle w:val="Hyperlink"/>
            <w:color w:val="000000" w:themeColor="text1"/>
          </w:rPr>
          <w:noBreakHyphen/>
        </w:r>
        <w:r w:rsidRPr="00AF0BE1">
          <w:rPr>
            <w:rStyle w:val="Hyperlink"/>
            <w:color w:val="000000" w:themeColor="text1"/>
          </w:rPr>
          <w:t>outlook/</w:t>
        </w:r>
      </w:hyperlink>
      <w:r>
        <w:rPr>
          <w:rStyle w:val="Hyperlink"/>
          <w:color w:val="000000" w:themeColor="text1"/>
        </w:rPr>
        <w:t xml:space="preserve"> </w:t>
      </w:r>
    </w:p>
  </w:footnote>
  <w:footnote w:id="15">
    <w:p w14:paraId="6660E732" w14:textId="03F44810" w:rsidR="009F135E" w:rsidRPr="00AF0BE1" w:rsidRDefault="009F135E" w:rsidP="00397077">
      <w:pPr>
        <w:pStyle w:val="FootnoteText"/>
      </w:pPr>
      <w:r w:rsidRPr="00EE6DB5">
        <w:rPr>
          <w:rStyle w:val="FootnoteReference"/>
          <w:vertAlign w:val="baseline"/>
        </w:rPr>
        <w:footnoteRef/>
      </w:r>
      <w:r w:rsidRPr="00D00D86">
        <w:t xml:space="preserve"> </w:t>
      </w:r>
      <w:r>
        <w:tab/>
      </w:r>
      <w:r w:rsidRPr="00D00D86">
        <w:t>This matter is addressed in the opening statement by the Secretary to the Treasury to the Senate COVID</w:t>
      </w:r>
      <w:r>
        <w:noBreakHyphen/>
      </w:r>
      <w:r w:rsidRPr="00D00D86">
        <w:t xml:space="preserve">19 Committee, 9 June 2020, accessed at </w:t>
      </w:r>
      <w:hyperlink r:id="rId12" w:history="1">
        <w:r w:rsidRPr="00AF0BE1">
          <w:rPr>
            <w:rStyle w:val="Hyperlink"/>
            <w:color w:val="000000" w:themeColor="text1"/>
          </w:rPr>
          <w:t>https://treasury.gov.au/speech/opening</w:t>
        </w:r>
        <w:r>
          <w:rPr>
            <w:rStyle w:val="Hyperlink"/>
            <w:color w:val="000000" w:themeColor="text1"/>
          </w:rPr>
          <w:noBreakHyphen/>
        </w:r>
        <w:r w:rsidRPr="00AF0BE1">
          <w:rPr>
            <w:rStyle w:val="Hyperlink"/>
            <w:color w:val="000000" w:themeColor="text1"/>
          </w:rPr>
          <w:t>statement</w:t>
        </w:r>
        <w:r>
          <w:rPr>
            <w:rStyle w:val="Hyperlink"/>
            <w:color w:val="000000" w:themeColor="text1"/>
          </w:rPr>
          <w:noBreakHyphen/>
        </w:r>
        <w:r w:rsidRPr="00AF0BE1">
          <w:rPr>
            <w:rStyle w:val="Hyperlink"/>
            <w:color w:val="000000" w:themeColor="text1"/>
          </w:rPr>
          <w:t>june</w:t>
        </w:r>
        <w:r>
          <w:rPr>
            <w:rStyle w:val="Hyperlink"/>
            <w:color w:val="000000" w:themeColor="text1"/>
          </w:rPr>
          <w:noBreakHyphen/>
        </w:r>
        <w:r w:rsidRPr="00AF0BE1">
          <w:rPr>
            <w:rStyle w:val="Hyperlink"/>
            <w:color w:val="000000" w:themeColor="text1"/>
          </w:rPr>
          <w:t>2020</w:t>
        </w:r>
        <w:r>
          <w:rPr>
            <w:rStyle w:val="Hyperlink"/>
            <w:color w:val="000000" w:themeColor="text1"/>
          </w:rPr>
          <w:noBreakHyphen/>
        </w:r>
        <w:r w:rsidRPr="00AF0BE1">
          <w:rPr>
            <w:rStyle w:val="Hyperlink"/>
            <w:color w:val="000000" w:themeColor="text1"/>
          </w:rPr>
          <w:t>senate</w:t>
        </w:r>
        <w:r>
          <w:rPr>
            <w:rStyle w:val="Hyperlink"/>
            <w:color w:val="000000" w:themeColor="text1"/>
          </w:rPr>
          <w:noBreakHyphen/>
        </w:r>
        <w:r w:rsidRPr="00AF0BE1">
          <w:rPr>
            <w:rStyle w:val="Hyperlink"/>
            <w:color w:val="000000" w:themeColor="text1"/>
          </w:rPr>
          <w:t>select</w:t>
        </w:r>
        <w:r>
          <w:rPr>
            <w:rStyle w:val="Hyperlink"/>
            <w:color w:val="000000" w:themeColor="text1"/>
          </w:rPr>
          <w:noBreakHyphen/>
        </w:r>
        <w:r w:rsidRPr="00AF0BE1">
          <w:rPr>
            <w:rStyle w:val="Hyperlink"/>
            <w:color w:val="000000" w:themeColor="text1"/>
          </w:rPr>
          <w:t>committee</w:t>
        </w:r>
        <w:r>
          <w:rPr>
            <w:rStyle w:val="Hyperlink"/>
            <w:color w:val="000000" w:themeColor="text1"/>
          </w:rPr>
          <w:noBreakHyphen/>
        </w:r>
        <w:r w:rsidRPr="00AF0BE1">
          <w:rPr>
            <w:rStyle w:val="Hyperlink"/>
            <w:color w:val="000000" w:themeColor="text1"/>
          </w:rPr>
          <w:t>covid</w:t>
        </w:r>
        <w:r>
          <w:rPr>
            <w:rStyle w:val="Hyperlink"/>
            <w:color w:val="000000" w:themeColor="text1"/>
          </w:rPr>
          <w:noBreakHyphen/>
        </w:r>
        <w:r w:rsidRPr="00AF0BE1">
          <w:rPr>
            <w:rStyle w:val="Hyperlink"/>
            <w:color w:val="000000" w:themeColor="text1"/>
          </w:rPr>
          <w:t>19</w:t>
        </w:r>
      </w:hyperlink>
    </w:p>
  </w:footnote>
  <w:footnote w:id="16">
    <w:p w14:paraId="2E9256EF" w14:textId="5FB5184E" w:rsidR="009F135E" w:rsidRPr="00AF0BE1" w:rsidRDefault="009F135E" w:rsidP="00397077">
      <w:pPr>
        <w:pStyle w:val="FootnoteText"/>
      </w:pPr>
      <w:r w:rsidRPr="00EE6DB5">
        <w:rPr>
          <w:rStyle w:val="FootnoteReference"/>
          <w:vertAlign w:val="baseline"/>
        </w:rPr>
        <w:footnoteRef/>
      </w:r>
      <w:r w:rsidRPr="00D00D86">
        <w:t xml:space="preserve"> </w:t>
      </w:r>
      <w:r>
        <w:tab/>
        <w:t>Morrison, S (Prime Minister) and Frydenberg, J (Treasurer) 2020, ‘</w:t>
      </w:r>
      <w:r w:rsidRPr="00D00D86">
        <w:t>$130 billion JobKeeper payment to keep Australians in a job</w:t>
      </w:r>
      <w:r>
        <w:t>’</w:t>
      </w:r>
      <w:r w:rsidRPr="00D00D86">
        <w:t xml:space="preserve">, joint media release, 30 March, accessed at </w:t>
      </w:r>
      <w:hyperlink r:id="rId13" w:history="1">
        <w:r w:rsidRPr="00AF0BE1">
          <w:rPr>
            <w:rStyle w:val="Hyperlink"/>
            <w:color w:val="000000" w:themeColor="text1"/>
          </w:rPr>
          <w:t>https://ministers.treasury.gov.au/ministers/josh</w:t>
        </w:r>
        <w:r>
          <w:rPr>
            <w:rStyle w:val="Hyperlink"/>
            <w:color w:val="000000" w:themeColor="text1"/>
          </w:rPr>
          <w:noBreakHyphen/>
        </w:r>
        <w:r w:rsidRPr="00AF0BE1">
          <w:rPr>
            <w:rStyle w:val="Hyperlink"/>
            <w:color w:val="000000" w:themeColor="text1"/>
          </w:rPr>
          <w:t>frydenberg</w:t>
        </w:r>
        <w:r>
          <w:rPr>
            <w:rStyle w:val="Hyperlink"/>
            <w:color w:val="000000" w:themeColor="text1"/>
          </w:rPr>
          <w:noBreakHyphen/>
        </w:r>
        <w:r w:rsidRPr="00AF0BE1">
          <w:rPr>
            <w:rStyle w:val="Hyperlink"/>
            <w:color w:val="000000" w:themeColor="text1"/>
          </w:rPr>
          <w:t>2018/media</w:t>
        </w:r>
        <w:r>
          <w:rPr>
            <w:rStyle w:val="Hyperlink"/>
            <w:color w:val="000000" w:themeColor="text1"/>
          </w:rPr>
          <w:noBreakHyphen/>
        </w:r>
        <w:r w:rsidRPr="00AF0BE1">
          <w:rPr>
            <w:rStyle w:val="Hyperlink"/>
            <w:color w:val="000000" w:themeColor="text1"/>
          </w:rPr>
          <w:t>releases/130</w:t>
        </w:r>
        <w:r>
          <w:rPr>
            <w:rStyle w:val="Hyperlink"/>
            <w:color w:val="000000" w:themeColor="text1"/>
          </w:rPr>
          <w:noBreakHyphen/>
        </w:r>
        <w:r w:rsidRPr="00AF0BE1">
          <w:rPr>
            <w:rStyle w:val="Hyperlink"/>
            <w:color w:val="000000" w:themeColor="text1"/>
          </w:rPr>
          <w:t>billion</w:t>
        </w:r>
        <w:r>
          <w:rPr>
            <w:rStyle w:val="Hyperlink"/>
            <w:color w:val="000000" w:themeColor="text1"/>
          </w:rPr>
          <w:noBreakHyphen/>
        </w:r>
        <w:r w:rsidRPr="00AF0BE1">
          <w:rPr>
            <w:rStyle w:val="Hyperlink"/>
            <w:color w:val="000000" w:themeColor="text1"/>
          </w:rPr>
          <w:t>jobkeeper</w:t>
        </w:r>
        <w:r>
          <w:rPr>
            <w:rStyle w:val="Hyperlink"/>
            <w:color w:val="000000" w:themeColor="text1"/>
          </w:rPr>
          <w:noBreakHyphen/>
        </w:r>
        <w:r w:rsidRPr="00AF0BE1">
          <w:rPr>
            <w:rStyle w:val="Hyperlink"/>
            <w:color w:val="000000" w:themeColor="text1"/>
          </w:rPr>
          <w:t>payment</w:t>
        </w:r>
        <w:r>
          <w:rPr>
            <w:rStyle w:val="Hyperlink"/>
            <w:color w:val="000000" w:themeColor="text1"/>
          </w:rPr>
          <w:noBreakHyphen/>
        </w:r>
        <w:r w:rsidRPr="00AF0BE1">
          <w:rPr>
            <w:rStyle w:val="Hyperlink"/>
            <w:color w:val="000000" w:themeColor="text1"/>
          </w:rPr>
          <w:t>keep</w:t>
        </w:r>
        <w:r>
          <w:rPr>
            <w:rStyle w:val="Hyperlink"/>
            <w:color w:val="000000" w:themeColor="text1"/>
          </w:rPr>
          <w:noBreakHyphen/>
        </w:r>
        <w:r w:rsidRPr="00AF0BE1">
          <w:rPr>
            <w:rStyle w:val="Hyperlink"/>
            <w:color w:val="000000" w:themeColor="text1"/>
          </w:rPr>
          <w:t>australians</w:t>
        </w:r>
        <w:r>
          <w:rPr>
            <w:rStyle w:val="Hyperlink"/>
            <w:color w:val="000000" w:themeColor="text1"/>
          </w:rPr>
          <w:noBreakHyphen/>
        </w:r>
        <w:r w:rsidRPr="00AF0BE1">
          <w:rPr>
            <w:rStyle w:val="Hyperlink"/>
            <w:color w:val="000000" w:themeColor="text1"/>
          </w:rPr>
          <w:t>job</w:t>
        </w:r>
      </w:hyperlink>
    </w:p>
  </w:footnote>
  <w:footnote w:id="17">
    <w:p w14:paraId="40231647" w14:textId="2ED768D9"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On 19 June 2020, the Fair Work Commission announced an increase to the National Minimum Wage of 1.75 per cent to $19.84 per hour, or $1,50</w:t>
      </w:r>
      <w:r>
        <w:t>7.60</w:t>
      </w:r>
      <w:r w:rsidRPr="00D00D86">
        <w:t xml:space="preserve"> per fortnight. This comes into effect from 1 July 2020 for industries identified as less affected by the Coronavirus outbreak, 1 November 2020 for industries identified as moderately affected, and 1 February 2021 for industries identified as most adversely affected.</w:t>
      </w:r>
    </w:p>
  </w:footnote>
  <w:footnote w:id="18">
    <w:p w14:paraId="6A3A1D00" w14:textId="30AE4724" w:rsidR="009F135E" w:rsidRPr="00D00D86" w:rsidRDefault="009F135E" w:rsidP="00397077">
      <w:pPr>
        <w:pStyle w:val="FootnoteText"/>
      </w:pPr>
      <w:r w:rsidRPr="00EE6DB5">
        <w:rPr>
          <w:rStyle w:val="FootnoteReference"/>
          <w:vertAlign w:val="baseline"/>
        </w:rPr>
        <w:footnoteRef/>
      </w:r>
      <w:r w:rsidRPr="00D00D86">
        <w:t xml:space="preserve"> </w:t>
      </w:r>
      <w:r>
        <w:tab/>
        <w:t xml:space="preserve">Sixteen and seventeen </w:t>
      </w:r>
      <w:r w:rsidRPr="00D00D86">
        <w:t>year olds are eligible employees if they are independent or not undertaking full</w:t>
      </w:r>
      <w:r>
        <w:noBreakHyphen/>
      </w:r>
      <w:r w:rsidRPr="00D00D86">
        <w:t xml:space="preserve">time study. </w:t>
      </w:r>
    </w:p>
  </w:footnote>
  <w:footnote w:id="19">
    <w:p w14:paraId="771AE981" w14:textId="5F65021D" w:rsidR="009F135E" w:rsidRPr="00BC4BA4" w:rsidRDefault="009F135E" w:rsidP="00397077">
      <w:pPr>
        <w:pStyle w:val="FootnoteText"/>
      </w:pPr>
      <w:r w:rsidRPr="00EE6DB5">
        <w:rPr>
          <w:rStyle w:val="FootnoteReference"/>
          <w:vertAlign w:val="baseline"/>
        </w:rPr>
        <w:footnoteRef/>
      </w:r>
      <w:r w:rsidRPr="00BC4BA4">
        <w:t xml:space="preserve"> </w:t>
      </w:r>
      <w:r>
        <w:tab/>
        <w:t>ATO administrative data, as at 23 June 2020</w:t>
      </w:r>
    </w:p>
  </w:footnote>
  <w:footnote w:id="20">
    <w:p w14:paraId="7D151565" w14:textId="1A895BC9" w:rsidR="009F135E" w:rsidRPr="00BC4BA4" w:rsidRDefault="009F135E" w:rsidP="00397077">
      <w:pPr>
        <w:pStyle w:val="FootnoteText"/>
      </w:pPr>
      <w:r w:rsidRPr="00EE6DB5">
        <w:rPr>
          <w:rStyle w:val="FootnoteReference"/>
          <w:vertAlign w:val="baseline"/>
        </w:rPr>
        <w:footnoteRef/>
      </w:r>
      <w:r w:rsidRPr="00BC4BA4">
        <w:t xml:space="preserve"> </w:t>
      </w:r>
      <w:r>
        <w:tab/>
      </w:r>
      <w:r w:rsidRPr="00BC4BA4">
        <w:t xml:space="preserve">Eligible </w:t>
      </w:r>
      <w:r>
        <w:t>employees and other individuals</w:t>
      </w:r>
    </w:p>
  </w:footnote>
  <w:footnote w:id="21">
    <w:p w14:paraId="156F0A42" w14:textId="63A5D48C" w:rsidR="009F135E" w:rsidRDefault="009F135E">
      <w:pPr>
        <w:pStyle w:val="FootnoteText"/>
      </w:pPr>
      <w:r w:rsidRPr="00B76BAF">
        <w:rPr>
          <w:rStyle w:val="FootnoteReference"/>
          <w:vertAlign w:val="baseline"/>
        </w:rPr>
        <w:footnoteRef/>
      </w:r>
      <w:r>
        <w:t xml:space="preserve"> </w:t>
      </w:r>
      <w:r>
        <w:tab/>
        <w:t>See Table A1</w:t>
      </w:r>
    </w:p>
  </w:footnote>
  <w:footnote w:id="22">
    <w:p w14:paraId="6C01E0BE" w14:textId="15EC8799" w:rsidR="009F135E" w:rsidRPr="00BC4BA4" w:rsidRDefault="009F135E" w:rsidP="00397077">
      <w:pPr>
        <w:pStyle w:val="FootnoteText"/>
      </w:pPr>
      <w:r w:rsidRPr="00EE6DB5">
        <w:rPr>
          <w:rStyle w:val="FootnoteReference"/>
          <w:vertAlign w:val="baseline"/>
        </w:rPr>
        <w:footnoteRef/>
      </w:r>
      <w:r w:rsidRPr="00BC4BA4">
        <w:t xml:space="preserve"> </w:t>
      </w:r>
      <w:r>
        <w:tab/>
      </w:r>
      <w:r w:rsidRPr="00BC4BA4">
        <w:t xml:space="preserve">Organisations are categorised </w:t>
      </w:r>
      <w:r>
        <w:t xml:space="preserve">to industry </w:t>
      </w:r>
      <w:r w:rsidRPr="00BC4BA4">
        <w:t>by the ATO using the Australia</w:t>
      </w:r>
      <w:r>
        <w:t>n</w:t>
      </w:r>
      <w:r w:rsidRPr="00BC4BA4">
        <w:t xml:space="preserve"> and New Zealand </w:t>
      </w:r>
      <w:r>
        <w:t xml:space="preserve">Standard </w:t>
      </w:r>
      <w:r w:rsidRPr="00BC4BA4">
        <w:t>Industr</w:t>
      </w:r>
      <w:r>
        <w:t>ial Classification.</w:t>
      </w:r>
    </w:p>
  </w:footnote>
  <w:footnote w:id="23">
    <w:p w14:paraId="56AE6720" w14:textId="50E1D87D" w:rsidR="009F135E" w:rsidRPr="00BC4BA4" w:rsidRDefault="009F135E" w:rsidP="00397077">
      <w:pPr>
        <w:pStyle w:val="FootnoteText"/>
      </w:pPr>
      <w:r w:rsidRPr="00EE6DB5">
        <w:rPr>
          <w:rStyle w:val="FootnoteReference"/>
          <w:vertAlign w:val="baseline"/>
        </w:rPr>
        <w:footnoteRef/>
      </w:r>
      <w:r w:rsidRPr="00BC4BA4">
        <w:t xml:space="preserve"> </w:t>
      </w:r>
      <w:r>
        <w:tab/>
      </w:r>
      <w:r w:rsidRPr="00BC4BA4">
        <w:t xml:space="preserve">Other services includes personal services like laundry, hairdressers and day spas; funeral and religious services; car repair and maintenance (like spray painting) and </w:t>
      </w:r>
      <w:r>
        <w:t>other machinery repair services.</w:t>
      </w:r>
    </w:p>
  </w:footnote>
  <w:footnote w:id="24">
    <w:p w14:paraId="096832F2" w14:textId="61C15A2F"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Labour Force, Australia, Detailed, Quarterly</w:t>
      </w:r>
      <w:r>
        <w:t>,</w:t>
      </w:r>
      <w:r w:rsidRPr="00D00D86">
        <w:t xml:space="preserve"> May 2020 (Cat. No. </w:t>
      </w:r>
      <w:r w:rsidRPr="00D00D86">
        <w:rPr>
          <w:rFonts w:cstheme="minorHAnsi"/>
        </w:rPr>
        <w:t>6291.0.55.003)</w:t>
      </w:r>
      <w:r w:rsidRPr="00D00D86">
        <w:t xml:space="preserve"> </w:t>
      </w:r>
    </w:p>
  </w:footnote>
  <w:footnote w:id="25">
    <w:p w14:paraId="7D771FBD" w14:textId="524C024D"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Multiple job holders are another potential source of measurement error, to the extent that there are differences in the job for which an employee receives the JobKeeper payment and their </w:t>
      </w:r>
      <w:r>
        <w:t>‘</w:t>
      </w:r>
      <w:r w:rsidRPr="00D00D86">
        <w:t>main job</w:t>
      </w:r>
      <w:r>
        <w:t>’</w:t>
      </w:r>
      <w:r w:rsidRPr="00D00D86">
        <w:t xml:space="preserve"> as captured in the </w:t>
      </w:r>
      <w:r>
        <w:t xml:space="preserve">ABS </w:t>
      </w:r>
      <w:r w:rsidRPr="00D00D86">
        <w:t>Labour Force Surve</w:t>
      </w:r>
      <w:r>
        <w:t>y.</w:t>
      </w:r>
    </w:p>
  </w:footnote>
  <w:footnote w:id="26">
    <w:p w14:paraId="5E098DD8" w14:textId="7ED902F1" w:rsidR="009F135E" w:rsidRDefault="009F135E" w:rsidP="00397077">
      <w:pPr>
        <w:pStyle w:val="FootnoteText"/>
      </w:pPr>
      <w:r w:rsidRPr="00EE6DB5">
        <w:rPr>
          <w:rStyle w:val="FootnoteReference"/>
          <w:vertAlign w:val="baseline"/>
        </w:rPr>
        <w:footnoteRef/>
      </w:r>
      <w:r w:rsidRPr="00D00D86">
        <w:t xml:space="preserve"> </w:t>
      </w:r>
      <w:r>
        <w:tab/>
      </w:r>
      <w:r w:rsidRPr="00D00D86">
        <w:t>Arts and recreation services includes four sub</w:t>
      </w:r>
      <w:r>
        <w:noBreakHyphen/>
      </w:r>
      <w:r w:rsidRPr="00D00D86">
        <w:t>divisions: heritage, sports and recreation, gambling activities, and creative and performing arts. This last sub</w:t>
      </w:r>
      <w:r>
        <w:noBreakHyphen/>
      </w:r>
      <w:r w:rsidRPr="00D00D86">
        <w:t xml:space="preserve">division has lower </w:t>
      </w:r>
      <w:r>
        <w:t xml:space="preserve">organisational </w:t>
      </w:r>
      <w:r w:rsidRPr="00D00D86">
        <w:t>coverage than the other three sub</w:t>
      </w:r>
      <w:r>
        <w:noBreakHyphen/>
        <w:t>divisions.</w:t>
      </w:r>
    </w:p>
  </w:footnote>
  <w:footnote w:id="27">
    <w:p w14:paraId="1D93F265" w14:textId="75086E44"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rPr>
          <w:lang w:val="en"/>
        </w:rPr>
        <w:t>Once an employer decides to participate in the JobKeeper Payment and their eligible employees have agreed to be nominated, the employer must ensure that all of these eligible employees are covered. This includes all eligible employees who are undertaking work for the employer or have been stood down. The employer cannot select which eligible employees will participate in the program.</w:t>
      </w:r>
    </w:p>
  </w:footnote>
  <w:footnote w:id="28">
    <w:p w14:paraId="112CAA8A" w14:textId="3F994782"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The release of detailed quarterly Labour Force Survey data on employment levels and changes by industry and occupation between February and May 2020 coincided with the finalisation of this report, and analysis was unable to be included.</w:t>
      </w:r>
    </w:p>
  </w:footnote>
  <w:footnote w:id="29">
    <w:p w14:paraId="6F99B521" w14:textId="2DBB50ED" w:rsidR="009F135E" w:rsidRPr="00AF0BE1" w:rsidRDefault="009F135E" w:rsidP="00397077">
      <w:pPr>
        <w:pStyle w:val="FootnoteText"/>
        <w:rPr>
          <w:rFonts w:ascii="Calibri" w:hAnsi="Calibri" w:cs="Calibri"/>
        </w:rPr>
      </w:pPr>
      <w:r w:rsidRPr="00EE6DB5">
        <w:rPr>
          <w:rStyle w:val="FootnoteReference"/>
          <w:vertAlign w:val="baseline"/>
        </w:rPr>
        <w:footnoteRef/>
      </w:r>
      <w:r w:rsidRPr="00D00D86">
        <w:t xml:space="preserve"> </w:t>
      </w:r>
      <w:r>
        <w:tab/>
      </w:r>
      <w:r w:rsidRPr="00D00D86">
        <w:t xml:space="preserve">A set of ATO data at a postcode level was released on 24 June 2020 and is available at </w:t>
      </w:r>
      <w:hyperlink r:id="rId14" w:history="1">
        <w:r w:rsidRPr="00AF0BE1">
          <w:rPr>
            <w:rStyle w:val="Hyperlink"/>
            <w:color w:val="000000" w:themeColor="text1"/>
          </w:rPr>
          <w:t>https://treasury.gov.au/coronavirus/jobkeeper/data</w:t>
        </w:r>
      </w:hyperlink>
    </w:p>
  </w:footnote>
  <w:footnote w:id="30">
    <w:p w14:paraId="2D503641" w14:textId="68F3ABCE" w:rsidR="009F135E" w:rsidRPr="00D00D86" w:rsidRDefault="009F135E" w:rsidP="00397077">
      <w:pPr>
        <w:pStyle w:val="FootnoteText"/>
      </w:pPr>
      <w:r w:rsidRPr="00EE6DB5">
        <w:rPr>
          <w:rStyle w:val="FootnoteReference"/>
          <w:rFonts w:cstheme="minorHAnsi"/>
          <w:vertAlign w:val="baseline"/>
        </w:rPr>
        <w:footnoteRef/>
      </w:r>
      <w:r w:rsidRPr="00D00D86">
        <w:t xml:space="preserve"> </w:t>
      </w:r>
      <w:r>
        <w:tab/>
      </w:r>
      <w:r w:rsidRPr="00D00D86">
        <w:t xml:space="preserve">ABS </w:t>
      </w:r>
      <w:r w:rsidRPr="00D00D86">
        <w:rPr>
          <w:shd w:val="clear" w:color="auto" w:fill="FFFFFF"/>
        </w:rPr>
        <w:t>Business Impacts of COVID</w:t>
      </w:r>
      <w:r>
        <w:rPr>
          <w:shd w:val="clear" w:color="auto" w:fill="FFFFFF"/>
        </w:rPr>
        <w:noBreakHyphen/>
      </w:r>
      <w:r w:rsidRPr="00D00D86">
        <w:rPr>
          <w:shd w:val="clear" w:color="auto" w:fill="FFFFFF"/>
        </w:rPr>
        <w:t>19, April 2020 (Cat. No. 5676.0.55.003)</w:t>
      </w:r>
    </w:p>
  </w:footnote>
  <w:footnote w:id="31">
    <w:p w14:paraId="6072CDC0" w14:textId="5C61118E"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Estimates from the Labour Force Survey are produced monthly and initial results are usually published 5</w:t>
      </w:r>
      <w:r>
        <w:noBreakHyphen/>
      </w:r>
      <w:r w:rsidRPr="00D00D86">
        <w:t>6 weeks after the commencement of interviews for the relevant month.</w:t>
      </w:r>
    </w:p>
  </w:footnote>
  <w:footnote w:id="32">
    <w:p w14:paraId="1F34DC77" w14:textId="66394B49"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ABS </w:t>
      </w:r>
      <w:r w:rsidRPr="00D00D86">
        <w:rPr>
          <w:shd w:val="clear" w:color="auto" w:fill="FFFFFF"/>
        </w:rPr>
        <w:t>Weekly Payroll Jobs and Wages in Australia, Week ending 30 May 2020 (Cat. No. 6160.0.55.001)</w:t>
      </w:r>
    </w:p>
  </w:footnote>
  <w:footnote w:id="33">
    <w:p w14:paraId="7ED211AB" w14:textId="2BEFDBFA" w:rsidR="009F135E" w:rsidRPr="00AF0BE1" w:rsidRDefault="009F135E" w:rsidP="00397077">
      <w:pPr>
        <w:pStyle w:val="FootnoteText"/>
      </w:pPr>
      <w:r w:rsidRPr="00EE6DB5">
        <w:rPr>
          <w:rStyle w:val="FootnoteReference"/>
          <w:vertAlign w:val="baseline"/>
        </w:rPr>
        <w:footnoteRef/>
      </w:r>
      <w:r w:rsidRPr="00D00D86">
        <w:t xml:space="preserve"> </w:t>
      </w:r>
      <w:r>
        <w:tab/>
        <w:t>T</w:t>
      </w:r>
      <w:r w:rsidRPr="00D00D86">
        <w:t xml:space="preserve">here are key differences between the </w:t>
      </w:r>
      <w:r>
        <w:t>employment as measured in the Labour Force Survey and the payroll jobs series</w:t>
      </w:r>
      <w:r w:rsidRPr="00D00D86">
        <w:t xml:space="preserve"> that should be considered when comparing the two</w:t>
      </w:r>
      <w:r>
        <w:t xml:space="preserve">, see the following: </w:t>
      </w:r>
      <w:hyperlink r:id="rId15" w:history="1">
        <w:r w:rsidRPr="00AF0BE1">
          <w:rPr>
            <w:rStyle w:val="Hyperlink"/>
            <w:color w:val="000000" w:themeColor="text1"/>
          </w:rPr>
          <w:t>https://www.abs.gov.au/ausstats/abs@.nsf/PrimaryMainFeatures/6202.0?OpenDocument</w:t>
        </w:r>
      </w:hyperlink>
      <w:r w:rsidRPr="00AF0BE1">
        <w:t xml:space="preserve"> </w:t>
      </w:r>
    </w:p>
  </w:footnote>
  <w:footnote w:id="34">
    <w:p w14:paraId="2A980A23" w14:textId="5836A055" w:rsidR="009F135E" w:rsidRPr="00D00D86" w:rsidRDefault="009F135E" w:rsidP="00397077">
      <w:pPr>
        <w:pStyle w:val="FootnoteText"/>
      </w:pPr>
      <w:r w:rsidRPr="00EE6DB5">
        <w:rPr>
          <w:rStyle w:val="FootnoteReference"/>
          <w:vertAlign w:val="baseline"/>
        </w:rPr>
        <w:footnoteRef/>
      </w:r>
      <w:r w:rsidRPr="00D00D86">
        <w:t xml:space="preserve"> </w:t>
      </w:r>
      <w:r>
        <w:tab/>
        <w:t xml:space="preserve">Two thirds in this instance corresponds to around 27 of the 40 percentage points. This </w:t>
      </w:r>
      <w:r w:rsidRPr="00D00D86">
        <w:t>27 per cent coverage is a little below the coverage figure of 30 per cent of private sector employment in February reported earlier. This may reflect the exclusion of self</w:t>
      </w:r>
      <w:r>
        <w:noBreakHyphen/>
      </w:r>
      <w:r w:rsidRPr="00D00D86">
        <w:t xml:space="preserve">employed and small businesses that are not </w:t>
      </w:r>
      <w:r>
        <w:t>STP</w:t>
      </w:r>
      <w:r>
        <w:noBreakHyphen/>
      </w:r>
      <w:r w:rsidRPr="00D00D86">
        <w:t>enabled, and the fact that coverage of jobs will be lower than the coverage of people due to multiple job holders (who can be covered for only one job).</w:t>
      </w:r>
    </w:p>
  </w:footnote>
  <w:footnote w:id="35">
    <w:p w14:paraId="65103D92" w14:textId="437113A4" w:rsidR="009F135E" w:rsidRDefault="009F135E" w:rsidP="00397077">
      <w:pPr>
        <w:pStyle w:val="FootnoteText"/>
      </w:pPr>
      <w:r w:rsidRPr="00EE6DB5">
        <w:rPr>
          <w:rStyle w:val="FootnoteReference"/>
          <w:vertAlign w:val="baseline"/>
        </w:rPr>
        <w:footnoteRef/>
      </w:r>
      <w:r w:rsidRPr="00D00D86">
        <w:t xml:space="preserve"> </w:t>
      </w:r>
      <w:r>
        <w:tab/>
      </w:r>
      <w:r w:rsidRPr="00D00D86">
        <w:t xml:space="preserve">Xero Small Business Insights June 2020, accessed at </w:t>
      </w:r>
      <w:hyperlink r:id="rId16" w:history="1">
        <w:r w:rsidRPr="00D00D86">
          <w:rPr>
            <w:rStyle w:val="Hyperlink"/>
            <w:color w:val="000000" w:themeColor="text1"/>
          </w:rPr>
          <w:t>https://www.xero.com/small</w:t>
        </w:r>
        <w:r>
          <w:rPr>
            <w:rStyle w:val="Hyperlink"/>
            <w:color w:val="000000" w:themeColor="text1"/>
          </w:rPr>
          <w:noBreakHyphen/>
        </w:r>
        <w:r w:rsidRPr="00D00D86">
          <w:rPr>
            <w:rStyle w:val="Hyperlink"/>
            <w:color w:val="000000" w:themeColor="text1"/>
          </w:rPr>
          <w:t>business</w:t>
        </w:r>
        <w:r>
          <w:rPr>
            <w:rStyle w:val="Hyperlink"/>
            <w:color w:val="000000" w:themeColor="text1"/>
          </w:rPr>
          <w:noBreakHyphen/>
        </w:r>
        <w:r w:rsidRPr="00D00D86">
          <w:rPr>
            <w:rStyle w:val="Hyperlink"/>
            <w:color w:val="000000" w:themeColor="text1"/>
          </w:rPr>
          <w:t>insights/</w:t>
        </w:r>
      </w:hyperlink>
      <w:r w:rsidRPr="00D00D86">
        <w:t>. For employment analysis, Xero draws from a sample of over 100,000 Xero subscribers, predominantly small businesses.</w:t>
      </w:r>
    </w:p>
  </w:footnote>
  <w:footnote w:id="36">
    <w:p w14:paraId="1370B598" w14:textId="350EE12F"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Weekly Payroll Jobs and Wages in Australia, Week ending 30 May 2020 (Cat. No. 6160.0.55.001)</w:t>
      </w:r>
    </w:p>
  </w:footnote>
  <w:footnote w:id="37">
    <w:p w14:paraId="5835245B" w14:textId="19784D44"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ABS Business Indicators, </w:t>
      </w:r>
      <w:r w:rsidRPr="00D00D86">
        <w:rPr>
          <w:shd w:val="clear" w:color="auto" w:fill="FFFFFF"/>
        </w:rPr>
        <w:t>Business Impacts of COVID</w:t>
      </w:r>
      <w:r>
        <w:rPr>
          <w:shd w:val="clear" w:color="auto" w:fill="FFFFFF"/>
        </w:rPr>
        <w:noBreakHyphen/>
      </w:r>
      <w:r w:rsidRPr="00D00D86">
        <w:rPr>
          <w:shd w:val="clear" w:color="auto" w:fill="FFFFFF"/>
        </w:rPr>
        <w:t>19, April 2020 (Cat. No. 5676.0.55.003)</w:t>
      </w:r>
    </w:p>
  </w:footnote>
  <w:footnote w:id="38">
    <w:p w14:paraId="607F7F7D" w14:textId="1AC0C870"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Business Indicators, Business Impacts of COVID</w:t>
      </w:r>
      <w:r>
        <w:noBreakHyphen/>
      </w:r>
      <w:r w:rsidRPr="00D00D86">
        <w:t>19, May 2020 (Cat. No. 5676.0.55.003)</w:t>
      </w:r>
    </w:p>
  </w:footnote>
  <w:footnote w:id="39">
    <w:p w14:paraId="73E28EEC" w14:textId="796F0FE5"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Monthly average hours worked have been estimated using ABS Labour Force figures on total employed and total hours worked for each relevant month.</w:t>
      </w:r>
    </w:p>
  </w:footnote>
  <w:footnote w:id="40">
    <w:p w14:paraId="5DCE59EA" w14:textId="7D47C1EB"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s 524(1)(c), </w:t>
      </w:r>
      <w:r w:rsidRPr="007F1C3B">
        <w:rPr>
          <w:i/>
        </w:rPr>
        <w:t>Fair Work Act 2009</w:t>
      </w:r>
    </w:p>
  </w:footnote>
  <w:footnote w:id="41">
    <w:p w14:paraId="714BA082" w14:textId="216E5229" w:rsidR="009F135E" w:rsidRPr="00AF0BE1" w:rsidRDefault="009F135E" w:rsidP="00397077">
      <w:pPr>
        <w:pStyle w:val="FootnoteText"/>
      </w:pPr>
      <w:r w:rsidRPr="00EE6DB5">
        <w:rPr>
          <w:rStyle w:val="FootnoteReference"/>
          <w:vertAlign w:val="baseline"/>
        </w:rPr>
        <w:footnoteRef/>
      </w:r>
      <w:r w:rsidRPr="00D00D86">
        <w:t xml:space="preserve"> </w:t>
      </w:r>
      <w:r>
        <w:tab/>
      </w:r>
      <w:r w:rsidRPr="00D00D86">
        <w:t xml:space="preserve">More information on JobKeeper enabling provisions is available at </w:t>
      </w:r>
      <w:hyperlink r:id="rId17" w:history="1">
        <w:r w:rsidRPr="00AF0BE1">
          <w:rPr>
            <w:rStyle w:val="Hyperlink"/>
            <w:color w:val="000000" w:themeColor="text1"/>
          </w:rPr>
          <w:t>https://coronavirus.fairwork.gov.au/coronavirus</w:t>
        </w:r>
        <w:r>
          <w:rPr>
            <w:rStyle w:val="Hyperlink"/>
            <w:color w:val="000000" w:themeColor="text1"/>
          </w:rPr>
          <w:noBreakHyphen/>
        </w:r>
        <w:r w:rsidRPr="00AF0BE1">
          <w:rPr>
            <w:rStyle w:val="Hyperlink"/>
            <w:color w:val="000000" w:themeColor="text1"/>
          </w:rPr>
          <w:t>and</w:t>
        </w:r>
        <w:r>
          <w:rPr>
            <w:rStyle w:val="Hyperlink"/>
            <w:color w:val="000000" w:themeColor="text1"/>
          </w:rPr>
          <w:noBreakHyphen/>
        </w:r>
        <w:r w:rsidRPr="00AF0BE1">
          <w:rPr>
            <w:rStyle w:val="Hyperlink"/>
            <w:color w:val="000000" w:themeColor="text1"/>
          </w:rPr>
          <w:t>australian</w:t>
        </w:r>
        <w:r>
          <w:rPr>
            <w:rStyle w:val="Hyperlink"/>
            <w:color w:val="000000" w:themeColor="text1"/>
          </w:rPr>
          <w:noBreakHyphen/>
        </w:r>
        <w:r w:rsidRPr="00AF0BE1">
          <w:rPr>
            <w:rStyle w:val="Hyperlink"/>
            <w:color w:val="000000" w:themeColor="text1"/>
          </w:rPr>
          <w:t>workplace</w:t>
        </w:r>
        <w:r>
          <w:rPr>
            <w:rStyle w:val="Hyperlink"/>
            <w:color w:val="000000" w:themeColor="text1"/>
          </w:rPr>
          <w:noBreakHyphen/>
        </w:r>
        <w:r w:rsidRPr="00AF0BE1">
          <w:rPr>
            <w:rStyle w:val="Hyperlink"/>
            <w:color w:val="000000" w:themeColor="text1"/>
          </w:rPr>
          <w:t>laws/pay</w:t>
        </w:r>
        <w:r>
          <w:rPr>
            <w:rStyle w:val="Hyperlink"/>
            <w:color w:val="000000" w:themeColor="text1"/>
          </w:rPr>
          <w:noBreakHyphen/>
        </w:r>
        <w:r w:rsidRPr="00AF0BE1">
          <w:rPr>
            <w:rStyle w:val="Hyperlink"/>
            <w:color w:val="000000" w:themeColor="text1"/>
          </w:rPr>
          <w:t>and</w:t>
        </w:r>
        <w:r>
          <w:rPr>
            <w:rStyle w:val="Hyperlink"/>
            <w:color w:val="000000" w:themeColor="text1"/>
          </w:rPr>
          <w:noBreakHyphen/>
        </w:r>
        <w:r w:rsidRPr="00AF0BE1">
          <w:rPr>
            <w:rStyle w:val="Hyperlink"/>
            <w:color w:val="000000" w:themeColor="text1"/>
          </w:rPr>
          <w:t>leave</w:t>
        </w:r>
        <w:r>
          <w:rPr>
            <w:rStyle w:val="Hyperlink"/>
            <w:color w:val="000000" w:themeColor="text1"/>
          </w:rPr>
          <w:noBreakHyphen/>
        </w:r>
        <w:r w:rsidRPr="00AF0BE1">
          <w:rPr>
            <w:rStyle w:val="Hyperlink"/>
            <w:color w:val="000000" w:themeColor="text1"/>
          </w:rPr>
          <w:t>during</w:t>
        </w:r>
        <w:r>
          <w:rPr>
            <w:rStyle w:val="Hyperlink"/>
            <w:color w:val="000000" w:themeColor="text1"/>
          </w:rPr>
          <w:noBreakHyphen/>
        </w:r>
        <w:r w:rsidRPr="00AF0BE1">
          <w:rPr>
            <w:rStyle w:val="Hyperlink"/>
            <w:color w:val="000000" w:themeColor="text1"/>
          </w:rPr>
          <w:t>coronavirus/jobkeeper</w:t>
        </w:r>
        <w:r>
          <w:rPr>
            <w:rStyle w:val="Hyperlink"/>
            <w:color w:val="000000" w:themeColor="text1"/>
          </w:rPr>
          <w:noBreakHyphen/>
        </w:r>
        <w:r w:rsidRPr="00AF0BE1">
          <w:rPr>
            <w:rStyle w:val="Hyperlink"/>
            <w:color w:val="000000" w:themeColor="text1"/>
          </w:rPr>
          <w:t>wage</w:t>
        </w:r>
        <w:r>
          <w:rPr>
            <w:rStyle w:val="Hyperlink"/>
            <w:color w:val="000000" w:themeColor="text1"/>
          </w:rPr>
          <w:noBreakHyphen/>
        </w:r>
        <w:r w:rsidRPr="00AF0BE1">
          <w:rPr>
            <w:rStyle w:val="Hyperlink"/>
            <w:color w:val="000000" w:themeColor="text1"/>
          </w:rPr>
          <w:t>subsidy</w:t>
        </w:r>
        <w:r>
          <w:rPr>
            <w:rStyle w:val="Hyperlink"/>
            <w:color w:val="000000" w:themeColor="text1"/>
          </w:rPr>
          <w:noBreakHyphen/>
        </w:r>
        <w:r w:rsidRPr="00AF0BE1">
          <w:rPr>
            <w:rStyle w:val="Hyperlink"/>
            <w:color w:val="000000" w:themeColor="text1"/>
          </w:rPr>
          <w:t>scheme/jobkeeper</w:t>
        </w:r>
        <w:r>
          <w:rPr>
            <w:rStyle w:val="Hyperlink"/>
            <w:color w:val="000000" w:themeColor="text1"/>
          </w:rPr>
          <w:noBreakHyphen/>
        </w:r>
        <w:r w:rsidRPr="00AF0BE1">
          <w:rPr>
            <w:rStyle w:val="Hyperlink"/>
            <w:color w:val="000000" w:themeColor="text1"/>
          </w:rPr>
          <w:t>enabling</w:t>
        </w:r>
        <w:r>
          <w:rPr>
            <w:rStyle w:val="Hyperlink"/>
            <w:color w:val="000000" w:themeColor="text1"/>
          </w:rPr>
          <w:noBreakHyphen/>
        </w:r>
        <w:r w:rsidRPr="00AF0BE1">
          <w:rPr>
            <w:rStyle w:val="Hyperlink"/>
            <w:color w:val="000000" w:themeColor="text1"/>
          </w:rPr>
          <w:t>stand</w:t>
        </w:r>
        <w:r>
          <w:rPr>
            <w:rStyle w:val="Hyperlink"/>
            <w:color w:val="000000" w:themeColor="text1"/>
          </w:rPr>
          <w:noBreakHyphen/>
        </w:r>
        <w:r w:rsidRPr="00AF0BE1">
          <w:rPr>
            <w:rStyle w:val="Hyperlink"/>
            <w:color w:val="000000" w:themeColor="text1"/>
          </w:rPr>
          <w:t>down</w:t>
        </w:r>
        <w:r>
          <w:rPr>
            <w:rStyle w:val="Hyperlink"/>
            <w:color w:val="000000" w:themeColor="text1"/>
          </w:rPr>
          <w:noBreakHyphen/>
        </w:r>
        <w:r w:rsidRPr="00AF0BE1">
          <w:rPr>
            <w:rStyle w:val="Hyperlink"/>
            <w:color w:val="000000" w:themeColor="text1"/>
          </w:rPr>
          <w:t>directions</w:t>
        </w:r>
      </w:hyperlink>
    </w:p>
  </w:footnote>
  <w:footnote w:id="42">
    <w:p w14:paraId="440EC760" w14:textId="1BE93F07"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The ABS defines </w:t>
      </w:r>
      <w:r>
        <w:t>‘e</w:t>
      </w:r>
      <w:r w:rsidRPr="00D00D86">
        <w:t>conomic reasons</w:t>
      </w:r>
      <w:r>
        <w:t>’</w:t>
      </w:r>
      <w:r w:rsidRPr="00D00D86">
        <w:t xml:space="preserve"> as stood down, there was insufficient work or no work available</w:t>
      </w:r>
    </w:p>
  </w:footnote>
  <w:footnote w:id="43">
    <w:p w14:paraId="110A6494" w14:textId="050CD807"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Labour Force, Australia, May 2020 (Cat. No. 6202.0)</w:t>
      </w:r>
    </w:p>
  </w:footnote>
  <w:footnote w:id="44">
    <w:p w14:paraId="654C7A80" w14:textId="5EFD941F"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Based on 1.9 million employees eligible for JobKeeper, and present in the </w:t>
      </w:r>
      <w:r>
        <w:t>STP</w:t>
      </w:r>
      <w:r w:rsidRPr="00D00D86">
        <w:t xml:space="preserve"> data and paid on a weekly or fortnightly basis in the fortnight ending 24 May 2020; excludes those paid on a monthly cycle which accounts for the bulk of cases not included in the analysis.</w:t>
      </w:r>
    </w:p>
  </w:footnote>
  <w:footnote w:id="45">
    <w:p w14:paraId="019ACBD6" w14:textId="61F01019"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Household Impacts of COVID</w:t>
      </w:r>
      <w:r>
        <w:noBreakHyphen/>
      </w:r>
      <w:r w:rsidRPr="00D00D86">
        <w:t>19 Survey, 26</w:t>
      </w:r>
      <w:r>
        <w:noBreakHyphen/>
      </w:r>
      <w:r w:rsidRPr="00D00D86">
        <w:t>29 May 2020 (Cat. No. 4940.0)</w:t>
      </w:r>
    </w:p>
  </w:footnote>
  <w:footnote w:id="46">
    <w:p w14:paraId="4016AE77" w14:textId="4AE06C0E"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 xml:space="preserve">Multiple job holders can receive the JobKeeper </w:t>
      </w:r>
      <w:r>
        <w:t>P</w:t>
      </w:r>
      <w:r w:rsidRPr="00D00D86">
        <w:t>ayment from only one employer</w:t>
      </w:r>
      <w:r>
        <w:t>.</w:t>
      </w:r>
    </w:p>
  </w:footnote>
  <w:footnote w:id="47">
    <w:p w14:paraId="62A3BB7F" w14:textId="647408EB" w:rsidR="009F135E" w:rsidRPr="00D00D86" w:rsidRDefault="009F135E" w:rsidP="00397077">
      <w:pPr>
        <w:pStyle w:val="FootnoteText"/>
      </w:pPr>
      <w:r w:rsidRPr="00EE6DB5">
        <w:rPr>
          <w:rStyle w:val="FootnoteReference"/>
          <w:vertAlign w:val="baseline"/>
        </w:rPr>
        <w:footnoteRef/>
      </w:r>
      <w:r w:rsidRPr="00D00D86">
        <w:t xml:space="preserve"> </w:t>
      </w:r>
      <w:r>
        <w:tab/>
      </w:r>
      <w:r w:rsidRPr="00D00D86">
        <w:t>ABS Weekly Payroll Jobs and Wages in Australia, Week ending 30 May 2020 (Cat. No. 6160.0.55.001)</w:t>
      </w:r>
    </w:p>
  </w:footnote>
  <w:footnote w:id="48">
    <w:p w14:paraId="68A66359" w14:textId="6C167623" w:rsidR="009F135E" w:rsidRPr="00FA5543" w:rsidRDefault="009F135E" w:rsidP="00397077">
      <w:pPr>
        <w:pStyle w:val="FootnoteText"/>
      </w:pPr>
      <w:r w:rsidRPr="00EE6DB5">
        <w:rPr>
          <w:rStyle w:val="FootnoteReference"/>
          <w:vertAlign w:val="baseline"/>
        </w:rPr>
        <w:footnoteRef/>
      </w:r>
      <w:r w:rsidRPr="00FA5543">
        <w:t xml:space="preserve"> </w:t>
      </w:r>
      <w:r>
        <w:tab/>
      </w:r>
      <w:r w:rsidRPr="00FA5543">
        <w:t>This data takes into account secondary jobs lost by multiple job holders. Some multiple job holders will have earned more than $1</w:t>
      </w:r>
      <w:r>
        <w:t>,</w:t>
      </w:r>
      <w:r w:rsidRPr="00FA5543">
        <w:t>500 per fortnight prior to March and may have suffered an income loss even if they are a JobKeeper recipient due to losing income from secondary jobs.</w:t>
      </w:r>
    </w:p>
  </w:footnote>
  <w:footnote w:id="49">
    <w:p w14:paraId="49C3B223" w14:textId="1C2E90F9" w:rsidR="009F135E" w:rsidRDefault="009F135E" w:rsidP="00397077">
      <w:pPr>
        <w:pStyle w:val="FootnoteText"/>
      </w:pPr>
      <w:r w:rsidRPr="00EE6DB5">
        <w:rPr>
          <w:rStyle w:val="FootnoteReference"/>
          <w:vertAlign w:val="baseline"/>
        </w:rPr>
        <w:footnoteRef/>
      </w:r>
      <w:r>
        <w:t xml:space="preserve"> </w:t>
      </w:r>
      <w:r>
        <w:tab/>
        <w:t xml:space="preserve">ABS </w:t>
      </w:r>
      <w:r w:rsidRPr="00E1609D">
        <w:t>Household Impacts of COVID</w:t>
      </w:r>
      <w:r>
        <w:noBreakHyphen/>
      </w:r>
      <w:r w:rsidRPr="00E1609D">
        <w:t>19 Survey, 10</w:t>
      </w:r>
      <w:r>
        <w:noBreakHyphen/>
      </w:r>
      <w:r w:rsidRPr="00E1609D">
        <w:t>15 June 2020</w:t>
      </w:r>
      <w:r>
        <w:t xml:space="preserve"> (Cat. No. 4940.0)</w:t>
      </w:r>
    </w:p>
  </w:footnote>
  <w:footnote w:id="50">
    <w:p w14:paraId="11C80787" w14:textId="1BC51058" w:rsidR="009F135E" w:rsidRPr="00FA5543" w:rsidRDefault="009F135E" w:rsidP="00397077">
      <w:pPr>
        <w:pStyle w:val="FootnoteText"/>
      </w:pPr>
      <w:r w:rsidRPr="00EE6DB5">
        <w:rPr>
          <w:rStyle w:val="FootnoteReference"/>
          <w:vertAlign w:val="baseline"/>
        </w:rPr>
        <w:footnoteRef/>
      </w:r>
      <w:r>
        <w:t xml:space="preserve"> </w:t>
      </w:r>
      <w:r>
        <w:tab/>
        <w:t>Based on 2.1</w:t>
      </w:r>
      <w:r w:rsidRPr="00FA5543">
        <w:t xml:space="preserve"> million employees eligible for JobKeeper, and present in the S</w:t>
      </w:r>
      <w:r>
        <w:t>TP</w:t>
      </w:r>
      <w:r w:rsidRPr="00FA5543">
        <w:t xml:space="preserve"> data, and who were on a regular weekly, fortnightly or monthly pay cycle through February</w:t>
      </w:r>
      <w:r>
        <w:t xml:space="preserve"> and received pay</w:t>
      </w:r>
      <w:r w:rsidRPr="00FA5543">
        <w:t xml:space="preserve">. </w:t>
      </w:r>
    </w:p>
  </w:footnote>
  <w:footnote w:id="51">
    <w:p w14:paraId="5D2EAB96" w14:textId="742C087B" w:rsidR="009F135E" w:rsidRPr="002C59E7" w:rsidRDefault="009F135E" w:rsidP="00310135">
      <w:pPr>
        <w:pStyle w:val="FootnoteText"/>
      </w:pPr>
      <w:r w:rsidRPr="00EE6DB5">
        <w:rPr>
          <w:rStyle w:val="FootnoteReference"/>
          <w:rFonts w:cstheme="minorHAnsi"/>
          <w:vertAlign w:val="baseline"/>
        </w:rPr>
        <w:footnoteRef/>
      </w:r>
      <w:r w:rsidRPr="002C59E7">
        <w:t xml:space="preserve"> </w:t>
      </w:r>
      <w:r>
        <w:tab/>
      </w:r>
      <w:r w:rsidRPr="002C59E7">
        <w:t>ABS Weekly Payroll Jobs and Wages in Aus</w:t>
      </w:r>
      <w:r>
        <w:t>tralia, Week Ending 30 May 2020</w:t>
      </w:r>
      <w:r w:rsidRPr="002C59E7">
        <w:t xml:space="preserve"> (Cat.</w:t>
      </w:r>
      <w:r>
        <w:t> </w:t>
      </w:r>
      <w:r w:rsidRPr="002C59E7">
        <w:t>No.</w:t>
      </w:r>
      <w:r>
        <w:t> </w:t>
      </w:r>
      <w:r w:rsidRPr="002C59E7">
        <w:rPr>
          <w:bCs/>
          <w:color w:val="000000"/>
          <w:shd w:val="clear" w:color="auto" w:fill="FFFFFF"/>
        </w:rPr>
        <w:t>6160.0.55.001)</w:t>
      </w:r>
    </w:p>
  </w:footnote>
  <w:footnote w:id="52">
    <w:p w14:paraId="5B4A1A65" w14:textId="27D75268" w:rsidR="009F135E" w:rsidRPr="00493DD8" w:rsidRDefault="009F135E" w:rsidP="00397077">
      <w:pPr>
        <w:pStyle w:val="FootnoteText"/>
      </w:pPr>
      <w:r w:rsidRPr="00EE6DB5">
        <w:rPr>
          <w:rStyle w:val="FootnoteReference"/>
          <w:vertAlign w:val="baseline"/>
        </w:rPr>
        <w:footnoteRef/>
      </w:r>
      <w:r w:rsidRPr="00493DD8">
        <w:t xml:space="preserve"> </w:t>
      </w:r>
      <w:r>
        <w:tab/>
      </w:r>
      <w:r w:rsidRPr="00493DD8">
        <w:t>As at 19 June</w:t>
      </w:r>
      <w:r>
        <w:t xml:space="preserve"> 2020</w:t>
      </w:r>
      <w:r w:rsidRPr="00493DD8">
        <w:t>, around 85</w:t>
      </w:r>
      <w:r>
        <w:t xml:space="preserve"> per cent</w:t>
      </w:r>
      <w:r w:rsidRPr="00493DD8">
        <w:t xml:space="preserve"> of JobSeeker Payment recipients reported no earnings. Pre</w:t>
      </w:r>
      <w:r>
        <w:noBreakHyphen/>
      </w:r>
      <w:r w:rsidRPr="00493DD8">
        <w:t>Coronavirus, around 83</w:t>
      </w:r>
      <w:r>
        <w:t xml:space="preserve"> per cent</w:t>
      </w:r>
      <w:r w:rsidRPr="00493DD8">
        <w:t xml:space="preserve"> of (then) Newstart recipients reported no earnings (as at December 2019). </w:t>
      </w:r>
    </w:p>
  </w:footnote>
  <w:footnote w:id="53">
    <w:p w14:paraId="523E473D" w14:textId="6AD730AA" w:rsidR="009F135E" w:rsidRPr="00493DD8" w:rsidRDefault="009F135E" w:rsidP="00397077">
      <w:pPr>
        <w:pStyle w:val="FootnoteText"/>
      </w:pPr>
      <w:r w:rsidRPr="00EE6DB5">
        <w:rPr>
          <w:rStyle w:val="FootnoteReference"/>
          <w:vertAlign w:val="baseline"/>
        </w:rPr>
        <w:footnoteRef/>
      </w:r>
      <w:r w:rsidRPr="00493DD8">
        <w:t xml:space="preserve"> </w:t>
      </w:r>
      <w:r>
        <w:tab/>
      </w:r>
      <w:r w:rsidRPr="00493DD8">
        <w:t>The lower quartile amount was $616 per week in total cash earnings. ABS Employee Earnings and Hours, Australia, May 2018 (Cat. No. 6306.0). This is the most recent data in the series.</w:t>
      </w:r>
    </w:p>
  </w:footnote>
  <w:footnote w:id="54">
    <w:p w14:paraId="2FA96D05" w14:textId="59410BDA" w:rsidR="009F135E" w:rsidRPr="00493DD8" w:rsidRDefault="009F135E" w:rsidP="00397077">
      <w:pPr>
        <w:pStyle w:val="FootnoteText"/>
      </w:pPr>
      <w:r w:rsidRPr="00EE6DB5">
        <w:rPr>
          <w:rStyle w:val="FootnoteReference"/>
          <w:vertAlign w:val="baseline"/>
        </w:rPr>
        <w:footnoteRef/>
      </w:r>
      <w:r w:rsidRPr="00493DD8">
        <w:t xml:space="preserve"> </w:t>
      </w:r>
      <w:r>
        <w:tab/>
      </w:r>
      <w:r w:rsidRPr="00493DD8">
        <w:t>$750 for an employee whose labour costs exceed $750 per week, and below $750 for those whose labour costs are lower than this amount.</w:t>
      </w:r>
    </w:p>
  </w:footnote>
  <w:footnote w:id="55">
    <w:p w14:paraId="73C2791D" w14:textId="31770BF8" w:rsidR="009F135E" w:rsidRDefault="009F135E" w:rsidP="00397077">
      <w:pPr>
        <w:pStyle w:val="FootnoteText"/>
      </w:pPr>
      <w:r w:rsidRPr="00EE6DB5">
        <w:rPr>
          <w:rStyle w:val="FootnoteReference"/>
          <w:vertAlign w:val="baseline"/>
        </w:rPr>
        <w:footnoteRef/>
      </w:r>
      <w:r>
        <w:t xml:space="preserve"> </w:t>
      </w:r>
      <w:r>
        <w:tab/>
      </w:r>
      <w:r w:rsidRPr="00D53848">
        <w:t>Australian Securities and Investments Commission Insolvency St</w:t>
      </w:r>
      <w:r>
        <w:t xml:space="preserve">atistics (Series 1B.1 and 1B.2), accessed at </w:t>
      </w:r>
      <w:hyperlink r:id="rId18" w:history="1">
        <w:r w:rsidRPr="007A4829">
          <w:rPr>
            <w:rStyle w:val="Hyperlink"/>
            <w:color w:val="000000" w:themeColor="text1"/>
          </w:rPr>
          <w:t>https://asic.gov.au/regulatory</w:t>
        </w:r>
        <w:r>
          <w:rPr>
            <w:rStyle w:val="Hyperlink"/>
            <w:color w:val="000000" w:themeColor="text1"/>
          </w:rPr>
          <w:noBreakHyphen/>
        </w:r>
        <w:r w:rsidRPr="007A4829">
          <w:rPr>
            <w:rStyle w:val="Hyperlink"/>
            <w:color w:val="000000" w:themeColor="text1"/>
          </w:rPr>
          <w:t>resources/find</w:t>
        </w:r>
        <w:r>
          <w:rPr>
            <w:rStyle w:val="Hyperlink"/>
            <w:color w:val="000000" w:themeColor="text1"/>
          </w:rPr>
          <w:noBreakHyphen/>
        </w:r>
        <w:r w:rsidRPr="007A4829">
          <w:rPr>
            <w:rStyle w:val="Hyperlink"/>
            <w:color w:val="000000" w:themeColor="text1"/>
          </w:rPr>
          <w:t>a</w:t>
        </w:r>
        <w:r>
          <w:rPr>
            <w:rStyle w:val="Hyperlink"/>
            <w:color w:val="000000" w:themeColor="text1"/>
          </w:rPr>
          <w:noBreakHyphen/>
        </w:r>
        <w:r w:rsidRPr="007A4829">
          <w:rPr>
            <w:rStyle w:val="Hyperlink"/>
            <w:color w:val="000000" w:themeColor="text1"/>
          </w:rPr>
          <w:t>document/statistics/insolvency</w:t>
        </w:r>
        <w:r>
          <w:rPr>
            <w:rStyle w:val="Hyperlink"/>
            <w:color w:val="000000" w:themeColor="text1"/>
          </w:rPr>
          <w:noBreakHyphen/>
        </w:r>
        <w:r w:rsidRPr="007A4829">
          <w:rPr>
            <w:rStyle w:val="Hyperlink"/>
            <w:color w:val="000000" w:themeColor="text1"/>
          </w:rPr>
          <w:t>statistics/</w:t>
        </w:r>
      </w:hyperlink>
      <w:r>
        <w:t xml:space="preserve"> </w:t>
      </w:r>
    </w:p>
  </w:footnote>
  <w:footnote w:id="56">
    <w:p w14:paraId="312F1BB6" w14:textId="10D63266" w:rsidR="009F135E" w:rsidRPr="0093092A" w:rsidRDefault="009F135E" w:rsidP="00397077">
      <w:pPr>
        <w:pStyle w:val="FootnoteText"/>
      </w:pPr>
      <w:r w:rsidRPr="00EE6DB5">
        <w:rPr>
          <w:rStyle w:val="FootnoteReference"/>
          <w:vertAlign w:val="baseline"/>
        </w:rPr>
        <w:footnoteRef/>
      </w:r>
      <w:r w:rsidRPr="00493DD8">
        <w:t xml:space="preserve"> </w:t>
      </w:r>
      <w:r>
        <w:tab/>
      </w:r>
      <w:r w:rsidRPr="00493DD8">
        <w:t xml:space="preserve">More information on support for businesses is available at </w:t>
      </w:r>
      <w:hyperlink r:id="rId19" w:history="1">
        <w:r w:rsidRPr="0093092A">
          <w:rPr>
            <w:rStyle w:val="Hyperlink"/>
            <w:color w:val="000000" w:themeColor="text1"/>
          </w:rPr>
          <w:t>https://treasury.gov.au/sites/default/files/2020</w:t>
        </w:r>
        <w:r>
          <w:rPr>
            <w:rStyle w:val="Hyperlink"/>
            <w:color w:val="000000" w:themeColor="text1"/>
          </w:rPr>
          <w:noBreakHyphen/>
        </w:r>
        <w:r w:rsidRPr="0093092A">
          <w:rPr>
            <w:rStyle w:val="Hyperlink"/>
            <w:color w:val="000000" w:themeColor="text1"/>
          </w:rPr>
          <w:t>04/Fact_sheet</w:t>
        </w:r>
        <w:r>
          <w:rPr>
            <w:rStyle w:val="Hyperlink"/>
            <w:color w:val="000000" w:themeColor="text1"/>
          </w:rPr>
          <w:noBreakHyphen/>
        </w:r>
        <w:r w:rsidRPr="0093092A">
          <w:rPr>
            <w:rStyle w:val="Hyperlink"/>
            <w:color w:val="000000" w:themeColor="text1"/>
          </w:rPr>
          <w:t>Providing_temporary_relief_for_financially_distressed_businesses.pdf</w:t>
        </w:r>
      </w:hyperlink>
      <w:r w:rsidRPr="0093092A">
        <w:t xml:space="preserve"> </w:t>
      </w:r>
    </w:p>
  </w:footnote>
  <w:footnote w:id="57">
    <w:p w14:paraId="4F735E75" w14:textId="5B93663E" w:rsidR="009F135E" w:rsidRPr="0093092A" w:rsidRDefault="009F135E" w:rsidP="00397077">
      <w:pPr>
        <w:pStyle w:val="FootnoteText"/>
      </w:pPr>
      <w:r w:rsidRPr="00EE6DB5">
        <w:rPr>
          <w:rStyle w:val="FootnoteReference"/>
          <w:vertAlign w:val="baseline"/>
        </w:rPr>
        <w:footnoteRef/>
      </w:r>
      <w:r w:rsidRPr="00493DD8">
        <w:t xml:space="preserve"> </w:t>
      </w:r>
      <w:r>
        <w:tab/>
      </w:r>
      <w:r w:rsidRPr="00493DD8">
        <w:t xml:space="preserve">Reserve Bank of Australia, Financial Stability Review, April 2020, accessed at </w:t>
      </w:r>
      <w:hyperlink r:id="rId20" w:history="1">
        <w:r w:rsidRPr="0093092A">
          <w:rPr>
            <w:rStyle w:val="Hyperlink"/>
            <w:color w:val="000000" w:themeColor="text1"/>
          </w:rPr>
          <w:t>https://rba.gov.au/publications/fsr/2020/apr/</w:t>
        </w:r>
      </w:hyperlink>
    </w:p>
  </w:footnote>
  <w:footnote w:id="58">
    <w:p w14:paraId="68E890F6" w14:textId="163637AD" w:rsidR="009F135E" w:rsidRPr="00493DD8" w:rsidRDefault="009F135E" w:rsidP="00397077">
      <w:pPr>
        <w:pStyle w:val="FootnoteText"/>
      </w:pPr>
      <w:r w:rsidRPr="00EE6DB5">
        <w:rPr>
          <w:rStyle w:val="FootnoteReference"/>
          <w:vertAlign w:val="baseline"/>
        </w:rPr>
        <w:footnoteRef/>
      </w:r>
      <w:r w:rsidRPr="00493DD8">
        <w:t xml:space="preserve"> </w:t>
      </w:r>
      <w:r>
        <w:tab/>
        <w:t>ABS</w:t>
      </w:r>
      <w:r w:rsidRPr="00493DD8">
        <w:t xml:space="preserve"> </w:t>
      </w:r>
      <w:r w:rsidRPr="00204ACC">
        <w:t>Australian System of National Accounts: Concepts, Sources and Methods, Edition 3</w:t>
      </w:r>
      <w:r w:rsidRPr="00493DD8">
        <w:t xml:space="preserve"> </w:t>
      </w:r>
      <w:r>
        <w:t>(Cat No. </w:t>
      </w:r>
      <w:r w:rsidRPr="00493DD8">
        <w:t>5216.0</w:t>
      </w:r>
      <w:r>
        <w:t>)</w:t>
      </w:r>
    </w:p>
  </w:footnote>
  <w:footnote w:id="59">
    <w:p w14:paraId="3D0E1F69" w14:textId="2360ED00" w:rsidR="009F135E" w:rsidRPr="00493DD8" w:rsidRDefault="009F135E" w:rsidP="00397077">
      <w:pPr>
        <w:pStyle w:val="FootnoteText"/>
      </w:pPr>
      <w:r w:rsidRPr="00EE6DB5">
        <w:rPr>
          <w:rStyle w:val="FootnoteReference"/>
          <w:vertAlign w:val="baseline"/>
        </w:rPr>
        <w:footnoteRef/>
      </w:r>
      <w:r w:rsidRPr="00493DD8">
        <w:t xml:space="preserve"> </w:t>
      </w:r>
      <w:r>
        <w:tab/>
        <w:t>ABS</w:t>
      </w:r>
      <w:r w:rsidRPr="00493DD8">
        <w:t xml:space="preserve"> </w:t>
      </w:r>
      <w:r w:rsidRPr="00204ACC">
        <w:t>Weekly Payroll Jobs and Wages in Australia</w:t>
      </w:r>
      <w:r w:rsidRPr="00493DD8">
        <w:t xml:space="preserve"> </w:t>
      </w:r>
      <w:r>
        <w:t>(</w:t>
      </w:r>
      <w:r w:rsidRPr="00493DD8">
        <w:t>Cat. No. 6160.0.55.001</w:t>
      </w:r>
      <w:r>
        <w:t>)</w:t>
      </w:r>
    </w:p>
  </w:footnote>
  <w:footnote w:id="60">
    <w:p w14:paraId="61D7C427" w14:textId="2F6F1EF1" w:rsidR="009F135E" w:rsidRPr="00DF0995" w:rsidRDefault="009F135E" w:rsidP="00397077">
      <w:pPr>
        <w:pStyle w:val="FootnoteText"/>
      </w:pPr>
      <w:r w:rsidRPr="00EE6DB5">
        <w:rPr>
          <w:rStyle w:val="FootnoteReference"/>
          <w:vertAlign w:val="baseline"/>
        </w:rPr>
        <w:footnoteRef/>
      </w:r>
      <w:r w:rsidRPr="00493DD8">
        <w:t xml:space="preserve"> </w:t>
      </w:r>
      <w:r>
        <w:tab/>
        <w:t>ABS</w:t>
      </w:r>
      <w:r w:rsidRPr="00493DD8">
        <w:t xml:space="preserve"> </w:t>
      </w:r>
      <w:r w:rsidRPr="00204ACC">
        <w:t xml:space="preserve">Weekly Payroll Jobs and Wages in Australia, Week </w:t>
      </w:r>
      <w:r w:rsidRPr="00397077">
        <w:t>ending</w:t>
      </w:r>
      <w:r w:rsidRPr="00204ACC">
        <w:t xml:space="preserve"> 30 May 2020</w:t>
      </w:r>
      <w:r w:rsidRPr="00493DD8">
        <w:t xml:space="preserve"> </w:t>
      </w:r>
      <w:r>
        <w:t>(</w:t>
      </w:r>
      <w:r w:rsidRPr="00493DD8">
        <w:t>Cat. No. 6160.0.55.001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244E" w14:textId="562D7F8D" w:rsidR="009F135E" w:rsidRDefault="009F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0B0B" w14:textId="3E8DFCD5" w:rsidR="009F135E" w:rsidRDefault="009F135E" w:rsidP="00713F51">
    <w:pPr>
      <w:pStyle w:val="Headereven"/>
    </w:pPr>
    <w:fldSimple w:instr=" STYLEREF  &quot;Heading 1&quot;  \* MERGEFORMAT ">
      <w:r w:rsidR="00B535F1">
        <w:t>Coronavirus, health restrictions and economic impacts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41FD" w14:textId="784D65EE" w:rsidR="009F135E" w:rsidRPr="00BF270C" w:rsidRDefault="009F135E" w:rsidP="00713F51">
    <w:pPr>
      <w:pStyle w:val="Headerodd"/>
    </w:pPr>
    <w:fldSimple w:instr=" STYLEREF  Title  \* MERGEFORMAT ">
      <w:r w:rsidR="00B535F1">
        <w:t>The JobKeeper Payment: Three-month review</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1052" w14:textId="40CE98F8" w:rsidR="009F135E" w:rsidRDefault="009F135E" w:rsidP="00065F92">
    <w:pPr>
      <w:pStyle w:val="Headerodd"/>
    </w:pPr>
    <w:fldSimple w:instr=" STYLEREF  Title  \* MERGEFORMAT ">
      <w:r w:rsidR="00B535F1">
        <w:t>The JobKeeper Payment: Three-month review</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883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CE4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07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2C6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04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308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8E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CC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A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48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00BDA"/>
    <w:multiLevelType w:val="hybridMultilevel"/>
    <w:tmpl w:val="350A18D0"/>
    <w:lvl w:ilvl="0" w:tplc="320C54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748D1"/>
    <w:multiLevelType w:val="multilevel"/>
    <w:tmpl w:val="E22E874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04D25"/>
    <w:multiLevelType w:val="hybridMultilevel"/>
    <w:tmpl w:val="B2A4B592"/>
    <w:lvl w:ilvl="0" w:tplc="590C880C">
      <w:start w:val="1"/>
      <w:numFmt w:val="lowerLetter"/>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D66B1C"/>
    <w:multiLevelType w:val="multilevel"/>
    <w:tmpl w:val="430EDF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C82849"/>
    <w:multiLevelType w:val="hybridMultilevel"/>
    <w:tmpl w:val="95C06F24"/>
    <w:lvl w:ilvl="0" w:tplc="1A28F69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222BA"/>
    <w:multiLevelType w:val="hybridMultilevel"/>
    <w:tmpl w:val="BF3E6530"/>
    <w:lvl w:ilvl="0" w:tplc="A8DC72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43FB0"/>
    <w:multiLevelType w:val="multilevel"/>
    <w:tmpl w:val="332A26E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7A2118"/>
    <w:multiLevelType w:val="hybridMultilevel"/>
    <w:tmpl w:val="AF96B8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E60FBF"/>
    <w:multiLevelType w:val="hybridMultilevel"/>
    <w:tmpl w:val="934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861321"/>
    <w:multiLevelType w:val="hybridMultilevel"/>
    <w:tmpl w:val="842E5426"/>
    <w:lvl w:ilvl="0" w:tplc="F8B01644">
      <w:start w:val="7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B5B0C"/>
    <w:multiLevelType w:val="multilevel"/>
    <w:tmpl w:val="1542CA6C"/>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C95B99"/>
    <w:multiLevelType w:val="hybridMultilevel"/>
    <w:tmpl w:val="D4208A60"/>
    <w:lvl w:ilvl="0" w:tplc="3F88A2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FF65EB"/>
    <w:multiLevelType w:val="hybridMultilevel"/>
    <w:tmpl w:val="69CC51F0"/>
    <w:lvl w:ilvl="0" w:tplc="78641988">
      <w:start w:val="1"/>
      <w:numFmt w:val="bullet"/>
      <w:lvlText w:val="•"/>
      <w:lvlJc w:val="left"/>
      <w:pPr>
        <w:ind w:left="720" w:hanging="360"/>
      </w:pPr>
      <w:rPr>
        <w:rFonts w:ascii="Calibri" w:hAnsi="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00BCA"/>
    <w:multiLevelType w:val="hybridMultilevel"/>
    <w:tmpl w:val="EAB85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7C0D01"/>
    <w:multiLevelType w:val="hybridMultilevel"/>
    <w:tmpl w:val="49E06D6E"/>
    <w:lvl w:ilvl="0" w:tplc="FC18E6F0">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85318"/>
    <w:multiLevelType w:val="hybridMultilevel"/>
    <w:tmpl w:val="FAEC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C391A"/>
    <w:multiLevelType w:val="hybridMultilevel"/>
    <w:tmpl w:val="C782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E1718"/>
    <w:multiLevelType w:val="hybridMultilevel"/>
    <w:tmpl w:val="36023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D60F9D"/>
    <w:multiLevelType w:val="multilevel"/>
    <w:tmpl w:val="BCD85EF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634044"/>
    <w:multiLevelType w:val="multilevel"/>
    <w:tmpl w:val="C318299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F35934"/>
    <w:multiLevelType w:val="hybridMultilevel"/>
    <w:tmpl w:val="95C06F24"/>
    <w:lvl w:ilvl="0" w:tplc="1A28F69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0"/>
  </w:num>
  <w:num w:numId="3">
    <w:abstractNumId w:val="20"/>
  </w:num>
  <w:num w:numId="4">
    <w:abstractNumId w:val="11"/>
  </w:num>
  <w:num w:numId="5">
    <w:abstractNumId w:val="14"/>
  </w:num>
  <w:num w:numId="6">
    <w:abstractNumId w:val="21"/>
  </w:num>
  <w:num w:numId="7">
    <w:abstractNumId w:val="16"/>
  </w:num>
  <w:num w:numId="8">
    <w:abstractNumId w:val="25"/>
  </w:num>
  <w:num w:numId="9">
    <w:abstractNumId w:val="26"/>
  </w:num>
  <w:num w:numId="10">
    <w:abstractNumId w:val="28"/>
  </w:num>
  <w:num w:numId="11">
    <w:abstractNumId w:val="19"/>
  </w:num>
  <w:num w:numId="12">
    <w:abstractNumId w:val="15"/>
  </w:num>
  <w:num w:numId="13">
    <w:abstractNumId w:val="23"/>
  </w:num>
  <w:num w:numId="14">
    <w:abstractNumId w:val="29"/>
  </w:num>
  <w:num w:numId="15">
    <w:abstractNumId w:val="13"/>
  </w:num>
  <w:num w:numId="16">
    <w:abstractNumId w:val="22"/>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7"/>
  </w:num>
  <w:num w:numId="30">
    <w:abstractNumId w:val="24"/>
  </w:num>
  <w:num w:numId="3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5E"/>
    <w:rsid w:val="00000BE2"/>
    <w:rsid w:val="00000D01"/>
    <w:rsid w:val="00000F18"/>
    <w:rsid w:val="000014ED"/>
    <w:rsid w:val="000034D3"/>
    <w:rsid w:val="0000408C"/>
    <w:rsid w:val="0000431F"/>
    <w:rsid w:val="0000572D"/>
    <w:rsid w:val="00005868"/>
    <w:rsid w:val="00005DD6"/>
    <w:rsid w:val="000060F5"/>
    <w:rsid w:val="000067C8"/>
    <w:rsid w:val="00006A5D"/>
    <w:rsid w:val="00006D27"/>
    <w:rsid w:val="0001004A"/>
    <w:rsid w:val="0001030B"/>
    <w:rsid w:val="0001032D"/>
    <w:rsid w:val="0001185C"/>
    <w:rsid w:val="00012542"/>
    <w:rsid w:val="00012C3F"/>
    <w:rsid w:val="000136C0"/>
    <w:rsid w:val="00013D42"/>
    <w:rsid w:val="00013E3A"/>
    <w:rsid w:val="00014300"/>
    <w:rsid w:val="00015202"/>
    <w:rsid w:val="000157B2"/>
    <w:rsid w:val="00015D70"/>
    <w:rsid w:val="00016FE9"/>
    <w:rsid w:val="000172F5"/>
    <w:rsid w:val="00017FBE"/>
    <w:rsid w:val="000201A4"/>
    <w:rsid w:val="0002028D"/>
    <w:rsid w:val="00020649"/>
    <w:rsid w:val="00020E15"/>
    <w:rsid w:val="000218B8"/>
    <w:rsid w:val="00021A92"/>
    <w:rsid w:val="000220C8"/>
    <w:rsid w:val="000226D5"/>
    <w:rsid w:val="00023B50"/>
    <w:rsid w:val="00023C27"/>
    <w:rsid w:val="00024BD9"/>
    <w:rsid w:val="00025178"/>
    <w:rsid w:val="0002529F"/>
    <w:rsid w:val="00025899"/>
    <w:rsid w:val="00026166"/>
    <w:rsid w:val="000265E0"/>
    <w:rsid w:val="00026729"/>
    <w:rsid w:val="00026AC9"/>
    <w:rsid w:val="00026D61"/>
    <w:rsid w:val="000270C3"/>
    <w:rsid w:val="000277AB"/>
    <w:rsid w:val="00027D74"/>
    <w:rsid w:val="000306A5"/>
    <w:rsid w:val="00030BE5"/>
    <w:rsid w:val="00030F75"/>
    <w:rsid w:val="0003249B"/>
    <w:rsid w:val="000327F9"/>
    <w:rsid w:val="00033226"/>
    <w:rsid w:val="00033A0E"/>
    <w:rsid w:val="00034BA4"/>
    <w:rsid w:val="000354DB"/>
    <w:rsid w:val="0003587D"/>
    <w:rsid w:val="00035BF1"/>
    <w:rsid w:val="00035CB5"/>
    <w:rsid w:val="00035D99"/>
    <w:rsid w:val="0003684B"/>
    <w:rsid w:val="000375B9"/>
    <w:rsid w:val="000376D2"/>
    <w:rsid w:val="000400D1"/>
    <w:rsid w:val="000406DC"/>
    <w:rsid w:val="00040A80"/>
    <w:rsid w:val="00040D66"/>
    <w:rsid w:val="00040FE7"/>
    <w:rsid w:val="000413BA"/>
    <w:rsid w:val="00042529"/>
    <w:rsid w:val="000426AC"/>
    <w:rsid w:val="00042BDB"/>
    <w:rsid w:val="00042C43"/>
    <w:rsid w:val="000431D7"/>
    <w:rsid w:val="0004352A"/>
    <w:rsid w:val="00043DC9"/>
    <w:rsid w:val="00043E33"/>
    <w:rsid w:val="00044E07"/>
    <w:rsid w:val="00047889"/>
    <w:rsid w:val="00047BF3"/>
    <w:rsid w:val="00050313"/>
    <w:rsid w:val="00050444"/>
    <w:rsid w:val="00051700"/>
    <w:rsid w:val="00051DA3"/>
    <w:rsid w:val="0005238A"/>
    <w:rsid w:val="000532F2"/>
    <w:rsid w:val="00053BA1"/>
    <w:rsid w:val="0005445D"/>
    <w:rsid w:val="000544EF"/>
    <w:rsid w:val="00054950"/>
    <w:rsid w:val="00054A67"/>
    <w:rsid w:val="00054CF4"/>
    <w:rsid w:val="00054D56"/>
    <w:rsid w:val="00055DCB"/>
    <w:rsid w:val="00056225"/>
    <w:rsid w:val="00057DCD"/>
    <w:rsid w:val="00060461"/>
    <w:rsid w:val="0006086D"/>
    <w:rsid w:val="00060D79"/>
    <w:rsid w:val="00060FED"/>
    <w:rsid w:val="00061258"/>
    <w:rsid w:val="000613F5"/>
    <w:rsid w:val="00061B0C"/>
    <w:rsid w:val="00062962"/>
    <w:rsid w:val="00062B84"/>
    <w:rsid w:val="0006307E"/>
    <w:rsid w:val="00063186"/>
    <w:rsid w:val="00064120"/>
    <w:rsid w:val="000643E5"/>
    <w:rsid w:val="000649B6"/>
    <w:rsid w:val="00065142"/>
    <w:rsid w:val="00065F92"/>
    <w:rsid w:val="00067F87"/>
    <w:rsid w:val="000700F0"/>
    <w:rsid w:val="0007087C"/>
    <w:rsid w:val="0007144B"/>
    <w:rsid w:val="000714F4"/>
    <w:rsid w:val="00071AC7"/>
    <w:rsid w:val="000720A5"/>
    <w:rsid w:val="0007283F"/>
    <w:rsid w:val="000731F4"/>
    <w:rsid w:val="00073825"/>
    <w:rsid w:val="00073A80"/>
    <w:rsid w:val="000744F3"/>
    <w:rsid w:val="0007457A"/>
    <w:rsid w:val="000745B2"/>
    <w:rsid w:val="00074FDD"/>
    <w:rsid w:val="000759DD"/>
    <w:rsid w:val="00075AB8"/>
    <w:rsid w:val="00076026"/>
    <w:rsid w:val="0007618F"/>
    <w:rsid w:val="00076978"/>
    <w:rsid w:val="00076EC1"/>
    <w:rsid w:val="00076FD1"/>
    <w:rsid w:val="00077364"/>
    <w:rsid w:val="00077A6C"/>
    <w:rsid w:val="00077FBA"/>
    <w:rsid w:val="00080236"/>
    <w:rsid w:val="000811D2"/>
    <w:rsid w:val="00081AEA"/>
    <w:rsid w:val="00082180"/>
    <w:rsid w:val="000831D6"/>
    <w:rsid w:val="00083324"/>
    <w:rsid w:val="00083740"/>
    <w:rsid w:val="00083875"/>
    <w:rsid w:val="00083D85"/>
    <w:rsid w:val="00084779"/>
    <w:rsid w:val="00084FCA"/>
    <w:rsid w:val="000857DA"/>
    <w:rsid w:val="00085ADF"/>
    <w:rsid w:val="00085B45"/>
    <w:rsid w:val="00086253"/>
    <w:rsid w:val="0008661E"/>
    <w:rsid w:val="00086892"/>
    <w:rsid w:val="000868D3"/>
    <w:rsid w:val="00086E40"/>
    <w:rsid w:val="000879DE"/>
    <w:rsid w:val="00087A32"/>
    <w:rsid w:val="0009096A"/>
    <w:rsid w:val="00091305"/>
    <w:rsid w:val="00091BF4"/>
    <w:rsid w:val="0009273A"/>
    <w:rsid w:val="00092C69"/>
    <w:rsid w:val="00092E6C"/>
    <w:rsid w:val="000947CB"/>
    <w:rsid w:val="00094BD9"/>
    <w:rsid w:val="00094FC6"/>
    <w:rsid w:val="00096159"/>
    <w:rsid w:val="00096C50"/>
    <w:rsid w:val="0009725E"/>
    <w:rsid w:val="000A03EA"/>
    <w:rsid w:val="000A0425"/>
    <w:rsid w:val="000A1449"/>
    <w:rsid w:val="000A1CF6"/>
    <w:rsid w:val="000A23EF"/>
    <w:rsid w:val="000A242B"/>
    <w:rsid w:val="000A2CBF"/>
    <w:rsid w:val="000A3D10"/>
    <w:rsid w:val="000A4398"/>
    <w:rsid w:val="000A450E"/>
    <w:rsid w:val="000A4AE7"/>
    <w:rsid w:val="000A4F91"/>
    <w:rsid w:val="000A4FB5"/>
    <w:rsid w:val="000A6884"/>
    <w:rsid w:val="000A7005"/>
    <w:rsid w:val="000A7904"/>
    <w:rsid w:val="000A7D04"/>
    <w:rsid w:val="000B022D"/>
    <w:rsid w:val="000B03CE"/>
    <w:rsid w:val="000B0B18"/>
    <w:rsid w:val="000B12FD"/>
    <w:rsid w:val="000B17B0"/>
    <w:rsid w:val="000B2192"/>
    <w:rsid w:val="000B2DC6"/>
    <w:rsid w:val="000B3253"/>
    <w:rsid w:val="000B3874"/>
    <w:rsid w:val="000B3F36"/>
    <w:rsid w:val="000B4869"/>
    <w:rsid w:val="000B520E"/>
    <w:rsid w:val="000B6868"/>
    <w:rsid w:val="000B6E93"/>
    <w:rsid w:val="000B7AC7"/>
    <w:rsid w:val="000C02A4"/>
    <w:rsid w:val="000C0AD3"/>
    <w:rsid w:val="000C0D45"/>
    <w:rsid w:val="000C142E"/>
    <w:rsid w:val="000C14F3"/>
    <w:rsid w:val="000C1A16"/>
    <w:rsid w:val="000C1CE3"/>
    <w:rsid w:val="000C24B0"/>
    <w:rsid w:val="000C35C1"/>
    <w:rsid w:val="000C3681"/>
    <w:rsid w:val="000C3F11"/>
    <w:rsid w:val="000C49F0"/>
    <w:rsid w:val="000C4E9F"/>
    <w:rsid w:val="000C5223"/>
    <w:rsid w:val="000C5395"/>
    <w:rsid w:val="000C5BF8"/>
    <w:rsid w:val="000C65B8"/>
    <w:rsid w:val="000C72D4"/>
    <w:rsid w:val="000C7368"/>
    <w:rsid w:val="000C74B2"/>
    <w:rsid w:val="000C77DE"/>
    <w:rsid w:val="000D0E70"/>
    <w:rsid w:val="000D1073"/>
    <w:rsid w:val="000D14F9"/>
    <w:rsid w:val="000D17F9"/>
    <w:rsid w:val="000D29D9"/>
    <w:rsid w:val="000D3946"/>
    <w:rsid w:val="000D39B0"/>
    <w:rsid w:val="000D3A4B"/>
    <w:rsid w:val="000D3EA2"/>
    <w:rsid w:val="000D527C"/>
    <w:rsid w:val="000D533B"/>
    <w:rsid w:val="000D64DE"/>
    <w:rsid w:val="000D78A0"/>
    <w:rsid w:val="000D7A1E"/>
    <w:rsid w:val="000E1267"/>
    <w:rsid w:val="000E15C4"/>
    <w:rsid w:val="000E1714"/>
    <w:rsid w:val="000E1D48"/>
    <w:rsid w:val="000E20A9"/>
    <w:rsid w:val="000E27B2"/>
    <w:rsid w:val="000E30FF"/>
    <w:rsid w:val="000E343A"/>
    <w:rsid w:val="000E3645"/>
    <w:rsid w:val="000E36D1"/>
    <w:rsid w:val="000E3741"/>
    <w:rsid w:val="000E391F"/>
    <w:rsid w:val="000E3E70"/>
    <w:rsid w:val="000E5582"/>
    <w:rsid w:val="000E56D6"/>
    <w:rsid w:val="000E58C5"/>
    <w:rsid w:val="000E5C38"/>
    <w:rsid w:val="000E66D1"/>
    <w:rsid w:val="000E68D1"/>
    <w:rsid w:val="000E68EE"/>
    <w:rsid w:val="000E6B77"/>
    <w:rsid w:val="000E6E35"/>
    <w:rsid w:val="000E6FD8"/>
    <w:rsid w:val="000E7181"/>
    <w:rsid w:val="000F0328"/>
    <w:rsid w:val="000F14B1"/>
    <w:rsid w:val="000F1E4F"/>
    <w:rsid w:val="000F305E"/>
    <w:rsid w:val="000F3F2E"/>
    <w:rsid w:val="000F7477"/>
    <w:rsid w:val="000F7B35"/>
    <w:rsid w:val="001005B5"/>
    <w:rsid w:val="001016DB"/>
    <w:rsid w:val="001017B2"/>
    <w:rsid w:val="00102296"/>
    <w:rsid w:val="001025B8"/>
    <w:rsid w:val="00102893"/>
    <w:rsid w:val="00104134"/>
    <w:rsid w:val="001042CA"/>
    <w:rsid w:val="001044C0"/>
    <w:rsid w:val="00105188"/>
    <w:rsid w:val="00106C79"/>
    <w:rsid w:val="00106D35"/>
    <w:rsid w:val="00106F53"/>
    <w:rsid w:val="001079D1"/>
    <w:rsid w:val="00107BBF"/>
    <w:rsid w:val="0011047E"/>
    <w:rsid w:val="00110D5D"/>
    <w:rsid w:val="0011356B"/>
    <w:rsid w:val="00113721"/>
    <w:rsid w:val="00113D86"/>
    <w:rsid w:val="00114226"/>
    <w:rsid w:val="001148B5"/>
    <w:rsid w:val="00114EF9"/>
    <w:rsid w:val="00115DFF"/>
    <w:rsid w:val="001161CE"/>
    <w:rsid w:val="00116B90"/>
    <w:rsid w:val="00116F19"/>
    <w:rsid w:val="001210CA"/>
    <w:rsid w:val="001214F9"/>
    <w:rsid w:val="00121609"/>
    <w:rsid w:val="00121C27"/>
    <w:rsid w:val="00121C2B"/>
    <w:rsid w:val="00122776"/>
    <w:rsid w:val="00123212"/>
    <w:rsid w:val="00123ED2"/>
    <w:rsid w:val="0012414D"/>
    <w:rsid w:val="00124162"/>
    <w:rsid w:val="0012422F"/>
    <w:rsid w:val="00124330"/>
    <w:rsid w:val="00124874"/>
    <w:rsid w:val="001258F0"/>
    <w:rsid w:val="00125B59"/>
    <w:rsid w:val="0012659A"/>
    <w:rsid w:val="001272F1"/>
    <w:rsid w:val="00127EEB"/>
    <w:rsid w:val="0013097F"/>
    <w:rsid w:val="00131AFD"/>
    <w:rsid w:val="00131B45"/>
    <w:rsid w:val="00132802"/>
    <w:rsid w:val="001328AA"/>
    <w:rsid w:val="00133626"/>
    <w:rsid w:val="0013406E"/>
    <w:rsid w:val="001344F7"/>
    <w:rsid w:val="00134E0E"/>
    <w:rsid w:val="00135E4A"/>
    <w:rsid w:val="00136976"/>
    <w:rsid w:val="00136DC2"/>
    <w:rsid w:val="00136E35"/>
    <w:rsid w:val="0014010C"/>
    <w:rsid w:val="00140C58"/>
    <w:rsid w:val="0014204E"/>
    <w:rsid w:val="00142408"/>
    <w:rsid w:val="001430CC"/>
    <w:rsid w:val="0014439D"/>
    <w:rsid w:val="00145004"/>
    <w:rsid w:val="00145C77"/>
    <w:rsid w:val="00146263"/>
    <w:rsid w:val="00146531"/>
    <w:rsid w:val="00147BE9"/>
    <w:rsid w:val="00150630"/>
    <w:rsid w:val="00150AE9"/>
    <w:rsid w:val="00151576"/>
    <w:rsid w:val="00151B80"/>
    <w:rsid w:val="00152111"/>
    <w:rsid w:val="00152781"/>
    <w:rsid w:val="001530D9"/>
    <w:rsid w:val="00153155"/>
    <w:rsid w:val="00154411"/>
    <w:rsid w:val="0015453B"/>
    <w:rsid w:val="00154D7C"/>
    <w:rsid w:val="00154F4E"/>
    <w:rsid w:val="001552BC"/>
    <w:rsid w:val="001552D4"/>
    <w:rsid w:val="00155538"/>
    <w:rsid w:val="00155659"/>
    <w:rsid w:val="0015614E"/>
    <w:rsid w:val="00156BE0"/>
    <w:rsid w:val="0015735F"/>
    <w:rsid w:val="00157941"/>
    <w:rsid w:val="001601DF"/>
    <w:rsid w:val="00161CB9"/>
    <w:rsid w:val="00162A7F"/>
    <w:rsid w:val="0016371C"/>
    <w:rsid w:val="00164232"/>
    <w:rsid w:val="00164CC5"/>
    <w:rsid w:val="00165CAA"/>
    <w:rsid w:val="00165E81"/>
    <w:rsid w:val="00166961"/>
    <w:rsid w:val="00166B35"/>
    <w:rsid w:val="0016757C"/>
    <w:rsid w:val="001704CB"/>
    <w:rsid w:val="001722B5"/>
    <w:rsid w:val="00172834"/>
    <w:rsid w:val="00174783"/>
    <w:rsid w:val="0017481C"/>
    <w:rsid w:val="00174B7D"/>
    <w:rsid w:val="00175B89"/>
    <w:rsid w:val="00175C64"/>
    <w:rsid w:val="00175D6A"/>
    <w:rsid w:val="00175F8E"/>
    <w:rsid w:val="00176E4C"/>
    <w:rsid w:val="001778B9"/>
    <w:rsid w:val="0018114D"/>
    <w:rsid w:val="001818DF"/>
    <w:rsid w:val="001824B5"/>
    <w:rsid w:val="00182984"/>
    <w:rsid w:val="00182DED"/>
    <w:rsid w:val="00184145"/>
    <w:rsid w:val="0018480C"/>
    <w:rsid w:val="00184925"/>
    <w:rsid w:val="0018500F"/>
    <w:rsid w:val="0018528A"/>
    <w:rsid w:val="00185905"/>
    <w:rsid w:val="001859F1"/>
    <w:rsid w:val="001865B8"/>
    <w:rsid w:val="0018678D"/>
    <w:rsid w:val="00186850"/>
    <w:rsid w:val="00186B26"/>
    <w:rsid w:val="00186D52"/>
    <w:rsid w:val="00186DF6"/>
    <w:rsid w:val="001874F7"/>
    <w:rsid w:val="001879F5"/>
    <w:rsid w:val="00187E0E"/>
    <w:rsid w:val="00190394"/>
    <w:rsid w:val="0019120B"/>
    <w:rsid w:val="00191C41"/>
    <w:rsid w:val="00192490"/>
    <w:rsid w:val="0019365F"/>
    <w:rsid w:val="00193BA0"/>
    <w:rsid w:val="0019417A"/>
    <w:rsid w:val="00194A04"/>
    <w:rsid w:val="00194FD8"/>
    <w:rsid w:val="0019540E"/>
    <w:rsid w:val="00195EC3"/>
    <w:rsid w:val="001A059E"/>
    <w:rsid w:val="001A07C7"/>
    <w:rsid w:val="001A0B99"/>
    <w:rsid w:val="001A1C25"/>
    <w:rsid w:val="001A1D2A"/>
    <w:rsid w:val="001A2635"/>
    <w:rsid w:val="001A2861"/>
    <w:rsid w:val="001A2C4B"/>
    <w:rsid w:val="001A33F7"/>
    <w:rsid w:val="001A40AE"/>
    <w:rsid w:val="001A4771"/>
    <w:rsid w:val="001A52A4"/>
    <w:rsid w:val="001A54F7"/>
    <w:rsid w:val="001A6151"/>
    <w:rsid w:val="001A783E"/>
    <w:rsid w:val="001A7965"/>
    <w:rsid w:val="001B001C"/>
    <w:rsid w:val="001B0555"/>
    <w:rsid w:val="001B05D4"/>
    <w:rsid w:val="001B0C0A"/>
    <w:rsid w:val="001B1019"/>
    <w:rsid w:val="001B1CDC"/>
    <w:rsid w:val="001B29CF"/>
    <w:rsid w:val="001B3A2D"/>
    <w:rsid w:val="001B3CEC"/>
    <w:rsid w:val="001B3E43"/>
    <w:rsid w:val="001B42A0"/>
    <w:rsid w:val="001B4CB1"/>
    <w:rsid w:val="001B4FC2"/>
    <w:rsid w:val="001B50E6"/>
    <w:rsid w:val="001B50F6"/>
    <w:rsid w:val="001B5E00"/>
    <w:rsid w:val="001B65EC"/>
    <w:rsid w:val="001B684E"/>
    <w:rsid w:val="001B756B"/>
    <w:rsid w:val="001C0670"/>
    <w:rsid w:val="001C06D6"/>
    <w:rsid w:val="001C0E76"/>
    <w:rsid w:val="001C1160"/>
    <w:rsid w:val="001C1228"/>
    <w:rsid w:val="001C16E2"/>
    <w:rsid w:val="001C17DF"/>
    <w:rsid w:val="001C1FF7"/>
    <w:rsid w:val="001C2264"/>
    <w:rsid w:val="001C2BB1"/>
    <w:rsid w:val="001C2C91"/>
    <w:rsid w:val="001C3152"/>
    <w:rsid w:val="001C32C6"/>
    <w:rsid w:val="001C32E1"/>
    <w:rsid w:val="001C33B3"/>
    <w:rsid w:val="001C3E41"/>
    <w:rsid w:val="001C4156"/>
    <w:rsid w:val="001C4ECA"/>
    <w:rsid w:val="001C4F06"/>
    <w:rsid w:val="001C514F"/>
    <w:rsid w:val="001C5466"/>
    <w:rsid w:val="001C5AC5"/>
    <w:rsid w:val="001C5F66"/>
    <w:rsid w:val="001C6BF1"/>
    <w:rsid w:val="001C7161"/>
    <w:rsid w:val="001C768C"/>
    <w:rsid w:val="001D182E"/>
    <w:rsid w:val="001D1895"/>
    <w:rsid w:val="001D1FA2"/>
    <w:rsid w:val="001D23FE"/>
    <w:rsid w:val="001D2409"/>
    <w:rsid w:val="001D24AE"/>
    <w:rsid w:val="001D2C6D"/>
    <w:rsid w:val="001D2DA9"/>
    <w:rsid w:val="001D37C4"/>
    <w:rsid w:val="001D3BF7"/>
    <w:rsid w:val="001D45ED"/>
    <w:rsid w:val="001D5409"/>
    <w:rsid w:val="001D6202"/>
    <w:rsid w:val="001D6C8A"/>
    <w:rsid w:val="001D7882"/>
    <w:rsid w:val="001E0412"/>
    <w:rsid w:val="001E0472"/>
    <w:rsid w:val="001E0B64"/>
    <w:rsid w:val="001E134E"/>
    <w:rsid w:val="001E14D4"/>
    <w:rsid w:val="001E282A"/>
    <w:rsid w:val="001E30FD"/>
    <w:rsid w:val="001E3149"/>
    <w:rsid w:val="001E32BD"/>
    <w:rsid w:val="001E3492"/>
    <w:rsid w:val="001E352F"/>
    <w:rsid w:val="001E3B9A"/>
    <w:rsid w:val="001E3E17"/>
    <w:rsid w:val="001E4419"/>
    <w:rsid w:val="001E482E"/>
    <w:rsid w:val="001E4C02"/>
    <w:rsid w:val="001E4E39"/>
    <w:rsid w:val="001E4F55"/>
    <w:rsid w:val="001E5172"/>
    <w:rsid w:val="001E51CE"/>
    <w:rsid w:val="001E546C"/>
    <w:rsid w:val="001E59A4"/>
    <w:rsid w:val="001E7945"/>
    <w:rsid w:val="001F0132"/>
    <w:rsid w:val="001F02B4"/>
    <w:rsid w:val="001F09C7"/>
    <w:rsid w:val="001F1828"/>
    <w:rsid w:val="001F1CA1"/>
    <w:rsid w:val="001F2A22"/>
    <w:rsid w:val="001F2F5E"/>
    <w:rsid w:val="001F494E"/>
    <w:rsid w:val="001F49C0"/>
    <w:rsid w:val="001F4A89"/>
    <w:rsid w:val="001F4B2D"/>
    <w:rsid w:val="001F5896"/>
    <w:rsid w:val="001F72B1"/>
    <w:rsid w:val="001F75E8"/>
    <w:rsid w:val="001F7794"/>
    <w:rsid w:val="001F7DB0"/>
    <w:rsid w:val="00200767"/>
    <w:rsid w:val="00200967"/>
    <w:rsid w:val="00200CE9"/>
    <w:rsid w:val="002018C0"/>
    <w:rsid w:val="0020229F"/>
    <w:rsid w:val="00202DEA"/>
    <w:rsid w:val="00203C00"/>
    <w:rsid w:val="0020457E"/>
    <w:rsid w:val="00204ACC"/>
    <w:rsid w:val="00204B06"/>
    <w:rsid w:val="00204C25"/>
    <w:rsid w:val="002055FF"/>
    <w:rsid w:val="0020579F"/>
    <w:rsid w:val="002073BA"/>
    <w:rsid w:val="00207A6D"/>
    <w:rsid w:val="00207E70"/>
    <w:rsid w:val="00210548"/>
    <w:rsid w:val="0021065F"/>
    <w:rsid w:val="00211649"/>
    <w:rsid w:val="00211758"/>
    <w:rsid w:val="0021206C"/>
    <w:rsid w:val="002123C5"/>
    <w:rsid w:val="00212AE4"/>
    <w:rsid w:val="00213413"/>
    <w:rsid w:val="002138FE"/>
    <w:rsid w:val="00213CCE"/>
    <w:rsid w:val="00213F01"/>
    <w:rsid w:val="002140BF"/>
    <w:rsid w:val="00216B0F"/>
    <w:rsid w:val="00216DB1"/>
    <w:rsid w:val="00217E4B"/>
    <w:rsid w:val="0022079B"/>
    <w:rsid w:val="00220885"/>
    <w:rsid w:val="00221089"/>
    <w:rsid w:val="002221FA"/>
    <w:rsid w:val="0022227A"/>
    <w:rsid w:val="00222300"/>
    <w:rsid w:val="002223E2"/>
    <w:rsid w:val="00222B44"/>
    <w:rsid w:val="0022332B"/>
    <w:rsid w:val="00223B02"/>
    <w:rsid w:val="00226175"/>
    <w:rsid w:val="00226211"/>
    <w:rsid w:val="002268C9"/>
    <w:rsid w:val="00227593"/>
    <w:rsid w:val="0022785A"/>
    <w:rsid w:val="00232610"/>
    <w:rsid w:val="0023271D"/>
    <w:rsid w:val="00232FD1"/>
    <w:rsid w:val="0023338A"/>
    <w:rsid w:val="002339BE"/>
    <w:rsid w:val="002346A4"/>
    <w:rsid w:val="00236AD2"/>
    <w:rsid w:val="002374DD"/>
    <w:rsid w:val="00240C31"/>
    <w:rsid w:val="002416E7"/>
    <w:rsid w:val="00241874"/>
    <w:rsid w:val="00241A1B"/>
    <w:rsid w:val="00241ADE"/>
    <w:rsid w:val="00241E5D"/>
    <w:rsid w:val="00242314"/>
    <w:rsid w:val="0024238F"/>
    <w:rsid w:val="002425F2"/>
    <w:rsid w:val="00243710"/>
    <w:rsid w:val="00244505"/>
    <w:rsid w:val="002445D7"/>
    <w:rsid w:val="002454E6"/>
    <w:rsid w:val="00245572"/>
    <w:rsid w:val="002472D5"/>
    <w:rsid w:val="00247828"/>
    <w:rsid w:val="00250C56"/>
    <w:rsid w:val="00250C7E"/>
    <w:rsid w:val="00250CED"/>
    <w:rsid w:val="00251C78"/>
    <w:rsid w:val="0025221D"/>
    <w:rsid w:val="0025222B"/>
    <w:rsid w:val="00252B44"/>
    <w:rsid w:val="00252EFE"/>
    <w:rsid w:val="002530CB"/>
    <w:rsid w:val="002535E1"/>
    <w:rsid w:val="00253E26"/>
    <w:rsid w:val="002545EB"/>
    <w:rsid w:val="0025471E"/>
    <w:rsid w:val="00256239"/>
    <w:rsid w:val="00257612"/>
    <w:rsid w:val="00257B85"/>
    <w:rsid w:val="002601D8"/>
    <w:rsid w:val="002601EF"/>
    <w:rsid w:val="0026075A"/>
    <w:rsid w:val="002625B2"/>
    <w:rsid w:val="00263156"/>
    <w:rsid w:val="00264BCB"/>
    <w:rsid w:val="00265D87"/>
    <w:rsid w:val="00265E7D"/>
    <w:rsid w:val="00265F3F"/>
    <w:rsid w:val="002666EE"/>
    <w:rsid w:val="00266769"/>
    <w:rsid w:val="0026688F"/>
    <w:rsid w:val="00267C0A"/>
    <w:rsid w:val="00267DB6"/>
    <w:rsid w:val="002705BE"/>
    <w:rsid w:val="00270600"/>
    <w:rsid w:val="002715F0"/>
    <w:rsid w:val="00271DB1"/>
    <w:rsid w:val="002721DC"/>
    <w:rsid w:val="00272E05"/>
    <w:rsid w:val="00272FD5"/>
    <w:rsid w:val="002731E1"/>
    <w:rsid w:val="00273533"/>
    <w:rsid w:val="002736FE"/>
    <w:rsid w:val="00273826"/>
    <w:rsid w:val="00274447"/>
    <w:rsid w:val="002753CD"/>
    <w:rsid w:val="00277086"/>
    <w:rsid w:val="0027728C"/>
    <w:rsid w:val="002776D4"/>
    <w:rsid w:val="002777D0"/>
    <w:rsid w:val="00280344"/>
    <w:rsid w:val="00280CF6"/>
    <w:rsid w:val="00280F24"/>
    <w:rsid w:val="002816C0"/>
    <w:rsid w:val="00281813"/>
    <w:rsid w:val="00282096"/>
    <w:rsid w:val="00282344"/>
    <w:rsid w:val="00282A83"/>
    <w:rsid w:val="0028357D"/>
    <w:rsid w:val="00283F87"/>
    <w:rsid w:val="002842A2"/>
    <w:rsid w:val="002851C0"/>
    <w:rsid w:val="00285566"/>
    <w:rsid w:val="002859F5"/>
    <w:rsid w:val="002910E5"/>
    <w:rsid w:val="00291101"/>
    <w:rsid w:val="0029151D"/>
    <w:rsid w:val="002917F2"/>
    <w:rsid w:val="00291BAB"/>
    <w:rsid w:val="00293ED2"/>
    <w:rsid w:val="00294341"/>
    <w:rsid w:val="00296014"/>
    <w:rsid w:val="00296212"/>
    <w:rsid w:val="00296BE0"/>
    <w:rsid w:val="00296D7C"/>
    <w:rsid w:val="00297980"/>
    <w:rsid w:val="002A01E5"/>
    <w:rsid w:val="002A0243"/>
    <w:rsid w:val="002A0C46"/>
    <w:rsid w:val="002A2F76"/>
    <w:rsid w:val="002A4A34"/>
    <w:rsid w:val="002A539C"/>
    <w:rsid w:val="002A5ADB"/>
    <w:rsid w:val="002A5E02"/>
    <w:rsid w:val="002A60F9"/>
    <w:rsid w:val="002A6A5D"/>
    <w:rsid w:val="002A6D88"/>
    <w:rsid w:val="002A6FDD"/>
    <w:rsid w:val="002A7741"/>
    <w:rsid w:val="002B1405"/>
    <w:rsid w:val="002B1D94"/>
    <w:rsid w:val="002B2C7E"/>
    <w:rsid w:val="002B31A4"/>
    <w:rsid w:val="002B31F6"/>
    <w:rsid w:val="002B5E9D"/>
    <w:rsid w:val="002B6700"/>
    <w:rsid w:val="002B6BC2"/>
    <w:rsid w:val="002B6E71"/>
    <w:rsid w:val="002C00FE"/>
    <w:rsid w:val="002C02F4"/>
    <w:rsid w:val="002C11A0"/>
    <w:rsid w:val="002C14A3"/>
    <w:rsid w:val="002C17F9"/>
    <w:rsid w:val="002C1FD9"/>
    <w:rsid w:val="002C27F9"/>
    <w:rsid w:val="002C40C2"/>
    <w:rsid w:val="002C4AAC"/>
    <w:rsid w:val="002C5648"/>
    <w:rsid w:val="002C59E7"/>
    <w:rsid w:val="002C6D3D"/>
    <w:rsid w:val="002C7035"/>
    <w:rsid w:val="002D06EB"/>
    <w:rsid w:val="002D0FA5"/>
    <w:rsid w:val="002D120B"/>
    <w:rsid w:val="002D1A89"/>
    <w:rsid w:val="002D2725"/>
    <w:rsid w:val="002D2DF8"/>
    <w:rsid w:val="002D35C5"/>
    <w:rsid w:val="002D36B9"/>
    <w:rsid w:val="002D51EB"/>
    <w:rsid w:val="002D5909"/>
    <w:rsid w:val="002D5B66"/>
    <w:rsid w:val="002D6C4F"/>
    <w:rsid w:val="002D73C4"/>
    <w:rsid w:val="002D7D19"/>
    <w:rsid w:val="002D7FB2"/>
    <w:rsid w:val="002E0233"/>
    <w:rsid w:val="002E14FF"/>
    <w:rsid w:val="002E16CB"/>
    <w:rsid w:val="002E22E4"/>
    <w:rsid w:val="002E26E0"/>
    <w:rsid w:val="002E34F2"/>
    <w:rsid w:val="002E4A7C"/>
    <w:rsid w:val="002E4CE2"/>
    <w:rsid w:val="002E5A11"/>
    <w:rsid w:val="002E6C06"/>
    <w:rsid w:val="002E6E84"/>
    <w:rsid w:val="002E70A1"/>
    <w:rsid w:val="002E7143"/>
    <w:rsid w:val="002E7B35"/>
    <w:rsid w:val="002E7C14"/>
    <w:rsid w:val="002E7CEC"/>
    <w:rsid w:val="002F01C2"/>
    <w:rsid w:val="002F029F"/>
    <w:rsid w:val="002F05DF"/>
    <w:rsid w:val="002F0B94"/>
    <w:rsid w:val="002F0BD7"/>
    <w:rsid w:val="002F0C7E"/>
    <w:rsid w:val="002F0F70"/>
    <w:rsid w:val="002F144E"/>
    <w:rsid w:val="002F18F9"/>
    <w:rsid w:val="002F1B41"/>
    <w:rsid w:val="002F286D"/>
    <w:rsid w:val="002F29CE"/>
    <w:rsid w:val="002F2FF3"/>
    <w:rsid w:val="002F325B"/>
    <w:rsid w:val="002F38F6"/>
    <w:rsid w:val="002F4083"/>
    <w:rsid w:val="002F4CD3"/>
    <w:rsid w:val="002F51C9"/>
    <w:rsid w:val="002F5D76"/>
    <w:rsid w:val="002F6102"/>
    <w:rsid w:val="002F731B"/>
    <w:rsid w:val="002F75C5"/>
    <w:rsid w:val="002F763B"/>
    <w:rsid w:val="002F7C04"/>
    <w:rsid w:val="002F7DE9"/>
    <w:rsid w:val="002F7E38"/>
    <w:rsid w:val="00300C5B"/>
    <w:rsid w:val="00301468"/>
    <w:rsid w:val="003014BE"/>
    <w:rsid w:val="00301B77"/>
    <w:rsid w:val="00302A8B"/>
    <w:rsid w:val="00302B29"/>
    <w:rsid w:val="0030475C"/>
    <w:rsid w:val="00304CAD"/>
    <w:rsid w:val="003054D2"/>
    <w:rsid w:val="0030708F"/>
    <w:rsid w:val="00307C04"/>
    <w:rsid w:val="00310135"/>
    <w:rsid w:val="00310159"/>
    <w:rsid w:val="00310417"/>
    <w:rsid w:val="00310846"/>
    <w:rsid w:val="0031133B"/>
    <w:rsid w:val="00311906"/>
    <w:rsid w:val="00311C80"/>
    <w:rsid w:val="00311EEC"/>
    <w:rsid w:val="003120D9"/>
    <w:rsid w:val="00312DC0"/>
    <w:rsid w:val="00312F55"/>
    <w:rsid w:val="003132FB"/>
    <w:rsid w:val="0031361D"/>
    <w:rsid w:val="00313B3B"/>
    <w:rsid w:val="00313B5D"/>
    <w:rsid w:val="003142CA"/>
    <w:rsid w:val="003145B2"/>
    <w:rsid w:val="0031495A"/>
    <w:rsid w:val="00314D85"/>
    <w:rsid w:val="00314E0B"/>
    <w:rsid w:val="00316383"/>
    <w:rsid w:val="00317742"/>
    <w:rsid w:val="00317D59"/>
    <w:rsid w:val="003206BF"/>
    <w:rsid w:val="0032081A"/>
    <w:rsid w:val="00320D7E"/>
    <w:rsid w:val="00321025"/>
    <w:rsid w:val="00321969"/>
    <w:rsid w:val="00321AE1"/>
    <w:rsid w:val="00321F5C"/>
    <w:rsid w:val="00321F9C"/>
    <w:rsid w:val="003220AF"/>
    <w:rsid w:val="003220D4"/>
    <w:rsid w:val="0032217B"/>
    <w:rsid w:val="00322B4D"/>
    <w:rsid w:val="00324612"/>
    <w:rsid w:val="00325514"/>
    <w:rsid w:val="00327AD9"/>
    <w:rsid w:val="003310C6"/>
    <w:rsid w:val="00331AB8"/>
    <w:rsid w:val="003338A1"/>
    <w:rsid w:val="003353C8"/>
    <w:rsid w:val="00335526"/>
    <w:rsid w:val="003357C9"/>
    <w:rsid w:val="003358A9"/>
    <w:rsid w:val="00336671"/>
    <w:rsid w:val="00337125"/>
    <w:rsid w:val="00340152"/>
    <w:rsid w:val="003402D9"/>
    <w:rsid w:val="003405E5"/>
    <w:rsid w:val="00340799"/>
    <w:rsid w:val="00340F5E"/>
    <w:rsid w:val="00341227"/>
    <w:rsid w:val="00342791"/>
    <w:rsid w:val="00342D8D"/>
    <w:rsid w:val="00343A38"/>
    <w:rsid w:val="00343C37"/>
    <w:rsid w:val="00344050"/>
    <w:rsid w:val="00346EA9"/>
    <w:rsid w:val="003470E4"/>
    <w:rsid w:val="003478C1"/>
    <w:rsid w:val="00347CCD"/>
    <w:rsid w:val="00347EA0"/>
    <w:rsid w:val="00350A8A"/>
    <w:rsid w:val="0035115F"/>
    <w:rsid w:val="00351B3E"/>
    <w:rsid w:val="00352747"/>
    <w:rsid w:val="003527A0"/>
    <w:rsid w:val="0035372F"/>
    <w:rsid w:val="00354688"/>
    <w:rsid w:val="00354DC2"/>
    <w:rsid w:val="003559C3"/>
    <w:rsid w:val="00355D57"/>
    <w:rsid w:val="00356DC8"/>
    <w:rsid w:val="00356E04"/>
    <w:rsid w:val="00357185"/>
    <w:rsid w:val="00357680"/>
    <w:rsid w:val="00357689"/>
    <w:rsid w:val="003577A4"/>
    <w:rsid w:val="003608A6"/>
    <w:rsid w:val="00362942"/>
    <w:rsid w:val="003631FC"/>
    <w:rsid w:val="003639D6"/>
    <w:rsid w:val="00363A61"/>
    <w:rsid w:val="0036434E"/>
    <w:rsid w:val="00364500"/>
    <w:rsid w:val="0036465E"/>
    <w:rsid w:val="00364FEE"/>
    <w:rsid w:val="00365DD9"/>
    <w:rsid w:val="003664C0"/>
    <w:rsid w:val="003667DC"/>
    <w:rsid w:val="003667E9"/>
    <w:rsid w:val="0036687D"/>
    <w:rsid w:val="00366F7C"/>
    <w:rsid w:val="0036767B"/>
    <w:rsid w:val="003679BF"/>
    <w:rsid w:val="00367CD0"/>
    <w:rsid w:val="00367DA0"/>
    <w:rsid w:val="003707B3"/>
    <w:rsid w:val="00371B9F"/>
    <w:rsid w:val="00372C8B"/>
    <w:rsid w:val="003739BA"/>
    <w:rsid w:val="00373BE7"/>
    <w:rsid w:val="003742BB"/>
    <w:rsid w:val="00374734"/>
    <w:rsid w:val="0037485F"/>
    <w:rsid w:val="00375B2A"/>
    <w:rsid w:val="00375C95"/>
    <w:rsid w:val="0037624E"/>
    <w:rsid w:val="00377004"/>
    <w:rsid w:val="00377431"/>
    <w:rsid w:val="0038005E"/>
    <w:rsid w:val="00381039"/>
    <w:rsid w:val="003823C5"/>
    <w:rsid w:val="00382F3C"/>
    <w:rsid w:val="003849F2"/>
    <w:rsid w:val="00384CA6"/>
    <w:rsid w:val="00385056"/>
    <w:rsid w:val="00385CF1"/>
    <w:rsid w:val="00386028"/>
    <w:rsid w:val="003862CE"/>
    <w:rsid w:val="0038648B"/>
    <w:rsid w:val="00386893"/>
    <w:rsid w:val="0039015F"/>
    <w:rsid w:val="0039033E"/>
    <w:rsid w:val="00390619"/>
    <w:rsid w:val="003907B4"/>
    <w:rsid w:val="00391B41"/>
    <w:rsid w:val="00392175"/>
    <w:rsid w:val="00392351"/>
    <w:rsid w:val="00392FEB"/>
    <w:rsid w:val="003932BC"/>
    <w:rsid w:val="003938A4"/>
    <w:rsid w:val="00393F7D"/>
    <w:rsid w:val="00394017"/>
    <w:rsid w:val="00394661"/>
    <w:rsid w:val="00395FD2"/>
    <w:rsid w:val="00396935"/>
    <w:rsid w:val="00396DCC"/>
    <w:rsid w:val="00397077"/>
    <w:rsid w:val="003A080A"/>
    <w:rsid w:val="003A0DFC"/>
    <w:rsid w:val="003A1937"/>
    <w:rsid w:val="003A1C7E"/>
    <w:rsid w:val="003A2B0E"/>
    <w:rsid w:val="003A3736"/>
    <w:rsid w:val="003A3F1B"/>
    <w:rsid w:val="003A489A"/>
    <w:rsid w:val="003A4BF9"/>
    <w:rsid w:val="003A4C69"/>
    <w:rsid w:val="003A4E7E"/>
    <w:rsid w:val="003A563E"/>
    <w:rsid w:val="003A6642"/>
    <w:rsid w:val="003A6ED1"/>
    <w:rsid w:val="003A6F25"/>
    <w:rsid w:val="003A7067"/>
    <w:rsid w:val="003A7B06"/>
    <w:rsid w:val="003A7CDF"/>
    <w:rsid w:val="003B0AF4"/>
    <w:rsid w:val="003B10DA"/>
    <w:rsid w:val="003B17A1"/>
    <w:rsid w:val="003B42D4"/>
    <w:rsid w:val="003B4802"/>
    <w:rsid w:val="003B4E79"/>
    <w:rsid w:val="003B5173"/>
    <w:rsid w:val="003B5938"/>
    <w:rsid w:val="003B5ADB"/>
    <w:rsid w:val="003B6846"/>
    <w:rsid w:val="003B68EA"/>
    <w:rsid w:val="003B79CE"/>
    <w:rsid w:val="003C1133"/>
    <w:rsid w:val="003C2339"/>
    <w:rsid w:val="003C2443"/>
    <w:rsid w:val="003C310A"/>
    <w:rsid w:val="003C33EF"/>
    <w:rsid w:val="003C38DF"/>
    <w:rsid w:val="003C3C3E"/>
    <w:rsid w:val="003C3D8B"/>
    <w:rsid w:val="003C4BB7"/>
    <w:rsid w:val="003C4CD9"/>
    <w:rsid w:val="003C4F88"/>
    <w:rsid w:val="003C54C9"/>
    <w:rsid w:val="003C5B18"/>
    <w:rsid w:val="003C7AC9"/>
    <w:rsid w:val="003C7F93"/>
    <w:rsid w:val="003C7FF4"/>
    <w:rsid w:val="003D002C"/>
    <w:rsid w:val="003D02E6"/>
    <w:rsid w:val="003D18F0"/>
    <w:rsid w:val="003D1B88"/>
    <w:rsid w:val="003D1EF1"/>
    <w:rsid w:val="003D2B1A"/>
    <w:rsid w:val="003D2B7B"/>
    <w:rsid w:val="003D2C3E"/>
    <w:rsid w:val="003D2FB8"/>
    <w:rsid w:val="003D3841"/>
    <w:rsid w:val="003D4089"/>
    <w:rsid w:val="003D53E6"/>
    <w:rsid w:val="003D5E3A"/>
    <w:rsid w:val="003D610B"/>
    <w:rsid w:val="003D650F"/>
    <w:rsid w:val="003D6F4D"/>
    <w:rsid w:val="003D753F"/>
    <w:rsid w:val="003D7ED9"/>
    <w:rsid w:val="003E1AA8"/>
    <w:rsid w:val="003E23DA"/>
    <w:rsid w:val="003E37AD"/>
    <w:rsid w:val="003E3CDB"/>
    <w:rsid w:val="003E48DD"/>
    <w:rsid w:val="003E4D11"/>
    <w:rsid w:val="003E5ACC"/>
    <w:rsid w:val="003E5D88"/>
    <w:rsid w:val="003E5F5F"/>
    <w:rsid w:val="003E60AA"/>
    <w:rsid w:val="003E64C5"/>
    <w:rsid w:val="003E67A5"/>
    <w:rsid w:val="003E6884"/>
    <w:rsid w:val="003E6EC5"/>
    <w:rsid w:val="003E70F7"/>
    <w:rsid w:val="003E7EA4"/>
    <w:rsid w:val="003F1409"/>
    <w:rsid w:val="003F1A2A"/>
    <w:rsid w:val="003F1A9A"/>
    <w:rsid w:val="003F1B7E"/>
    <w:rsid w:val="003F1BCB"/>
    <w:rsid w:val="003F30D9"/>
    <w:rsid w:val="003F33E2"/>
    <w:rsid w:val="003F3876"/>
    <w:rsid w:val="003F390C"/>
    <w:rsid w:val="003F42CD"/>
    <w:rsid w:val="003F4B73"/>
    <w:rsid w:val="003F5068"/>
    <w:rsid w:val="003F5251"/>
    <w:rsid w:val="003F6797"/>
    <w:rsid w:val="003F6976"/>
    <w:rsid w:val="003F6C1C"/>
    <w:rsid w:val="003F755F"/>
    <w:rsid w:val="00401165"/>
    <w:rsid w:val="00401458"/>
    <w:rsid w:val="00401A4B"/>
    <w:rsid w:val="00401B3B"/>
    <w:rsid w:val="004021C0"/>
    <w:rsid w:val="0040255D"/>
    <w:rsid w:val="00402608"/>
    <w:rsid w:val="00402DE4"/>
    <w:rsid w:val="00402EB5"/>
    <w:rsid w:val="00403D4A"/>
    <w:rsid w:val="00403FE3"/>
    <w:rsid w:val="00404B9F"/>
    <w:rsid w:val="00404E53"/>
    <w:rsid w:val="00404E9B"/>
    <w:rsid w:val="00404EA8"/>
    <w:rsid w:val="004052FE"/>
    <w:rsid w:val="00405C62"/>
    <w:rsid w:val="00406619"/>
    <w:rsid w:val="00406757"/>
    <w:rsid w:val="00406AB6"/>
    <w:rsid w:val="00406C0F"/>
    <w:rsid w:val="00407415"/>
    <w:rsid w:val="00411376"/>
    <w:rsid w:val="00411A37"/>
    <w:rsid w:val="00412DEF"/>
    <w:rsid w:val="0041391C"/>
    <w:rsid w:val="00413E31"/>
    <w:rsid w:val="00413F5B"/>
    <w:rsid w:val="00414E5C"/>
    <w:rsid w:val="004150DB"/>
    <w:rsid w:val="004153AA"/>
    <w:rsid w:val="00415970"/>
    <w:rsid w:val="00415A5F"/>
    <w:rsid w:val="00415BC5"/>
    <w:rsid w:val="00415EA4"/>
    <w:rsid w:val="00416298"/>
    <w:rsid w:val="00416706"/>
    <w:rsid w:val="00416B08"/>
    <w:rsid w:val="004170FF"/>
    <w:rsid w:val="0041720B"/>
    <w:rsid w:val="0041732F"/>
    <w:rsid w:val="00417833"/>
    <w:rsid w:val="00417AD7"/>
    <w:rsid w:val="00417C5A"/>
    <w:rsid w:val="00417D66"/>
    <w:rsid w:val="004203B2"/>
    <w:rsid w:val="00420802"/>
    <w:rsid w:val="00421EA1"/>
    <w:rsid w:val="00421F13"/>
    <w:rsid w:val="004228D5"/>
    <w:rsid w:val="00423171"/>
    <w:rsid w:val="00423EF6"/>
    <w:rsid w:val="00424A71"/>
    <w:rsid w:val="00425BE7"/>
    <w:rsid w:val="00425D60"/>
    <w:rsid w:val="00425DA2"/>
    <w:rsid w:val="00425E2E"/>
    <w:rsid w:val="00425FDD"/>
    <w:rsid w:val="004269D4"/>
    <w:rsid w:val="00427255"/>
    <w:rsid w:val="00427E8E"/>
    <w:rsid w:val="00431BE7"/>
    <w:rsid w:val="0043245F"/>
    <w:rsid w:val="00432FC0"/>
    <w:rsid w:val="00433C12"/>
    <w:rsid w:val="00434374"/>
    <w:rsid w:val="004349E1"/>
    <w:rsid w:val="00434CE4"/>
    <w:rsid w:val="004359A1"/>
    <w:rsid w:val="00435B60"/>
    <w:rsid w:val="004361D2"/>
    <w:rsid w:val="00436AA9"/>
    <w:rsid w:val="004372D5"/>
    <w:rsid w:val="004374DA"/>
    <w:rsid w:val="00437DFC"/>
    <w:rsid w:val="00440B92"/>
    <w:rsid w:val="004411C8"/>
    <w:rsid w:val="004412F7"/>
    <w:rsid w:val="0044179E"/>
    <w:rsid w:val="00442109"/>
    <w:rsid w:val="00443606"/>
    <w:rsid w:val="00443790"/>
    <w:rsid w:val="00443C06"/>
    <w:rsid w:val="0044455F"/>
    <w:rsid w:val="0044460F"/>
    <w:rsid w:val="00444AB0"/>
    <w:rsid w:val="00444AD3"/>
    <w:rsid w:val="00445E80"/>
    <w:rsid w:val="004468C5"/>
    <w:rsid w:val="00446B91"/>
    <w:rsid w:val="0044709C"/>
    <w:rsid w:val="00447F73"/>
    <w:rsid w:val="0045131D"/>
    <w:rsid w:val="00451610"/>
    <w:rsid w:val="00451C70"/>
    <w:rsid w:val="00451F03"/>
    <w:rsid w:val="00452365"/>
    <w:rsid w:val="00453FB0"/>
    <w:rsid w:val="00454277"/>
    <w:rsid w:val="00454495"/>
    <w:rsid w:val="00454518"/>
    <w:rsid w:val="0045476B"/>
    <w:rsid w:val="00454C1B"/>
    <w:rsid w:val="00454CEE"/>
    <w:rsid w:val="00455EAE"/>
    <w:rsid w:val="0045727A"/>
    <w:rsid w:val="0045733A"/>
    <w:rsid w:val="00460ABF"/>
    <w:rsid w:val="00460D02"/>
    <w:rsid w:val="00461008"/>
    <w:rsid w:val="00461156"/>
    <w:rsid w:val="004611AE"/>
    <w:rsid w:val="00461367"/>
    <w:rsid w:val="00461AC8"/>
    <w:rsid w:val="00462B43"/>
    <w:rsid w:val="00462EA2"/>
    <w:rsid w:val="00463D6F"/>
    <w:rsid w:val="00463F49"/>
    <w:rsid w:val="004641B3"/>
    <w:rsid w:val="00464AD6"/>
    <w:rsid w:val="00464C4D"/>
    <w:rsid w:val="00465497"/>
    <w:rsid w:val="004654DF"/>
    <w:rsid w:val="00465706"/>
    <w:rsid w:val="0046589F"/>
    <w:rsid w:val="00465B04"/>
    <w:rsid w:val="00465E7F"/>
    <w:rsid w:val="00465F7B"/>
    <w:rsid w:val="00466469"/>
    <w:rsid w:val="004675C8"/>
    <w:rsid w:val="00467F2F"/>
    <w:rsid w:val="004708A2"/>
    <w:rsid w:val="004708F6"/>
    <w:rsid w:val="004709DB"/>
    <w:rsid w:val="00470EBE"/>
    <w:rsid w:val="00471B03"/>
    <w:rsid w:val="00472C0B"/>
    <w:rsid w:val="004731B6"/>
    <w:rsid w:val="0047347B"/>
    <w:rsid w:val="004751DF"/>
    <w:rsid w:val="0047609C"/>
    <w:rsid w:val="00476B3D"/>
    <w:rsid w:val="004771B2"/>
    <w:rsid w:val="00477D0B"/>
    <w:rsid w:val="004802DD"/>
    <w:rsid w:val="004803F5"/>
    <w:rsid w:val="00480939"/>
    <w:rsid w:val="004820D2"/>
    <w:rsid w:val="004823B5"/>
    <w:rsid w:val="0048244F"/>
    <w:rsid w:val="00482586"/>
    <w:rsid w:val="00482A5D"/>
    <w:rsid w:val="0048332C"/>
    <w:rsid w:val="0048347B"/>
    <w:rsid w:val="00485586"/>
    <w:rsid w:val="00485A38"/>
    <w:rsid w:val="004861C2"/>
    <w:rsid w:val="00490278"/>
    <w:rsid w:val="004904AC"/>
    <w:rsid w:val="00491BD8"/>
    <w:rsid w:val="00491E37"/>
    <w:rsid w:val="00491ECB"/>
    <w:rsid w:val="004920A7"/>
    <w:rsid w:val="0049259F"/>
    <w:rsid w:val="00492898"/>
    <w:rsid w:val="00493394"/>
    <w:rsid w:val="004935F4"/>
    <w:rsid w:val="00493791"/>
    <w:rsid w:val="00493DD8"/>
    <w:rsid w:val="004942E5"/>
    <w:rsid w:val="004947C6"/>
    <w:rsid w:val="00494997"/>
    <w:rsid w:val="00494A19"/>
    <w:rsid w:val="00494D0A"/>
    <w:rsid w:val="00494E04"/>
    <w:rsid w:val="00495A64"/>
    <w:rsid w:val="00495E75"/>
    <w:rsid w:val="004964D4"/>
    <w:rsid w:val="0049671D"/>
    <w:rsid w:val="00496D37"/>
    <w:rsid w:val="004A11FA"/>
    <w:rsid w:val="004A22E5"/>
    <w:rsid w:val="004A494B"/>
    <w:rsid w:val="004A572B"/>
    <w:rsid w:val="004A6650"/>
    <w:rsid w:val="004A7915"/>
    <w:rsid w:val="004B16DA"/>
    <w:rsid w:val="004B1ED2"/>
    <w:rsid w:val="004B21FB"/>
    <w:rsid w:val="004B2C6C"/>
    <w:rsid w:val="004B3F98"/>
    <w:rsid w:val="004B50C1"/>
    <w:rsid w:val="004B5233"/>
    <w:rsid w:val="004B5A51"/>
    <w:rsid w:val="004B5CFE"/>
    <w:rsid w:val="004B5D10"/>
    <w:rsid w:val="004B62E5"/>
    <w:rsid w:val="004B6719"/>
    <w:rsid w:val="004B6B02"/>
    <w:rsid w:val="004B6FAC"/>
    <w:rsid w:val="004B7125"/>
    <w:rsid w:val="004B71A7"/>
    <w:rsid w:val="004B77FF"/>
    <w:rsid w:val="004C12DC"/>
    <w:rsid w:val="004C1634"/>
    <w:rsid w:val="004C2427"/>
    <w:rsid w:val="004C3C36"/>
    <w:rsid w:val="004C4376"/>
    <w:rsid w:val="004C4C80"/>
    <w:rsid w:val="004C4C99"/>
    <w:rsid w:val="004C504F"/>
    <w:rsid w:val="004C54F2"/>
    <w:rsid w:val="004C6D6B"/>
    <w:rsid w:val="004D1F7E"/>
    <w:rsid w:val="004D2564"/>
    <w:rsid w:val="004D29CA"/>
    <w:rsid w:val="004D3065"/>
    <w:rsid w:val="004D353E"/>
    <w:rsid w:val="004D354D"/>
    <w:rsid w:val="004D378F"/>
    <w:rsid w:val="004D38C6"/>
    <w:rsid w:val="004D3926"/>
    <w:rsid w:val="004D3F36"/>
    <w:rsid w:val="004D483E"/>
    <w:rsid w:val="004D56E8"/>
    <w:rsid w:val="004D59F5"/>
    <w:rsid w:val="004D5A21"/>
    <w:rsid w:val="004D5A45"/>
    <w:rsid w:val="004D6C19"/>
    <w:rsid w:val="004D6D41"/>
    <w:rsid w:val="004D6DB2"/>
    <w:rsid w:val="004D6E12"/>
    <w:rsid w:val="004D70E0"/>
    <w:rsid w:val="004D7AB9"/>
    <w:rsid w:val="004E0BE7"/>
    <w:rsid w:val="004E0F66"/>
    <w:rsid w:val="004E1B9A"/>
    <w:rsid w:val="004E1E25"/>
    <w:rsid w:val="004E2767"/>
    <w:rsid w:val="004E29FE"/>
    <w:rsid w:val="004E3B30"/>
    <w:rsid w:val="004E3B5C"/>
    <w:rsid w:val="004E4FE2"/>
    <w:rsid w:val="004E5D0D"/>
    <w:rsid w:val="004E6796"/>
    <w:rsid w:val="004E6C0F"/>
    <w:rsid w:val="004E7585"/>
    <w:rsid w:val="004E79CC"/>
    <w:rsid w:val="004E7A7E"/>
    <w:rsid w:val="004F03D7"/>
    <w:rsid w:val="004F0DC3"/>
    <w:rsid w:val="004F1169"/>
    <w:rsid w:val="004F1251"/>
    <w:rsid w:val="004F2B83"/>
    <w:rsid w:val="004F2DE6"/>
    <w:rsid w:val="004F2F17"/>
    <w:rsid w:val="004F38FE"/>
    <w:rsid w:val="004F39C0"/>
    <w:rsid w:val="004F3BFC"/>
    <w:rsid w:val="004F403D"/>
    <w:rsid w:val="004F4654"/>
    <w:rsid w:val="004F5A58"/>
    <w:rsid w:val="004F5D19"/>
    <w:rsid w:val="004F5FAF"/>
    <w:rsid w:val="004F6F3A"/>
    <w:rsid w:val="004F7940"/>
    <w:rsid w:val="004F7CC6"/>
    <w:rsid w:val="0050017B"/>
    <w:rsid w:val="005007A8"/>
    <w:rsid w:val="00500EC1"/>
    <w:rsid w:val="00501396"/>
    <w:rsid w:val="00501AFA"/>
    <w:rsid w:val="00501CA1"/>
    <w:rsid w:val="0050226D"/>
    <w:rsid w:val="00502BD9"/>
    <w:rsid w:val="00503A14"/>
    <w:rsid w:val="00503C65"/>
    <w:rsid w:val="00504052"/>
    <w:rsid w:val="00504601"/>
    <w:rsid w:val="0050518B"/>
    <w:rsid w:val="00506790"/>
    <w:rsid w:val="005068F0"/>
    <w:rsid w:val="0051088E"/>
    <w:rsid w:val="00510F4D"/>
    <w:rsid w:val="00512098"/>
    <w:rsid w:val="0051231F"/>
    <w:rsid w:val="00512EBD"/>
    <w:rsid w:val="005136E5"/>
    <w:rsid w:val="0051493F"/>
    <w:rsid w:val="00514BA2"/>
    <w:rsid w:val="00514BE5"/>
    <w:rsid w:val="00514F4C"/>
    <w:rsid w:val="00517188"/>
    <w:rsid w:val="00517B6E"/>
    <w:rsid w:val="00517C61"/>
    <w:rsid w:val="005208D8"/>
    <w:rsid w:val="00521F5B"/>
    <w:rsid w:val="00521FAF"/>
    <w:rsid w:val="00522810"/>
    <w:rsid w:val="0052356E"/>
    <w:rsid w:val="00523CD5"/>
    <w:rsid w:val="00523F24"/>
    <w:rsid w:val="00524443"/>
    <w:rsid w:val="0052478E"/>
    <w:rsid w:val="00524CF3"/>
    <w:rsid w:val="00524F4B"/>
    <w:rsid w:val="00525585"/>
    <w:rsid w:val="00525A08"/>
    <w:rsid w:val="00525D09"/>
    <w:rsid w:val="00525D99"/>
    <w:rsid w:val="005269BA"/>
    <w:rsid w:val="00527413"/>
    <w:rsid w:val="0053019C"/>
    <w:rsid w:val="00530991"/>
    <w:rsid w:val="00530F6A"/>
    <w:rsid w:val="005312AC"/>
    <w:rsid w:val="00531760"/>
    <w:rsid w:val="0053178B"/>
    <w:rsid w:val="005319D0"/>
    <w:rsid w:val="005337F3"/>
    <w:rsid w:val="00533A97"/>
    <w:rsid w:val="00533E15"/>
    <w:rsid w:val="005343B5"/>
    <w:rsid w:val="00534485"/>
    <w:rsid w:val="0053468B"/>
    <w:rsid w:val="005348EB"/>
    <w:rsid w:val="00534A4F"/>
    <w:rsid w:val="00535120"/>
    <w:rsid w:val="00535F39"/>
    <w:rsid w:val="00537366"/>
    <w:rsid w:val="00537448"/>
    <w:rsid w:val="00537911"/>
    <w:rsid w:val="005400B9"/>
    <w:rsid w:val="005409E3"/>
    <w:rsid w:val="00540EB3"/>
    <w:rsid w:val="005411CF"/>
    <w:rsid w:val="0054221B"/>
    <w:rsid w:val="00542265"/>
    <w:rsid w:val="0054251A"/>
    <w:rsid w:val="00543523"/>
    <w:rsid w:val="00543903"/>
    <w:rsid w:val="00543936"/>
    <w:rsid w:val="0054394B"/>
    <w:rsid w:val="00543CA4"/>
    <w:rsid w:val="00544DC9"/>
    <w:rsid w:val="00544E37"/>
    <w:rsid w:val="00544E40"/>
    <w:rsid w:val="005458C5"/>
    <w:rsid w:val="005461EA"/>
    <w:rsid w:val="00546402"/>
    <w:rsid w:val="005465C7"/>
    <w:rsid w:val="005466D2"/>
    <w:rsid w:val="00546C28"/>
    <w:rsid w:val="00547518"/>
    <w:rsid w:val="00550803"/>
    <w:rsid w:val="00550E1A"/>
    <w:rsid w:val="005515E5"/>
    <w:rsid w:val="00551BB0"/>
    <w:rsid w:val="00551E1E"/>
    <w:rsid w:val="00552850"/>
    <w:rsid w:val="005528C6"/>
    <w:rsid w:val="0055333A"/>
    <w:rsid w:val="00553413"/>
    <w:rsid w:val="005537D1"/>
    <w:rsid w:val="0055425E"/>
    <w:rsid w:val="005547AC"/>
    <w:rsid w:val="005550A1"/>
    <w:rsid w:val="00556321"/>
    <w:rsid w:val="00557887"/>
    <w:rsid w:val="00557C1A"/>
    <w:rsid w:val="00557CAF"/>
    <w:rsid w:val="0056142F"/>
    <w:rsid w:val="005623E1"/>
    <w:rsid w:val="00562FE7"/>
    <w:rsid w:val="00564611"/>
    <w:rsid w:val="00564D05"/>
    <w:rsid w:val="005655F8"/>
    <w:rsid w:val="00566AA8"/>
    <w:rsid w:val="005671D4"/>
    <w:rsid w:val="00570788"/>
    <w:rsid w:val="00570873"/>
    <w:rsid w:val="00570FA7"/>
    <w:rsid w:val="005714FC"/>
    <w:rsid w:val="00571B6F"/>
    <w:rsid w:val="00572121"/>
    <w:rsid w:val="00572659"/>
    <w:rsid w:val="005726FE"/>
    <w:rsid w:val="00572CEC"/>
    <w:rsid w:val="00573A52"/>
    <w:rsid w:val="00573A99"/>
    <w:rsid w:val="00573EEA"/>
    <w:rsid w:val="005741E6"/>
    <w:rsid w:val="00574B10"/>
    <w:rsid w:val="00574E8D"/>
    <w:rsid w:val="00574EC8"/>
    <w:rsid w:val="00575E85"/>
    <w:rsid w:val="00576E53"/>
    <w:rsid w:val="00577479"/>
    <w:rsid w:val="00577F21"/>
    <w:rsid w:val="0058012A"/>
    <w:rsid w:val="005807B4"/>
    <w:rsid w:val="00580ADE"/>
    <w:rsid w:val="00580DE0"/>
    <w:rsid w:val="005813CC"/>
    <w:rsid w:val="00581E4B"/>
    <w:rsid w:val="00582064"/>
    <w:rsid w:val="00582A21"/>
    <w:rsid w:val="005832F0"/>
    <w:rsid w:val="0058351C"/>
    <w:rsid w:val="00583E2E"/>
    <w:rsid w:val="00583F12"/>
    <w:rsid w:val="00584495"/>
    <w:rsid w:val="005846FA"/>
    <w:rsid w:val="00584788"/>
    <w:rsid w:val="00585985"/>
    <w:rsid w:val="00585A0C"/>
    <w:rsid w:val="00585E3D"/>
    <w:rsid w:val="00586CAF"/>
    <w:rsid w:val="00587129"/>
    <w:rsid w:val="005879F8"/>
    <w:rsid w:val="00590F87"/>
    <w:rsid w:val="00591F58"/>
    <w:rsid w:val="005925CC"/>
    <w:rsid w:val="005927BE"/>
    <w:rsid w:val="00592A06"/>
    <w:rsid w:val="00592EB0"/>
    <w:rsid w:val="005934CA"/>
    <w:rsid w:val="005937B2"/>
    <w:rsid w:val="00593F96"/>
    <w:rsid w:val="00594786"/>
    <w:rsid w:val="00594C25"/>
    <w:rsid w:val="005954DB"/>
    <w:rsid w:val="005956AF"/>
    <w:rsid w:val="005960B0"/>
    <w:rsid w:val="005960F2"/>
    <w:rsid w:val="0059718F"/>
    <w:rsid w:val="00597592"/>
    <w:rsid w:val="00597B7A"/>
    <w:rsid w:val="00597E6B"/>
    <w:rsid w:val="005A0222"/>
    <w:rsid w:val="005A028E"/>
    <w:rsid w:val="005A0736"/>
    <w:rsid w:val="005A077F"/>
    <w:rsid w:val="005A111C"/>
    <w:rsid w:val="005A122C"/>
    <w:rsid w:val="005A2311"/>
    <w:rsid w:val="005A2D79"/>
    <w:rsid w:val="005A3C12"/>
    <w:rsid w:val="005A3F37"/>
    <w:rsid w:val="005A3FB8"/>
    <w:rsid w:val="005A488E"/>
    <w:rsid w:val="005A594E"/>
    <w:rsid w:val="005A5EC6"/>
    <w:rsid w:val="005A63C5"/>
    <w:rsid w:val="005A63D8"/>
    <w:rsid w:val="005A641B"/>
    <w:rsid w:val="005A6638"/>
    <w:rsid w:val="005A6730"/>
    <w:rsid w:val="005A6F28"/>
    <w:rsid w:val="005A707D"/>
    <w:rsid w:val="005A71DC"/>
    <w:rsid w:val="005A7623"/>
    <w:rsid w:val="005A78A9"/>
    <w:rsid w:val="005A78DD"/>
    <w:rsid w:val="005A7E58"/>
    <w:rsid w:val="005A7FAF"/>
    <w:rsid w:val="005B05BE"/>
    <w:rsid w:val="005B0695"/>
    <w:rsid w:val="005B088B"/>
    <w:rsid w:val="005B1BA8"/>
    <w:rsid w:val="005B2717"/>
    <w:rsid w:val="005B477B"/>
    <w:rsid w:val="005B5F73"/>
    <w:rsid w:val="005B6873"/>
    <w:rsid w:val="005B6BF4"/>
    <w:rsid w:val="005B7E1D"/>
    <w:rsid w:val="005B7FF4"/>
    <w:rsid w:val="005C06E3"/>
    <w:rsid w:val="005C0975"/>
    <w:rsid w:val="005C09CD"/>
    <w:rsid w:val="005C126F"/>
    <w:rsid w:val="005C1363"/>
    <w:rsid w:val="005C1849"/>
    <w:rsid w:val="005C322A"/>
    <w:rsid w:val="005C4412"/>
    <w:rsid w:val="005C47C6"/>
    <w:rsid w:val="005C4959"/>
    <w:rsid w:val="005C51DB"/>
    <w:rsid w:val="005C5B79"/>
    <w:rsid w:val="005C5D3B"/>
    <w:rsid w:val="005C6A99"/>
    <w:rsid w:val="005C7171"/>
    <w:rsid w:val="005C7507"/>
    <w:rsid w:val="005C7A56"/>
    <w:rsid w:val="005C7A75"/>
    <w:rsid w:val="005D0005"/>
    <w:rsid w:val="005D0FB4"/>
    <w:rsid w:val="005D0FDE"/>
    <w:rsid w:val="005D1EBE"/>
    <w:rsid w:val="005D1F25"/>
    <w:rsid w:val="005D236B"/>
    <w:rsid w:val="005D2534"/>
    <w:rsid w:val="005D2628"/>
    <w:rsid w:val="005D2817"/>
    <w:rsid w:val="005D2D82"/>
    <w:rsid w:val="005D4CB5"/>
    <w:rsid w:val="005D4EE3"/>
    <w:rsid w:val="005D5931"/>
    <w:rsid w:val="005D5934"/>
    <w:rsid w:val="005D63EF"/>
    <w:rsid w:val="005D68F5"/>
    <w:rsid w:val="005E098D"/>
    <w:rsid w:val="005E0AFA"/>
    <w:rsid w:val="005E2AEC"/>
    <w:rsid w:val="005E3416"/>
    <w:rsid w:val="005E3E76"/>
    <w:rsid w:val="005E3F97"/>
    <w:rsid w:val="005E439C"/>
    <w:rsid w:val="005E4B52"/>
    <w:rsid w:val="005E6086"/>
    <w:rsid w:val="005E6CC4"/>
    <w:rsid w:val="005E78F4"/>
    <w:rsid w:val="005F1800"/>
    <w:rsid w:val="005F187E"/>
    <w:rsid w:val="005F1ACC"/>
    <w:rsid w:val="005F3CFA"/>
    <w:rsid w:val="005F3E4C"/>
    <w:rsid w:val="005F4770"/>
    <w:rsid w:val="005F48B0"/>
    <w:rsid w:val="005F6E5D"/>
    <w:rsid w:val="0060065E"/>
    <w:rsid w:val="006010E6"/>
    <w:rsid w:val="00601175"/>
    <w:rsid w:val="006011E8"/>
    <w:rsid w:val="00601D0D"/>
    <w:rsid w:val="00601E28"/>
    <w:rsid w:val="006021D7"/>
    <w:rsid w:val="006028A6"/>
    <w:rsid w:val="006029BD"/>
    <w:rsid w:val="00602AB4"/>
    <w:rsid w:val="00603241"/>
    <w:rsid w:val="0060365E"/>
    <w:rsid w:val="00604B04"/>
    <w:rsid w:val="006060C5"/>
    <w:rsid w:val="00606B9E"/>
    <w:rsid w:val="0061157F"/>
    <w:rsid w:val="0061186A"/>
    <w:rsid w:val="00611890"/>
    <w:rsid w:val="00611A48"/>
    <w:rsid w:val="00611EB3"/>
    <w:rsid w:val="00612673"/>
    <w:rsid w:val="00613357"/>
    <w:rsid w:val="0061404A"/>
    <w:rsid w:val="006140AF"/>
    <w:rsid w:val="00614EA8"/>
    <w:rsid w:val="006151C0"/>
    <w:rsid w:val="00615994"/>
    <w:rsid w:val="00615AF5"/>
    <w:rsid w:val="00615E1B"/>
    <w:rsid w:val="00616D76"/>
    <w:rsid w:val="006173C3"/>
    <w:rsid w:val="00617735"/>
    <w:rsid w:val="00617A96"/>
    <w:rsid w:val="00620A57"/>
    <w:rsid w:val="0062105B"/>
    <w:rsid w:val="00621BEA"/>
    <w:rsid w:val="00622AC6"/>
    <w:rsid w:val="0062337A"/>
    <w:rsid w:val="0062410F"/>
    <w:rsid w:val="006248A4"/>
    <w:rsid w:val="0062568D"/>
    <w:rsid w:val="00625767"/>
    <w:rsid w:val="00626935"/>
    <w:rsid w:val="00626975"/>
    <w:rsid w:val="00627499"/>
    <w:rsid w:val="00627F1C"/>
    <w:rsid w:val="006307ED"/>
    <w:rsid w:val="00631AF3"/>
    <w:rsid w:val="00631DBD"/>
    <w:rsid w:val="00632377"/>
    <w:rsid w:val="0063276A"/>
    <w:rsid w:val="00632C35"/>
    <w:rsid w:val="00635142"/>
    <w:rsid w:val="00635BD9"/>
    <w:rsid w:val="00635F6D"/>
    <w:rsid w:val="00636B57"/>
    <w:rsid w:val="00636D41"/>
    <w:rsid w:val="00637439"/>
    <w:rsid w:val="00640171"/>
    <w:rsid w:val="006403EE"/>
    <w:rsid w:val="00640AB7"/>
    <w:rsid w:val="00640D75"/>
    <w:rsid w:val="00640E3E"/>
    <w:rsid w:val="0064131F"/>
    <w:rsid w:val="00641761"/>
    <w:rsid w:val="0064187E"/>
    <w:rsid w:val="0064190D"/>
    <w:rsid w:val="00641934"/>
    <w:rsid w:val="00641A2C"/>
    <w:rsid w:val="00642B3F"/>
    <w:rsid w:val="00642F27"/>
    <w:rsid w:val="006437DD"/>
    <w:rsid w:val="006458EF"/>
    <w:rsid w:val="00645B52"/>
    <w:rsid w:val="00645F74"/>
    <w:rsid w:val="0064625D"/>
    <w:rsid w:val="006464A1"/>
    <w:rsid w:val="00646740"/>
    <w:rsid w:val="00646AE7"/>
    <w:rsid w:val="00646B8D"/>
    <w:rsid w:val="0064754B"/>
    <w:rsid w:val="00647D32"/>
    <w:rsid w:val="006505F0"/>
    <w:rsid w:val="00650BDD"/>
    <w:rsid w:val="00650BE5"/>
    <w:rsid w:val="00651688"/>
    <w:rsid w:val="00651BE8"/>
    <w:rsid w:val="00651CFD"/>
    <w:rsid w:val="00651D04"/>
    <w:rsid w:val="00651DD6"/>
    <w:rsid w:val="006534AA"/>
    <w:rsid w:val="006541B2"/>
    <w:rsid w:val="006546CA"/>
    <w:rsid w:val="0065534A"/>
    <w:rsid w:val="006558A0"/>
    <w:rsid w:val="006566B6"/>
    <w:rsid w:val="00656724"/>
    <w:rsid w:val="00656751"/>
    <w:rsid w:val="00656B57"/>
    <w:rsid w:val="0065726C"/>
    <w:rsid w:val="006573ED"/>
    <w:rsid w:val="0066027F"/>
    <w:rsid w:val="0066093F"/>
    <w:rsid w:val="0066166E"/>
    <w:rsid w:val="00661BC1"/>
    <w:rsid w:val="00661CA5"/>
    <w:rsid w:val="00663E11"/>
    <w:rsid w:val="00664761"/>
    <w:rsid w:val="00666139"/>
    <w:rsid w:val="006666D0"/>
    <w:rsid w:val="00666754"/>
    <w:rsid w:val="0067045C"/>
    <w:rsid w:val="0067049A"/>
    <w:rsid w:val="00670FC9"/>
    <w:rsid w:val="00671289"/>
    <w:rsid w:val="00671A1F"/>
    <w:rsid w:val="006724C5"/>
    <w:rsid w:val="00672F99"/>
    <w:rsid w:val="00673AEA"/>
    <w:rsid w:val="006741D1"/>
    <w:rsid w:val="006744EF"/>
    <w:rsid w:val="00674516"/>
    <w:rsid w:val="00674678"/>
    <w:rsid w:val="0067489F"/>
    <w:rsid w:val="00675246"/>
    <w:rsid w:val="00675F3B"/>
    <w:rsid w:val="00676A0F"/>
    <w:rsid w:val="00676A75"/>
    <w:rsid w:val="006777A7"/>
    <w:rsid w:val="006805A1"/>
    <w:rsid w:val="00680C9A"/>
    <w:rsid w:val="0068274A"/>
    <w:rsid w:val="00682CC8"/>
    <w:rsid w:val="00682E95"/>
    <w:rsid w:val="0068349D"/>
    <w:rsid w:val="006835AD"/>
    <w:rsid w:val="00683750"/>
    <w:rsid w:val="00684E64"/>
    <w:rsid w:val="00685E48"/>
    <w:rsid w:val="00685E88"/>
    <w:rsid w:val="00686523"/>
    <w:rsid w:val="00686993"/>
    <w:rsid w:val="00686BC0"/>
    <w:rsid w:val="00686F3C"/>
    <w:rsid w:val="00686FF1"/>
    <w:rsid w:val="00687B55"/>
    <w:rsid w:val="00691265"/>
    <w:rsid w:val="00691582"/>
    <w:rsid w:val="00691F96"/>
    <w:rsid w:val="00693726"/>
    <w:rsid w:val="00693F11"/>
    <w:rsid w:val="0069491E"/>
    <w:rsid w:val="00694A83"/>
    <w:rsid w:val="006955D1"/>
    <w:rsid w:val="00695B56"/>
    <w:rsid w:val="0069636D"/>
    <w:rsid w:val="00696C2D"/>
    <w:rsid w:val="006A0BEB"/>
    <w:rsid w:val="006A0E0D"/>
    <w:rsid w:val="006A1356"/>
    <w:rsid w:val="006A14AC"/>
    <w:rsid w:val="006A1E99"/>
    <w:rsid w:val="006A2207"/>
    <w:rsid w:val="006A26A1"/>
    <w:rsid w:val="006A2A7E"/>
    <w:rsid w:val="006A3628"/>
    <w:rsid w:val="006A3DED"/>
    <w:rsid w:val="006A50A9"/>
    <w:rsid w:val="006A50B7"/>
    <w:rsid w:val="006A556F"/>
    <w:rsid w:val="006A5E41"/>
    <w:rsid w:val="006A601D"/>
    <w:rsid w:val="006A625A"/>
    <w:rsid w:val="006A63D6"/>
    <w:rsid w:val="006A7B7D"/>
    <w:rsid w:val="006A7C1B"/>
    <w:rsid w:val="006B0345"/>
    <w:rsid w:val="006B05F9"/>
    <w:rsid w:val="006B0CAC"/>
    <w:rsid w:val="006B107C"/>
    <w:rsid w:val="006B226C"/>
    <w:rsid w:val="006B27F9"/>
    <w:rsid w:val="006B2FDC"/>
    <w:rsid w:val="006B300A"/>
    <w:rsid w:val="006B3189"/>
    <w:rsid w:val="006B350D"/>
    <w:rsid w:val="006B381D"/>
    <w:rsid w:val="006B3B1B"/>
    <w:rsid w:val="006B5BD2"/>
    <w:rsid w:val="006B65B0"/>
    <w:rsid w:val="006B662A"/>
    <w:rsid w:val="006B6AD4"/>
    <w:rsid w:val="006B6D7E"/>
    <w:rsid w:val="006B6E46"/>
    <w:rsid w:val="006B6FF8"/>
    <w:rsid w:val="006B73F1"/>
    <w:rsid w:val="006B75CE"/>
    <w:rsid w:val="006C05B1"/>
    <w:rsid w:val="006C0BE1"/>
    <w:rsid w:val="006C1412"/>
    <w:rsid w:val="006C18B8"/>
    <w:rsid w:val="006C19DF"/>
    <w:rsid w:val="006C1AA4"/>
    <w:rsid w:val="006C2210"/>
    <w:rsid w:val="006C3562"/>
    <w:rsid w:val="006C36A3"/>
    <w:rsid w:val="006C3E3D"/>
    <w:rsid w:val="006C50CD"/>
    <w:rsid w:val="006C52D7"/>
    <w:rsid w:val="006C54DC"/>
    <w:rsid w:val="006C5B81"/>
    <w:rsid w:val="006C61CD"/>
    <w:rsid w:val="006C68A4"/>
    <w:rsid w:val="006C6D63"/>
    <w:rsid w:val="006C70EF"/>
    <w:rsid w:val="006C726A"/>
    <w:rsid w:val="006C76B3"/>
    <w:rsid w:val="006D0760"/>
    <w:rsid w:val="006D0CD6"/>
    <w:rsid w:val="006D2D16"/>
    <w:rsid w:val="006D3464"/>
    <w:rsid w:val="006D3B75"/>
    <w:rsid w:val="006D451B"/>
    <w:rsid w:val="006D4DD6"/>
    <w:rsid w:val="006D51B0"/>
    <w:rsid w:val="006D5481"/>
    <w:rsid w:val="006D54ED"/>
    <w:rsid w:val="006D602F"/>
    <w:rsid w:val="006D7263"/>
    <w:rsid w:val="006D7DCE"/>
    <w:rsid w:val="006D7F84"/>
    <w:rsid w:val="006E1F82"/>
    <w:rsid w:val="006E2281"/>
    <w:rsid w:val="006E2938"/>
    <w:rsid w:val="006E3FF4"/>
    <w:rsid w:val="006E510F"/>
    <w:rsid w:val="006E55AF"/>
    <w:rsid w:val="006E5E35"/>
    <w:rsid w:val="006E68EC"/>
    <w:rsid w:val="006F0117"/>
    <w:rsid w:val="006F0D79"/>
    <w:rsid w:val="006F149A"/>
    <w:rsid w:val="006F24CA"/>
    <w:rsid w:val="006F27EC"/>
    <w:rsid w:val="006F2A85"/>
    <w:rsid w:val="006F2B9F"/>
    <w:rsid w:val="006F2C13"/>
    <w:rsid w:val="006F3362"/>
    <w:rsid w:val="006F3532"/>
    <w:rsid w:val="006F37BF"/>
    <w:rsid w:val="006F38E8"/>
    <w:rsid w:val="006F3D63"/>
    <w:rsid w:val="006F42ED"/>
    <w:rsid w:val="006F473F"/>
    <w:rsid w:val="006F52BF"/>
    <w:rsid w:val="006F5C07"/>
    <w:rsid w:val="006F5FC8"/>
    <w:rsid w:val="006F61F2"/>
    <w:rsid w:val="006F70F4"/>
    <w:rsid w:val="006F7986"/>
    <w:rsid w:val="0070227D"/>
    <w:rsid w:val="007022F2"/>
    <w:rsid w:val="00702305"/>
    <w:rsid w:val="00703C78"/>
    <w:rsid w:val="00704950"/>
    <w:rsid w:val="00704DCF"/>
    <w:rsid w:val="0070564E"/>
    <w:rsid w:val="0070633B"/>
    <w:rsid w:val="00707596"/>
    <w:rsid w:val="00710FE6"/>
    <w:rsid w:val="00711284"/>
    <w:rsid w:val="0071174C"/>
    <w:rsid w:val="007126BB"/>
    <w:rsid w:val="007126DF"/>
    <w:rsid w:val="00713F51"/>
    <w:rsid w:val="00714E21"/>
    <w:rsid w:val="00714F98"/>
    <w:rsid w:val="007152F8"/>
    <w:rsid w:val="00715E3C"/>
    <w:rsid w:val="0071604F"/>
    <w:rsid w:val="00716FD3"/>
    <w:rsid w:val="007175DA"/>
    <w:rsid w:val="00717D25"/>
    <w:rsid w:val="00720C97"/>
    <w:rsid w:val="0072160D"/>
    <w:rsid w:val="00723090"/>
    <w:rsid w:val="0072441A"/>
    <w:rsid w:val="0072620E"/>
    <w:rsid w:val="00726F3E"/>
    <w:rsid w:val="00727BE1"/>
    <w:rsid w:val="00727FF4"/>
    <w:rsid w:val="0073007E"/>
    <w:rsid w:val="00731179"/>
    <w:rsid w:val="007314E3"/>
    <w:rsid w:val="00731501"/>
    <w:rsid w:val="00731681"/>
    <w:rsid w:val="00735362"/>
    <w:rsid w:val="007356D8"/>
    <w:rsid w:val="00735B00"/>
    <w:rsid w:val="007370C2"/>
    <w:rsid w:val="00737CCE"/>
    <w:rsid w:val="00737FCB"/>
    <w:rsid w:val="00740698"/>
    <w:rsid w:val="007410F3"/>
    <w:rsid w:val="007413A7"/>
    <w:rsid w:val="00743988"/>
    <w:rsid w:val="00743AAD"/>
    <w:rsid w:val="0074493D"/>
    <w:rsid w:val="00744A80"/>
    <w:rsid w:val="00744B0B"/>
    <w:rsid w:val="00744B72"/>
    <w:rsid w:val="00744FD2"/>
    <w:rsid w:val="00745E14"/>
    <w:rsid w:val="007461FF"/>
    <w:rsid w:val="00746BE4"/>
    <w:rsid w:val="0075039F"/>
    <w:rsid w:val="0075062C"/>
    <w:rsid w:val="00750D0C"/>
    <w:rsid w:val="0075169B"/>
    <w:rsid w:val="00751741"/>
    <w:rsid w:val="00752303"/>
    <w:rsid w:val="00752557"/>
    <w:rsid w:val="00752784"/>
    <w:rsid w:val="007528F5"/>
    <w:rsid w:val="00753AD6"/>
    <w:rsid w:val="00754B8D"/>
    <w:rsid w:val="00754D06"/>
    <w:rsid w:val="0075536D"/>
    <w:rsid w:val="00755C53"/>
    <w:rsid w:val="00756340"/>
    <w:rsid w:val="00757563"/>
    <w:rsid w:val="00757811"/>
    <w:rsid w:val="0075783D"/>
    <w:rsid w:val="00757D60"/>
    <w:rsid w:val="00757EEC"/>
    <w:rsid w:val="00757F8A"/>
    <w:rsid w:val="007602A3"/>
    <w:rsid w:val="00760CA9"/>
    <w:rsid w:val="0076120A"/>
    <w:rsid w:val="0076129F"/>
    <w:rsid w:val="00761489"/>
    <w:rsid w:val="00761D98"/>
    <w:rsid w:val="0076210E"/>
    <w:rsid w:val="00762468"/>
    <w:rsid w:val="00762475"/>
    <w:rsid w:val="00762C57"/>
    <w:rsid w:val="00762F7E"/>
    <w:rsid w:val="007639D9"/>
    <w:rsid w:val="007653D1"/>
    <w:rsid w:val="007667A9"/>
    <w:rsid w:val="00766CE1"/>
    <w:rsid w:val="00767298"/>
    <w:rsid w:val="00770B22"/>
    <w:rsid w:val="0077145B"/>
    <w:rsid w:val="0077266A"/>
    <w:rsid w:val="007729BA"/>
    <w:rsid w:val="00772ECE"/>
    <w:rsid w:val="00773537"/>
    <w:rsid w:val="007742A3"/>
    <w:rsid w:val="00774E9C"/>
    <w:rsid w:val="00775045"/>
    <w:rsid w:val="007752D8"/>
    <w:rsid w:val="007767D2"/>
    <w:rsid w:val="007773FE"/>
    <w:rsid w:val="007774B2"/>
    <w:rsid w:val="00777565"/>
    <w:rsid w:val="00777741"/>
    <w:rsid w:val="00780866"/>
    <w:rsid w:val="00780B1F"/>
    <w:rsid w:val="00782022"/>
    <w:rsid w:val="00782375"/>
    <w:rsid w:val="00782ADB"/>
    <w:rsid w:val="00783634"/>
    <w:rsid w:val="00783979"/>
    <w:rsid w:val="0078447B"/>
    <w:rsid w:val="007850A2"/>
    <w:rsid w:val="007853F6"/>
    <w:rsid w:val="00786390"/>
    <w:rsid w:val="007864CC"/>
    <w:rsid w:val="00786DAA"/>
    <w:rsid w:val="007874FD"/>
    <w:rsid w:val="00787F43"/>
    <w:rsid w:val="00790995"/>
    <w:rsid w:val="0079100E"/>
    <w:rsid w:val="0079115B"/>
    <w:rsid w:val="00791284"/>
    <w:rsid w:val="00791BAA"/>
    <w:rsid w:val="00791BD4"/>
    <w:rsid w:val="00791D25"/>
    <w:rsid w:val="0079249A"/>
    <w:rsid w:val="00792D50"/>
    <w:rsid w:val="0079310B"/>
    <w:rsid w:val="007932E9"/>
    <w:rsid w:val="0079353B"/>
    <w:rsid w:val="00793603"/>
    <w:rsid w:val="007939C6"/>
    <w:rsid w:val="00793CDF"/>
    <w:rsid w:val="00793F94"/>
    <w:rsid w:val="00794BBA"/>
    <w:rsid w:val="00794C92"/>
    <w:rsid w:val="007951BE"/>
    <w:rsid w:val="00795D43"/>
    <w:rsid w:val="00796146"/>
    <w:rsid w:val="007967F6"/>
    <w:rsid w:val="00796BBE"/>
    <w:rsid w:val="00796DAD"/>
    <w:rsid w:val="007971F5"/>
    <w:rsid w:val="007971FB"/>
    <w:rsid w:val="0079732B"/>
    <w:rsid w:val="007979FA"/>
    <w:rsid w:val="00797A43"/>
    <w:rsid w:val="007A062F"/>
    <w:rsid w:val="007A0BC7"/>
    <w:rsid w:val="007A1733"/>
    <w:rsid w:val="007A1B2A"/>
    <w:rsid w:val="007A2596"/>
    <w:rsid w:val="007A2634"/>
    <w:rsid w:val="007A3270"/>
    <w:rsid w:val="007A3805"/>
    <w:rsid w:val="007A38FB"/>
    <w:rsid w:val="007A42F1"/>
    <w:rsid w:val="007A4829"/>
    <w:rsid w:val="007A54A0"/>
    <w:rsid w:val="007A5554"/>
    <w:rsid w:val="007A5598"/>
    <w:rsid w:val="007A5E4D"/>
    <w:rsid w:val="007A5ECD"/>
    <w:rsid w:val="007A6561"/>
    <w:rsid w:val="007A74E0"/>
    <w:rsid w:val="007A7694"/>
    <w:rsid w:val="007A7A6D"/>
    <w:rsid w:val="007A7F17"/>
    <w:rsid w:val="007B0DBC"/>
    <w:rsid w:val="007B135E"/>
    <w:rsid w:val="007B2F56"/>
    <w:rsid w:val="007B3B8D"/>
    <w:rsid w:val="007B462F"/>
    <w:rsid w:val="007B4915"/>
    <w:rsid w:val="007B4E38"/>
    <w:rsid w:val="007B4E4B"/>
    <w:rsid w:val="007B57A8"/>
    <w:rsid w:val="007B60FC"/>
    <w:rsid w:val="007B6722"/>
    <w:rsid w:val="007B714D"/>
    <w:rsid w:val="007B71CC"/>
    <w:rsid w:val="007B7838"/>
    <w:rsid w:val="007B7DE9"/>
    <w:rsid w:val="007C0119"/>
    <w:rsid w:val="007C0517"/>
    <w:rsid w:val="007C0902"/>
    <w:rsid w:val="007C110B"/>
    <w:rsid w:val="007C2C98"/>
    <w:rsid w:val="007C2D47"/>
    <w:rsid w:val="007C2F7F"/>
    <w:rsid w:val="007C3561"/>
    <w:rsid w:val="007C48CC"/>
    <w:rsid w:val="007C4B96"/>
    <w:rsid w:val="007C5155"/>
    <w:rsid w:val="007C6339"/>
    <w:rsid w:val="007C6954"/>
    <w:rsid w:val="007C767A"/>
    <w:rsid w:val="007C7E70"/>
    <w:rsid w:val="007D0591"/>
    <w:rsid w:val="007D19EA"/>
    <w:rsid w:val="007D1B9E"/>
    <w:rsid w:val="007D1EFE"/>
    <w:rsid w:val="007D2617"/>
    <w:rsid w:val="007D28C5"/>
    <w:rsid w:val="007D309A"/>
    <w:rsid w:val="007D3398"/>
    <w:rsid w:val="007D397D"/>
    <w:rsid w:val="007D3A24"/>
    <w:rsid w:val="007D432D"/>
    <w:rsid w:val="007D45DB"/>
    <w:rsid w:val="007D49E8"/>
    <w:rsid w:val="007D4C68"/>
    <w:rsid w:val="007D5F51"/>
    <w:rsid w:val="007D633E"/>
    <w:rsid w:val="007D6E15"/>
    <w:rsid w:val="007D708D"/>
    <w:rsid w:val="007D7864"/>
    <w:rsid w:val="007E0B61"/>
    <w:rsid w:val="007E0C7D"/>
    <w:rsid w:val="007E0E62"/>
    <w:rsid w:val="007E1E34"/>
    <w:rsid w:val="007E2F4C"/>
    <w:rsid w:val="007E3608"/>
    <w:rsid w:val="007E3DFD"/>
    <w:rsid w:val="007E469D"/>
    <w:rsid w:val="007E4812"/>
    <w:rsid w:val="007E4B19"/>
    <w:rsid w:val="007E5403"/>
    <w:rsid w:val="007E709F"/>
    <w:rsid w:val="007E738C"/>
    <w:rsid w:val="007E7EFA"/>
    <w:rsid w:val="007F0554"/>
    <w:rsid w:val="007F07FE"/>
    <w:rsid w:val="007F0B59"/>
    <w:rsid w:val="007F1C3B"/>
    <w:rsid w:val="007F2744"/>
    <w:rsid w:val="007F297D"/>
    <w:rsid w:val="007F2BAF"/>
    <w:rsid w:val="007F2D67"/>
    <w:rsid w:val="007F3867"/>
    <w:rsid w:val="007F3C93"/>
    <w:rsid w:val="007F62E0"/>
    <w:rsid w:val="007F6D17"/>
    <w:rsid w:val="007F7399"/>
    <w:rsid w:val="007F7804"/>
    <w:rsid w:val="007F7DE6"/>
    <w:rsid w:val="00800011"/>
    <w:rsid w:val="0080007B"/>
    <w:rsid w:val="00800224"/>
    <w:rsid w:val="00801216"/>
    <w:rsid w:val="008019ED"/>
    <w:rsid w:val="00802148"/>
    <w:rsid w:val="008027E3"/>
    <w:rsid w:val="008043B4"/>
    <w:rsid w:val="0080461A"/>
    <w:rsid w:val="00805799"/>
    <w:rsid w:val="00805AEB"/>
    <w:rsid w:val="0080677A"/>
    <w:rsid w:val="00806F44"/>
    <w:rsid w:val="00807517"/>
    <w:rsid w:val="00807F1F"/>
    <w:rsid w:val="00810A91"/>
    <w:rsid w:val="00810B17"/>
    <w:rsid w:val="00810FBA"/>
    <w:rsid w:val="008113BC"/>
    <w:rsid w:val="00811E2B"/>
    <w:rsid w:val="00811FFB"/>
    <w:rsid w:val="00812C9F"/>
    <w:rsid w:val="008175DD"/>
    <w:rsid w:val="00817D68"/>
    <w:rsid w:val="00820090"/>
    <w:rsid w:val="00820D5C"/>
    <w:rsid w:val="00821023"/>
    <w:rsid w:val="00821C3C"/>
    <w:rsid w:val="00821E86"/>
    <w:rsid w:val="008228B1"/>
    <w:rsid w:val="0082311E"/>
    <w:rsid w:val="008235D0"/>
    <w:rsid w:val="008235D6"/>
    <w:rsid w:val="008238AD"/>
    <w:rsid w:val="0082468D"/>
    <w:rsid w:val="00825299"/>
    <w:rsid w:val="00825976"/>
    <w:rsid w:val="008277E1"/>
    <w:rsid w:val="008306EF"/>
    <w:rsid w:val="008308AF"/>
    <w:rsid w:val="00833DD1"/>
    <w:rsid w:val="0083431B"/>
    <w:rsid w:val="00834340"/>
    <w:rsid w:val="00834DBE"/>
    <w:rsid w:val="00835C4E"/>
    <w:rsid w:val="008365E1"/>
    <w:rsid w:val="00836D67"/>
    <w:rsid w:val="00836D78"/>
    <w:rsid w:val="00836F1B"/>
    <w:rsid w:val="008375C3"/>
    <w:rsid w:val="008377CE"/>
    <w:rsid w:val="00837986"/>
    <w:rsid w:val="00837E25"/>
    <w:rsid w:val="00837E39"/>
    <w:rsid w:val="00841047"/>
    <w:rsid w:val="00841427"/>
    <w:rsid w:val="0084162C"/>
    <w:rsid w:val="0084199D"/>
    <w:rsid w:val="00841DC3"/>
    <w:rsid w:val="008424F4"/>
    <w:rsid w:val="008433B6"/>
    <w:rsid w:val="0084429A"/>
    <w:rsid w:val="00845D9B"/>
    <w:rsid w:val="00845FBD"/>
    <w:rsid w:val="008479AF"/>
    <w:rsid w:val="00847D31"/>
    <w:rsid w:val="008509F4"/>
    <w:rsid w:val="0085114C"/>
    <w:rsid w:val="008512DB"/>
    <w:rsid w:val="00851A7F"/>
    <w:rsid w:val="008525B3"/>
    <w:rsid w:val="0085277E"/>
    <w:rsid w:val="00853463"/>
    <w:rsid w:val="00853A38"/>
    <w:rsid w:val="00853A75"/>
    <w:rsid w:val="00853CBB"/>
    <w:rsid w:val="008544C1"/>
    <w:rsid w:val="00854C71"/>
    <w:rsid w:val="00854E53"/>
    <w:rsid w:val="00854F45"/>
    <w:rsid w:val="00855860"/>
    <w:rsid w:val="008558D5"/>
    <w:rsid w:val="008565B5"/>
    <w:rsid w:val="008576CD"/>
    <w:rsid w:val="00857D49"/>
    <w:rsid w:val="00857FB0"/>
    <w:rsid w:val="00860970"/>
    <w:rsid w:val="0086175C"/>
    <w:rsid w:val="0086194D"/>
    <w:rsid w:val="0086218C"/>
    <w:rsid w:val="00863026"/>
    <w:rsid w:val="00863A02"/>
    <w:rsid w:val="00864436"/>
    <w:rsid w:val="00864F09"/>
    <w:rsid w:val="0086564C"/>
    <w:rsid w:val="00865A9B"/>
    <w:rsid w:val="00866952"/>
    <w:rsid w:val="00866AB8"/>
    <w:rsid w:val="00866D71"/>
    <w:rsid w:val="0086750D"/>
    <w:rsid w:val="008709A1"/>
    <w:rsid w:val="00871486"/>
    <w:rsid w:val="00871EE0"/>
    <w:rsid w:val="008720FB"/>
    <w:rsid w:val="00872C22"/>
    <w:rsid w:val="0087375A"/>
    <w:rsid w:val="00874416"/>
    <w:rsid w:val="00874449"/>
    <w:rsid w:val="00875282"/>
    <w:rsid w:val="008762CC"/>
    <w:rsid w:val="00876CE6"/>
    <w:rsid w:val="00877135"/>
    <w:rsid w:val="00877BEF"/>
    <w:rsid w:val="00877FA4"/>
    <w:rsid w:val="008804DF"/>
    <w:rsid w:val="00880B9A"/>
    <w:rsid w:val="008812A1"/>
    <w:rsid w:val="008815CC"/>
    <w:rsid w:val="00881638"/>
    <w:rsid w:val="008818F3"/>
    <w:rsid w:val="00881B1A"/>
    <w:rsid w:val="00881EA4"/>
    <w:rsid w:val="008820F4"/>
    <w:rsid w:val="008822A4"/>
    <w:rsid w:val="0088271D"/>
    <w:rsid w:val="00884409"/>
    <w:rsid w:val="00884609"/>
    <w:rsid w:val="0088561E"/>
    <w:rsid w:val="00886400"/>
    <w:rsid w:val="00887049"/>
    <w:rsid w:val="0088737E"/>
    <w:rsid w:val="008877B4"/>
    <w:rsid w:val="00890341"/>
    <w:rsid w:val="008903E0"/>
    <w:rsid w:val="0089057E"/>
    <w:rsid w:val="00890D7D"/>
    <w:rsid w:val="0089102E"/>
    <w:rsid w:val="0089181A"/>
    <w:rsid w:val="00892E0F"/>
    <w:rsid w:val="00893269"/>
    <w:rsid w:val="008935B5"/>
    <w:rsid w:val="00893E63"/>
    <w:rsid w:val="008947B3"/>
    <w:rsid w:val="008947E4"/>
    <w:rsid w:val="008955AC"/>
    <w:rsid w:val="00896249"/>
    <w:rsid w:val="008965EA"/>
    <w:rsid w:val="00896DCF"/>
    <w:rsid w:val="0089716A"/>
    <w:rsid w:val="00897C18"/>
    <w:rsid w:val="008A0694"/>
    <w:rsid w:val="008A1083"/>
    <w:rsid w:val="008A1251"/>
    <w:rsid w:val="008A14F1"/>
    <w:rsid w:val="008A1ADE"/>
    <w:rsid w:val="008A1D50"/>
    <w:rsid w:val="008A1D95"/>
    <w:rsid w:val="008A2074"/>
    <w:rsid w:val="008A254D"/>
    <w:rsid w:val="008A34BD"/>
    <w:rsid w:val="008A35EF"/>
    <w:rsid w:val="008A3D9B"/>
    <w:rsid w:val="008A4237"/>
    <w:rsid w:val="008A45B1"/>
    <w:rsid w:val="008A47DD"/>
    <w:rsid w:val="008A4B1A"/>
    <w:rsid w:val="008A4CB9"/>
    <w:rsid w:val="008A4D77"/>
    <w:rsid w:val="008A5261"/>
    <w:rsid w:val="008A5456"/>
    <w:rsid w:val="008A5FA9"/>
    <w:rsid w:val="008A6276"/>
    <w:rsid w:val="008A67EB"/>
    <w:rsid w:val="008A6884"/>
    <w:rsid w:val="008A6956"/>
    <w:rsid w:val="008A732A"/>
    <w:rsid w:val="008A7CF0"/>
    <w:rsid w:val="008B109A"/>
    <w:rsid w:val="008B14BD"/>
    <w:rsid w:val="008B307E"/>
    <w:rsid w:val="008B3430"/>
    <w:rsid w:val="008B447B"/>
    <w:rsid w:val="008B44AE"/>
    <w:rsid w:val="008B45AC"/>
    <w:rsid w:val="008B486B"/>
    <w:rsid w:val="008B4C30"/>
    <w:rsid w:val="008B4F9B"/>
    <w:rsid w:val="008B50CE"/>
    <w:rsid w:val="008B5E15"/>
    <w:rsid w:val="008B7553"/>
    <w:rsid w:val="008B757A"/>
    <w:rsid w:val="008B7C0C"/>
    <w:rsid w:val="008B7DD3"/>
    <w:rsid w:val="008C001C"/>
    <w:rsid w:val="008C0711"/>
    <w:rsid w:val="008C0906"/>
    <w:rsid w:val="008C0A61"/>
    <w:rsid w:val="008C0C9D"/>
    <w:rsid w:val="008C0D77"/>
    <w:rsid w:val="008C107A"/>
    <w:rsid w:val="008C1E9B"/>
    <w:rsid w:val="008C3DCD"/>
    <w:rsid w:val="008C4462"/>
    <w:rsid w:val="008C4B8C"/>
    <w:rsid w:val="008C5685"/>
    <w:rsid w:val="008C5710"/>
    <w:rsid w:val="008C62BA"/>
    <w:rsid w:val="008C6E00"/>
    <w:rsid w:val="008C6F51"/>
    <w:rsid w:val="008C720C"/>
    <w:rsid w:val="008C7C3C"/>
    <w:rsid w:val="008D078F"/>
    <w:rsid w:val="008D1AA4"/>
    <w:rsid w:val="008D1F2C"/>
    <w:rsid w:val="008D23C4"/>
    <w:rsid w:val="008D2417"/>
    <w:rsid w:val="008D36D7"/>
    <w:rsid w:val="008D36F9"/>
    <w:rsid w:val="008D3B64"/>
    <w:rsid w:val="008D467D"/>
    <w:rsid w:val="008D4D03"/>
    <w:rsid w:val="008D57EB"/>
    <w:rsid w:val="008D5BA2"/>
    <w:rsid w:val="008D6DA4"/>
    <w:rsid w:val="008D6EAF"/>
    <w:rsid w:val="008D7059"/>
    <w:rsid w:val="008D7DBB"/>
    <w:rsid w:val="008E0A1A"/>
    <w:rsid w:val="008E0E22"/>
    <w:rsid w:val="008E1914"/>
    <w:rsid w:val="008E1B97"/>
    <w:rsid w:val="008E23F9"/>
    <w:rsid w:val="008E2788"/>
    <w:rsid w:val="008E2B3B"/>
    <w:rsid w:val="008E490D"/>
    <w:rsid w:val="008E4BEF"/>
    <w:rsid w:val="008E53D6"/>
    <w:rsid w:val="008E53D8"/>
    <w:rsid w:val="008E60E4"/>
    <w:rsid w:val="008E7247"/>
    <w:rsid w:val="008E73CF"/>
    <w:rsid w:val="008E7C92"/>
    <w:rsid w:val="008F0241"/>
    <w:rsid w:val="008F0C91"/>
    <w:rsid w:val="008F1811"/>
    <w:rsid w:val="008F200B"/>
    <w:rsid w:val="008F24DD"/>
    <w:rsid w:val="008F25C8"/>
    <w:rsid w:val="008F3133"/>
    <w:rsid w:val="008F39F1"/>
    <w:rsid w:val="008F4B37"/>
    <w:rsid w:val="008F4E5F"/>
    <w:rsid w:val="008F510D"/>
    <w:rsid w:val="008F68ED"/>
    <w:rsid w:val="008F6F51"/>
    <w:rsid w:val="00901EBD"/>
    <w:rsid w:val="00902709"/>
    <w:rsid w:val="0090279E"/>
    <w:rsid w:val="00902C35"/>
    <w:rsid w:val="00902F2A"/>
    <w:rsid w:val="009038F2"/>
    <w:rsid w:val="00903957"/>
    <w:rsid w:val="00904D2D"/>
    <w:rsid w:val="009059DA"/>
    <w:rsid w:val="00905D03"/>
    <w:rsid w:val="00905F48"/>
    <w:rsid w:val="009076D6"/>
    <w:rsid w:val="00910492"/>
    <w:rsid w:val="00910698"/>
    <w:rsid w:val="0091091E"/>
    <w:rsid w:val="009117E5"/>
    <w:rsid w:val="00911A2A"/>
    <w:rsid w:val="00911A83"/>
    <w:rsid w:val="00911FF0"/>
    <w:rsid w:val="00912DAC"/>
    <w:rsid w:val="00912EAB"/>
    <w:rsid w:val="009148EA"/>
    <w:rsid w:val="00914AE4"/>
    <w:rsid w:val="009153D2"/>
    <w:rsid w:val="00915615"/>
    <w:rsid w:val="00916AF1"/>
    <w:rsid w:val="00921BD0"/>
    <w:rsid w:val="00921D1A"/>
    <w:rsid w:val="00922258"/>
    <w:rsid w:val="00922D8A"/>
    <w:rsid w:val="009238BD"/>
    <w:rsid w:val="00923AA1"/>
    <w:rsid w:val="00923E68"/>
    <w:rsid w:val="00924952"/>
    <w:rsid w:val="009254A9"/>
    <w:rsid w:val="009256A5"/>
    <w:rsid w:val="009258B4"/>
    <w:rsid w:val="009259FA"/>
    <w:rsid w:val="00925FDB"/>
    <w:rsid w:val="00926342"/>
    <w:rsid w:val="009264FE"/>
    <w:rsid w:val="009271FA"/>
    <w:rsid w:val="009276E3"/>
    <w:rsid w:val="00927ED8"/>
    <w:rsid w:val="009301A7"/>
    <w:rsid w:val="0093092A"/>
    <w:rsid w:val="00931298"/>
    <w:rsid w:val="0093364E"/>
    <w:rsid w:val="00933903"/>
    <w:rsid w:val="00934559"/>
    <w:rsid w:val="0093517F"/>
    <w:rsid w:val="00935652"/>
    <w:rsid w:val="009360A9"/>
    <w:rsid w:val="009360B6"/>
    <w:rsid w:val="009360E2"/>
    <w:rsid w:val="009378C8"/>
    <w:rsid w:val="00937D30"/>
    <w:rsid w:val="00940149"/>
    <w:rsid w:val="009404DA"/>
    <w:rsid w:val="009407D8"/>
    <w:rsid w:val="00940C68"/>
    <w:rsid w:val="009427D5"/>
    <w:rsid w:val="00943F09"/>
    <w:rsid w:val="009464B8"/>
    <w:rsid w:val="00950A27"/>
    <w:rsid w:val="009513CC"/>
    <w:rsid w:val="0095201D"/>
    <w:rsid w:val="0095326D"/>
    <w:rsid w:val="00954679"/>
    <w:rsid w:val="00954890"/>
    <w:rsid w:val="00954AE0"/>
    <w:rsid w:val="0095504A"/>
    <w:rsid w:val="00955B86"/>
    <w:rsid w:val="00956168"/>
    <w:rsid w:val="00956FAB"/>
    <w:rsid w:val="009571CB"/>
    <w:rsid w:val="009575F4"/>
    <w:rsid w:val="0095779A"/>
    <w:rsid w:val="00960182"/>
    <w:rsid w:val="00961116"/>
    <w:rsid w:val="00961FC9"/>
    <w:rsid w:val="009623F9"/>
    <w:rsid w:val="009624B8"/>
    <w:rsid w:val="00963264"/>
    <w:rsid w:val="00963CB5"/>
    <w:rsid w:val="00964B4A"/>
    <w:rsid w:val="00964D18"/>
    <w:rsid w:val="00964E9D"/>
    <w:rsid w:val="009654F3"/>
    <w:rsid w:val="00965EA1"/>
    <w:rsid w:val="00966913"/>
    <w:rsid w:val="00966A49"/>
    <w:rsid w:val="00966C6C"/>
    <w:rsid w:val="00967360"/>
    <w:rsid w:val="00967D02"/>
    <w:rsid w:val="00967D6B"/>
    <w:rsid w:val="009710D7"/>
    <w:rsid w:val="00971279"/>
    <w:rsid w:val="00971CA1"/>
    <w:rsid w:val="00972348"/>
    <w:rsid w:val="00974813"/>
    <w:rsid w:val="00974C04"/>
    <w:rsid w:val="0097510B"/>
    <w:rsid w:val="00975136"/>
    <w:rsid w:val="00975ABB"/>
    <w:rsid w:val="0097651A"/>
    <w:rsid w:val="009765FB"/>
    <w:rsid w:val="0097680D"/>
    <w:rsid w:val="009769D6"/>
    <w:rsid w:val="00976B9A"/>
    <w:rsid w:val="0097753C"/>
    <w:rsid w:val="00977E19"/>
    <w:rsid w:val="00977E9D"/>
    <w:rsid w:val="0098067E"/>
    <w:rsid w:val="009807ED"/>
    <w:rsid w:val="00981152"/>
    <w:rsid w:val="00981432"/>
    <w:rsid w:val="009818C3"/>
    <w:rsid w:val="00981B23"/>
    <w:rsid w:val="00982031"/>
    <w:rsid w:val="00983443"/>
    <w:rsid w:val="009836C4"/>
    <w:rsid w:val="00983976"/>
    <w:rsid w:val="00984C85"/>
    <w:rsid w:val="00984D7B"/>
    <w:rsid w:val="00985267"/>
    <w:rsid w:val="0098570C"/>
    <w:rsid w:val="00985EA8"/>
    <w:rsid w:val="0098624F"/>
    <w:rsid w:val="009864DA"/>
    <w:rsid w:val="009878B5"/>
    <w:rsid w:val="009879D3"/>
    <w:rsid w:val="00990A35"/>
    <w:rsid w:val="00990E7A"/>
    <w:rsid w:val="0099174C"/>
    <w:rsid w:val="00992062"/>
    <w:rsid w:val="0099226E"/>
    <w:rsid w:val="009927F8"/>
    <w:rsid w:val="00993BD6"/>
    <w:rsid w:val="00993EF8"/>
    <w:rsid w:val="00994936"/>
    <w:rsid w:val="00994A21"/>
    <w:rsid w:val="00994F19"/>
    <w:rsid w:val="0099554F"/>
    <w:rsid w:val="00995F6C"/>
    <w:rsid w:val="009963F3"/>
    <w:rsid w:val="009979F4"/>
    <w:rsid w:val="00997BA1"/>
    <w:rsid w:val="00997D31"/>
    <w:rsid w:val="009A00A5"/>
    <w:rsid w:val="009A0A99"/>
    <w:rsid w:val="009A1F69"/>
    <w:rsid w:val="009A203B"/>
    <w:rsid w:val="009A3166"/>
    <w:rsid w:val="009A3FB5"/>
    <w:rsid w:val="009A438E"/>
    <w:rsid w:val="009A4D83"/>
    <w:rsid w:val="009A4D92"/>
    <w:rsid w:val="009A4E78"/>
    <w:rsid w:val="009A5EBB"/>
    <w:rsid w:val="009A61AB"/>
    <w:rsid w:val="009A63DC"/>
    <w:rsid w:val="009A6B54"/>
    <w:rsid w:val="009A6BB7"/>
    <w:rsid w:val="009A6E67"/>
    <w:rsid w:val="009A7291"/>
    <w:rsid w:val="009A72C2"/>
    <w:rsid w:val="009A7FFC"/>
    <w:rsid w:val="009B047A"/>
    <w:rsid w:val="009B0708"/>
    <w:rsid w:val="009B118D"/>
    <w:rsid w:val="009B1B7F"/>
    <w:rsid w:val="009B2221"/>
    <w:rsid w:val="009B2343"/>
    <w:rsid w:val="009B35EA"/>
    <w:rsid w:val="009B487F"/>
    <w:rsid w:val="009B62EE"/>
    <w:rsid w:val="009B6BD2"/>
    <w:rsid w:val="009B6E0C"/>
    <w:rsid w:val="009C229A"/>
    <w:rsid w:val="009C46A4"/>
    <w:rsid w:val="009C4D1D"/>
    <w:rsid w:val="009C50E8"/>
    <w:rsid w:val="009C5305"/>
    <w:rsid w:val="009C5CB4"/>
    <w:rsid w:val="009C5F51"/>
    <w:rsid w:val="009C635E"/>
    <w:rsid w:val="009C668E"/>
    <w:rsid w:val="009C673C"/>
    <w:rsid w:val="009C7344"/>
    <w:rsid w:val="009C74D3"/>
    <w:rsid w:val="009C7667"/>
    <w:rsid w:val="009D0847"/>
    <w:rsid w:val="009D092E"/>
    <w:rsid w:val="009D11CF"/>
    <w:rsid w:val="009D2328"/>
    <w:rsid w:val="009D232E"/>
    <w:rsid w:val="009D2A74"/>
    <w:rsid w:val="009D3ABB"/>
    <w:rsid w:val="009D3F0A"/>
    <w:rsid w:val="009D539E"/>
    <w:rsid w:val="009D5863"/>
    <w:rsid w:val="009D5FBD"/>
    <w:rsid w:val="009D6A66"/>
    <w:rsid w:val="009E0E51"/>
    <w:rsid w:val="009E1C32"/>
    <w:rsid w:val="009E24EB"/>
    <w:rsid w:val="009E28C9"/>
    <w:rsid w:val="009E2FA5"/>
    <w:rsid w:val="009E499F"/>
    <w:rsid w:val="009E597F"/>
    <w:rsid w:val="009E666C"/>
    <w:rsid w:val="009E6D76"/>
    <w:rsid w:val="009E7684"/>
    <w:rsid w:val="009F02CC"/>
    <w:rsid w:val="009F0A32"/>
    <w:rsid w:val="009F0FDF"/>
    <w:rsid w:val="009F1009"/>
    <w:rsid w:val="009F135E"/>
    <w:rsid w:val="009F1494"/>
    <w:rsid w:val="009F185C"/>
    <w:rsid w:val="009F1A85"/>
    <w:rsid w:val="009F229F"/>
    <w:rsid w:val="009F363D"/>
    <w:rsid w:val="009F4113"/>
    <w:rsid w:val="009F4C90"/>
    <w:rsid w:val="009F6B53"/>
    <w:rsid w:val="009F71AD"/>
    <w:rsid w:val="009F75BC"/>
    <w:rsid w:val="009F761F"/>
    <w:rsid w:val="009F7B6F"/>
    <w:rsid w:val="009F7F7F"/>
    <w:rsid w:val="00A00899"/>
    <w:rsid w:val="00A00BB2"/>
    <w:rsid w:val="00A00FD8"/>
    <w:rsid w:val="00A01D64"/>
    <w:rsid w:val="00A031E5"/>
    <w:rsid w:val="00A03F82"/>
    <w:rsid w:val="00A04702"/>
    <w:rsid w:val="00A04750"/>
    <w:rsid w:val="00A04F4F"/>
    <w:rsid w:val="00A053AD"/>
    <w:rsid w:val="00A05CB8"/>
    <w:rsid w:val="00A05DC4"/>
    <w:rsid w:val="00A05F7F"/>
    <w:rsid w:val="00A065C6"/>
    <w:rsid w:val="00A0700F"/>
    <w:rsid w:val="00A0780E"/>
    <w:rsid w:val="00A07F3C"/>
    <w:rsid w:val="00A07F78"/>
    <w:rsid w:val="00A1010E"/>
    <w:rsid w:val="00A1078A"/>
    <w:rsid w:val="00A1126A"/>
    <w:rsid w:val="00A11F2B"/>
    <w:rsid w:val="00A12A53"/>
    <w:rsid w:val="00A12A91"/>
    <w:rsid w:val="00A12FE8"/>
    <w:rsid w:val="00A131DD"/>
    <w:rsid w:val="00A13F95"/>
    <w:rsid w:val="00A1436F"/>
    <w:rsid w:val="00A1477B"/>
    <w:rsid w:val="00A15319"/>
    <w:rsid w:val="00A15940"/>
    <w:rsid w:val="00A173ED"/>
    <w:rsid w:val="00A17780"/>
    <w:rsid w:val="00A177A5"/>
    <w:rsid w:val="00A17C91"/>
    <w:rsid w:val="00A17EC8"/>
    <w:rsid w:val="00A20B6F"/>
    <w:rsid w:val="00A22740"/>
    <w:rsid w:val="00A227B9"/>
    <w:rsid w:val="00A22B3A"/>
    <w:rsid w:val="00A22D3B"/>
    <w:rsid w:val="00A2308C"/>
    <w:rsid w:val="00A23900"/>
    <w:rsid w:val="00A24207"/>
    <w:rsid w:val="00A24382"/>
    <w:rsid w:val="00A24777"/>
    <w:rsid w:val="00A254A3"/>
    <w:rsid w:val="00A255BC"/>
    <w:rsid w:val="00A258B6"/>
    <w:rsid w:val="00A25BA3"/>
    <w:rsid w:val="00A266BD"/>
    <w:rsid w:val="00A26A15"/>
    <w:rsid w:val="00A2718D"/>
    <w:rsid w:val="00A2737E"/>
    <w:rsid w:val="00A301CB"/>
    <w:rsid w:val="00A30A9C"/>
    <w:rsid w:val="00A30B76"/>
    <w:rsid w:val="00A3149F"/>
    <w:rsid w:val="00A31552"/>
    <w:rsid w:val="00A325B5"/>
    <w:rsid w:val="00A33D0E"/>
    <w:rsid w:val="00A33EAB"/>
    <w:rsid w:val="00A3488F"/>
    <w:rsid w:val="00A34A1A"/>
    <w:rsid w:val="00A34E92"/>
    <w:rsid w:val="00A35B97"/>
    <w:rsid w:val="00A367D5"/>
    <w:rsid w:val="00A36937"/>
    <w:rsid w:val="00A36B0B"/>
    <w:rsid w:val="00A36D58"/>
    <w:rsid w:val="00A379A2"/>
    <w:rsid w:val="00A37D74"/>
    <w:rsid w:val="00A40627"/>
    <w:rsid w:val="00A41F5F"/>
    <w:rsid w:val="00A432E6"/>
    <w:rsid w:val="00A4365D"/>
    <w:rsid w:val="00A43EDD"/>
    <w:rsid w:val="00A442A4"/>
    <w:rsid w:val="00A46E73"/>
    <w:rsid w:val="00A47522"/>
    <w:rsid w:val="00A47E2D"/>
    <w:rsid w:val="00A500C4"/>
    <w:rsid w:val="00A50457"/>
    <w:rsid w:val="00A508CC"/>
    <w:rsid w:val="00A50C59"/>
    <w:rsid w:val="00A51C5A"/>
    <w:rsid w:val="00A5212F"/>
    <w:rsid w:val="00A52A33"/>
    <w:rsid w:val="00A52C49"/>
    <w:rsid w:val="00A52E2F"/>
    <w:rsid w:val="00A53A3A"/>
    <w:rsid w:val="00A54A0C"/>
    <w:rsid w:val="00A57015"/>
    <w:rsid w:val="00A57338"/>
    <w:rsid w:val="00A57382"/>
    <w:rsid w:val="00A576A4"/>
    <w:rsid w:val="00A60D69"/>
    <w:rsid w:val="00A62C6C"/>
    <w:rsid w:val="00A632AB"/>
    <w:rsid w:val="00A63FB8"/>
    <w:rsid w:val="00A6496C"/>
    <w:rsid w:val="00A64C43"/>
    <w:rsid w:val="00A64C9D"/>
    <w:rsid w:val="00A6592F"/>
    <w:rsid w:val="00A66772"/>
    <w:rsid w:val="00A675F6"/>
    <w:rsid w:val="00A67625"/>
    <w:rsid w:val="00A6784D"/>
    <w:rsid w:val="00A67CEE"/>
    <w:rsid w:val="00A70789"/>
    <w:rsid w:val="00A710C0"/>
    <w:rsid w:val="00A71110"/>
    <w:rsid w:val="00A715FE"/>
    <w:rsid w:val="00A72C63"/>
    <w:rsid w:val="00A735BB"/>
    <w:rsid w:val="00A737E3"/>
    <w:rsid w:val="00A7394E"/>
    <w:rsid w:val="00A7506F"/>
    <w:rsid w:val="00A75C9D"/>
    <w:rsid w:val="00A75E8B"/>
    <w:rsid w:val="00A767AF"/>
    <w:rsid w:val="00A76AA7"/>
    <w:rsid w:val="00A76EAF"/>
    <w:rsid w:val="00A77381"/>
    <w:rsid w:val="00A776C0"/>
    <w:rsid w:val="00A77DDA"/>
    <w:rsid w:val="00A77EF3"/>
    <w:rsid w:val="00A80221"/>
    <w:rsid w:val="00A8065F"/>
    <w:rsid w:val="00A80CD6"/>
    <w:rsid w:val="00A815A9"/>
    <w:rsid w:val="00A817AC"/>
    <w:rsid w:val="00A82420"/>
    <w:rsid w:val="00A82744"/>
    <w:rsid w:val="00A829AB"/>
    <w:rsid w:val="00A82DD1"/>
    <w:rsid w:val="00A82F9D"/>
    <w:rsid w:val="00A83554"/>
    <w:rsid w:val="00A83EF2"/>
    <w:rsid w:val="00A847B0"/>
    <w:rsid w:val="00A84AA2"/>
    <w:rsid w:val="00A84E4A"/>
    <w:rsid w:val="00A8532F"/>
    <w:rsid w:val="00A856A4"/>
    <w:rsid w:val="00A85E4A"/>
    <w:rsid w:val="00A865A5"/>
    <w:rsid w:val="00A8660E"/>
    <w:rsid w:val="00A86740"/>
    <w:rsid w:val="00A90031"/>
    <w:rsid w:val="00A9024D"/>
    <w:rsid w:val="00A90C5A"/>
    <w:rsid w:val="00A93372"/>
    <w:rsid w:val="00A93A67"/>
    <w:rsid w:val="00A9421E"/>
    <w:rsid w:val="00A9438A"/>
    <w:rsid w:val="00A94BFB"/>
    <w:rsid w:val="00A95094"/>
    <w:rsid w:val="00A95207"/>
    <w:rsid w:val="00A954DD"/>
    <w:rsid w:val="00A96AD1"/>
    <w:rsid w:val="00A971FD"/>
    <w:rsid w:val="00A97574"/>
    <w:rsid w:val="00AA01A9"/>
    <w:rsid w:val="00AA02AA"/>
    <w:rsid w:val="00AA127F"/>
    <w:rsid w:val="00AA131D"/>
    <w:rsid w:val="00AA13ED"/>
    <w:rsid w:val="00AA19CD"/>
    <w:rsid w:val="00AA1A75"/>
    <w:rsid w:val="00AA213D"/>
    <w:rsid w:val="00AA2650"/>
    <w:rsid w:val="00AA34CE"/>
    <w:rsid w:val="00AA4B72"/>
    <w:rsid w:val="00AA4BFC"/>
    <w:rsid w:val="00AA54A1"/>
    <w:rsid w:val="00AA593F"/>
    <w:rsid w:val="00AA5A80"/>
    <w:rsid w:val="00AA5C23"/>
    <w:rsid w:val="00AA5C51"/>
    <w:rsid w:val="00AA60DB"/>
    <w:rsid w:val="00AA6B5C"/>
    <w:rsid w:val="00AA6EE2"/>
    <w:rsid w:val="00AA741D"/>
    <w:rsid w:val="00AA759E"/>
    <w:rsid w:val="00AA7717"/>
    <w:rsid w:val="00AA7FC2"/>
    <w:rsid w:val="00AB0F6E"/>
    <w:rsid w:val="00AB112F"/>
    <w:rsid w:val="00AB15B3"/>
    <w:rsid w:val="00AB164B"/>
    <w:rsid w:val="00AB1836"/>
    <w:rsid w:val="00AB1A91"/>
    <w:rsid w:val="00AB1DF2"/>
    <w:rsid w:val="00AB231C"/>
    <w:rsid w:val="00AB2663"/>
    <w:rsid w:val="00AB2824"/>
    <w:rsid w:val="00AB2ECC"/>
    <w:rsid w:val="00AB3D89"/>
    <w:rsid w:val="00AB43D8"/>
    <w:rsid w:val="00AB4686"/>
    <w:rsid w:val="00AB540E"/>
    <w:rsid w:val="00AB64EB"/>
    <w:rsid w:val="00AB65D7"/>
    <w:rsid w:val="00AB6853"/>
    <w:rsid w:val="00AB6885"/>
    <w:rsid w:val="00AB68CF"/>
    <w:rsid w:val="00AB6EC6"/>
    <w:rsid w:val="00AB7161"/>
    <w:rsid w:val="00AB7A56"/>
    <w:rsid w:val="00AB7E1E"/>
    <w:rsid w:val="00AC009D"/>
    <w:rsid w:val="00AC10BA"/>
    <w:rsid w:val="00AC3596"/>
    <w:rsid w:val="00AC39F5"/>
    <w:rsid w:val="00AC405B"/>
    <w:rsid w:val="00AC45DE"/>
    <w:rsid w:val="00AC4791"/>
    <w:rsid w:val="00AC5C74"/>
    <w:rsid w:val="00AC6542"/>
    <w:rsid w:val="00AC6975"/>
    <w:rsid w:val="00AC6E46"/>
    <w:rsid w:val="00AC718D"/>
    <w:rsid w:val="00AC7826"/>
    <w:rsid w:val="00AD0858"/>
    <w:rsid w:val="00AD0E9E"/>
    <w:rsid w:val="00AD1F66"/>
    <w:rsid w:val="00AD2168"/>
    <w:rsid w:val="00AD2AAC"/>
    <w:rsid w:val="00AD59B7"/>
    <w:rsid w:val="00AD6ECF"/>
    <w:rsid w:val="00AD7314"/>
    <w:rsid w:val="00AE0735"/>
    <w:rsid w:val="00AE0817"/>
    <w:rsid w:val="00AE0B42"/>
    <w:rsid w:val="00AE11D6"/>
    <w:rsid w:val="00AE153B"/>
    <w:rsid w:val="00AE1A36"/>
    <w:rsid w:val="00AE200B"/>
    <w:rsid w:val="00AE251F"/>
    <w:rsid w:val="00AE2DE2"/>
    <w:rsid w:val="00AE2F07"/>
    <w:rsid w:val="00AE3314"/>
    <w:rsid w:val="00AE341D"/>
    <w:rsid w:val="00AE46DC"/>
    <w:rsid w:val="00AE4B03"/>
    <w:rsid w:val="00AE52A6"/>
    <w:rsid w:val="00AE5718"/>
    <w:rsid w:val="00AE5D35"/>
    <w:rsid w:val="00AE5E33"/>
    <w:rsid w:val="00AE5EA9"/>
    <w:rsid w:val="00AE6F1F"/>
    <w:rsid w:val="00AF0136"/>
    <w:rsid w:val="00AF0BE1"/>
    <w:rsid w:val="00AF126E"/>
    <w:rsid w:val="00AF24A5"/>
    <w:rsid w:val="00AF392C"/>
    <w:rsid w:val="00AF4F9D"/>
    <w:rsid w:val="00AF5F2B"/>
    <w:rsid w:val="00AF6664"/>
    <w:rsid w:val="00AF66D8"/>
    <w:rsid w:val="00B005C6"/>
    <w:rsid w:val="00B008D6"/>
    <w:rsid w:val="00B00A31"/>
    <w:rsid w:val="00B014D0"/>
    <w:rsid w:val="00B018EF"/>
    <w:rsid w:val="00B036ED"/>
    <w:rsid w:val="00B0393E"/>
    <w:rsid w:val="00B04477"/>
    <w:rsid w:val="00B048DF"/>
    <w:rsid w:val="00B049D4"/>
    <w:rsid w:val="00B04A4C"/>
    <w:rsid w:val="00B04ECE"/>
    <w:rsid w:val="00B0502A"/>
    <w:rsid w:val="00B07D5A"/>
    <w:rsid w:val="00B10261"/>
    <w:rsid w:val="00B10769"/>
    <w:rsid w:val="00B10D3F"/>
    <w:rsid w:val="00B11160"/>
    <w:rsid w:val="00B116FB"/>
    <w:rsid w:val="00B11DF6"/>
    <w:rsid w:val="00B1288B"/>
    <w:rsid w:val="00B12BC1"/>
    <w:rsid w:val="00B138ED"/>
    <w:rsid w:val="00B13A8C"/>
    <w:rsid w:val="00B13DC3"/>
    <w:rsid w:val="00B14B88"/>
    <w:rsid w:val="00B14EDF"/>
    <w:rsid w:val="00B151C1"/>
    <w:rsid w:val="00B1527F"/>
    <w:rsid w:val="00B15A5B"/>
    <w:rsid w:val="00B161EC"/>
    <w:rsid w:val="00B16922"/>
    <w:rsid w:val="00B17DC9"/>
    <w:rsid w:val="00B20583"/>
    <w:rsid w:val="00B2073B"/>
    <w:rsid w:val="00B2083C"/>
    <w:rsid w:val="00B21CE9"/>
    <w:rsid w:val="00B21F02"/>
    <w:rsid w:val="00B22BB9"/>
    <w:rsid w:val="00B22EB8"/>
    <w:rsid w:val="00B22F3A"/>
    <w:rsid w:val="00B22FC9"/>
    <w:rsid w:val="00B2383F"/>
    <w:rsid w:val="00B23ACA"/>
    <w:rsid w:val="00B24128"/>
    <w:rsid w:val="00B242C8"/>
    <w:rsid w:val="00B24408"/>
    <w:rsid w:val="00B24567"/>
    <w:rsid w:val="00B24972"/>
    <w:rsid w:val="00B24A22"/>
    <w:rsid w:val="00B24C98"/>
    <w:rsid w:val="00B24F8C"/>
    <w:rsid w:val="00B260EE"/>
    <w:rsid w:val="00B26C45"/>
    <w:rsid w:val="00B27228"/>
    <w:rsid w:val="00B27263"/>
    <w:rsid w:val="00B27334"/>
    <w:rsid w:val="00B27A01"/>
    <w:rsid w:val="00B305BB"/>
    <w:rsid w:val="00B307BE"/>
    <w:rsid w:val="00B30AC0"/>
    <w:rsid w:val="00B316DC"/>
    <w:rsid w:val="00B32177"/>
    <w:rsid w:val="00B33420"/>
    <w:rsid w:val="00B359A7"/>
    <w:rsid w:val="00B35CCF"/>
    <w:rsid w:val="00B3670E"/>
    <w:rsid w:val="00B37457"/>
    <w:rsid w:val="00B400E5"/>
    <w:rsid w:val="00B40924"/>
    <w:rsid w:val="00B413BA"/>
    <w:rsid w:val="00B42A48"/>
    <w:rsid w:val="00B443A9"/>
    <w:rsid w:val="00B44903"/>
    <w:rsid w:val="00B44CE5"/>
    <w:rsid w:val="00B45031"/>
    <w:rsid w:val="00B451B3"/>
    <w:rsid w:val="00B4564B"/>
    <w:rsid w:val="00B4583C"/>
    <w:rsid w:val="00B46C21"/>
    <w:rsid w:val="00B475CA"/>
    <w:rsid w:val="00B506C1"/>
    <w:rsid w:val="00B50932"/>
    <w:rsid w:val="00B50D39"/>
    <w:rsid w:val="00B5184C"/>
    <w:rsid w:val="00B5193B"/>
    <w:rsid w:val="00B51B90"/>
    <w:rsid w:val="00B521FC"/>
    <w:rsid w:val="00B5254A"/>
    <w:rsid w:val="00B52E58"/>
    <w:rsid w:val="00B52EFC"/>
    <w:rsid w:val="00B52F1B"/>
    <w:rsid w:val="00B53230"/>
    <w:rsid w:val="00B535F1"/>
    <w:rsid w:val="00B53AD0"/>
    <w:rsid w:val="00B53BDB"/>
    <w:rsid w:val="00B549FE"/>
    <w:rsid w:val="00B55733"/>
    <w:rsid w:val="00B55FAA"/>
    <w:rsid w:val="00B56289"/>
    <w:rsid w:val="00B56AA7"/>
    <w:rsid w:val="00B578B6"/>
    <w:rsid w:val="00B57FAA"/>
    <w:rsid w:val="00B61194"/>
    <w:rsid w:val="00B6214A"/>
    <w:rsid w:val="00B6215E"/>
    <w:rsid w:val="00B630BD"/>
    <w:rsid w:val="00B635E5"/>
    <w:rsid w:val="00B63976"/>
    <w:rsid w:val="00B64197"/>
    <w:rsid w:val="00B659F7"/>
    <w:rsid w:val="00B65B6F"/>
    <w:rsid w:val="00B65BBE"/>
    <w:rsid w:val="00B66797"/>
    <w:rsid w:val="00B66C7C"/>
    <w:rsid w:val="00B679B4"/>
    <w:rsid w:val="00B67EA8"/>
    <w:rsid w:val="00B7032E"/>
    <w:rsid w:val="00B70429"/>
    <w:rsid w:val="00B70CBB"/>
    <w:rsid w:val="00B7134A"/>
    <w:rsid w:val="00B71B63"/>
    <w:rsid w:val="00B71B84"/>
    <w:rsid w:val="00B72367"/>
    <w:rsid w:val="00B72C50"/>
    <w:rsid w:val="00B73A87"/>
    <w:rsid w:val="00B73DC6"/>
    <w:rsid w:val="00B7427D"/>
    <w:rsid w:val="00B74EAD"/>
    <w:rsid w:val="00B75324"/>
    <w:rsid w:val="00B766AE"/>
    <w:rsid w:val="00B76BAF"/>
    <w:rsid w:val="00B77431"/>
    <w:rsid w:val="00B77659"/>
    <w:rsid w:val="00B808E6"/>
    <w:rsid w:val="00B80908"/>
    <w:rsid w:val="00B815F0"/>
    <w:rsid w:val="00B81A0B"/>
    <w:rsid w:val="00B81B72"/>
    <w:rsid w:val="00B8257A"/>
    <w:rsid w:val="00B8357E"/>
    <w:rsid w:val="00B835C3"/>
    <w:rsid w:val="00B83C7C"/>
    <w:rsid w:val="00B83C9B"/>
    <w:rsid w:val="00B83FAE"/>
    <w:rsid w:val="00B84577"/>
    <w:rsid w:val="00B84691"/>
    <w:rsid w:val="00B849C2"/>
    <w:rsid w:val="00B84ABB"/>
    <w:rsid w:val="00B84C84"/>
    <w:rsid w:val="00B85383"/>
    <w:rsid w:val="00B86ACE"/>
    <w:rsid w:val="00B8796D"/>
    <w:rsid w:val="00B87AC9"/>
    <w:rsid w:val="00B90387"/>
    <w:rsid w:val="00B90591"/>
    <w:rsid w:val="00B90C8B"/>
    <w:rsid w:val="00B914F2"/>
    <w:rsid w:val="00B9155C"/>
    <w:rsid w:val="00B916C0"/>
    <w:rsid w:val="00B92BEB"/>
    <w:rsid w:val="00B936FB"/>
    <w:rsid w:val="00B94230"/>
    <w:rsid w:val="00B94B15"/>
    <w:rsid w:val="00B950B7"/>
    <w:rsid w:val="00B964D6"/>
    <w:rsid w:val="00B9724A"/>
    <w:rsid w:val="00BA03F1"/>
    <w:rsid w:val="00BA0BC0"/>
    <w:rsid w:val="00BA0BEE"/>
    <w:rsid w:val="00BA0EC3"/>
    <w:rsid w:val="00BA13AA"/>
    <w:rsid w:val="00BA2645"/>
    <w:rsid w:val="00BA2D39"/>
    <w:rsid w:val="00BA34F9"/>
    <w:rsid w:val="00BA37AF"/>
    <w:rsid w:val="00BA391F"/>
    <w:rsid w:val="00BA3945"/>
    <w:rsid w:val="00BA39F2"/>
    <w:rsid w:val="00BA4186"/>
    <w:rsid w:val="00BA505A"/>
    <w:rsid w:val="00BA6354"/>
    <w:rsid w:val="00BA6E57"/>
    <w:rsid w:val="00BA76B8"/>
    <w:rsid w:val="00BA7962"/>
    <w:rsid w:val="00BA7DDA"/>
    <w:rsid w:val="00BA7ED7"/>
    <w:rsid w:val="00BB042E"/>
    <w:rsid w:val="00BB08B6"/>
    <w:rsid w:val="00BB11AE"/>
    <w:rsid w:val="00BB1539"/>
    <w:rsid w:val="00BB18A0"/>
    <w:rsid w:val="00BB1D62"/>
    <w:rsid w:val="00BB2270"/>
    <w:rsid w:val="00BB2DDB"/>
    <w:rsid w:val="00BB3FC4"/>
    <w:rsid w:val="00BB44FC"/>
    <w:rsid w:val="00BB456A"/>
    <w:rsid w:val="00BB4C10"/>
    <w:rsid w:val="00BB525F"/>
    <w:rsid w:val="00BB5475"/>
    <w:rsid w:val="00BB634C"/>
    <w:rsid w:val="00BB6961"/>
    <w:rsid w:val="00BB6AA4"/>
    <w:rsid w:val="00BB709D"/>
    <w:rsid w:val="00BB72BA"/>
    <w:rsid w:val="00BB753A"/>
    <w:rsid w:val="00BC003E"/>
    <w:rsid w:val="00BC05AD"/>
    <w:rsid w:val="00BC073B"/>
    <w:rsid w:val="00BC073D"/>
    <w:rsid w:val="00BC07A2"/>
    <w:rsid w:val="00BC17D2"/>
    <w:rsid w:val="00BC19D4"/>
    <w:rsid w:val="00BC20B8"/>
    <w:rsid w:val="00BC2159"/>
    <w:rsid w:val="00BC2909"/>
    <w:rsid w:val="00BC3339"/>
    <w:rsid w:val="00BC3D1C"/>
    <w:rsid w:val="00BC4BA4"/>
    <w:rsid w:val="00BC4D71"/>
    <w:rsid w:val="00BC59C2"/>
    <w:rsid w:val="00BC5DC9"/>
    <w:rsid w:val="00BC6528"/>
    <w:rsid w:val="00BC73D1"/>
    <w:rsid w:val="00BC7612"/>
    <w:rsid w:val="00BD069C"/>
    <w:rsid w:val="00BD06F4"/>
    <w:rsid w:val="00BD1158"/>
    <w:rsid w:val="00BD1432"/>
    <w:rsid w:val="00BD1551"/>
    <w:rsid w:val="00BD3068"/>
    <w:rsid w:val="00BD38BD"/>
    <w:rsid w:val="00BD4217"/>
    <w:rsid w:val="00BD597A"/>
    <w:rsid w:val="00BD70E9"/>
    <w:rsid w:val="00BD7F56"/>
    <w:rsid w:val="00BE1116"/>
    <w:rsid w:val="00BE2442"/>
    <w:rsid w:val="00BE26E3"/>
    <w:rsid w:val="00BE2D9E"/>
    <w:rsid w:val="00BE31AB"/>
    <w:rsid w:val="00BE34F0"/>
    <w:rsid w:val="00BE36CD"/>
    <w:rsid w:val="00BE3A7D"/>
    <w:rsid w:val="00BE5900"/>
    <w:rsid w:val="00BE59AC"/>
    <w:rsid w:val="00BE5FBE"/>
    <w:rsid w:val="00BE6DBE"/>
    <w:rsid w:val="00BE7569"/>
    <w:rsid w:val="00BE7FE8"/>
    <w:rsid w:val="00BF02E9"/>
    <w:rsid w:val="00BF0A58"/>
    <w:rsid w:val="00BF1099"/>
    <w:rsid w:val="00BF1341"/>
    <w:rsid w:val="00BF1601"/>
    <w:rsid w:val="00BF1A89"/>
    <w:rsid w:val="00BF1CCA"/>
    <w:rsid w:val="00BF270C"/>
    <w:rsid w:val="00BF2965"/>
    <w:rsid w:val="00BF33D7"/>
    <w:rsid w:val="00BF3D89"/>
    <w:rsid w:val="00BF3FEA"/>
    <w:rsid w:val="00BF4887"/>
    <w:rsid w:val="00BF4923"/>
    <w:rsid w:val="00BF4CBF"/>
    <w:rsid w:val="00BF4F8E"/>
    <w:rsid w:val="00BF51D7"/>
    <w:rsid w:val="00BF526C"/>
    <w:rsid w:val="00BF589B"/>
    <w:rsid w:val="00BF5A88"/>
    <w:rsid w:val="00BF6144"/>
    <w:rsid w:val="00BF638E"/>
    <w:rsid w:val="00BF6481"/>
    <w:rsid w:val="00BF668A"/>
    <w:rsid w:val="00BF672A"/>
    <w:rsid w:val="00BF7261"/>
    <w:rsid w:val="00BF7C9F"/>
    <w:rsid w:val="00C00600"/>
    <w:rsid w:val="00C00B8B"/>
    <w:rsid w:val="00C01343"/>
    <w:rsid w:val="00C017F7"/>
    <w:rsid w:val="00C0195E"/>
    <w:rsid w:val="00C01AE0"/>
    <w:rsid w:val="00C01E35"/>
    <w:rsid w:val="00C02009"/>
    <w:rsid w:val="00C029A0"/>
    <w:rsid w:val="00C035F1"/>
    <w:rsid w:val="00C03F23"/>
    <w:rsid w:val="00C05524"/>
    <w:rsid w:val="00C05789"/>
    <w:rsid w:val="00C05B42"/>
    <w:rsid w:val="00C07051"/>
    <w:rsid w:val="00C07298"/>
    <w:rsid w:val="00C07470"/>
    <w:rsid w:val="00C10035"/>
    <w:rsid w:val="00C100EE"/>
    <w:rsid w:val="00C11D34"/>
    <w:rsid w:val="00C11F93"/>
    <w:rsid w:val="00C1246C"/>
    <w:rsid w:val="00C12608"/>
    <w:rsid w:val="00C1285F"/>
    <w:rsid w:val="00C13FB3"/>
    <w:rsid w:val="00C145C6"/>
    <w:rsid w:val="00C14830"/>
    <w:rsid w:val="00C15701"/>
    <w:rsid w:val="00C15996"/>
    <w:rsid w:val="00C160BC"/>
    <w:rsid w:val="00C160D6"/>
    <w:rsid w:val="00C1617B"/>
    <w:rsid w:val="00C165DC"/>
    <w:rsid w:val="00C16BF7"/>
    <w:rsid w:val="00C16E0B"/>
    <w:rsid w:val="00C1703A"/>
    <w:rsid w:val="00C17608"/>
    <w:rsid w:val="00C17B75"/>
    <w:rsid w:val="00C209E0"/>
    <w:rsid w:val="00C20E2A"/>
    <w:rsid w:val="00C2167E"/>
    <w:rsid w:val="00C22047"/>
    <w:rsid w:val="00C24838"/>
    <w:rsid w:val="00C249CE"/>
    <w:rsid w:val="00C25925"/>
    <w:rsid w:val="00C25A9E"/>
    <w:rsid w:val="00C25D48"/>
    <w:rsid w:val="00C27406"/>
    <w:rsid w:val="00C30C67"/>
    <w:rsid w:val="00C31995"/>
    <w:rsid w:val="00C3259B"/>
    <w:rsid w:val="00C33447"/>
    <w:rsid w:val="00C33940"/>
    <w:rsid w:val="00C3410A"/>
    <w:rsid w:val="00C34AAA"/>
    <w:rsid w:val="00C34ACE"/>
    <w:rsid w:val="00C35D84"/>
    <w:rsid w:val="00C35FB9"/>
    <w:rsid w:val="00C361B0"/>
    <w:rsid w:val="00C3629A"/>
    <w:rsid w:val="00C3642D"/>
    <w:rsid w:val="00C36BCA"/>
    <w:rsid w:val="00C36C02"/>
    <w:rsid w:val="00C36FBF"/>
    <w:rsid w:val="00C40272"/>
    <w:rsid w:val="00C40A7B"/>
    <w:rsid w:val="00C40B59"/>
    <w:rsid w:val="00C40D84"/>
    <w:rsid w:val="00C41303"/>
    <w:rsid w:val="00C417AF"/>
    <w:rsid w:val="00C41B8D"/>
    <w:rsid w:val="00C41DE5"/>
    <w:rsid w:val="00C42456"/>
    <w:rsid w:val="00C4316B"/>
    <w:rsid w:val="00C4369A"/>
    <w:rsid w:val="00C43721"/>
    <w:rsid w:val="00C439CF"/>
    <w:rsid w:val="00C43FE1"/>
    <w:rsid w:val="00C4406C"/>
    <w:rsid w:val="00C4471D"/>
    <w:rsid w:val="00C44BDE"/>
    <w:rsid w:val="00C45630"/>
    <w:rsid w:val="00C46629"/>
    <w:rsid w:val="00C46852"/>
    <w:rsid w:val="00C474AA"/>
    <w:rsid w:val="00C507F4"/>
    <w:rsid w:val="00C50B1B"/>
    <w:rsid w:val="00C50F95"/>
    <w:rsid w:val="00C511C2"/>
    <w:rsid w:val="00C513B4"/>
    <w:rsid w:val="00C51454"/>
    <w:rsid w:val="00C51672"/>
    <w:rsid w:val="00C52058"/>
    <w:rsid w:val="00C52067"/>
    <w:rsid w:val="00C5213C"/>
    <w:rsid w:val="00C52D1C"/>
    <w:rsid w:val="00C53B40"/>
    <w:rsid w:val="00C5457A"/>
    <w:rsid w:val="00C54D5C"/>
    <w:rsid w:val="00C54F7F"/>
    <w:rsid w:val="00C55EA5"/>
    <w:rsid w:val="00C568BF"/>
    <w:rsid w:val="00C56BEA"/>
    <w:rsid w:val="00C57B03"/>
    <w:rsid w:val="00C60FDB"/>
    <w:rsid w:val="00C61717"/>
    <w:rsid w:val="00C618E7"/>
    <w:rsid w:val="00C627C2"/>
    <w:rsid w:val="00C62F89"/>
    <w:rsid w:val="00C631D4"/>
    <w:rsid w:val="00C634E8"/>
    <w:rsid w:val="00C636B2"/>
    <w:rsid w:val="00C63741"/>
    <w:rsid w:val="00C63748"/>
    <w:rsid w:val="00C64243"/>
    <w:rsid w:val="00C64461"/>
    <w:rsid w:val="00C64939"/>
    <w:rsid w:val="00C64DE1"/>
    <w:rsid w:val="00C65AE3"/>
    <w:rsid w:val="00C65FE4"/>
    <w:rsid w:val="00C663F2"/>
    <w:rsid w:val="00C66918"/>
    <w:rsid w:val="00C670EB"/>
    <w:rsid w:val="00C677AA"/>
    <w:rsid w:val="00C679B6"/>
    <w:rsid w:val="00C70AFF"/>
    <w:rsid w:val="00C7141C"/>
    <w:rsid w:val="00C7158D"/>
    <w:rsid w:val="00C717DA"/>
    <w:rsid w:val="00C71A21"/>
    <w:rsid w:val="00C71A32"/>
    <w:rsid w:val="00C726CC"/>
    <w:rsid w:val="00C72B89"/>
    <w:rsid w:val="00C72FD3"/>
    <w:rsid w:val="00C73DEF"/>
    <w:rsid w:val="00C74BC1"/>
    <w:rsid w:val="00C75297"/>
    <w:rsid w:val="00C75356"/>
    <w:rsid w:val="00C75CD5"/>
    <w:rsid w:val="00C761F2"/>
    <w:rsid w:val="00C765C4"/>
    <w:rsid w:val="00C76CFE"/>
    <w:rsid w:val="00C77147"/>
    <w:rsid w:val="00C77F92"/>
    <w:rsid w:val="00C81CCB"/>
    <w:rsid w:val="00C824A5"/>
    <w:rsid w:val="00C82A7E"/>
    <w:rsid w:val="00C82F43"/>
    <w:rsid w:val="00C84A2A"/>
    <w:rsid w:val="00C84CCD"/>
    <w:rsid w:val="00C84E7E"/>
    <w:rsid w:val="00C852CB"/>
    <w:rsid w:val="00C8536D"/>
    <w:rsid w:val="00C85621"/>
    <w:rsid w:val="00C85A46"/>
    <w:rsid w:val="00C86809"/>
    <w:rsid w:val="00C91328"/>
    <w:rsid w:val="00C92300"/>
    <w:rsid w:val="00C92CF5"/>
    <w:rsid w:val="00C94011"/>
    <w:rsid w:val="00C94CF9"/>
    <w:rsid w:val="00C95115"/>
    <w:rsid w:val="00C959CE"/>
    <w:rsid w:val="00C9778B"/>
    <w:rsid w:val="00C97D10"/>
    <w:rsid w:val="00CA1AA9"/>
    <w:rsid w:val="00CA2588"/>
    <w:rsid w:val="00CA361A"/>
    <w:rsid w:val="00CA39BF"/>
    <w:rsid w:val="00CA3C03"/>
    <w:rsid w:val="00CA3C5D"/>
    <w:rsid w:val="00CA3F6D"/>
    <w:rsid w:val="00CA4022"/>
    <w:rsid w:val="00CA46FA"/>
    <w:rsid w:val="00CA7C32"/>
    <w:rsid w:val="00CB0A60"/>
    <w:rsid w:val="00CB0C68"/>
    <w:rsid w:val="00CB0E55"/>
    <w:rsid w:val="00CB19BB"/>
    <w:rsid w:val="00CB3025"/>
    <w:rsid w:val="00CB314A"/>
    <w:rsid w:val="00CB31DF"/>
    <w:rsid w:val="00CB34BA"/>
    <w:rsid w:val="00CB3584"/>
    <w:rsid w:val="00CB540D"/>
    <w:rsid w:val="00CB565C"/>
    <w:rsid w:val="00CB5AD0"/>
    <w:rsid w:val="00CB5B6D"/>
    <w:rsid w:val="00CB5BE7"/>
    <w:rsid w:val="00CB6AE2"/>
    <w:rsid w:val="00CB6B40"/>
    <w:rsid w:val="00CC039C"/>
    <w:rsid w:val="00CC0E02"/>
    <w:rsid w:val="00CC1ABD"/>
    <w:rsid w:val="00CC1DAD"/>
    <w:rsid w:val="00CC2AA7"/>
    <w:rsid w:val="00CC300D"/>
    <w:rsid w:val="00CC3880"/>
    <w:rsid w:val="00CC41F9"/>
    <w:rsid w:val="00CC58D3"/>
    <w:rsid w:val="00CC6EE7"/>
    <w:rsid w:val="00CC7B64"/>
    <w:rsid w:val="00CD0577"/>
    <w:rsid w:val="00CD058A"/>
    <w:rsid w:val="00CD0696"/>
    <w:rsid w:val="00CD0DC1"/>
    <w:rsid w:val="00CD2057"/>
    <w:rsid w:val="00CD258B"/>
    <w:rsid w:val="00CD2808"/>
    <w:rsid w:val="00CD36C1"/>
    <w:rsid w:val="00CD3AE9"/>
    <w:rsid w:val="00CD45A0"/>
    <w:rsid w:val="00CD4733"/>
    <w:rsid w:val="00CD4938"/>
    <w:rsid w:val="00CD4B7E"/>
    <w:rsid w:val="00CD4B80"/>
    <w:rsid w:val="00CD509D"/>
    <w:rsid w:val="00CD55CA"/>
    <w:rsid w:val="00CD58E6"/>
    <w:rsid w:val="00CD5ED7"/>
    <w:rsid w:val="00CD62A6"/>
    <w:rsid w:val="00CD67D4"/>
    <w:rsid w:val="00CD6D84"/>
    <w:rsid w:val="00CD6DCB"/>
    <w:rsid w:val="00CD6F48"/>
    <w:rsid w:val="00CD6F81"/>
    <w:rsid w:val="00CD717D"/>
    <w:rsid w:val="00CD7650"/>
    <w:rsid w:val="00CD796A"/>
    <w:rsid w:val="00CD7D9F"/>
    <w:rsid w:val="00CE042D"/>
    <w:rsid w:val="00CE04CC"/>
    <w:rsid w:val="00CE0A4C"/>
    <w:rsid w:val="00CE0FFE"/>
    <w:rsid w:val="00CE1347"/>
    <w:rsid w:val="00CE19B4"/>
    <w:rsid w:val="00CE1BFE"/>
    <w:rsid w:val="00CE281E"/>
    <w:rsid w:val="00CE2DA7"/>
    <w:rsid w:val="00CE3614"/>
    <w:rsid w:val="00CE3807"/>
    <w:rsid w:val="00CE4093"/>
    <w:rsid w:val="00CE41FE"/>
    <w:rsid w:val="00CE4829"/>
    <w:rsid w:val="00CE626B"/>
    <w:rsid w:val="00CE62E7"/>
    <w:rsid w:val="00CE6733"/>
    <w:rsid w:val="00CE70E5"/>
    <w:rsid w:val="00CF0AA0"/>
    <w:rsid w:val="00CF0FCE"/>
    <w:rsid w:val="00CF14A1"/>
    <w:rsid w:val="00CF1FB7"/>
    <w:rsid w:val="00CF37C0"/>
    <w:rsid w:val="00CF3A1C"/>
    <w:rsid w:val="00CF3F3D"/>
    <w:rsid w:val="00CF4FE1"/>
    <w:rsid w:val="00CF5151"/>
    <w:rsid w:val="00CF5A23"/>
    <w:rsid w:val="00CF5D95"/>
    <w:rsid w:val="00CF6300"/>
    <w:rsid w:val="00CF6C1A"/>
    <w:rsid w:val="00D00940"/>
    <w:rsid w:val="00D009EA"/>
    <w:rsid w:val="00D00D86"/>
    <w:rsid w:val="00D00D97"/>
    <w:rsid w:val="00D029B5"/>
    <w:rsid w:val="00D02BB2"/>
    <w:rsid w:val="00D035D0"/>
    <w:rsid w:val="00D037D1"/>
    <w:rsid w:val="00D04343"/>
    <w:rsid w:val="00D046AC"/>
    <w:rsid w:val="00D04807"/>
    <w:rsid w:val="00D04B1E"/>
    <w:rsid w:val="00D04EA2"/>
    <w:rsid w:val="00D04EFD"/>
    <w:rsid w:val="00D062FC"/>
    <w:rsid w:val="00D065BD"/>
    <w:rsid w:val="00D06A64"/>
    <w:rsid w:val="00D06DC5"/>
    <w:rsid w:val="00D07403"/>
    <w:rsid w:val="00D0783E"/>
    <w:rsid w:val="00D07D46"/>
    <w:rsid w:val="00D10001"/>
    <w:rsid w:val="00D10782"/>
    <w:rsid w:val="00D11535"/>
    <w:rsid w:val="00D11938"/>
    <w:rsid w:val="00D11B0A"/>
    <w:rsid w:val="00D11BF8"/>
    <w:rsid w:val="00D12759"/>
    <w:rsid w:val="00D127BC"/>
    <w:rsid w:val="00D1344A"/>
    <w:rsid w:val="00D13C70"/>
    <w:rsid w:val="00D14E8A"/>
    <w:rsid w:val="00D151D3"/>
    <w:rsid w:val="00D152A1"/>
    <w:rsid w:val="00D1544A"/>
    <w:rsid w:val="00D15DA3"/>
    <w:rsid w:val="00D1623C"/>
    <w:rsid w:val="00D16A06"/>
    <w:rsid w:val="00D16AF4"/>
    <w:rsid w:val="00D1705B"/>
    <w:rsid w:val="00D174AB"/>
    <w:rsid w:val="00D2002E"/>
    <w:rsid w:val="00D20922"/>
    <w:rsid w:val="00D20BE3"/>
    <w:rsid w:val="00D21027"/>
    <w:rsid w:val="00D21249"/>
    <w:rsid w:val="00D21589"/>
    <w:rsid w:val="00D21850"/>
    <w:rsid w:val="00D21BA5"/>
    <w:rsid w:val="00D22038"/>
    <w:rsid w:val="00D223C4"/>
    <w:rsid w:val="00D231CA"/>
    <w:rsid w:val="00D237C9"/>
    <w:rsid w:val="00D23E4C"/>
    <w:rsid w:val="00D24574"/>
    <w:rsid w:val="00D24F02"/>
    <w:rsid w:val="00D2524A"/>
    <w:rsid w:val="00D26003"/>
    <w:rsid w:val="00D26CB4"/>
    <w:rsid w:val="00D26CC6"/>
    <w:rsid w:val="00D272F5"/>
    <w:rsid w:val="00D27D5F"/>
    <w:rsid w:val="00D27E7C"/>
    <w:rsid w:val="00D27EA6"/>
    <w:rsid w:val="00D30314"/>
    <w:rsid w:val="00D30E2E"/>
    <w:rsid w:val="00D30EBD"/>
    <w:rsid w:val="00D31318"/>
    <w:rsid w:val="00D31433"/>
    <w:rsid w:val="00D31CF1"/>
    <w:rsid w:val="00D32043"/>
    <w:rsid w:val="00D32863"/>
    <w:rsid w:val="00D333A7"/>
    <w:rsid w:val="00D33898"/>
    <w:rsid w:val="00D34C04"/>
    <w:rsid w:val="00D34C3C"/>
    <w:rsid w:val="00D34D3B"/>
    <w:rsid w:val="00D35431"/>
    <w:rsid w:val="00D35F13"/>
    <w:rsid w:val="00D35F2E"/>
    <w:rsid w:val="00D36B70"/>
    <w:rsid w:val="00D37B5C"/>
    <w:rsid w:val="00D408A3"/>
    <w:rsid w:val="00D40F72"/>
    <w:rsid w:val="00D41B96"/>
    <w:rsid w:val="00D41E74"/>
    <w:rsid w:val="00D41E96"/>
    <w:rsid w:val="00D429AD"/>
    <w:rsid w:val="00D4388B"/>
    <w:rsid w:val="00D44691"/>
    <w:rsid w:val="00D44928"/>
    <w:rsid w:val="00D4515C"/>
    <w:rsid w:val="00D45986"/>
    <w:rsid w:val="00D45A25"/>
    <w:rsid w:val="00D46242"/>
    <w:rsid w:val="00D4683D"/>
    <w:rsid w:val="00D46CA0"/>
    <w:rsid w:val="00D47813"/>
    <w:rsid w:val="00D503D8"/>
    <w:rsid w:val="00D503E5"/>
    <w:rsid w:val="00D508F5"/>
    <w:rsid w:val="00D50AFB"/>
    <w:rsid w:val="00D50D26"/>
    <w:rsid w:val="00D510B5"/>
    <w:rsid w:val="00D51102"/>
    <w:rsid w:val="00D51BE9"/>
    <w:rsid w:val="00D52B7C"/>
    <w:rsid w:val="00D53509"/>
    <w:rsid w:val="00D53848"/>
    <w:rsid w:val="00D53A58"/>
    <w:rsid w:val="00D54673"/>
    <w:rsid w:val="00D548DA"/>
    <w:rsid w:val="00D552F7"/>
    <w:rsid w:val="00D5594D"/>
    <w:rsid w:val="00D559C6"/>
    <w:rsid w:val="00D56F3F"/>
    <w:rsid w:val="00D57818"/>
    <w:rsid w:val="00D57FA9"/>
    <w:rsid w:val="00D601EE"/>
    <w:rsid w:val="00D60BF1"/>
    <w:rsid w:val="00D60E2D"/>
    <w:rsid w:val="00D61E9E"/>
    <w:rsid w:val="00D6209E"/>
    <w:rsid w:val="00D629A9"/>
    <w:rsid w:val="00D63236"/>
    <w:rsid w:val="00D636AC"/>
    <w:rsid w:val="00D63968"/>
    <w:rsid w:val="00D63B90"/>
    <w:rsid w:val="00D63BD2"/>
    <w:rsid w:val="00D644E3"/>
    <w:rsid w:val="00D64745"/>
    <w:rsid w:val="00D658F6"/>
    <w:rsid w:val="00D66B19"/>
    <w:rsid w:val="00D66D15"/>
    <w:rsid w:val="00D66DB6"/>
    <w:rsid w:val="00D670BB"/>
    <w:rsid w:val="00D673E1"/>
    <w:rsid w:val="00D6768B"/>
    <w:rsid w:val="00D67718"/>
    <w:rsid w:val="00D67DE0"/>
    <w:rsid w:val="00D700AE"/>
    <w:rsid w:val="00D7078F"/>
    <w:rsid w:val="00D70B77"/>
    <w:rsid w:val="00D70BF1"/>
    <w:rsid w:val="00D70EE9"/>
    <w:rsid w:val="00D71966"/>
    <w:rsid w:val="00D7197C"/>
    <w:rsid w:val="00D73259"/>
    <w:rsid w:val="00D73CB4"/>
    <w:rsid w:val="00D73DFE"/>
    <w:rsid w:val="00D743D8"/>
    <w:rsid w:val="00D7447D"/>
    <w:rsid w:val="00D7449D"/>
    <w:rsid w:val="00D74609"/>
    <w:rsid w:val="00D74A89"/>
    <w:rsid w:val="00D76AB6"/>
    <w:rsid w:val="00D7752B"/>
    <w:rsid w:val="00D77862"/>
    <w:rsid w:val="00D77EE7"/>
    <w:rsid w:val="00D805E7"/>
    <w:rsid w:val="00D80FA5"/>
    <w:rsid w:val="00D81BE8"/>
    <w:rsid w:val="00D82184"/>
    <w:rsid w:val="00D82224"/>
    <w:rsid w:val="00D82583"/>
    <w:rsid w:val="00D82AA9"/>
    <w:rsid w:val="00D82AC0"/>
    <w:rsid w:val="00D82E91"/>
    <w:rsid w:val="00D83BA8"/>
    <w:rsid w:val="00D8464B"/>
    <w:rsid w:val="00D8489D"/>
    <w:rsid w:val="00D853D0"/>
    <w:rsid w:val="00D855A4"/>
    <w:rsid w:val="00D86C64"/>
    <w:rsid w:val="00D86DE3"/>
    <w:rsid w:val="00D874DB"/>
    <w:rsid w:val="00D87759"/>
    <w:rsid w:val="00D87B55"/>
    <w:rsid w:val="00D87F77"/>
    <w:rsid w:val="00D907A1"/>
    <w:rsid w:val="00D9276A"/>
    <w:rsid w:val="00D92809"/>
    <w:rsid w:val="00D9379C"/>
    <w:rsid w:val="00D95AA3"/>
    <w:rsid w:val="00D95C4E"/>
    <w:rsid w:val="00D95CC8"/>
    <w:rsid w:val="00D9750D"/>
    <w:rsid w:val="00D97DD6"/>
    <w:rsid w:val="00DA1BED"/>
    <w:rsid w:val="00DA21CC"/>
    <w:rsid w:val="00DA24C6"/>
    <w:rsid w:val="00DA2519"/>
    <w:rsid w:val="00DA29C8"/>
    <w:rsid w:val="00DA2E0A"/>
    <w:rsid w:val="00DA3CAC"/>
    <w:rsid w:val="00DA3EFC"/>
    <w:rsid w:val="00DA4878"/>
    <w:rsid w:val="00DA4C56"/>
    <w:rsid w:val="00DA4ECC"/>
    <w:rsid w:val="00DA5954"/>
    <w:rsid w:val="00DA5DF0"/>
    <w:rsid w:val="00DA64E6"/>
    <w:rsid w:val="00DA64F8"/>
    <w:rsid w:val="00DA7B24"/>
    <w:rsid w:val="00DB108A"/>
    <w:rsid w:val="00DB1D6D"/>
    <w:rsid w:val="00DB3070"/>
    <w:rsid w:val="00DB40A1"/>
    <w:rsid w:val="00DB4525"/>
    <w:rsid w:val="00DB65A1"/>
    <w:rsid w:val="00DB6D51"/>
    <w:rsid w:val="00DB7197"/>
    <w:rsid w:val="00DB763E"/>
    <w:rsid w:val="00DB7BE7"/>
    <w:rsid w:val="00DC08FC"/>
    <w:rsid w:val="00DC10D0"/>
    <w:rsid w:val="00DC1233"/>
    <w:rsid w:val="00DC1B30"/>
    <w:rsid w:val="00DC27A4"/>
    <w:rsid w:val="00DC2DDA"/>
    <w:rsid w:val="00DC2F85"/>
    <w:rsid w:val="00DC3C6F"/>
    <w:rsid w:val="00DC3FA7"/>
    <w:rsid w:val="00DC4130"/>
    <w:rsid w:val="00DC56A9"/>
    <w:rsid w:val="00DC6F7A"/>
    <w:rsid w:val="00DC7061"/>
    <w:rsid w:val="00DC70FE"/>
    <w:rsid w:val="00DC788D"/>
    <w:rsid w:val="00DD00B4"/>
    <w:rsid w:val="00DD051A"/>
    <w:rsid w:val="00DD0DBD"/>
    <w:rsid w:val="00DD2046"/>
    <w:rsid w:val="00DD3AF5"/>
    <w:rsid w:val="00DD496C"/>
    <w:rsid w:val="00DD4BA6"/>
    <w:rsid w:val="00DD4C80"/>
    <w:rsid w:val="00DD542E"/>
    <w:rsid w:val="00DD59C2"/>
    <w:rsid w:val="00DD63C9"/>
    <w:rsid w:val="00DD7072"/>
    <w:rsid w:val="00DD7B3B"/>
    <w:rsid w:val="00DD7E24"/>
    <w:rsid w:val="00DE11A6"/>
    <w:rsid w:val="00DE132F"/>
    <w:rsid w:val="00DE2760"/>
    <w:rsid w:val="00DE3253"/>
    <w:rsid w:val="00DE4295"/>
    <w:rsid w:val="00DE4A4C"/>
    <w:rsid w:val="00DE4DC8"/>
    <w:rsid w:val="00DE549A"/>
    <w:rsid w:val="00DE5CBD"/>
    <w:rsid w:val="00DE6BCD"/>
    <w:rsid w:val="00DE6C83"/>
    <w:rsid w:val="00DE7512"/>
    <w:rsid w:val="00DE75BC"/>
    <w:rsid w:val="00DE797B"/>
    <w:rsid w:val="00DF04E9"/>
    <w:rsid w:val="00DF05E0"/>
    <w:rsid w:val="00DF0995"/>
    <w:rsid w:val="00DF0CBA"/>
    <w:rsid w:val="00DF185D"/>
    <w:rsid w:val="00DF20F8"/>
    <w:rsid w:val="00DF2951"/>
    <w:rsid w:val="00DF2C9E"/>
    <w:rsid w:val="00DF3858"/>
    <w:rsid w:val="00DF5BDC"/>
    <w:rsid w:val="00DF5BF0"/>
    <w:rsid w:val="00DF6CC6"/>
    <w:rsid w:val="00DF6CFD"/>
    <w:rsid w:val="00DF6ED3"/>
    <w:rsid w:val="00DF70A4"/>
    <w:rsid w:val="00DF7725"/>
    <w:rsid w:val="00DF7A92"/>
    <w:rsid w:val="00E00078"/>
    <w:rsid w:val="00E00262"/>
    <w:rsid w:val="00E020DA"/>
    <w:rsid w:val="00E02811"/>
    <w:rsid w:val="00E03593"/>
    <w:rsid w:val="00E03C4E"/>
    <w:rsid w:val="00E0408F"/>
    <w:rsid w:val="00E04B52"/>
    <w:rsid w:val="00E04F14"/>
    <w:rsid w:val="00E10033"/>
    <w:rsid w:val="00E102C8"/>
    <w:rsid w:val="00E10338"/>
    <w:rsid w:val="00E11015"/>
    <w:rsid w:val="00E11020"/>
    <w:rsid w:val="00E11A0E"/>
    <w:rsid w:val="00E11B3A"/>
    <w:rsid w:val="00E11D6B"/>
    <w:rsid w:val="00E12390"/>
    <w:rsid w:val="00E12BFD"/>
    <w:rsid w:val="00E12EDE"/>
    <w:rsid w:val="00E12FDF"/>
    <w:rsid w:val="00E1362B"/>
    <w:rsid w:val="00E13D4F"/>
    <w:rsid w:val="00E15584"/>
    <w:rsid w:val="00E1609D"/>
    <w:rsid w:val="00E1622B"/>
    <w:rsid w:val="00E16347"/>
    <w:rsid w:val="00E1665B"/>
    <w:rsid w:val="00E16859"/>
    <w:rsid w:val="00E16B67"/>
    <w:rsid w:val="00E17F2B"/>
    <w:rsid w:val="00E21365"/>
    <w:rsid w:val="00E222C9"/>
    <w:rsid w:val="00E22A77"/>
    <w:rsid w:val="00E22FE8"/>
    <w:rsid w:val="00E2315D"/>
    <w:rsid w:val="00E25897"/>
    <w:rsid w:val="00E26CF4"/>
    <w:rsid w:val="00E276F7"/>
    <w:rsid w:val="00E27844"/>
    <w:rsid w:val="00E27899"/>
    <w:rsid w:val="00E30003"/>
    <w:rsid w:val="00E30233"/>
    <w:rsid w:val="00E32A82"/>
    <w:rsid w:val="00E3332E"/>
    <w:rsid w:val="00E34C54"/>
    <w:rsid w:val="00E350B4"/>
    <w:rsid w:val="00E3518A"/>
    <w:rsid w:val="00E351A2"/>
    <w:rsid w:val="00E352AB"/>
    <w:rsid w:val="00E357E4"/>
    <w:rsid w:val="00E35BB2"/>
    <w:rsid w:val="00E361A3"/>
    <w:rsid w:val="00E369C5"/>
    <w:rsid w:val="00E36E9F"/>
    <w:rsid w:val="00E370EA"/>
    <w:rsid w:val="00E378BA"/>
    <w:rsid w:val="00E37F32"/>
    <w:rsid w:val="00E40338"/>
    <w:rsid w:val="00E409F7"/>
    <w:rsid w:val="00E411A3"/>
    <w:rsid w:val="00E41315"/>
    <w:rsid w:val="00E424F9"/>
    <w:rsid w:val="00E42947"/>
    <w:rsid w:val="00E42C09"/>
    <w:rsid w:val="00E448DB"/>
    <w:rsid w:val="00E45052"/>
    <w:rsid w:val="00E45B03"/>
    <w:rsid w:val="00E45ECC"/>
    <w:rsid w:val="00E46D47"/>
    <w:rsid w:val="00E471E2"/>
    <w:rsid w:val="00E47728"/>
    <w:rsid w:val="00E47F36"/>
    <w:rsid w:val="00E50DB6"/>
    <w:rsid w:val="00E5198F"/>
    <w:rsid w:val="00E51F31"/>
    <w:rsid w:val="00E542A2"/>
    <w:rsid w:val="00E550E1"/>
    <w:rsid w:val="00E55761"/>
    <w:rsid w:val="00E56DFD"/>
    <w:rsid w:val="00E575CE"/>
    <w:rsid w:val="00E576ED"/>
    <w:rsid w:val="00E5773E"/>
    <w:rsid w:val="00E57FC8"/>
    <w:rsid w:val="00E60049"/>
    <w:rsid w:val="00E6040D"/>
    <w:rsid w:val="00E607F3"/>
    <w:rsid w:val="00E60E3F"/>
    <w:rsid w:val="00E6215D"/>
    <w:rsid w:val="00E62540"/>
    <w:rsid w:val="00E62EFC"/>
    <w:rsid w:val="00E62F6F"/>
    <w:rsid w:val="00E64ECB"/>
    <w:rsid w:val="00E651FD"/>
    <w:rsid w:val="00E674EF"/>
    <w:rsid w:val="00E706BB"/>
    <w:rsid w:val="00E70BA0"/>
    <w:rsid w:val="00E71A71"/>
    <w:rsid w:val="00E71E56"/>
    <w:rsid w:val="00E722FB"/>
    <w:rsid w:val="00E74452"/>
    <w:rsid w:val="00E75F0F"/>
    <w:rsid w:val="00E76D90"/>
    <w:rsid w:val="00E80860"/>
    <w:rsid w:val="00E81A2F"/>
    <w:rsid w:val="00E81AE2"/>
    <w:rsid w:val="00E81B91"/>
    <w:rsid w:val="00E83718"/>
    <w:rsid w:val="00E83DE5"/>
    <w:rsid w:val="00E83EC6"/>
    <w:rsid w:val="00E84BD0"/>
    <w:rsid w:val="00E85FE9"/>
    <w:rsid w:val="00E86139"/>
    <w:rsid w:val="00E8614A"/>
    <w:rsid w:val="00E8769B"/>
    <w:rsid w:val="00E90E46"/>
    <w:rsid w:val="00E91092"/>
    <w:rsid w:val="00E910C5"/>
    <w:rsid w:val="00E911F9"/>
    <w:rsid w:val="00E92ACD"/>
    <w:rsid w:val="00E9465F"/>
    <w:rsid w:val="00E94DA8"/>
    <w:rsid w:val="00E97FAE"/>
    <w:rsid w:val="00EA0214"/>
    <w:rsid w:val="00EA05D1"/>
    <w:rsid w:val="00EA08F7"/>
    <w:rsid w:val="00EA0D98"/>
    <w:rsid w:val="00EA3A51"/>
    <w:rsid w:val="00EA3C1B"/>
    <w:rsid w:val="00EA41E4"/>
    <w:rsid w:val="00EA49D7"/>
    <w:rsid w:val="00EA5028"/>
    <w:rsid w:val="00EA51ED"/>
    <w:rsid w:val="00EA52A4"/>
    <w:rsid w:val="00EA584D"/>
    <w:rsid w:val="00EA5FF5"/>
    <w:rsid w:val="00EA66BC"/>
    <w:rsid w:val="00EA66C3"/>
    <w:rsid w:val="00EA6999"/>
    <w:rsid w:val="00EA7428"/>
    <w:rsid w:val="00EA7E0D"/>
    <w:rsid w:val="00EB01EC"/>
    <w:rsid w:val="00EB050A"/>
    <w:rsid w:val="00EB08F1"/>
    <w:rsid w:val="00EB0EBA"/>
    <w:rsid w:val="00EB19B3"/>
    <w:rsid w:val="00EB1B44"/>
    <w:rsid w:val="00EB22FE"/>
    <w:rsid w:val="00EB262F"/>
    <w:rsid w:val="00EB2EB0"/>
    <w:rsid w:val="00EB3363"/>
    <w:rsid w:val="00EB3821"/>
    <w:rsid w:val="00EB395A"/>
    <w:rsid w:val="00EB4238"/>
    <w:rsid w:val="00EB4E0C"/>
    <w:rsid w:val="00EB4FD3"/>
    <w:rsid w:val="00EB5058"/>
    <w:rsid w:val="00EB52C8"/>
    <w:rsid w:val="00EB54F1"/>
    <w:rsid w:val="00EB61EF"/>
    <w:rsid w:val="00EB6831"/>
    <w:rsid w:val="00EB7781"/>
    <w:rsid w:val="00EB7A60"/>
    <w:rsid w:val="00EC0246"/>
    <w:rsid w:val="00EC0503"/>
    <w:rsid w:val="00EC0622"/>
    <w:rsid w:val="00EC0DAC"/>
    <w:rsid w:val="00EC11E3"/>
    <w:rsid w:val="00EC2CB2"/>
    <w:rsid w:val="00EC30D2"/>
    <w:rsid w:val="00EC3692"/>
    <w:rsid w:val="00EC4B94"/>
    <w:rsid w:val="00EC514F"/>
    <w:rsid w:val="00EC53A7"/>
    <w:rsid w:val="00EC64C7"/>
    <w:rsid w:val="00EC6A1A"/>
    <w:rsid w:val="00EC6BDE"/>
    <w:rsid w:val="00EC7002"/>
    <w:rsid w:val="00EC70FA"/>
    <w:rsid w:val="00EC7872"/>
    <w:rsid w:val="00EC794E"/>
    <w:rsid w:val="00EC7A54"/>
    <w:rsid w:val="00ED08A8"/>
    <w:rsid w:val="00ED1042"/>
    <w:rsid w:val="00ED18AA"/>
    <w:rsid w:val="00ED190D"/>
    <w:rsid w:val="00ED1B2C"/>
    <w:rsid w:val="00ED243B"/>
    <w:rsid w:val="00ED3B71"/>
    <w:rsid w:val="00ED3FB0"/>
    <w:rsid w:val="00ED4471"/>
    <w:rsid w:val="00ED4CFF"/>
    <w:rsid w:val="00ED4E84"/>
    <w:rsid w:val="00ED50A4"/>
    <w:rsid w:val="00ED537C"/>
    <w:rsid w:val="00ED5DC4"/>
    <w:rsid w:val="00ED5EB1"/>
    <w:rsid w:val="00ED62F0"/>
    <w:rsid w:val="00ED697A"/>
    <w:rsid w:val="00ED69BA"/>
    <w:rsid w:val="00ED7967"/>
    <w:rsid w:val="00ED7B0E"/>
    <w:rsid w:val="00EE05FA"/>
    <w:rsid w:val="00EE30F8"/>
    <w:rsid w:val="00EE36A4"/>
    <w:rsid w:val="00EE3FFE"/>
    <w:rsid w:val="00EE450A"/>
    <w:rsid w:val="00EE4B25"/>
    <w:rsid w:val="00EE4CB9"/>
    <w:rsid w:val="00EE4E76"/>
    <w:rsid w:val="00EE4FD9"/>
    <w:rsid w:val="00EE56DB"/>
    <w:rsid w:val="00EE57BD"/>
    <w:rsid w:val="00EE6489"/>
    <w:rsid w:val="00EE69EF"/>
    <w:rsid w:val="00EE6C14"/>
    <w:rsid w:val="00EE6DA1"/>
    <w:rsid w:val="00EE6DB5"/>
    <w:rsid w:val="00EF0039"/>
    <w:rsid w:val="00EF03E8"/>
    <w:rsid w:val="00EF04F6"/>
    <w:rsid w:val="00EF08F4"/>
    <w:rsid w:val="00EF093A"/>
    <w:rsid w:val="00EF1D20"/>
    <w:rsid w:val="00EF1F85"/>
    <w:rsid w:val="00EF2315"/>
    <w:rsid w:val="00EF2CD3"/>
    <w:rsid w:val="00EF2EAD"/>
    <w:rsid w:val="00EF4166"/>
    <w:rsid w:val="00EF495F"/>
    <w:rsid w:val="00EF496A"/>
    <w:rsid w:val="00EF5474"/>
    <w:rsid w:val="00EF5593"/>
    <w:rsid w:val="00EF5FC8"/>
    <w:rsid w:val="00EF6E34"/>
    <w:rsid w:val="00EF720F"/>
    <w:rsid w:val="00EF7B13"/>
    <w:rsid w:val="00EF7C5D"/>
    <w:rsid w:val="00F001E7"/>
    <w:rsid w:val="00F00476"/>
    <w:rsid w:val="00F00BD5"/>
    <w:rsid w:val="00F00D95"/>
    <w:rsid w:val="00F0137E"/>
    <w:rsid w:val="00F02242"/>
    <w:rsid w:val="00F02673"/>
    <w:rsid w:val="00F02CB1"/>
    <w:rsid w:val="00F0458D"/>
    <w:rsid w:val="00F067AA"/>
    <w:rsid w:val="00F07FB2"/>
    <w:rsid w:val="00F114E7"/>
    <w:rsid w:val="00F123E0"/>
    <w:rsid w:val="00F12F5A"/>
    <w:rsid w:val="00F13618"/>
    <w:rsid w:val="00F13964"/>
    <w:rsid w:val="00F13BC7"/>
    <w:rsid w:val="00F13CE4"/>
    <w:rsid w:val="00F13F88"/>
    <w:rsid w:val="00F1505B"/>
    <w:rsid w:val="00F16778"/>
    <w:rsid w:val="00F213E9"/>
    <w:rsid w:val="00F21774"/>
    <w:rsid w:val="00F21E9D"/>
    <w:rsid w:val="00F221A0"/>
    <w:rsid w:val="00F22264"/>
    <w:rsid w:val="00F23ACD"/>
    <w:rsid w:val="00F2516E"/>
    <w:rsid w:val="00F260DA"/>
    <w:rsid w:val="00F27013"/>
    <w:rsid w:val="00F27123"/>
    <w:rsid w:val="00F27BF9"/>
    <w:rsid w:val="00F3083C"/>
    <w:rsid w:val="00F30AC3"/>
    <w:rsid w:val="00F30F22"/>
    <w:rsid w:val="00F3105A"/>
    <w:rsid w:val="00F311A5"/>
    <w:rsid w:val="00F3219B"/>
    <w:rsid w:val="00F32353"/>
    <w:rsid w:val="00F3243E"/>
    <w:rsid w:val="00F32621"/>
    <w:rsid w:val="00F32765"/>
    <w:rsid w:val="00F329CE"/>
    <w:rsid w:val="00F329FE"/>
    <w:rsid w:val="00F32A5C"/>
    <w:rsid w:val="00F3308C"/>
    <w:rsid w:val="00F33BB5"/>
    <w:rsid w:val="00F33F40"/>
    <w:rsid w:val="00F34468"/>
    <w:rsid w:val="00F3603C"/>
    <w:rsid w:val="00F36269"/>
    <w:rsid w:val="00F36454"/>
    <w:rsid w:val="00F3645B"/>
    <w:rsid w:val="00F36591"/>
    <w:rsid w:val="00F36B4E"/>
    <w:rsid w:val="00F375C4"/>
    <w:rsid w:val="00F376D6"/>
    <w:rsid w:val="00F3775D"/>
    <w:rsid w:val="00F377C2"/>
    <w:rsid w:val="00F377F6"/>
    <w:rsid w:val="00F37DB3"/>
    <w:rsid w:val="00F4173D"/>
    <w:rsid w:val="00F42D41"/>
    <w:rsid w:val="00F42EF6"/>
    <w:rsid w:val="00F43070"/>
    <w:rsid w:val="00F4318D"/>
    <w:rsid w:val="00F43CBD"/>
    <w:rsid w:val="00F44083"/>
    <w:rsid w:val="00F4409E"/>
    <w:rsid w:val="00F45724"/>
    <w:rsid w:val="00F45B0C"/>
    <w:rsid w:val="00F51ED2"/>
    <w:rsid w:val="00F52640"/>
    <w:rsid w:val="00F5329D"/>
    <w:rsid w:val="00F53A01"/>
    <w:rsid w:val="00F53DA8"/>
    <w:rsid w:val="00F53FE0"/>
    <w:rsid w:val="00F54136"/>
    <w:rsid w:val="00F54A6C"/>
    <w:rsid w:val="00F560E1"/>
    <w:rsid w:val="00F56A3E"/>
    <w:rsid w:val="00F575E4"/>
    <w:rsid w:val="00F576F8"/>
    <w:rsid w:val="00F605B4"/>
    <w:rsid w:val="00F6065A"/>
    <w:rsid w:val="00F60B40"/>
    <w:rsid w:val="00F60DCC"/>
    <w:rsid w:val="00F60DDC"/>
    <w:rsid w:val="00F60EB6"/>
    <w:rsid w:val="00F618D9"/>
    <w:rsid w:val="00F622B7"/>
    <w:rsid w:val="00F62598"/>
    <w:rsid w:val="00F62699"/>
    <w:rsid w:val="00F6354A"/>
    <w:rsid w:val="00F63680"/>
    <w:rsid w:val="00F63ED8"/>
    <w:rsid w:val="00F63EE0"/>
    <w:rsid w:val="00F64219"/>
    <w:rsid w:val="00F646AC"/>
    <w:rsid w:val="00F646EE"/>
    <w:rsid w:val="00F6536D"/>
    <w:rsid w:val="00F65491"/>
    <w:rsid w:val="00F65652"/>
    <w:rsid w:val="00F656CA"/>
    <w:rsid w:val="00F657B3"/>
    <w:rsid w:val="00F65E86"/>
    <w:rsid w:val="00F66BCB"/>
    <w:rsid w:val="00F66E07"/>
    <w:rsid w:val="00F67066"/>
    <w:rsid w:val="00F70530"/>
    <w:rsid w:val="00F7080F"/>
    <w:rsid w:val="00F7087F"/>
    <w:rsid w:val="00F70D5E"/>
    <w:rsid w:val="00F71211"/>
    <w:rsid w:val="00F7204B"/>
    <w:rsid w:val="00F72E0C"/>
    <w:rsid w:val="00F73896"/>
    <w:rsid w:val="00F75636"/>
    <w:rsid w:val="00F75682"/>
    <w:rsid w:val="00F75BE3"/>
    <w:rsid w:val="00F76571"/>
    <w:rsid w:val="00F767AC"/>
    <w:rsid w:val="00F76CA6"/>
    <w:rsid w:val="00F76DEA"/>
    <w:rsid w:val="00F77C79"/>
    <w:rsid w:val="00F80C53"/>
    <w:rsid w:val="00F80ED1"/>
    <w:rsid w:val="00F81196"/>
    <w:rsid w:val="00F818FD"/>
    <w:rsid w:val="00F81D67"/>
    <w:rsid w:val="00F820D1"/>
    <w:rsid w:val="00F82E24"/>
    <w:rsid w:val="00F83680"/>
    <w:rsid w:val="00F8486E"/>
    <w:rsid w:val="00F84A13"/>
    <w:rsid w:val="00F84BD3"/>
    <w:rsid w:val="00F84D35"/>
    <w:rsid w:val="00F84EA3"/>
    <w:rsid w:val="00F8520A"/>
    <w:rsid w:val="00F85AD6"/>
    <w:rsid w:val="00F85E2A"/>
    <w:rsid w:val="00F86ED3"/>
    <w:rsid w:val="00F874B4"/>
    <w:rsid w:val="00F9020D"/>
    <w:rsid w:val="00F91685"/>
    <w:rsid w:val="00F91CEA"/>
    <w:rsid w:val="00F91DAB"/>
    <w:rsid w:val="00F925FF"/>
    <w:rsid w:val="00F92CAF"/>
    <w:rsid w:val="00F92DCB"/>
    <w:rsid w:val="00F936FE"/>
    <w:rsid w:val="00F94036"/>
    <w:rsid w:val="00F94076"/>
    <w:rsid w:val="00F9461E"/>
    <w:rsid w:val="00F9486A"/>
    <w:rsid w:val="00F94A39"/>
    <w:rsid w:val="00F94E02"/>
    <w:rsid w:val="00F95128"/>
    <w:rsid w:val="00F960D4"/>
    <w:rsid w:val="00F96713"/>
    <w:rsid w:val="00F9679D"/>
    <w:rsid w:val="00F96A73"/>
    <w:rsid w:val="00F97118"/>
    <w:rsid w:val="00F975A6"/>
    <w:rsid w:val="00FA0126"/>
    <w:rsid w:val="00FA012B"/>
    <w:rsid w:val="00FA0406"/>
    <w:rsid w:val="00FA09DA"/>
    <w:rsid w:val="00FA1F47"/>
    <w:rsid w:val="00FA2020"/>
    <w:rsid w:val="00FA20DB"/>
    <w:rsid w:val="00FA2382"/>
    <w:rsid w:val="00FA2577"/>
    <w:rsid w:val="00FA25FC"/>
    <w:rsid w:val="00FA2D13"/>
    <w:rsid w:val="00FA3E7A"/>
    <w:rsid w:val="00FA458B"/>
    <w:rsid w:val="00FA5543"/>
    <w:rsid w:val="00FA5AD1"/>
    <w:rsid w:val="00FA6481"/>
    <w:rsid w:val="00FA663B"/>
    <w:rsid w:val="00FA6BDA"/>
    <w:rsid w:val="00FA760B"/>
    <w:rsid w:val="00FA7C18"/>
    <w:rsid w:val="00FB0B9F"/>
    <w:rsid w:val="00FB0C5F"/>
    <w:rsid w:val="00FB0CE3"/>
    <w:rsid w:val="00FB0D95"/>
    <w:rsid w:val="00FB1257"/>
    <w:rsid w:val="00FB188E"/>
    <w:rsid w:val="00FB2DC3"/>
    <w:rsid w:val="00FB3012"/>
    <w:rsid w:val="00FB3112"/>
    <w:rsid w:val="00FB3441"/>
    <w:rsid w:val="00FB5148"/>
    <w:rsid w:val="00FB5172"/>
    <w:rsid w:val="00FB69D1"/>
    <w:rsid w:val="00FB7599"/>
    <w:rsid w:val="00FB75B2"/>
    <w:rsid w:val="00FB7A67"/>
    <w:rsid w:val="00FC0165"/>
    <w:rsid w:val="00FC0C5F"/>
    <w:rsid w:val="00FC2385"/>
    <w:rsid w:val="00FC393F"/>
    <w:rsid w:val="00FC4018"/>
    <w:rsid w:val="00FC5579"/>
    <w:rsid w:val="00FC58DD"/>
    <w:rsid w:val="00FC64C1"/>
    <w:rsid w:val="00FC6FDD"/>
    <w:rsid w:val="00FC717B"/>
    <w:rsid w:val="00FC7C66"/>
    <w:rsid w:val="00FC7F3F"/>
    <w:rsid w:val="00FD1AA5"/>
    <w:rsid w:val="00FD20FA"/>
    <w:rsid w:val="00FD271E"/>
    <w:rsid w:val="00FD3C3C"/>
    <w:rsid w:val="00FD42E3"/>
    <w:rsid w:val="00FD4816"/>
    <w:rsid w:val="00FD532F"/>
    <w:rsid w:val="00FD7213"/>
    <w:rsid w:val="00FE009A"/>
    <w:rsid w:val="00FE07A2"/>
    <w:rsid w:val="00FE08ED"/>
    <w:rsid w:val="00FE09AD"/>
    <w:rsid w:val="00FE10B1"/>
    <w:rsid w:val="00FE193E"/>
    <w:rsid w:val="00FE1A91"/>
    <w:rsid w:val="00FE1AAC"/>
    <w:rsid w:val="00FE1ADB"/>
    <w:rsid w:val="00FE1B0C"/>
    <w:rsid w:val="00FE1CDF"/>
    <w:rsid w:val="00FE1D29"/>
    <w:rsid w:val="00FE2043"/>
    <w:rsid w:val="00FE21D8"/>
    <w:rsid w:val="00FE2438"/>
    <w:rsid w:val="00FE2A7E"/>
    <w:rsid w:val="00FE2EDD"/>
    <w:rsid w:val="00FE4101"/>
    <w:rsid w:val="00FE46CD"/>
    <w:rsid w:val="00FE5D23"/>
    <w:rsid w:val="00FE6149"/>
    <w:rsid w:val="00FE6471"/>
    <w:rsid w:val="00FE73D1"/>
    <w:rsid w:val="00FE754F"/>
    <w:rsid w:val="00FE7869"/>
    <w:rsid w:val="00FE7D1D"/>
    <w:rsid w:val="00FF0513"/>
    <w:rsid w:val="00FF06CE"/>
    <w:rsid w:val="00FF08E3"/>
    <w:rsid w:val="00FF0AE0"/>
    <w:rsid w:val="00FF0C29"/>
    <w:rsid w:val="00FF13C2"/>
    <w:rsid w:val="00FF1A37"/>
    <w:rsid w:val="00FF26BF"/>
    <w:rsid w:val="00FF2BF9"/>
    <w:rsid w:val="00FF2F52"/>
    <w:rsid w:val="00FF305D"/>
    <w:rsid w:val="00FF41E1"/>
    <w:rsid w:val="00FF434B"/>
    <w:rsid w:val="00FF4A8A"/>
    <w:rsid w:val="00FF5540"/>
    <w:rsid w:val="00FF55D5"/>
    <w:rsid w:val="00FF5EB3"/>
    <w:rsid w:val="00FF5F08"/>
    <w:rsid w:val="00FF6009"/>
    <w:rsid w:val="00FF6898"/>
    <w:rsid w:val="00FF69F0"/>
    <w:rsid w:val="00FF7440"/>
    <w:rsid w:val="00FF7ADD"/>
    <w:rsid w:val="00FF7F10"/>
    <w:rsid w:val="00FF7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9D6B4"/>
  <w15:chartTrackingRefBased/>
  <w15:docId w15:val="{42C7CF3E-4A6C-421A-9AFD-05E4C2F9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3A"/>
    <w:pPr>
      <w:spacing w:after="240"/>
    </w:pPr>
  </w:style>
  <w:style w:type="paragraph" w:styleId="Heading1">
    <w:name w:val="heading 1"/>
    <w:basedOn w:val="Normal"/>
    <w:next w:val="Normal"/>
    <w:link w:val="Heading1Char"/>
    <w:uiPriority w:val="9"/>
    <w:qFormat/>
    <w:rsid w:val="002C7035"/>
    <w:pPr>
      <w:keepNext/>
      <w:keepLines/>
      <w:pageBreakBefore/>
      <w:spacing w:before="240" w:line="560" w:lineRule="exact"/>
      <w:outlineLvl w:val="0"/>
    </w:pPr>
    <w:rPr>
      <w:rFonts w:ascii="Arial Black" w:eastAsiaTheme="majorEastAsia" w:hAnsi="Arial Black" w:cstheme="majorBidi"/>
      <w:b/>
      <w:color w:val="002C47" w:themeColor="accent1"/>
      <w:sz w:val="48"/>
      <w:szCs w:val="32"/>
    </w:rPr>
  </w:style>
  <w:style w:type="paragraph" w:styleId="Heading2">
    <w:name w:val="heading 2"/>
    <w:basedOn w:val="Normal"/>
    <w:next w:val="Normal"/>
    <w:link w:val="Heading2Char"/>
    <w:uiPriority w:val="9"/>
    <w:unhideWhenUsed/>
    <w:qFormat/>
    <w:rsid w:val="00755C53"/>
    <w:pPr>
      <w:keepNext/>
      <w:keepLines/>
      <w:spacing w:before="360" w:after="120"/>
      <w:outlineLvl w:val="1"/>
    </w:pPr>
    <w:rPr>
      <w:rFonts w:ascii="Arial Black" w:eastAsiaTheme="majorEastAsia" w:hAnsi="Arial Black" w:cstheme="majorBidi"/>
      <w:color w:val="002C47" w:themeColor="accent1"/>
      <w:sz w:val="28"/>
      <w:szCs w:val="26"/>
    </w:rPr>
  </w:style>
  <w:style w:type="paragraph" w:styleId="Heading3">
    <w:name w:val="heading 3"/>
    <w:basedOn w:val="Normal"/>
    <w:next w:val="Normal"/>
    <w:link w:val="Heading3Char"/>
    <w:uiPriority w:val="9"/>
    <w:unhideWhenUsed/>
    <w:qFormat/>
    <w:rsid w:val="00636D41"/>
    <w:pPr>
      <w:keepNext/>
      <w:keepLines/>
      <w:spacing w:before="40" w:after="0"/>
      <w:outlineLvl w:val="2"/>
    </w:pPr>
    <w:rPr>
      <w:rFonts w:asciiTheme="majorHAnsi" w:eastAsiaTheme="majorEastAsia" w:hAnsiTheme="majorHAnsi" w:cstheme="majorBidi"/>
      <w:color w:val="00152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2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1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7035"/>
    <w:rPr>
      <w:rFonts w:ascii="Arial Black" w:eastAsiaTheme="majorEastAsia" w:hAnsi="Arial Black" w:cstheme="majorBidi"/>
      <w:b/>
      <w:color w:val="002C47" w:themeColor="accent1"/>
      <w:sz w:val="48"/>
      <w:szCs w:val="32"/>
    </w:rPr>
  </w:style>
  <w:style w:type="paragraph" w:styleId="TOCHeading">
    <w:name w:val="TOC Heading"/>
    <w:basedOn w:val="Heading1"/>
    <w:next w:val="Normal"/>
    <w:uiPriority w:val="39"/>
    <w:unhideWhenUsed/>
    <w:qFormat/>
    <w:rsid w:val="00B6215E"/>
    <w:pPr>
      <w:outlineLvl w:val="9"/>
    </w:pPr>
    <w:rPr>
      <w:lang w:val="en-US"/>
    </w:rPr>
  </w:style>
  <w:style w:type="paragraph" w:styleId="TOC1">
    <w:name w:val="toc 1"/>
    <w:basedOn w:val="Normal"/>
    <w:next w:val="Normal"/>
    <w:autoRedefine/>
    <w:uiPriority w:val="39"/>
    <w:unhideWhenUsed/>
    <w:rsid w:val="00A776C0"/>
    <w:pPr>
      <w:tabs>
        <w:tab w:val="right" w:leader="dot" w:pos="9016"/>
      </w:tabs>
      <w:spacing w:after="100"/>
    </w:pPr>
    <w:rPr>
      <w:b/>
      <w:noProof/>
      <w:color w:val="002C47" w:themeColor="accent1"/>
    </w:rPr>
  </w:style>
  <w:style w:type="character" w:styleId="Hyperlink">
    <w:name w:val="Hyperlink"/>
    <w:basedOn w:val="DefaultParagraphFont"/>
    <w:uiPriority w:val="99"/>
    <w:unhideWhenUsed/>
    <w:rsid w:val="00A83EF2"/>
    <w:rPr>
      <w:color w:val="auto"/>
      <w:u w:val="single"/>
    </w:rPr>
  </w:style>
  <w:style w:type="paragraph" w:customStyle="1" w:styleId="Bullet">
    <w:name w:val="Bullet"/>
    <w:basedOn w:val="Normal"/>
    <w:link w:val="BulletChar"/>
    <w:rsid w:val="0075039F"/>
    <w:pPr>
      <w:numPr>
        <w:numId w:val="1"/>
      </w:numPr>
    </w:pPr>
  </w:style>
  <w:style w:type="character" w:customStyle="1" w:styleId="BulletChar">
    <w:name w:val="Bullet Char"/>
    <w:basedOn w:val="DefaultParagraphFont"/>
    <w:link w:val="Bullet"/>
    <w:rsid w:val="0075039F"/>
  </w:style>
  <w:style w:type="paragraph" w:customStyle="1" w:styleId="Dash">
    <w:name w:val="Dash"/>
    <w:basedOn w:val="Normal"/>
    <w:link w:val="DashChar"/>
    <w:rsid w:val="0075039F"/>
    <w:pPr>
      <w:numPr>
        <w:ilvl w:val="1"/>
        <w:numId w:val="1"/>
      </w:numPr>
    </w:pPr>
  </w:style>
  <w:style w:type="character" w:customStyle="1" w:styleId="DashChar">
    <w:name w:val="Dash Char"/>
    <w:basedOn w:val="DefaultParagraphFont"/>
    <w:link w:val="Dash"/>
    <w:rsid w:val="0075039F"/>
  </w:style>
  <w:style w:type="paragraph" w:customStyle="1" w:styleId="DoubleDot">
    <w:name w:val="Double Dot"/>
    <w:basedOn w:val="Normal"/>
    <w:link w:val="DoubleDotChar"/>
    <w:rsid w:val="0075039F"/>
    <w:pPr>
      <w:numPr>
        <w:ilvl w:val="2"/>
        <w:numId w:val="1"/>
      </w:numPr>
    </w:pPr>
  </w:style>
  <w:style w:type="character" w:customStyle="1" w:styleId="DoubleDotChar">
    <w:name w:val="Double Dot Char"/>
    <w:basedOn w:val="DefaultParagraphFont"/>
    <w:link w:val="DoubleDot"/>
    <w:rsid w:val="0075039F"/>
  </w:style>
  <w:style w:type="paragraph" w:styleId="BodyText">
    <w:name w:val="Body Text"/>
    <w:basedOn w:val="Normal"/>
    <w:link w:val="BodyTextChar"/>
    <w:qFormat/>
    <w:rsid w:val="00042C43"/>
    <w:pPr>
      <w:spacing w:after="120" w:line="264" w:lineRule="auto"/>
    </w:pPr>
    <w:rPr>
      <w:color w:val="262626" w:themeColor="text1" w:themeTint="D9"/>
      <w:sz w:val="20"/>
      <w:szCs w:val="20"/>
    </w:rPr>
  </w:style>
  <w:style w:type="character" w:customStyle="1" w:styleId="BodyTextChar">
    <w:name w:val="Body Text Char"/>
    <w:basedOn w:val="DefaultParagraphFont"/>
    <w:link w:val="BodyText"/>
    <w:rsid w:val="00042C43"/>
    <w:rPr>
      <w:color w:val="262626" w:themeColor="text1" w:themeTint="D9"/>
      <w:sz w:val="20"/>
      <w:szCs w:val="20"/>
    </w:rPr>
  </w:style>
  <w:style w:type="paragraph" w:styleId="FootnoteText">
    <w:name w:val="footnote text"/>
    <w:basedOn w:val="Normal"/>
    <w:link w:val="FootnoteTextChar"/>
    <w:uiPriority w:val="99"/>
    <w:unhideWhenUsed/>
    <w:rsid w:val="00397077"/>
    <w:pPr>
      <w:spacing w:after="0" w:line="240" w:lineRule="auto"/>
      <w:ind w:left="454" w:hanging="454"/>
    </w:pPr>
    <w:rPr>
      <w:color w:val="000000" w:themeColor="text1"/>
      <w:sz w:val="20"/>
      <w:szCs w:val="20"/>
    </w:rPr>
  </w:style>
  <w:style w:type="character" w:customStyle="1" w:styleId="FootnoteTextChar">
    <w:name w:val="Footnote Text Char"/>
    <w:basedOn w:val="DefaultParagraphFont"/>
    <w:link w:val="FootnoteText"/>
    <w:uiPriority w:val="99"/>
    <w:rsid w:val="00397077"/>
    <w:rPr>
      <w:color w:val="000000" w:themeColor="text1"/>
      <w:sz w:val="20"/>
      <w:szCs w:val="20"/>
    </w:rPr>
  </w:style>
  <w:style w:type="character" w:styleId="FootnoteReference">
    <w:name w:val="footnote reference"/>
    <w:basedOn w:val="DefaultParagraphFont"/>
    <w:uiPriority w:val="99"/>
    <w:semiHidden/>
    <w:unhideWhenUsed/>
    <w:rsid w:val="00042C43"/>
    <w:rPr>
      <w:vertAlign w:val="superscript"/>
    </w:rPr>
  </w:style>
  <w:style w:type="character" w:styleId="FollowedHyperlink">
    <w:name w:val="FollowedHyperlink"/>
    <w:basedOn w:val="DefaultParagraphFont"/>
    <w:uiPriority w:val="99"/>
    <w:semiHidden/>
    <w:unhideWhenUsed/>
    <w:rsid w:val="00042C43"/>
    <w:rPr>
      <w:color w:val="E61E26" w:themeColor="followedHyperlink"/>
      <w:u w:val="single"/>
    </w:rPr>
  </w:style>
  <w:style w:type="character" w:customStyle="1" w:styleId="Heading2Char">
    <w:name w:val="Heading 2 Char"/>
    <w:basedOn w:val="DefaultParagraphFont"/>
    <w:link w:val="Heading2"/>
    <w:uiPriority w:val="9"/>
    <w:rsid w:val="00755C53"/>
    <w:rPr>
      <w:rFonts w:ascii="Arial Black" w:eastAsiaTheme="majorEastAsia" w:hAnsi="Arial Black" w:cstheme="majorBidi"/>
      <w:color w:val="002C47" w:themeColor="accent1"/>
      <w:sz w:val="28"/>
      <w:szCs w:val="26"/>
    </w:rPr>
  </w:style>
  <w:style w:type="paragraph" w:customStyle="1" w:styleId="OutlineNumbered1">
    <w:name w:val="Outline Numbered 1"/>
    <w:basedOn w:val="Normal"/>
    <w:link w:val="OutlineNumbered1Char"/>
    <w:rsid w:val="00026AC9"/>
    <w:pPr>
      <w:numPr>
        <w:numId w:val="3"/>
      </w:numPr>
      <w:spacing w:after="0"/>
    </w:pPr>
    <w:rPr>
      <w:rFonts w:cstheme="minorHAnsi"/>
      <w:color w:val="262626" w:themeColor="text1" w:themeTint="D9"/>
      <w:sz w:val="20"/>
      <w:szCs w:val="20"/>
    </w:rPr>
  </w:style>
  <w:style w:type="character" w:customStyle="1" w:styleId="OutlineNumbered1Char">
    <w:name w:val="Outline Numbered 1 Char"/>
    <w:basedOn w:val="BodyTextChar"/>
    <w:link w:val="OutlineNumbered1"/>
    <w:rsid w:val="00026AC9"/>
    <w:rPr>
      <w:rFonts w:cstheme="minorHAnsi"/>
      <w:color w:val="262626" w:themeColor="text1" w:themeTint="D9"/>
      <w:sz w:val="20"/>
      <w:szCs w:val="20"/>
    </w:rPr>
  </w:style>
  <w:style w:type="paragraph" w:customStyle="1" w:styleId="OutlineNumbered2">
    <w:name w:val="Outline Numbered 2"/>
    <w:basedOn w:val="Normal"/>
    <w:link w:val="OutlineNumbered2Char"/>
    <w:rsid w:val="00026AC9"/>
    <w:pPr>
      <w:numPr>
        <w:ilvl w:val="1"/>
        <w:numId w:val="3"/>
      </w:numPr>
      <w:spacing w:after="0"/>
    </w:pPr>
    <w:rPr>
      <w:rFonts w:cstheme="minorHAnsi"/>
      <w:color w:val="262626" w:themeColor="text1" w:themeTint="D9"/>
      <w:sz w:val="20"/>
      <w:szCs w:val="20"/>
    </w:rPr>
  </w:style>
  <w:style w:type="character" w:customStyle="1" w:styleId="OutlineNumbered2Char">
    <w:name w:val="Outline Numbered 2 Char"/>
    <w:basedOn w:val="BodyTextChar"/>
    <w:link w:val="OutlineNumbered2"/>
    <w:rsid w:val="00026AC9"/>
    <w:rPr>
      <w:rFonts w:cstheme="minorHAnsi"/>
      <w:color w:val="262626" w:themeColor="text1" w:themeTint="D9"/>
      <w:sz w:val="20"/>
      <w:szCs w:val="20"/>
    </w:rPr>
  </w:style>
  <w:style w:type="paragraph" w:customStyle="1" w:styleId="OutlineNumbered3">
    <w:name w:val="Outline Numbered 3"/>
    <w:basedOn w:val="Normal"/>
    <w:link w:val="OutlineNumbered3Char"/>
    <w:rsid w:val="00026AC9"/>
    <w:pPr>
      <w:numPr>
        <w:ilvl w:val="2"/>
        <w:numId w:val="3"/>
      </w:numPr>
      <w:spacing w:after="0"/>
    </w:pPr>
    <w:rPr>
      <w:rFonts w:cstheme="minorHAnsi"/>
      <w:color w:val="262626" w:themeColor="text1" w:themeTint="D9"/>
      <w:sz w:val="20"/>
      <w:szCs w:val="20"/>
    </w:rPr>
  </w:style>
  <w:style w:type="character" w:customStyle="1" w:styleId="OutlineNumbered3Char">
    <w:name w:val="Outline Numbered 3 Char"/>
    <w:basedOn w:val="BodyTextChar"/>
    <w:link w:val="OutlineNumbered3"/>
    <w:rsid w:val="00026AC9"/>
    <w:rPr>
      <w:rFonts w:cstheme="minorHAnsi"/>
      <w:color w:val="262626" w:themeColor="text1" w:themeTint="D9"/>
      <w:sz w:val="20"/>
      <w:szCs w:val="20"/>
    </w:rPr>
  </w:style>
  <w:style w:type="paragraph" w:styleId="ListParagraph">
    <w:name w:val="List Paragraph"/>
    <w:basedOn w:val="Normal"/>
    <w:uiPriority w:val="34"/>
    <w:qFormat/>
    <w:rsid w:val="000A7005"/>
    <w:pPr>
      <w:ind w:left="720"/>
      <w:contextualSpacing/>
    </w:pPr>
  </w:style>
  <w:style w:type="character" w:styleId="CommentReference">
    <w:name w:val="annotation reference"/>
    <w:basedOn w:val="DefaultParagraphFont"/>
    <w:uiPriority w:val="99"/>
    <w:semiHidden/>
    <w:unhideWhenUsed/>
    <w:rsid w:val="000A7005"/>
    <w:rPr>
      <w:sz w:val="16"/>
      <w:szCs w:val="16"/>
    </w:rPr>
  </w:style>
  <w:style w:type="paragraph" w:styleId="CommentText">
    <w:name w:val="annotation text"/>
    <w:basedOn w:val="Normal"/>
    <w:link w:val="CommentTextChar"/>
    <w:uiPriority w:val="99"/>
    <w:semiHidden/>
    <w:unhideWhenUsed/>
    <w:rsid w:val="000A7005"/>
    <w:pPr>
      <w:spacing w:line="240" w:lineRule="auto"/>
    </w:pPr>
    <w:rPr>
      <w:sz w:val="20"/>
      <w:szCs w:val="20"/>
    </w:rPr>
  </w:style>
  <w:style w:type="character" w:customStyle="1" w:styleId="CommentTextChar">
    <w:name w:val="Comment Text Char"/>
    <w:basedOn w:val="DefaultParagraphFont"/>
    <w:link w:val="CommentText"/>
    <w:uiPriority w:val="99"/>
    <w:semiHidden/>
    <w:rsid w:val="000A7005"/>
    <w:rPr>
      <w:sz w:val="20"/>
      <w:szCs w:val="20"/>
    </w:rPr>
  </w:style>
  <w:style w:type="paragraph" w:styleId="CommentSubject">
    <w:name w:val="annotation subject"/>
    <w:basedOn w:val="CommentText"/>
    <w:next w:val="CommentText"/>
    <w:link w:val="CommentSubjectChar"/>
    <w:uiPriority w:val="99"/>
    <w:semiHidden/>
    <w:unhideWhenUsed/>
    <w:rsid w:val="000A7005"/>
    <w:rPr>
      <w:b/>
      <w:bCs/>
    </w:rPr>
  </w:style>
  <w:style w:type="character" w:customStyle="1" w:styleId="CommentSubjectChar">
    <w:name w:val="Comment Subject Char"/>
    <w:basedOn w:val="CommentTextChar"/>
    <w:link w:val="CommentSubject"/>
    <w:uiPriority w:val="99"/>
    <w:semiHidden/>
    <w:rsid w:val="000A7005"/>
    <w:rPr>
      <w:b/>
      <w:bCs/>
      <w:sz w:val="20"/>
      <w:szCs w:val="20"/>
    </w:rPr>
  </w:style>
  <w:style w:type="paragraph" w:styleId="BalloonText">
    <w:name w:val="Balloon Text"/>
    <w:basedOn w:val="Normal"/>
    <w:link w:val="BalloonTextChar"/>
    <w:uiPriority w:val="99"/>
    <w:semiHidden/>
    <w:unhideWhenUsed/>
    <w:rsid w:val="000A7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05"/>
    <w:rPr>
      <w:rFonts w:ascii="Segoe UI" w:hAnsi="Segoe UI" w:cs="Segoe UI"/>
      <w:sz w:val="18"/>
      <w:szCs w:val="18"/>
    </w:rPr>
  </w:style>
  <w:style w:type="paragraph" w:styleId="TOC2">
    <w:name w:val="toc 2"/>
    <w:basedOn w:val="Normal"/>
    <w:next w:val="Normal"/>
    <w:autoRedefine/>
    <w:uiPriority w:val="39"/>
    <w:unhideWhenUsed/>
    <w:rsid w:val="00A776C0"/>
    <w:pPr>
      <w:tabs>
        <w:tab w:val="right" w:leader="dot" w:pos="8494"/>
      </w:tabs>
      <w:spacing w:after="100"/>
      <w:ind w:left="220"/>
    </w:pPr>
  </w:style>
  <w:style w:type="character" w:customStyle="1" w:styleId="Heading3Char">
    <w:name w:val="Heading 3 Char"/>
    <w:basedOn w:val="DefaultParagraphFont"/>
    <w:link w:val="Heading3"/>
    <w:uiPriority w:val="9"/>
    <w:rsid w:val="00636D41"/>
    <w:rPr>
      <w:rFonts w:asciiTheme="majorHAnsi" w:eastAsiaTheme="majorEastAsia" w:hAnsiTheme="majorHAnsi" w:cstheme="majorBidi"/>
      <w:color w:val="001523" w:themeColor="accent1" w:themeShade="7F"/>
      <w:sz w:val="24"/>
      <w:szCs w:val="24"/>
    </w:rPr>
  </w:style>
  <w:style w:type="paragraph" w:styleId="TOC3">
    <w:name w:val="toc 3"/>
    <w:basedOn w:val="Normal"/>
    <w:next w:val="Normal"/>
    <w:autoRedefine/>
    <w:uiPriority w:val="39"/>
    <w:unhideWhenUsed/>
    <w:rsid w:val="00A93A67"/>
    <w:pPr>
      <w:spacing w:after="100"/>
      <w:ind w:left="440"/>
    </w:pPr>
  </w:style>
  <w:style w:type="paragraph" w:styleId="Header">
    <w:name w:val="header"/>
    <w:basedOn w:val="Normal"/>
    <w:link w:val="HeaderChar"/>
    <w:uiPriority w:val="99"/>
    <w:unhideWhenUsed/>
    <w:rsid w:val="0077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2D8"/>
  </w:style>
  <w:style w:type="paragraph" w:styleId="Footer">
    <w:name w:val="footer"/>
    <w:basedOn w:val="Normal"/>
    <w:link w:val="FooterChar"/>
    <w:uiPriority w:val="99"/>
    <w:unhideWhenUsed/>
    <w:rsid w:val="0077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D8"/>
  </w:style>
  <w:style w:type="paragraph" w:styleId="Quote">
    <w:name w:val="Quote"/>
    <w:basedOn w:val="Normal"/>
    <w:next w:val="Normal"/>
    <w:link w:val="QuoteChar"/>
    <w:uiPriority w:val="29"/>
    <w:qFormat/>
    <w:rsid w:val="007853F6"/>
    <w:pPr>
      <w:spacing w:before="480" w:line="240" w:lineRule="auto"/>
      <w:jc w:val="center"/>
    </w:pPr>
    <w:rPr>
      <w:rFonts w:asciiTheme="majorHAnsi" w:hAnsiTheme="majorHAnsi" w:cstheme="majorHAnsi"/>
      <w:i/>
      <w:color w:val="595959" w:themeColor="text1" w:themeTint="A6"/>
      <w:sz w:val="28"/>
    </w:rPr>
  </w:style>
  <w:style w:type="character" w:customStyle="1" w:styleId="QuoteChar">
    <w:name w:val="Quote Char"/>
    <w:basedOn w:val="DefaultParagraphFont"/>
    <w:link w:val="Quote"/>
    <w:uiPriority w:val="29"/>
    <w:rsid w:val="007853F6"/>
    <w:rPr>
      <w:rFonts w:asciiTheme="majorHAnsi" w:hAnsiTheme="majorHAnsi" w:cstheme="majorHAnsi"/>
      <w:i/>
      <w:color w:val="595959" w:themeColor="text1" w:themeTint="A6"/>
      <w:sz w:val="28"/>
    </w:rPr>
  </w:style>
  <w:style w:type="paragraph" w:customStyle="1" w:styleId="ChartGraphic">
    <w:name w:val="Chart Graphic"/>
    <w:basedOn w:val="Normal"/>
    <w:next w:val="Normal"/>
    <w:link w:val="ChartGraphicChar"/>
    <w:rsid w:val="0002529F"/>
    <w:pPr>
      <w:spacing w:after="0"/>
      <w:jc w:val="center"/>
    </w:pPr>
    <w:rPr>
      <w:rFonts w:ascii="Calibri" w:hAnsi="Calibri" w:cs="Calibri"/>
      <w:sz w:val="20"/>
    </w:rPr>
  </w:style>
  <w:style w:type="character" w:customStyle="1" w:styleId="ChartGraphicChar">
    <w:name w:val="Chart Graphic Char"/>
    <w:basedOn w:val="DefaultParagraphFont"/>
    <w:link w:val="ChartGraphic"/>
    <w:rsid w:val="0002529F"/>
    <w:rPr>
      <w:rFonts w:ascii="Calibri" w:hAnsi="Calibri" w:cs="Calibri"/>
      <w:sz w:val="20"/>
    </w:rPr>
  </w:style>
  <w:style w:type="paragraph" w:styleId="Revision">
    <w:name w:val="Revision"/>
    <w:hidden/>
    <w:uiPriority w:val="99"/>
    <w:semiHidden/>
    <w:rsid w:val="0002529F"/>
    <w:pPr>
      <w:spacing w:after="0" w:line="240" w:lineRule="auto"/>
    </w:pPr>
  </w:style>
  <w:style w:type="table" w:styleId="TableGrid">
    <w:name w:val="Table Grid"/>
    <w:basedOn w:val="TableNormal"/>
    <w:uiPriority w:val="39"/>
    <w:rsid w:val="0058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39CF"/>
    <w:pPr>
      <w:spacing w:after="200" w:line="240" w:lineRule="auto"/>
    </w:pPr>
    <w:rPr>
      <w:i/>
      <w:iCs/>
      <w:color w:val="F06252" w:themeColor="text2"/>
      <w:sz w:val="18"/>
      <w:szCs w:val="18"/>
    </w:rPr>
  </w:style>
  <w:style w:type="paragraph" w:styleId="TableofFigures">
    <w:name w:val="table of figures"/>
    <w:basedOn w:val="Normal"/>
    <w:next w:val="Normal"/>
    <w:uiPriority w:val="99"/>
    <w:unhideWhenUsed/>
    <w:rsid w:val="000C5BF8"/>
    <w:pPr>
      <w:spacing w:after="0"/>
    </w:pPr>
  </w:style>
  <w:style w:type="paragraph" w:styleId="NormalWeb">
    <w:name w:val="Normal (Web)"/>
    <w:basedOn w:val="Normal"/>
    <w:uiPriority w:val="99"/>
    <w:semiHidden/>
    <w:unhideWhenUsed/>
    <w:rsid w:val="00F21E9D"/>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DC4130"/>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7B4E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odd">
    <w:name w:val="Footer odd"/>
    <w:basedOn w:val="Footer"/>
    <w:qFormat/>
    <w:rsid w:val="00342D8D"/>
    <w:pPr>
      <w:jc w:val="right"/>
    </w:pPr>
    <w:rPr>
      <w:b/>
      <w:color w:val="3A6FAF" w:themeColor="accent2"/>
      <w:sz w:val="18"/>
    </w:rPr>
  </w:style>
  <w:style w:type="paragraph" w:customStyle="1" w:styleId="Footereven">
    <w:name w:val="Footer even"/>
    <w:basedOn w:val="Footerodd"/>
    <w:qFormat/>
    <w:rsid w:val="00065F92"/>
    <w:pPr>
      <w:jc w:val="left"/>
    </w:pPr>
    <w:rPr>
      <w:noProof/>
    </w:rPr>
  </w:style>
  <w:style w:type="paragraph" w:customStyle="1" w:styleId="Headerodd">
    <w:name w:val="Header odd"/>
    <w:basedOn w:val="Footer"/>
    <w:qFormat/>
    <w:rsid w:val="00342D8D"/>
    <w:pPr>
      <w:jc w:val="right"/>
    </w:pPr>
    <w:rPr>
      <w:b/>
      <w:noProof/>
      <w:color w:val="002C47" w:themeColor="accent1"/>
      <w:sz w:val="18"/>
    </w:rPr>
  </w:style>
  <w:style w:type="paragraph" w:customStyle="1" w:styleId="Headereven">
    <w:name w:val="Header even"/>
    <w:basedOn w:val="Headerodd"/>
    <w:qFormat/>
    <w:rsid w:val="00342D8D"/>
    <w:pPr>
      <w:jc w:val="left"/>
    </w:pPr>
  </w:style>
  <w:style w:type="paragraph" w:styleId="Subtitle">
    <w:name w:val="Subtitle"/>
    <w:basedOn w:val="Normal"/>
    <w:next w:val="Normal"/>
    <w:link w:val="SubtitleChar"/>
    <w:uiPriority w:val="11"/>
    <w:qFormat/>
    <w:rsid w:val="00713F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F51"/>
    <w:rPr>
      <w:rFonts w:eastAsiaTheme="minorEastAsia"/>
      <w:color w:val="5A5A5A" w:themeColor="text1" w:themeTint="A5"/>
      <w:spacing w:val="15"/>
    </w:rPr>
  </w:style>
  <w:style w:type="paragraph" w:customStyle="1" w:styleId="Figureheading">
    <w:name w:val="Figure heading"/>
    <w:basedOn w:val="Heading3"/>
    <w:qFormat/>
    <w:rsid w:val="00086E40"/>
    <w:pPr>
      <w:spacing w:before="240"/>
      <w:jc w:val="center"/>
    </w:pPr>
    <w:rPr>
      <w:color w:val="3A6FAF" w:themeColor="accent2"/>
      <w:sz w:val="28"/>
    </w:rPr>
  </w:style>
  <w:style w:type="paragraph" w:customStyle="1" w:styleId="Figuregraphic">
    <w:name w:val="Figure graphic"/>
    <w:basedOn w:val="Normal"/>
    <w:qFormat/>
    <w:rsid w:val="00755C53"/>
    <w:pPr>
      <w:spacing w:after="0"/>
      <w:jc w:val="center"/>
    </w:pPr>
    <w:rPr>
      <w:sz w:val="18"/>
    </w:rPr>
  </w:style>
  <w:style w:type="paragraph" w:customStyle="1" w:styleId="FiguretableNote">
    <w:name w:val="Figure/table Note"/>
    <w:basedOn w:val="Normal"/>
    <w:qFormat/>
    <w:rsid w:val="00755C53"/>
    <w:pPr>
      <w:spacing w:after="0" w:line="240" w:lineRule="auto"/>
    </w:pPr>
    <w:rPr>
      <w:sz w:val="18"/>
    </w:rPr>
  </w:style>
  <w:style w:type="paragraph" w:customStyle="1" w:styleId="Singleparagraph">
    <w:name w:val="Single paragraph"/>
    <w:basedOn w:val="FiguretableNote"/>
    <w:qFormat/>
    <w:rsid w:val="00755C53"/>
    <w:rPr>
      <w:sz w:val="22"/>
    </w:rPr>
  </w:style>
  <w:style w:type="paragraph" w:customStyle="1" w:styleId="Tableheading">
    <w:name w:val="Table heading"/>
    <w:basedOn w:val="Figureheading"/>
    <w:qFormat/>
    <w:rsid w:val="00755C53"/>
    <w:pPr>
      <w:jc w:val="left"/>
    </w:pPr>
  </w:style>
  <w:style w:type="paragraph" w:customStyle="1" w:styleId="Boxheading">
    <w:name w:val="Box heading"/>
    <w:basedOn w:val="Tableheading"/>
    <w:qFormat/>
    <w:rsid w:val="00DE2760"/>
    <w:pPr>
      <w:spacing w:before="360" w:after="240" w:line="240" w:lineRule="auto"/>
      <w:outlineLvl w:val="9"/>
    </w:pPr>
    <w:rPr>
      <w:color w:val="00827F" w:themeColor="accent3"/>
      <w:sz w:val="36"/>
    </w:rPr>
  </w:style>
  <w:style w:type="paragraph" w:styleId="NoSpacing">
    <w:name w:val="No Spacing"/>
    <w:uiPriority w:val="1"/>
    <w:qFormat/>
    <w:rsid w:val="00086E40"/>
    <w:pPr>
      <w:spacing w:after="0" w:line="240" w:lineRule="auto"/>
    </w:pPr>
  </w:style>
  <w:style w:type="paragraph" w:customStyle="1" w:styleId="Quoteexplainer">
    <w:name w:val="Quote explainer"/>
    <w:basedOn w:val="Normal"/>
    <w:qFormat/>
    <w:rsid w:val="00F66BCB"/>
    <w:pPr>
      <w:spacing w:before="120" w:after="120" w:line="240" w:lineRule="auto"/>
    </w:pPr>
    <w:rPr>
      <w:color w:val="000000" w:themeColor="text1"/>
      <w:sz w:val="20"/>
    </w:rPr>
  </w:style>
  <w:style w:type="paragraph" w:customStyle="1" w:styleId="Quoteref">
    <w:name w:val="Quote ref"/>
    <w:basedOn w:val="Normal"/>
    <w:qFormat/>
    <w:rsid w:val="005B6873"/>
    <w:pPr>
      <w:spacing w:before="120" w:after="120" w:line="240" w:lineRule="auto"/>
      <w:jc w:val="right"/>
    </w:pPr>
    <w:rPr>
      <w:b/>
      <w:color w:val="3A6FAF" w:themeColor="accent2"/>
    </w:rPr>
  </w:style>
  <w:style w:type="paragraph" w:customStyle="1" w:styleId="Figuresecondheading">
    <w:name w:val="Figure second heading"/>
    <w:basedOn w:val="Figureheading"/>
    <w:qFormat/>
    <w:rsid w:val="009464B8"/>
    <w:pPr>
      <w:outlineLvl w:val="9"/>
    </w:pPr>
    <w:rPr>
      <w:color w:val="595959" w:themeColor="text1" w:themeTint="A6"/>
      <w:sz w:val="20"/>
    </w:rPr>
  </w:style>
  <w:style w:type="paragraph" w:customStyle="1" w:styleId="Tabletextleft">
    <w:name w:val="Table text left"/>
    <w:basedOn w:val="Normal"/>
    <w:qFormat/>
    <w:rsid w:val="009464B8"/>
    <w:pPr>
      <w:spacing w:after="0" w:line="240" w:lineRule="auto"/>
    </w:pPr>
    <w:rPr>
      <w:color w:val="000000" w:themeColor="text1"/>
      <w:sz w:val="18"/>
      <w:lang w:eastAsia="en-AU"/>
    </w:rPr>
  </w:style>
  <w:style w:type="paragraph" w:customStyle="1" w:styleId="Tabletextcentred">
    <w:name w:val="Table text centred"/>
    <w:basedOn w:val="Normal"/>
    <w:qFormat/>
    <w:rsid w:val="009464B8"/>
    <w:pPr>
      <w:spacing w:after="0" w:line="240" w:lineRule="auto"/>
      <w:jc w:val="center"/>
    </w:pPr>
    <w:rPr>
      <w:rFonts w:ascii="Calibri" w:hAnsi="Calibri" w:cs="Calibri"/>
      <w:color w:val="000000" w:themeColor="text1"/>
      <w:sz w:val="18"/>
    </w:rPr>
  </w:style>
  <w:style w:type="paragraph" w:customStyle="1" w:styleId="Tablecolumnheadingleft">
    <w:name w:val="Table column heading left"/>
    <w:basedOn w:val="Normal"/>
    <w:qFormat/>
    <w:rsid w:val="00D15DA3"/>
    <w:pPr>
      <w:spacing w:after="0" w:line="240" w:lineRule="auto"/>
    </w:pPr>
    <w:rPr>
      <w:rFonts w:eastAsia="Times New Roman" w:cs="Calibri"/>
      <w:b/>
      <w:color w:val="002C47" w:themeColor="accent1"/>
      <w:sz w:val="20"/>
      <w:lang w:eastAsia="en-AU"/>
    </w:rPr>
  </w:style>
  <w:style w:type="paragraph" w:customStyle="1" w:styleId="Tablecolumnheadingcentre">
    <w:name w:val="Table column heading centre"/>
    <w:basedOn w:val="Tablecolumnheadingleft"/>
    <w:qFormat/>
    <w:rsid w:val="00D15DA3"/>
    <w:pPr>
      <w:jc w:val="center"/>
    </w:pPr>
  </w:style>
  <w:style w:type="table" w:styleId="TableGridLight">
    <w:name w:val="Grid Table Light"/>
    <w:basedOn w:val="TableNormal"/>
    <w:uiPriority w:val="40"/>
    <w:rsid w:val="00F76C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bullets">
    <w:name w:val="Table text bullets"/>
    <w:basedOn w:val="Tabletextleft"/>
    <w:qFormat/>
    <w:rsid w:val="00F76CA6"/>
    <w:pPr>
      <w:numPr>
        <w:numId w:val="17"/>
      </w:numPr>
      <w:ind w:left="360"/>
    </w:pPr>
  </w:style>
  <w:style w:type="table" w:customStyle="1" w:styleId="Style1">
    <w:name w:val="Style1"/>
    <w:basedOn w:val="TableNormal"/>
    <w:uiPriority w:val="99"/>
    <w:rsid w:val="00EE6DB5"/>
    <w:pPr>
      <w:spacing w:after="0" w:line="240" w:lineRule="auto"/>
    </w:pPr>
    <w:tblPr>
      <w:tblStyleRowBandSize w:val="1"/>
    </w:tblPr>
    <w:tblStylePr w:type="firstRow">
      <w:tblPr/>
      <w:tcPr>
        <w:tcBorders>
          <w:top w:val="nil"/>
          <w:bottom w:val="nil"/>
        </w:tcBorders>
      </w:tcPr>
    </w:tblStylePr>
    <w:tblStylePr w:type="band2Horz">
      <w:tblPr/>
      <w:tcPr>
        <w:shd w:val="clear" w:color="auto" w:fill="F2F6F6"/>
      </w:tcPr>
    </w:tblStylePr>
  </w:style>
  <w:style w:type="paragraph" w:customStyle="1" w:styleId="Heading2noTOC">
    <w:name w:val="Heading 2 no TOC"/>
    <w:basedOn w:val="Heading2"/>
    <w:qFormat/>
    <w:rsid w:val="0012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8536">
      <w:bodyDiv w:val="1"/>
      <w:marLeft w:val="0"/>
      <w:marRight w:val="0"/>
      <w:marTop w:val="0"/>
      <w:marBottom w:val="0"/>
      <w:divBdr>
        <w:top w:val="none" w:sz="0" w:space="0" w:color="auto"/>
        <w:left w:val="none" w:sz="0" w:space="0" w:color="auto"/>
        <w:bottom w:val="none" w:sz="0" w:space="0" w:color="auto"/>
        <w:right w:val="none" w:sz="0" w:space="0" w:color="auto"/>
      </w:divBdr>
    </w:div>
    <w:div w:id="224412136">
      <w:bodyDiv w:val="1"/>
      <w:marLeft w:val="0"/>
      <w:marRight w:val="0"/>
      <w:marTop w:val="0"/>
      <w:marBottom w:val="0"/>
      <w:divBdr>
        <w:top w:val="none" w:sz="0" w:space="0" w:color="auto"/>
        <w:left w:val="none" w:sz="0" w:space="0" w:color="auto"/>
        <w:bottom w:val="none" w:sz="0" w:space="0" w:color="auto"/>
        <w:right w:val="none" w:sz="0" w:space="0" w:color="auto"/>
      </w:divBdr>
    </w:div>
    <w:div w:id="266162914">
      <w:bodyDiv w:val="1"/>
      <w:marLeft w:val="0"/>
      <w:marRight w:val="0"/>
      <w:marTop w:val="0"/>
      <w:marBottom w:val="0"/>
      <w:divBdr>
        <w:top w:val="none" w:sz="0" w:space="0" w:color="auto"/>
        <w:left w:val="none" w:sz="0" w:space="0" w:color="auto"/>
        <w:bottom w:val="none" w:sz="0" w:space="0" w:color="auto"/>
        <w:right w:val="none" w:sz="0" w:space="0" w:color="auto"/>
      </w:divBdr>
    </w:div>
    <w:div w:id="270355390">
      <w:bodyDiv w:val="1"/>
      <w:marLeft w:val="0"/>
      <w:marRight w:val="0"/>
      <w:marTop w:val="0"/>
      <w:marBottom w:val="0"/>
      <w:divBdr>
        <w:top w:val="none" w:sz="0" w:space="0" w:color="auto"/>
        <w:left w:val="none" w:sz="0" w:space="0" w:color="auto"/>
        <w:bottom w:val="none" w:sz="0" w:space="0" w:color="auto"/>
        <w:right w:val="none" w:sz="0" w:space="0" w:color="auto"/>
      </w:divBdr>
    </w:div>
    <w:div w:id="491218972">
      <w:bodyDiv w:val="1"/>
      <w:marLeft w:val="0"/>
      <w:marRight w:val="0"/>
      <w:marTop w:val="0"/>
      <w:marBottom w:val="0"/>
      <w:divBdr>
        <w:top w:val="none" w:sz="0" w:space="0" w:color="auto"/>
        <w:left w:val="none" w:sz="0" w:space="0" w:color="auto"/>
        <w:bottom w:val="none" w:sz="0" w:space="0" w:color="auto"/>
        <w:right w:val="none" w:sz="0" w:space="0" w:color="auto"/>
      </w:divBdr>
    </w:div>
    <w:div w:id="539438536">
      <w:bodyDiv w:val="1"/>
      <w:marLeft w:val="0"/>
      <w:marRight w:val="0"/>
      <w:marTop w:val="0"/>
      <w:marBottom w:val="0"/>
      <w:divBdr>
        <w:top w:val="none" w:sz="0" w:space="0" w:color="auto"/>
        <w:left w:val="none" w:sz="0" w:space="0" w:color="auto"/>
        <w:bottom w:val="none" w:sz="0" w:space="0" w:color="auto"/>
        <w:right w:val="none" w:sz="0" w:space="0" w:color="auto"/>
      </w:divBdr>
    </w:div>
    <w:div w:id="572741740">
      <w:bodyDiv w:val="1"/>
      <w:marLeft w:val="0"/>
      <w:marRight w:val="0"/>
      <w:marTop w:val="0"/>
      <w:marBottom w:val="0"/>
      <w:divBdr>
        <w:top w:val="none" w:sz="0" w:space="0" w:color="auto"/>
        <w:left w:val="none" w:sz="0" w:space="0" w:color="auto"/>
        <w:bottom w:val="none" w:sz="0" w:space="0" w:color="auto"/>
        <w:right w:val="none" w:sz="0" w:space="0" w:color="auto"/>
      </w:divBdr>
    </w:div>
    <w:div w:id="585845497">
      <w:bodyDiv w:val="1"/>
      <w:marLeft w:val="0"/>
      <w:marRight w:val="0"/>
      <w:marTop w:val="0"/>
      <w:marBottom w:val="0"/>
      <w:divBdr>
        <w:top w:val="none" w:sz="0" w:space="0" w:color="auto"/>
        <w:left w:val="none" w:sz="0" w:space="0" w:color="auto"/>
        <w:bottom w:val="none" w:sz="0" w:space="0" w:color="auto"/>
        <w:right w:val="none" w:sz="0" w:space="0" w:color="auto"/>
      </w:divBdr>
    </w:div>
    <w:div w:id="673145029">
      <w:bodyDiv w:val="1"/>
      <w:marLeft w:val="0"/>
      <w:marRight w:val="0"/>
      <w:marTop w:val="0"/>
      <w:marBottom w:val="0"/>
      <w:divBdr>
        <w:top w:val="none" w:sz="0" w:space="0" w:color="auto"/>
        <w:left w:val="none" w:sz="0" w:space="0" w:color="auto"/>
        <w:bottom w:val="none" w:sz="0" w:space="0" w:color="auto"/>
        <w:right w:val="none" w:sz="0" w:space="0" w:color="auto"/>
      </w:divBdr>
    </w:div>
    <w:div w:id="677734775">
      <w:bodyDiv w:val="1"/>
      <w:marLeft w:val="0"/>
      <w:marRight w:val="0"/>
      <w:marTop w:val="0"/>
      <w:marBottom w:val="0"/>
      <w:divBdr>
        <w:top w:val="none" w:sz="0" w:space="0" w:color="auto"/>
        <w:left w:val="none" w:sz="0" w:space="0" w:color="auto"/>
        <w:bottom w:val="none" w:sz="0" w:space="0" w:color="auto"/>
        <w:right w:val="none" w:sz="0" w:space="0" w:color="auto"/>
      </w:divBdr>
    </w:div>
    <w:div w:id="795761906">
      <w:bodyDiv w:val="1"/>
      <w:marLeft w:val="0"/>
      <w:marRight w:val="0"/>
      <w:marTop w:val="0"/>
      <w:marBottom w:val="0"/>
      <w:divBdr>
        <w:top w:val="none" w:sz="0" w:space="0" w:color="auto"/>
        <w:left w:val="none" w:sz="0" w:space="0" w:color="auto"/>
        <w:bottom w:val="none" w:sz="0" w:space="0" w:color="auto"/>
        <w:right w:val="none" w:sz="0" w:space="0" w:color="auto"/>
      </w:divBdr>
    </w:div>
    <w:div w:id="853157224">
      <w:bodyDiv w:val="1"/>
      <w:marLeft w:val="0"/>
      <w:marRight w:val="0"/>
      <w:marTop w:val="0"/>
      <w:marBottom w:val="0"/>
      <w:divBdr>
        <w:top w:val="none" w:sz="0" w:space="0" w:color="auto"/>
        <w:left w:val="none" w:sz="0" w:space="0" w:color="auto"/>
        <w:bottom w:val="none" w:sz="0" w:space="0" w:color="auto"/>
        <w:right w:val="none" w:sz="0" w:space="0" w:color="auto"/>
      </w:divBdr>
    </w:div>
    <w:div w:id="936249791">
      <w:bodyDiv w:val="1"/>
      <w:marLeft w:val="0"/>
      <w:marRight w:val="0"/>
      <w:marTop w:val="0"/>
      <w:marBottom w:val="0"/>
      <w:divBdr>
        <w:top w:val="none" w:sz="0" w:space="0" w:color="auto"/>
        <w:left w:val="none" w:sz="0" w:space="0" w:color="auto"/>
        <w:bottom w:val="none" w:sz="0" w:space="0" w:color="auto"/>
        <w:right w:val="none" w:sz="0" w:space="0" w:color="auto"/>
      </w:divBdr>
    </w:div>
    <w:div w:id="937981636">
      <w:bodyDiv w:val="1"/>
      <w:marLeft w:val="0"/>
      <w:marRight w:val="0"/>
      <w:marTop w:val="0"/>
      <w:marBottom w:val="0"/>
      <w:divBdr>
        <w:top w:val="none" w:sz="0" w:space="0" w:color="auto"/>
        <w:left w:val="none" w:sz="0" w:space="0" w:color="auto"/>
        <w:bottom w:val="none" w:sz="0" w:space="0" w:color="auto"/>
        <w:right w:val="none" w:sz="0" w:space="0" w:color="auto"/>
      </w:divBdr>
    </w:div>
    <w:div w:id="1063791109">
      <w:bodyDiv w:val="1"/>
      <w:marLeft w:val="0"/>
      <w:marRight w:val="0"/>
      <w:marTop w:val="0"/>
      <w:marBottom w:val="0"/>
      <w:divBdr>
        <w:top w:val="none" w:sz="0" w:space="0" w:color="auto"/>
        <w:left w:val="none" w:sz="0" w:space="0" w:color="auto"/>
        <w:bottom w:val="none" w:sz="0" w:space="0" w:color="auto"/>
        <w:right w:val="none" w:sz="0" w:space="0" w:color="auto"/>
      </w:divBdr>
    </w:div>
    <w:div w:id="1066952102">
      <w:bodyDiv w:val="1"/>
      <w:marLeft w:val="0"/>
      <w:marRight w:val="0"/>
      <w:marTop w:val="0"/>
      <w:marBottom w:val="0"/>
      <w:divBdr>
        <w:top w:val="none" w:sz="0" w:space="0" w:color="auto"/>
        <w:left w:val="none" w:sz="0" w:space="0" w:color="auto"/>
        <w:bottom w:val="none" w:sz="0" w:space="0" w:color="auto"/>
        <w:right w:val="none" w:sz="0" w:space="0" w:color="auto"/>
      </w:divBdr>
    </w:div>
    <w:div w:id="1083337014">
      <w:bodyDiv w:val="1"/>
      <w:marLeft w:val="0"/>
      <w:marRight w:val="0"/>
      <w:marTop w:val="0"/>
      <w:marBottom w:val="0"/>
      <w:divBdr>
        <w:top w:val="none" w:sz="0" w:space="0" w:color="auto"/>
        <w:left w:val="none" w:sz="0" w:space="0" w:color="auto"/>
        <w:bottom w:val="none" w:sz="0" w:space="0" w:color="auto"/>
        <w:right w:val="none" w:sz="0" w:space="0" w:color="auto"/>
      </w:divBdr>
    </w:div>
    <w:div w:id="1133475087">
      <w:bodyDiv w:val="1"/>
      <w:marLeft w:val="0"/>
      <w:marRight w:val="0"/>
      <w:marTop w:val="0"/>
      <w:marBottom w:val="0"/>
      <w:divBdr>
        <w:top w:val="none" w:sz="0" w:space="0" w:color="auto"/>
        <w:left w:val="none" w:sz="0" w:space="0" w:color="auto"/>
        <w:bottom w:val="none" w:sz="0" w:space="0" w:color="auto"/>
        <w:right w:val="none" w:sz="0" w:space="0" w:color="auto"/>
      </w:divBdr>
    </w:div>
    <w:div w:id="1205947166">
      <w:bodyDiv w:val="1"/>
      <w:marLeft w:val="0"/>
      <w:marRight w:val="0"/>
      <w:marTop w:val="0"/>
      <w:marBottom w:val="0"/>
      <w:divBdr>
        <w:top w:val="none" w:sz="0" w:space="0" w:color="auto"/>
        <w:left w:val="none" w:sz="0" w:space="0" w:color="auto"/>
        <w:bottom w:val="none" w:sz="0" w:space="0" w:color="auto"/>
        <w:right w:val="none" w:sz="0" w:space="0" w:color="auto"/>
      </w:divBdr>
    </w:div>
    <w:div w:id="1391422455">
      <w:bodyDiv w:val="1"/>
      <w:marLeft w:val="0"/>
      <w:marRight w:val="0"/>
      <w:marTop w:val="0"/>
      <w:marBottom w:val="0"/>
      <w:divBdr>
        <w:top w:val="none" w:sz="0" w:space="0" w:color="auto"/>
        <w:left w:val="none" w:sz="0" w:space="0" w:color="auto"/>
        <w:bottom w:val="none" w:sz="0" w:space="0" w:color="auto"/>
        <w:right w:val="none" w:sz="0" w:space="0" w:color="auto"/>
      </w:divBdr>
    </w:div>
    <w:div w:id="1420565335">
      <w:bodyDiv w:val="1"/>
      <w:marLeft w:val="0"/>
      <w:marRight w:val="0"/>
      <w:marTop w:val="0"/>
      <w:marBottom w:val="0"/>
      <w:divBdr>
        <w:top w:val="none" w:sz="0" w:space="0" w:color="auto"/>
        <w:left w:val="none" w:sz="0" w:space="0" w:color="auto"/>
        <w:bottom w:val="none" w:sz="0" w:space="0" w:color="auto"/>
        <w:right w:val="none" w:sz="0" w:space="0" w:color="auto"/>
      </w:divBdr>
    </w:div>
    <w:div w:id="1456486378">
      <w:bodyDiv w:val="1"/>
      <w:marLeft w:val="0"/>
      <w:marRight w:val="0"/>
      <w:marTop w:val="0"/>
      <w:marBottom w:val="0"/>
      <w:divBdr>
        <w:top w:val="none" w:sz="0" w:space="0" w:color="auto"/>
        <w:left w:val="none" w:sz="0" w:space="0" w:color="auto"/>
        <w:bottom w:val="none" w:sz="0" w:space="0" w:color="auto"/>
        <w:right w:val="none" w:sz="0" w:space="0" w:color="auto"/>
      </w:divBdr>
    </w:div>
    <w:div w:id="1458571351">
      <w:bodyDiv w:val="1"/>
      <w:marLeft w:val="0"/>
      <w:marRight w:val="0"/>
      <w:marTop w:val="0"/>
      <w:marBottom w:val="0"/>
      <w:divBdr>
        <w:top w:val="none" w:sz="0" w:space="0" w:color="auto"/>
        <w:left w:val="none" w:sz="0" w:space="0" w:color="auto"/>
        <w:bottom w:val="none" w:sz="0" w:space="0" w:color="auto"/>
        <w:right w:val="none" w:sz="0" w:space="0" w:color="auto"/>
      </w:divBdr>
    </w:div>
    <w:div w:id="1542783417">
      <w:bodyDiv w:val="1"/>
      <w:marLeft w:val="0"/>
      <w:marRight w:val="0"/>
      <w:marTop w:val="0"/>
      <w:marBottom w:val="0"/>
      <w:divBdr>
        <w:top w:val="none" w:sz="0" w:space="0" w:color="auto"/>
        <w:left w:val="none" w:sz="0" w:space="0" w:color="auto"/>
        <w:bottom w:val="none" w:sz="0" w:space="0" w:color="auto"/>
        <w:right w:val="none" w:sz="0" w:space="0" w:color="auto"/>
      </w:divBdr>
    </w:div>
    <w:div w:id="1547326861">
      <w:bodyDiv w:val="1"/>
      <w:marLeft w:val="0"/>
      <w:marRight w:val="0"/>
      <w:marTop w:val="0"/>
      <w:marBottom w:val="0"/>
      <w:divBdr>
        <w:top w:val="none" w:sz="0" w:space="0" w:color="auto"/>
        <w:left w:val="none" w:sz="0" w:space="0" w:color="auto"/>
        <w:bottom w:val="none" w:sz="0" w:space="0" w:color="auto"/>
        <w:right w:val="none" w:sz="0" w:space="0" w:color="auto"/>
      </w:divBdr>
    </w:div>
    <w:div w:id="1562592651">
      <w:bodyDiv w:val="1"/>
      <w:marLeft w:val="0"/>
      <w:marRight w:val="0"/>
      <w:marTop w:val="0"/>
      <w:marBottom w:val="0"/>
      <w:divBdr>
        <w:top w:val="none" w:sz="0" w:space="0" w:color="auto"/>
        <w:left w:val="none" w:sz="0" w:space="0" w:color="auto"/>
        <w:bottom w:val="none" w:sz="0" w:space="0" w:color="auto"/>
        <w:right w:val="none" w:sz="0" w:space="0" w:color="auto"/>
      </w:divBdr>
    </w:div>
    <w:div w:id="1590919030">
      <w:bodyDiv w:val="1"/>
      <w:marLeft w:val="0"/>
      <w:marRight w:val="0"/>
      <w:marTop w:val="0"/>
      <w:marBottom w:val="0"/>
      <w:divBdr>
        <w:top w:val="none" w:sz="0" w:space="0" w:color="auto"/>
        <w:left w:val="none" w:sz="0" w:space="0" w:color="auto"/>
        <w:bottom w:val="none" w:sz="0" w:space="0" w:color="auto"/>
        <w:right w:val="none" w:sz="0" w:space="0" w:color="auto"/>
      </w:divBdr>
    </w:div>
    <w:div w:id="1601333677">
      <w:bodyDiv w:val="1"/>
      <w:marLeft w:val="0"/>
      <w:marRight w:val="0"/>
      <w:marTop w:val="0"/>
      <w:marBottom w:val="0"/>
      <w:divBdr>
        <w:top w:val="none" w:sz="0" w:space="0" w:color="auto"/>
        <w:left w:val="none" w:sz="0" w:space="0" w:color="auto"/>
        <w:bottom w:val="none" w:sz="0" w:space="0" w:color="auto"/>
        <w:right w:val="none" w:sz="0" w:space="0" w:color="auto"/>
      </w:divBdr>
    </w:div>
    <w:div w:id="1881281380">
      <w:bodyDiv w:val="1"/>
      <w:marLeft w:val="0"/>
      <w:marRight w:val="0"/>
      <w:marTop w:val="0"/>
      <w:marBottom w:val="0"/>
      <w:divBdr>
        <w:top w:val="none" w:sz="0" w:space="0" w:color="auto"/>
        <w:left w:val="none" w:sz="0" w:space="0" w:color="auto"/>
        <w:bottom w:val="none" w:sz="0" w:space="0" w:color="auto"/>
        <w:right w:val="none" w:sz="0" w:space="0" w:color="auto"/>
      </w:divBdr>
    </w:div>
    <w:div w:id="1906984142">
      <w:bodyDiv w:val="1"/>
      <w:marLeft w:val="0"/>
      <w:marRight w:val="0"/>
      <w:marTop w:val="0"/>
      <w:marBottom w:val="0"/>
      <w:divBdr>
        <w:top w:val="none" w:sz="0" w:space="0" w:color="auto"/>
        <w:left w:val="none" w:sz="0" w:space="0" w:color="auto"/>
        <w:bottom w:val="none" w:sz="0" w:space="0" w:color="auto"/>
        <w:right w:val="none" w:sz="0" w:space="0" w:color="auto"/>
      </w:divBdr>
    </w:div>
    <w:div w:id="1929075934">
      <w:bodyDiv w:val="1"/>
      <w:marLeft w:val="0"/>
      <w:marRight w:val="0"/>
      <w:marTop w:val="0"/>
      <w:marBottom w:val="0"/>
      <w:divBdr>
        <w:top w:val="none" w:sz="0" w:space="0" w:color="auto"/>
        <w:left w:val="none" w:sz="0" w:space="0" w:color="auto"/>
        <w:bottom w:val="none" w:sz="0" w:space="0" w:color="auto"/>
        <w:right w:val="none" w:sz="0" w:space="0" w:color="auto"/>
      </w:divBdr>
    </w:div>
    <w:div w:id="2008165327">
      <w:bodyDiv w:val="1"/>
      <w:marLeft w:val="0"/>
      <w:marRight w:val="0"/>
      <w:marTop w:val="0"/>
      <w:marBottom w:val="0"/>
      <w:divBdr>
        <w:top w:val="none" w:sz="0" w:space="0" w:color="auto"/>
        <w:left w:val="none" w:sz="0" w:space="0" w:color="auto"/>
        <w:bottom w:val="none" w:sz="0" w:space="0" w:color="auto"/>
        <w:right w:val="none" w:sz="0" w:space="0" w:color="auto"/>
      </w:divBdr>
    </w:div>
    <w:div w:id="20568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chart" Target="charts/chart6.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oter" Target="footer4.xml"/><Relationship Id="rId10" Type="http://schemas.openxmlformats.org/officeDocument/2006/relationships/styles" Target="styles.xml"/><Relationship Id="rId19" Type="http://schemas.openxmlformats.org/officeDocument/2006/relationships/hyperlink" Target="http://www.ato.gov.au/general/JobKeeper-Payment" TargetMode="Externa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commbank.com.au/guidance/business/an-early-look-at-how-the-coronavirus-is-affecting-household-spen-202003.html" TargetMode="External"/><Relationship Id="rId13" Type="http://schemas.openxmlformats.org/officeDocument/2006/relationships/hyperlink" Target="https://ministers.treasury.gov.au/ministers/josh-frydenberg-2018/media-releases/130-billion-jobkeeper-payment-keep-australians-job" TargetMode="External"/><Relationship Id="rId18" Type="http://schemas.openxmlformats.org/officeDocument/2006/relationships/hyperlink" Target="https://asic.gov.au/regulatory-resources/find-a-document/statistics/insolvency-statistics/" TargetMode="External"/><Relationship Id="rId3" Type="http://schemas.openxmlformats.org/officeDocument/2006/relationships/hyperlink" Target="https://treasury.gov.au/speech/opening-statement-june-2020-senate-select-committee-covid-19" TargetMode="External"/><Relationship Id="rId7" Type="http://schemas.openxmlformats.org/officeDocument/2006/relationships/hyperlink" Target="https://www.alphabeta.com/illiontracking" TargetMode="External"/><Relationship Id="rId12" Type="http://schemas.openxmlformats.org/officeDocument/2006/relationships/hyperlink" Target="https://treasury.gov.au/speech/opening-statement-june-2020-senate-select-committee-covid-19" TargetMode="External"/><Relationship Id="rId17" Type="http://schemas.openxmlformats.org/officeDocument/2006/relationships/hyperlink" Target="https://coronavirus.fairwork.gov.au/coronavirus-and-australian-workplace-laws/pay-and-leave-during-coronavirus/jobkeeper-wage-subsidy-scheme/jobkeeper-enabling-stand-down-directions" TargetMode="External"/><Relationship Id="rId2" Type="http://schemas.openxmlformats.org/officeDocument/2006/relationships/hyperlink" Target="https://covid19.who.int/region/wpro/country/au" TargetMode="External"/><Relationship Id="rId16" Type="http://schemas.openxmlformats.org/officeDocument/2006/relationships/hyperlink" Target="https://www.xero.com/small-business-insights/" TargetMode="External"/><Relationship Id="rId20" Type="http://schemas.openxmlformats.org/officeDocument/2006/relationships/hyperlink" Target="https://rba.gov.au/publications/fsr/2020/apr/" TargetMode="External"/><Relationship Id="rId1" Type="http://schemas.openxmlformats.org/officeDocument/2006/relationships/hyperlink" Target="https://treasury.gov.au/" TargetMode="External"/><Relationship Id="rId6" Type="http://schemas.openxmlformats.org/officeDocument/2006/relationships/hyperlink" Target="http://www.pedestrian.melbourne.vic.gov.au/" TargetMode="External"/><Relationship Id="rId11" Type="http://schemas.openxmlformats.org/officeDocument/2006/relationships/hyperlink" Target="http://www.oecd.org/economic-outlook/" TargetMode="External"/><Relationship Id="rId5" Type="http://schemas.openxmlformats.org/officeDocument/2006/relationships/hyperlink" Target="https://www.apple.com/covid19/mobility" TargetMode="External"/><Relationship Id="rId15" Type="http://schemas.openxmlformats.org/officeDocument/2006/relationships/hyperlink" Target="https://www.abs.gov.au/ausstats/abs@.nsf/PrimaryMainFeatures/6202.0?OpenDocument" TargetMode="External"/><Relationship Id="rId10" Type="http://schemas.openxmlformats.org/officeDocument/2006/relationships/hyperlink" Target="http://www.oecd.org/economic-outlook/" TargetMode="External"/><Relationship Id="rId19" Type="http://schemas.openxmlformats.org/officeDocument/2006/relationships/hyperlink" Target="https://treasury.gov.au/sites/default/files/2020-04/Fact_sheet-Providing_temporary_relief_for_financially_distressed_businesses.pdf" TargetMode="External"/><Relationship Id="rId4" Type="http://schemas.openxmlformats.org/officeDocument/2006/relationships/hyperlink" Target="https://www.google.com/covid19/mobility/" TargetMode="External"/><Relationship Id="rId9" Type="http://schemas.openxmlformats.org/officeDocument/2006/relationships/hyperlink" Target="https://treasury.gov.au/sites/default/files/202005/OverviewEconomic_Response_to_the_Coronavirus_3.pdf" TargetMode="External"/><Relationship Id="rId14" Type="http://schemas.openxmlformats.org/officeDocument/2006/relationships/hyperlink" Target="https://treasury.gov.au/coronavirus/jobkeeper/da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3.xml"/></Relationships>
</file>

<file path=word/charts/_rels/chart11.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12.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5.xml"/></Relationships>
</file>

<file path=word/charts/_rels/chart13.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6.xml"/></Relationships>
</file>

<file path=word/charts/_rels/chart2.xml.rels><?xml version="1.0" encoding="UTF-8" standalone="yes"?>
<Relationships xmlns="http://schemas.openxmlformats.org/package/2006/relationships"><Relationship Id="rId3" Type="http://schemas.openxmlformats.org/officeDocument/2006/relationships/oleObject" Target="http://tweb/sites/tsytf/jk/jkdocs/Review/Review%20Report/Review%20Report%20-%20Charts%20for%20publication%20-%2030%20June%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tweb/sites/tsytf/jk/jkdocs/Review/Review%20Report/Review%20Report%20-%20Charts%20for%20publication%20-%2030%20June%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tweb/sites/tsytf/jk/jkdocs/Review/Review%20Report/Review%20Report%20-%20Charts%20for%20publication%20-%2030%20June%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tweb/sites/tsytf/jk/jkdocs/Review/Review%20Report/Review%20Report%20-%20Charts%20for%20publication%20-%2030%20June%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file:///\\romulus\csg_h$\MCD\Publishing\Graphic%20Design%20Services%20Team\Projects\2020\90163%20JobKeeper%20Review%20report\Links\charts\Review%20Report%20-%20Charts%20for%20publication%20-%2030%20June%202020.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296296296297E-2"/>
          <c:y val="5.3776736111111112E-2"/>
          <c:w val="0.98503370370370369"/>
          <c:h val="0.85429999999999995"/>
        </c:manualLayout>
      </c:layout>
      <c:barChart>
        <c:barDir val="col"/>
        <c:grouping val="stacked"/>
        <c:varyColors val="0"/>
        <c:ser>
          <c:idx val="0"/>
          <c:order val="0"/>
          <c:tx>
            <c:strRef>
              <c:f>'Fig 1 - JK subsidy &amp; transfer'!$A$2</c:f>
              <c:strCache>
                <c:ptCount val="1"/>
                <c:pt idx="0">
                  <c:v>Subsidised wage component</c:v>
                </c:pt>
              </c:strCache>
            </c:strRef>
          </c:tx>
          <c:spPr>
            <a:solidFill>
              <a:schemeClr val="accent1"/>
            </a:solidFill>
            <a:ln>
              <a:noFill/>
            </a:ln>
            <a:effectLst/>
          </c:spPr>
          <c:invertIfNegative val="0"/>
          <c:cat>
            <c:strRef>
              <c:f>'Fig 1 - JK subsidy &amp; transfer'!$B$1:$E$1</c:f>
              <c:strCache>
                <c:ptCount val="4"/>
                <c:pt idx="0">
                  <c:v>Lower paid employee</c:v>
                </c:pt>
                <c:pt idx="1">
                  <c:v>Stood down employee</c:v>
                </c:pt>
                <c:pt idx="2">
                  <c:v>Employee on regular or shorter hours</c:v>
                </c:pt>
                <c:pt idx="3">
                  <c:v>JobSeeker</c:v>
                </c:pt>
              </c:strCache>
            </c:strRef>
          </c:cat>
          <c:val>
            <c:numRef>
              <c:f>'Fig 1 - JK subsidy &amp; transfer'!$B$2:$E$2</c:f>
              <c:numCache>
                <c:formatCode>General</c:formatCode>
                <c:ptCount val="4"/>
                <c:pt idx="0">
                  <c:v>1000</c:v>
                </c:pt>
                <c:pt idx="2">
                  <c:v>1500</c:v>
                </c:pt>
              </c:numCache>
            </c:numRef>
          </c:val>
          <c:extLst>
            <c:ext xmlns:c16="http://schemas.microsoft.com/office/drawing/2014/chart" uri="{C3380CC4-5D6E-409C-BE32-E72D297353CC}">
              <c16:uniqueId val="{00000000-D3E7-4507-97F1-8B42FEE8A273}"/>
            </c:ext>
          </c:extLst>
        </c:ser>
        <c:ser>
          <c:idx val="1"/>
          <c:order val="1"/>
          <c:tx>
            <c:strRef>
              <c:f>'Fig 1 - JK subsidy &amp; transfer'!$A$3</c:f>
              <c:strCache>
                <c:ptCount val="1"/>
                <c:pt idx="0">
                  <c:v>Unsubsidised wage component</c:v>
                </c:pt>
              </c:strCache>
            </c:strRef>
          </c:tx>
          <c:spPr>
            <a:solidFill>
              <a:schemeClr val="accent2"/>
            </a:solidFill>
            <a:ln>
              <a:noFill/>
            </a:ln>
            <a:effectLst/>
          </c:spPr>
          <c:invertIfNegative val="0"/>
          <c:cat>
            <c:strRef>
              <c:f>'Fig 1 - JK subsidy &amp; transfer'!$B$1:$E$1</c:f>
              <c:strCache>
                <c:ptCount val="4"/>
                <c:pt idx="0">
                  <c:v>Lower paid employee</c:v>
                </c:pt>
                <c:pt idx="1">
                  <c:v>Stood down employee</c:v>
                </c:pt>
                <c:pt idx="2">
                  <c:v>Employee on regular or shorter hours</c:v>
                </c:pt>
                <c:pt idx="3">
                  <c:v>JobSeeker</c:v>
                </c:pt>
              </c:strCache>
            </c:strRef>
          </c:cat>
          <c:val>
            <c:numRef>
              <c:f>'Fig 1 - JK subsidy &amp; transfer'!$B$3:$E$3</c:f>
              <c:numCache>
                <c:formatCode>General</c:formatCode>
                <c:ptCount val="4"/>
                <c:pt idx="2">
                  <c:v>700</c:v>
                </c:pt>
              </c:numCache>
            </c:numRef>
          </c:val>
          <c:extLst>
            <c:ext xmlns:c16="http://schemas.microsoft.com/office/drawing/2014/chart" uri="{C3380CC4-5D6E-409C-BE32-E72D297353CC}">
              <c16:uniqueId val="{00000001-D3E7-4507-97F1-8B42FEE8A273}"/>
            </c:ext>
          </c:extLst>
        </c:ser>
        <c:ser>
          <c:idx val="2"/>
          <c:order val="2"/>
          <c:tx>
            <c:strRef>
              <c:f>'Fig 1 - JK subsidy &amp; transfer'!$A$4</c:f>
              <c:strCache>
                <c:ptCount val="1"/>
                <c:pt idx="0">
                  <c:v>Income transfer</c:v>
                </c:pt>
              </c:strCache>
            </c:strRef>
          </c:tx>
          <c:spPr>
            <a:solidFill>
              <a:schemeClr val="accent3"/>
            </a:solidFill>
            <a:ln>
              <a:noFill/>
            </a:ln>
            <a:effectLst/>
          </c:spPr>
          <c:invertIfNegative val="0"/>
          <c:cat>
            <c:strRef>
              <c:f>'Fig 1 - JK subsidy &amp; transfer'!$B$1:$E$1</c:f>
              <c:strCache>
                <c:ptCount val="4"/>
                <c:pt idx="0">
                  <c:v>Lower paid employee</c:v>
                </c:pt>
                <c:pt idx="1">
                  <c:v>Stood down employee</c:v>
                </c:pt>
                <c:pt idx="2">
                  <c:v>Employee on regular or shorter hours</c:v>
                </c:pt>
                <c:pt idx="3">
                  <c:v>JobSeeker</c:v>
                </c:pt>
              </c:strCache>
            </c:strRef>
          </c:cat>
          <c:val>
            <c:numRef>
              <c:f>'Fig 1 - JK subsidy &amp; transfer'!$B$4:$E$4</c:f>
              <c:numCache>
                <c:formatCode>General</c:formatCode>
                <c:ptCount val="4"/>
                <c:pt idx="0">
                  <c:v>500</c:v>
                </c:pt>
                <c:pt idx="1">
                  <c:v>1500</c:v>
                </c:pt>
                <c:pt idx="3">
                  <c:v>1125</c:v>
                </c:pt>
              </c:numCache>
            </c:numRef>
          </c:val>
          <c:extLst>
            <c:ext xmlns:c16="http://schemas.microsoft.com/office/drawing/2014/chart" uri="{C3380CC4-5D6E-409C-BE32-E72D297353CC}">
              <c16:uniqueId val="{00000002-D3E7-4507-97F1-8B42FEE8A273}"/>
            </c:ext>
          </c:extLst>
        </c:ser>
        <c:dLbls>
          <c:showLegendKey val="0"/>
          <c:showVal val="0"/>
          <c:showCatName val="0"/>
          <c:showSerName val="0"/>
          <c:showPercent val="0"/>
          <c:showBubbleSize val="0"/>
        </c:dLbls>
        <c:gapWidth val="100"/>
        <c:overlap val="100"/>
        <c:axId val="490763224"/>
        <c:axId val="490767160"/>
      </c:barChart>
      <c:barChart>
        <c:barDir val="col"/>
        <c:grouping val="stacked"/>
        <c:varyColors val="0"/>
        <c:ser>
          <c:idx val="3"/>
          <c:order val="3"/>
          <c:tx>
            <c:v>DUMMY</c:v>
          </c:tx>
          <c:spPr>
            <a:noFill/>
            <a:ln w="25400">
              <a:noFill/>
            </a:ln>
            <a:effectLst/>
          </c:spPr>
          <c:invertIfNegative val="0"/>
          <c:extLst>
            <c:ext xmlns:c16="http://schemas.microsoft.com/office/drawing/2014/chart" uri="{C3380CC4-5D6E-409C-BE32-E72D297353CC}">
              <c16:uniqueId val="{00000003-D3E7-4507-97F1-8B42FEE8A273}"/>
            </c:ext>
          </c:extLst>
        </c:ser>
        <c:dLbls>
          <c:showLegendKey val="0"/>
          <c:showVal val="0"/>
          <c:showCatName val="0"/>
          <c:showSerName val="0"/>
          <c:showPercent val="0"/>
          <c:showBubbleSize val="0"/>
        </c:dLbls>
        <c:gapWidth val="100"/>
        <c:overlap val="100"/>
        <c:axId val="433151336"/>
        <c:axId val="433152976"/>
      </c:barChart>
      <c:catAx>
        <c:axId val="490763224"/>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490767160"/>
        <c:crosses val="autoZero"/>
        <c:auto val="1"/>
        <c:lblAlgn val="ctr"/>
        <c:lblOffset val="100"/>
        <c:noMultiLvlLbl val="0"/>
      </c:catAx>
      <c:valAx>
        <c:axId val="490767160"/>
        <c:scaling>
          <c:orientation val="minMax"/>
        </c:scaling>
        <c:delete val="0"/>
        <c:axPos val="l"/>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US"/>
                  <a:t>$ per fortnight</a:t>
                </a:r>
              </a:p>
            </c:rich>
          </c:tx>
          <c:layout>
            <c:manualLayout>
              <c:xMode val="edge"/>
              <c:yMode val="edge"/>
              <c:x val="2.3435915624036388E-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490763224"/>
        <c:crosses val="autoZero"/>
        <c:crossBetween val="between"/>
      </c:valAx>
      <c:valAx>
        <c:axId val="433152976"/>
        <c:scaling>
          <c:orientation val="minMax"/>
          <c:max val="2500"/>
          <c:min val="0"/>
        </c:scaling>
        <c:delete val="0"/>
        <c:axPos val="r"/>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US"/>
                  <a:t>$ per fortnight</a:t>
                </a:r>
              </a:p>
            </c:rich>
          </c:tx>
          <c:layout>
            <c:manualLayout>
              <c:xMode val="edge"/>
              <c:yMode val="edge"/>
              <c:x val="0.86812195047417262"/>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433151336"/>
        <c:crosses val="max"/>
        <c:crossBetween val="between"/>
        <c:majorUnit val="500"/>
        <c:minorUnit val="100"/>
      </c:valAx>
      <c:catAx>
        <c:axId val="433151336"/>
        <c:scaling>
          <c:orientation val="minMax"/>
        </c:scaling>
        <c:delete val="1"/>
        <c:axPos val="b"/>
        <c:majorTickMark val="out"/>
        <c:minorTickMark val="none"/>
        <c:tickLblPos val="nextTo"/>
        <c:crossAx val="433152976"/>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3"/>
        <c:delete val="1"/>
      </c:legendEntry>
      <c:layout/>
      <c:overlay val="0"/>
      <c:spPr>
        <a:noFill/>
        <a:ln w="25400">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a:solidFill>
            <a:srgbClr val="000000"/>
          </a:solidFill>
          <a:latin typeface="Arial"/>
          <a:ea typeface="Arial"/>
          <a:cs typeface="Aria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308243727598E-2"/>
          <c:y val="5.3776736111111112E-2"/>
          <c:w val="0.98503369175627242"/>
          <c:h val="0.85870972222222219"/>
        </c:manualLayout>
      </c:layout>
      <c:barChart>
        <c:barDir val="col"/>
        <c:grouping val="clustered"/>
        <c:varyColors val="0"/>
        <c:ser>
          <c:idx val="0"/>
          <c:order val="0"/>
          <c:tx>
            <c:strRef>
              <c:f>'Fig 6 payroll jobs &amp; wages age'!$B$2</c:f>
              <c:strCache>
                <c:ptCount val="1"/>
                <c:pt idx="0">
                  <c:v>Change in payroll jobs</c:v>
                </c:pt>
              </c:strCache>
            </c:strRef>
          </c:tx>
          <c:spPr>
            <a:solidFill>
              <a:schemeClr val="accent1"/>
            </a:solidFill>
            <a:ln>
              <a:noFill/>
            </a:ln>
            <a:effectLst/>
          </c:spPr>
          <c:invertIfNegative val="0"/>
          <c:cat>
            <c:strRef>
              <c:f>'Fig 6 payroll jobs &amp; wages age'!$A$3:$A$10</c:f>
              <c:strCache>
                <c:ptCount val="8"/>
                <c:pt idx="0">
                  <c:v>Under 20</c:v>
                </c:pt>
                <c:pt idx="1">
                  <c:v>20-29</c:v>
                </c:pt>
                <c:pt idx="2">
                  <c:v>30-39</c:v>
                </c:pt>
                <c:pt idx="3">
                  <c:v>40-49</c:v>
                </c:pt>
                <c:pt idx="4">
                  <c:v>50-59</c:v>
                </c:pt>
                <c:pt idx="5">
                  <c:v>60-69</c:v>
                </c:pt>
                <c:pt idx="6">
                  <c:v>70+</c:v>
                </c:pt>
                <c:pt idx="7">
                  <c:v>All</c:v>
                </c:pt>
              </c:strCache>
            </c:strRef>
          </c:cat>
          <c:val>
            <c:numRef>
              <c:f>'Fig 6 payroll jobs &amp; wages age'!$B$3:$B$10</c:f>
              <c:numCache>
                <c:formatCode>#,##0.0</c:formatCode>
                <c:ptCount val="8"/>
                <c:pt idx="0">
                  <c:v>-16.460855641790573</c:v>
                </c:pt>
                <c:pt idx="1">
                  <c:v>-12.20562735451043</c:v>
                </c:pt>
                <c:pt idx="2">
                  <c:v>-5.8375484790866627</c:v>
                </c:pt>
                <c:pt idx="3">
                  <c:v>-4.2269372366101621</c:v>
                </c:pt>
                <c:pt idx="4">
                  <c:v>-3.8959288654746516</c:v>
                </c:pt>
                <c:pt idx="5">
                  <c:v>-5.8550111652775572</c:v>
                </c:pt>
                <c:pt idx="6">
                  <c:v>-12.47700375182883</c:v>
                </c:pt>
                <c:pt idx="7">
                  <c:v>-7.4543648090573011</c:v>
                </c:pt>
              </c:numCache>
            </c:numRef>
          </c:val>
          <c:extLst>
            <c:ext xmlns:c16="http://schemas.microsoft.com/office/drawing/2014/chart" uri="{C3380CC4-5D6E-409C-BE32-E72D297353CC}">
              <c16:uniqueId val="{00000000-DC41-4B03-9543-82C57AE85985}"/>
            </c:ext>
          </c:extLst>
        </c:ser>
        <c:ser>
          <c:idx val="1"/>
          <c:order val="1"/>
          <c:tx>
            <c:strRef>
              <c:f>'Fig 6 payroll jobs &amp; wages age'!$C$2</c:f>
              <c:strCache>
                <c:ptCount val="1"/>
                <c:pt idx="0">
                  <c:v>Change in total wages</c:v>
                </c:pt>
              </c:strCache>
            </c:strRef>
          </c:tx>
          <c:spPr>
            <a:solidFill>
              <a:schemeClr val="accent2"/>
            </a:solidFill>
            <a:ln>
              <a:noFill/>
            </a:ln>
            <a:effectLst/>
          </c:spPr>
          <c:invertIfNegative val="0"/>
          <c:cat>
            <c:strRef>
              <c:f>'Fig 6 payroll jobs &amp; wages age'!$A$3:$A$10</c:f>
              <c:strCache>
                <c:ptCount val="8"/>
                <c:pt idx="0">
                  <c:v>Under 20</c:v>
                </c:pt>
                <c:pt idx="1">
                  <c:v>20-29</c:v>
                </c:pt>
                <c:pt idx="2">
                  <c:v>30-39</c:v>
                </c:pt>
                <c:pt idx="3">
                  <c:v>40-49</c:v>
                </c:pt>
                <c:pt idx="4">
                  <c:v>50-59</c:v>
                </c:pt>
                <c:pt idx="5">
                  <c:v>60-69</c:v>
                </c:pt>
                <c:pt idx="6">
                  <c:v>70+</c:v>
                </c:pt>
                <c:pt idx="7">
                  <c:v>All</c:v>
                </c:pt>
              </c:strCache>
            </c:strRef>
          </c:cat>
          <c:val>
            <c:numRef>
              <c:f>'Fig 6 payroll jobs &amp; wages age'!$C$3:$C$10</c:f>
              <c:numCache>
                <c:formatCode>#,##0.0</c:formatCode>
                <c:ptCount val="8"/>
                <c:pt idx="0">
                  <c:v>5.3939339502276695</c:v>
                </c:pt>
                <c:pt idx="1">
                  <c:v>-7.4825651619981004</c:v>
                </c:pt>
                <c:pt idx="2">
                  <c:v>-8.3364920942492269</c:v>
                </c:pt>
                <c:pt idx="3">
                  <c:v>-9.5298104252137925</c:v>
                </c:pt>
                <c:pt idx="4">
                  <c:v>-8.5924669260388225</c:v>
                </c:pt>
                <c:pt idx="5">
                  <c:v>-7.6939892721672791</c:v>
                </c:pt>
                <c:pt idx="6">
                  <c:v>-7.1805311842163544</c:v>
                </c:pt>
                <c:pt idx="7">
                  <c:v>-8.2918740442321273</c:v>
                </c:pt>
              </c:numCache>
            </c:numRef>
          </c:val>
          <c:extLst>
            <c:ext xmlns:c16="http://schemas.microsoft.com/office/drawing/2014/chart" uri="{C3380CC4-5D6E-409C-BE32-E72D297353CC}">
              <c16:uniqueId val="{00000001-DC41-4B03-9543-82C57AE85985}"/>
            </c:ext>
          </c:extLst>
        </c:ser>
        <c:dLbls>
          <c:showLegendKey val="0"/>
          <c:showVal val="0"/>
          <c:showCatName val="0"/>
          <c:showSerName val="0"/>
          <c:showPercent val="0"/>
          <c:showBubbleSize val="0"/>
        </c:dLbls>
        <c:gapWidth val="100"/>
        <c:axId val="719526152"/>
        <c:axId val="719526480"/>
      </c:barChart>
      <c:barChart>
        <c:barDir val="col"/>
        <c:grouping val="clustered"/>
        <c:varyColors val="0"/>
        <c:ser>
          <c:idx val="2"/>
          <c:order val="2"/>
          <c:tx>
            <c:v>DUMMY</c:v>
          </c:tx>
          <c:spPr>
            <a:noFill/>
            <a:ln w="25400">
              <a:noFill/>
            </a:ln>
            <a:effectLst/>
            <a:extLst>
              <a:ext uri="{909E8E84-426E-40DD-AFC4-6F175D3DCCD1}">
                <a14:hiddenFill xmlns:a14="http://schemas.microsoft.com/office/drawing/2010/main">
                  <a:solidFill>
                    <a:srgbClr val="00827F"/>
                  </a:solidFill>
                </a14:hiddenFill>
              </a:ext>
              <a:ext uri="{91240B29-F687-4F45-9708-019B960494DF}">
                <a14:hiddenLine xmlns:a14="http://schemas.microsoft.com/office/drawing/2010/main">
                  <a:noFill/>
                </a14:hiddenLine>
              </a:ext>
            </a:extLst>
          </c:spPr>
          <c:invertIfNegative val="0"/>
          <c:val>
            <c:numLit>
              <c:formatCode>General</c:formatCode>
              <c:ptCount val="1"/>
              <c:pt idx="0">
                <c:v>0</c:v>
              </c:pt>
            </c:numLit>
          </c:val>
          <c:extLst>
            <c:ext xmlns:c16="http://schemas.microsoft.com/office/drawing/2014/chart" uri="{C3380CC4-5D6E-409C-BE32-E72D297353CC}">
              <c16:uniqueId val="{00000002-DC41-4B03-9543-82C57AE85985}"/>
            </c:ext>
          </c:extLst>
        </c:ser>
        <c:dLbls>
          <c:showLegendKey val="0"/>
          <c:showVal val="0"/>
          <c:showCatName val="0"/>
          <c:showSerName val="0"/>
          <c:showPercent val="0"/>
          <c:showBubbleSize val="0"/>
        </c:dLbls>
        <c:gapWidth val="219"/>
        <c:overlap val="-27"/>
        <c:axId val="719518280"/>
        <c:axId val="719517952"/>
      </c:barChart>
      <c:catAx>
        <c:axId val="719526152"/>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19526480"/>
        <c:crosses val="autoZero"/>
        <c:auto val="1"/>
        <c:lblAlgn val="ctr"/>
        <c:lblOffset val="100"/>
        <c:tickMarkSkip val="1"/>
        <c:noMultiLvlLbl val="0"/>
      </c:catAx>
      <c:valAx>
        <c:axId val="719526480"/>
        <c:scaling>
          <c:orientation val="minMax"/>
        </c:scaling>
        <c:delete val="0"/>
        <c:axPos val="l"/>
        <c:title>
          <c:tx>
            <c:rich>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Arial"/>
                    <a:cs typeface="Arial"/>
                  </a:defRPr>
                </a:pPr>
                <a:r>
                  <a:rPr lang="en-US" sz="800" b="0" baseline="0">
                    <a:solidFill>
                      <a:sysClr val="windowText" lastClr="000000"/>
                    </a:solidFill>
                    <a:latin typeface="Arial" panose="020B0604020202020204" pitchFamily="34" charset="0"/>
                  </a:rPr>
                  <a:t>Per cent</a:t>
                </a:r>
              </a:p>
            </c:rich>
          </c:tx>
          <c:layout>
            <c:manualLayout>
              <c:xMode val="edge"/>
              <c:yMode val="edge"/>
              <c:x val="1.3520687617297484E-3"/>
              <c:y val="2.0617465389087181E-3"/>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Arial"/>
                  <a:cs typeface="Arial"/>
                </a:defRPr>
              </a:pPr>
              <a:endParaRPr lang="en-US"/>
            </a:p>
          </c:txPr>
        </c:title>
        <c:numFmt formatCode="#,##0" sourceLinked="0"/>
        <c:majorTickMark val="cross"/>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19526152"/>
        <c:crosses val="autoZero"/>
        <c:crossBetween val="between"/>
      </c:valAx>
      <c:valAx>
        <c:axId val="719517952"/>
        <c:scaling>
          <c:orientation val="minMax"/>
          <c:max val="10"/>
          <c:min val="-20"/>
        </c:scaling>
        <c:delete val="0"/>
        <c:axPos val="r"/>
        <c:title>
          <c:tx>
            <c:rich>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Arial"/>
                    <a:cs typeface="Arial"/>
                  </a:defRPr>
                </a:pPr>
                <a:r>
                  <a:rPr lang="en-US" sz="800" b="0" baseline="0">
                    <a:solidFill>
                      <a:sysClr val="windowText" lastClr="000000"/>
                    </a:solidFill>
                    <a:latin typeface="Arial" panose="020B0604020202020204" pitchFamily="34" charset="0"/>
                  </a:rPr>
                  <a:t>Per cent</a:t>
                </a:r>
              </a:p>
            </c:rich>
          </c:tx>
          <c:layout>
            <c:manualLayout>
              <c:xMode val="edge"/>
              <c:yMode val="edge"/>
              <c:x val="0.91716775833227859"/>
              <c:y val="2.0617465389087181E-3"/>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19518280"/>
        <c:crosses val="max"/>
        <c:crossBetween val="between"/>
        <c:majorUnit val="5"/>
        <c:minorUnit val="1"/>
      </c:valAx>
      <c:catAx>
        <c:axId val="719518280"/>
        <c:scaling>
          <c:orientation val="minMax"/>
        </c:scaling>
        <c:delete val="1"/>
        <c:axPos val="b"/>
        <c:majorTickMark val="out"/>
        <c:minorTickMark val="none"/>
        <c:tickLblPos val="nextTo"/>
        <c:crossAx val="719517952"/>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Lst>
      </c:spPr>
    </c:plotArea>
    <c:legend>
      <c:legendPos val="b"/>
      <c:legendEntry>
        <c:idx val="2"/>
        <c:delete val="1"/>
      </c:legendEntry>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ysClr val="windowText" lastClr="000000"/>
              </a:solidFill>
              <a:latin typeface="Arial"/>
              <a:ea typeface="Arial"/>
              <a:cs typeface="Arial"/>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rgbClr val="FFFFFF"/>
          </a:solidFill>
        </a14:hiddenFill>
      </a:ext>
    </a:ex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60490515562717"/>
          <c:y val="6.3651123457434525E-2"/>
          <c:w val="0.81139509484437278"/>
          <c:h val="0.69101507126366535"/>
        </c:manualLayout>
      </c:layout>
      <c:lineChart>
        <c:grouping val="standard"/>
        <c:varyColors val="0"/>
        <c:ser>
          <c:idx val="0"/>
          <c:order val="0"/>
          <c:tx>
            <c:strRef>
              <c:f>'Fig 7 - employment flows JK'!$C$2</c:f>
              <c:strCache>
                <c:ptCount val="1"/>
                <c:pt idx="0">
                  <c:v>Hires</c:v>
                </c:pt>
              </c:strCache>
            </c:strRef>
          </c:tx>
          <c:spPr>
            <a:ln w="12700" cap="rnd">
              <a:solidFill>
                <a:schemeClr val="accent1"/>
              </a:solidFill>
              <a:round/>
            </a:ln>
            <a:effectLst/>
          </c:spPr>
          <c:marker>
            <c:symbol val="none"/>
          </c:marker>
          <c:cat>
            <c:strRef>
              <c:f>'Fig 7 - employment flows JK'!$A$3:$A$10</c:f>
              <c:strCache>
                <c:ptCount val="8"/>
                <c:pt idx="0">
                  <c:v>16 Feb</c:v>
                </c:pt>
                <c:pt idx="1">
                  <c:v>1 Mar</c:v>
                </c:pt>
                <c:pt idx="2">
                  <c:v>15 Mar</c:v>
                </c:pt>
                <c:pt idx="3">
                  <c:v>29 Mar</c:v>
                </c:pt>
                <c:pt idx="4">
                  <c:v>12 Apr</c:v>
                </c:pt>
                <c:pt idx="5">
                  <c:v>26 Apr</c:v>
                </c:pt>
                <c:pt idx="6">
                  <c:v>10 May</c:v>
                </c:pt>
                <c:pt idx="7">
                  <c:v>24 May</c:v>
                </c:pt>
              </c:strCache>
            </c:strRef>
          </c:cat>
          <c:val>
            <c:numRef>
              <c:f>'Fig 7 - employment flows JK'!$C$3:$C$10</c:f>
              <c:numCache>
                <c:formatCode>General</c:formatCode>
                <c:ptCount val="8"/>
                <c:pt idx="0">
                  <c:v>105.6876</c:v>
                </c:pt>
                <c:pt idx="1">
                  <c:v>100</c:v>
                </c:pt>
                <c:pt idx="2">
                  <c:v>94.863889999999998</c:v>
                </c:pt>
                <c:pt idx="3">
                  <c:v>82.313379999999995</c:v>
                </c:pt>
                <c:pt idx="4">
                  <c:v>53.91966</c:v>
                </c:pt>
                <c:pt idx="5">
                  <c:v>41.036439999999999</c:v>
                </c:pt>
                <c:pt idx="6">
                  <c:v>39.895490000000002</c:v>
                </c:pt>
                <c:pt idx="7">
                  <c:v>40.984909999999999</c:v>
                </c:pt>
              </c:numCache>
            </c:numRef>
          </c:val>
          <c:smooth val="0"/>
          <c:extLst>
            <c:ext xmlns:c16="http://schemas.microsoft.com/office/drawing/2014/chart" uri="{C3380CC4-5D6E-409C-BE32-E72D297353CC}">
              <c16:uniqueId val="{00000000-6020-49CD-893D-9BE81ED186BA}"/>
            </c:ext>
          </c:extLst>
        </c:ser>
        <c:ser>
          <c:idx val="1"/>
          <c:order val="1"/>
          <c:tx>
            <c:strRef>
              <c:f>'Fig 7 - employment flows JK'!$D$2</c:f>
              <c:strCache>
                <c:ptCount val="1"/>
                <c:pt idx="0">
                  <c:v>Separations</c:v>
                </c:pt>
              </c:strCache>
            </c:strRef>
          </c:tx>
          <c:spPr>
            <a:ln w="12700" cap="rnd">
              <a:solidFill>
                <a:schemeClr val="accent2"/>
              </a:solidFill>
              <a:round/>
            </a:ln>
            <a:effectLst/>
          </c:spPr>
          <c:marker>
            <c:symbol val="none"/>
          </c:marker>
          <c:cat>
            <c:strRef>
              <c:f>'Fig 7 - employment flows JK'!$A$3:$A$10</c:f>
              <c:strCache>
                <c:ptCount val="8"/>
                <c:pt idx="0">
                  <c:v>16 Feb</c:v>
                </c:pt>
                <c:pt idx="1">
                  <c:v>1 Mar</c:v>
                </c:pt>
                <c:pt idx="2">
                  <c:v>15 Mar</c:v>
                </c:pt>
                <c:pt idx="3">
                  <c:v>29 Mar</c:v>
                </c:pt>
                <c:pt idx="4">
                  <c:v>12 Apr</c:v>
                </c:pt>
                <c:pt idx="5">
                  <c:v>26 Apr</c:v>
                </c:pt>
                <c:pt idx="6">
                  <c:v>10 May</c:v>
                </c:pt>
                <c:pt idx="7">
                  <c:v>24 May</c:v>
                </c:pt>
              </c:strCache>
            </c:strRef>
          </c:cat>
          <c:val>
            <c:numRef>
              <c:f>'Fig 7 - employment flows JK'!$D$3:$D$10</c:f>
              <c:numCache>
                <c:formatCode>General</c:formatCode>
                <c:ptCount val="8"/>
                <c:pt idx="0">
                  <c:v>96.337509999999995</c:v>
                </c:pt>
                <c:pt idx="1">
                  <c:v>100</c:v>
                </c:pt>
                <c:pt idx="2">
                  <c:v>93.569630000000004</c:v>
                </c:pt>
                <c:pt idx="3">
                  <c:v>150.1181</c:v>
                </c:pt>
                <c:pt idx="4">
                  <c:v>92.604969999999994</c:v>
                </c:pt>
                <c:pt idx="5">
                  <c:v>62.622579999999999</c:v>
                </c:pt>
                <c:pt idx="6">
                  <c:v>58.227600000000002</c:v>
                </c:pt>
                <c:pt idx="7">
                  <c:v>56.736579999999996</c:v>
                </c:pt>
              </c:numCache>
            </c:numRef>
          </c:val>
          <c:smooth val="0"/>
          <c:extLst>
            <c:ext xmlns:c16="http://schemas.microsoft.com/office/drawing/2014/chart" uri="{C3380CC4-5D6E-409C-BE32-E72D297353CC}">
              <c16:uniqueId val="{00000001-6020-49CD-893D-9BE81ED186BA}"/>
            </c:ext>
          </c:extLst>
        </c:ser>
        <c:dLbls>
          <c:showLegendKey val="0"/>
          <c:showVal val="0"/>
          <c:showCatName val="0"/>
          <c:showSerName val="0"/>
          <c:showPercent val="0"/>
          <c:showBubbleSize val="0"/>
        </c:dLbls>
        <c:smooth val="0"/>
        <c:axId val="738425488"/>
        <c:axId val="738427456"/>
      </c:lineChart>
      <c:catAx>
        <c:axId val="738425488"/>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540000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crossAx val="738427456"/>
        <c:crosses val="autoZero"/>
        <c:auto val="0"/>
        <c:lblAlgn val="ctr"/>
        <c:lblOffset val="100"/>
        <c:noMultiLvlLbl val="0"/>
      </c:catAx>
      <c:valAx>
        <c:axId val="738427456"/>
        <c:scaling>
          <c:orientation val="minMax"/>
          <c:max val="200"/>
        </c:scaling>
        <c:delete val="0"/>
        <c:axPos val="l"/>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38425488"/>
        <c:crosses val="autoZero"/>
        <c:crossBetween val="midCat"/>
      </c:val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543511579340462E-2"/>
          <c:y val="6.1458927081990286E-2"/>
          <c:w val="0.96473905500311752"/>
          <c:h val="0.68993452792250509"/>
        </c:manualLayout>
      </c:layout>
      <c:lineChart>
        <c:grouping val="standard"/>
        <c:varyColors val="0"/>
        <c:ser>
          <c:idx val="0"/>
          <c:order val="0"/>
          <c:tx>
            <c:strRef>
              <c:f>'Fig 7 - employment flows JK'!$F$2</c:f>
              <c:strCache>
                <c:ptCount val="1"/>
                <c:pt idx="0">
                  <c:v>Hires</c:v>
                </c:pt>
              </c:strCache>
            </c:strRef>
          </c:tx>
          <c:spPr>
            <a:ln w="12700" cap="rnd">
              <a:solidFill>
                <a:schemeClr val="accent1"/>
              </a:solidFill>
              <a:round/>
            </a:ln>
            <a:effectLst/>
          </c:spPr>
          <c:marker>
            <c:symbol val="none"/>
          </c:marker>
          <c:cat>
            <c:strRef>
              <c:f>'Fig 7 - employment flows JK'!$A$3:$A$10</c:f>
              <c:strCache>
                <c:ptCount val="8"/>
                <c:pt idx="0">
                  <c:v>16 Feb</c:v>
                </c:pt>
                <c:pt idx="1">
                  <c:v>1 Mar</c:v>
                </c:pt>
                <c:pt idx="2">
                  <c:v>15 Mar</c:v>
                </c:pt>
                <c:pt idx="3">
                  <c:v>29 Mar</c:v>
                </c:pt>
                <c:pt idx="4">
                  <c:v>12 Apr</c:v>
                </c:pt>
                <c:pt idx="5">
                  <c:v>26 Apr</c:v>
                </c:pt>
                <c:pt idx="6">
                  <c:v>10 May</c:v>
                </c:pt>
                <c:pt idx="7">
                  <c:v>24 May</c:v>
                </c:pt>
              </c:strCache>
            </c:strRef>
          </c:cat>
          <c:val>
            <c:numRef>
              <c:f>'Fig 7 - employment flows JK'!$F$3:$F$10</c:f>
              <c:numCache>
                <c:formatCode>General</c:formatCode>
                <c:ptCount val="8"/>
                <c:pt idx="0">
                  <c:v>108.9756</c:v>
                </c:pt>
                <c:pt idx="1">
                  <c:v>100</c:v>
                </c:pt>
                <c:pt idx="2">
                  <c:v>97.151730000000001</c:v>
                </c:pt>
                <c:pt idx="3">
                  <c:v>108.21559999999999</c:v>
                </c:pt>
                <c:pt idx="4">
                  <c:v>81.382750000000001</c:v>
                </c:pt>
                <c:pt idx="5">
                  <c:v>61.952779999999997</c:v>
                </c:pt>
                <c:pt idx="6">
                  <c:v>56.632489999999997</c:v>
                </c:pt>
                <c:pt idx="7">
                  <c:v>54.32038</c:v>
                </c:pt>
              </c:numCache>
            </c:numRef>
          </c:val>
          <c:smooth val="0"/>
          <c:extLst>
            <c:ext xmlns:c16="http://schemas.microsoft.com/office/drawing/2014/chart" uri="{C3380CC4-5D6E-409C-BE32-E72D297353CC}">
              <c16:uniqueId val="{00000000-C9C6-4866-8E12-256AE38E378D}"/>
            </c:ext>
          </c:extLst>
        </c:ser>
        <c:dLbls>
          <c:showLegendKey val="0"/>
          <c:showVal val="0"/>
          <c:showCatName val="0"/>
          <c:showSerName val="0"/>
          <c:showPercent val="0"/>
          <c:showBubbleSize val="0"/>
        </c:dLbls>
        <c:marker val="1"/>
        <c:smooth val="0"/>
        <c:axId val="738425488"/>
        <c:axId val="738427456"/>
      </c:lineChart>
      <c:lineChart>
        <c:grouping val="standard"/>
        <c:varyColors val="0"/>
        <c:ser>
          <c:idx val="1"/>
          <c:order val="1"/>
          <c:tx>
            <c:strRef>
              <c:f>'Fig 7 - employment flows JK'!$G$2</c:f>
              <c:strCache>
                <c:ptCount val="1"/>
                <c:pt idx="0">
                  <c:v>Separations</c:v>
                </c:pt>
              </c:strCache>
            </c:strRef>
          </c:tx>
          <c:spPr>
            <a:ln w="12700" cap="rnd">
              <a:solidFill>
                <a:schemeClr val="accent2"/>
              </a:solidFill>
              <a:round/>
            </a:ln>
            <a:effectLst/>
          </c:spPr>
          <c:marker>
            <c:symbol val="none"/>
          </c:marker>
          <c:cat>
            <c:numRef>
              <c:f>'Fig 7 - employment flows JK'!$E$3:$E$10</c:f>
              <c:numCache>
                <c:formatCode>General</c:formatCode>
                <c:ptCount val="8"/>
              </c:numCache>
            </c:numRef>
          </c:cat>
          <c:val>
            <c:numRef>
              <c:f>'Fig 7 - employment flows JK'!$G$3:$G$10</c:f>
              <c:numCache>
                <c:formatCode>General</c:formatCode>
                <c:ptCount val="8"/>
                <c:pt idx="0">
                  <c:v>97.850359999999995</c:v>
                </c:pt>
                <c:pt idx="1">
                  <c:v>100</c:v>
                </c:pt>
                <c:pt idx="2">
                  <c:v>90.710210000000004</c:v>
                </c:pt>
                <c:pt idx="3">
                  <c:v>104.0866</c:v>
                </c:pt>
                <c:pt idx="4">
                  <c:v>84.318269999999998</c:v>
                </c:pt>
                <c:pt idx="5">
                  <c:v>67.094570000000004</c:v>
                </c:pt>
                <c:pt idx="6">
                  <c:v>69.14546</c:v>
                </c:pt>
                <c:pt idx="7">
                  <c:v>69.437899999999999</c:v>
                </c:pt>
              </c:numCache>
            </c:numRef>
          </c:val>
          <c:smooth val="0"/>
          <c:extLst>
            <c:ext xmlns:c16="http://schemas.microsoft.com/office/drawing/2014/chart" uri="{C3380CC4-5D6E-409C-BE32-E72D297353CC}">
              <c16:uniqueId val="{00000001-C9C6-4866-8E12-256AE38E378D}"/>
            </c:ext>
          </c:extLst>
        </c:ser>
        <c:dLbls>
          <c:showLegendKey val="0"/>
          <c:showVal val="0"/>
          <c:showCatName val="0"/>
          <c:showSerName val="0"/>
          <c:showPercent val="0"/>
          <c:showBubbleSize val="0"/>
        </c:dLbls>
        <c:marker val="1"/>
        <c:smooth val="0"/>
        <c:axId val="737590280"/>
        <c:axId val="737583720"/>
      </c:lineChart>
      <c:catAx>
        <c:axId val="738425488"/>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540000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crossAx val="738427456"/>
        <c:crosses val="autoZero"/>
        <c:auto val="1"/>
        <c:lblAlgn val="ctr"/>
        <c:lblOffset val="100"/>
        <c:noMultiLvlLbl val="0"/>
      </c:catAx>
      <c:valAx>
        <c:axId val="738427456"/>
        <c:scaling>
          <c:orientation val="minMax"/>
          <c:max val="200"/>
        </c:scaling>
        <c:delete val="1"/>
        <c:axPos val="l"/>
        <c:numFmt formatCode="#,##0" sourceLinked="0"/>
        <c:majorTickMark val="in"/>
        <c:minorTickMark val="none"/>
        <c:tickLblPos val="nextTo"/>
        <c:crossAx val="738425488"/>
        <c:crosses val="autoZero"/>
        <c:crossBetween val="midCat"/>
      </c:valAx>
      <c:valAx>
        <c:axId val="737583720"/>
        <c:scaling>
          <c:orientation val="minMax"/>
          <c:max val="200"/>
          <c:min val="0"/>
        </c:scaling>
        <c:delete val="1"/>
        <c:axPos val="r"/>
        <c:numFmt formatCode="#,##0" sourceLinked="0"/>
        <c:majorTickMark val="in"/>
        <c:minorTickMark val="none"/>
        <c:tickLblPos val="nextTo"/>
        <c:crossAx val="737590280"/>
        <c:crosses val="max"/>
        <c:crossBetween val="between"/>
        <c:majorUnit val="20"/>
        <c:minorUnit val="4"/>
      </c:valAx>
      <c:catAx>
        <c:axId val="737590280"/>
        <c:scaling>
          <c:orientation val="minMax"/>
        </c:scaling>
        <c:delete val="1"/>
        <c:axPos val="b"/>
        <c:numFmt formatCode="General" sourceLinked="1"/>
        <c:majorTickMark val="out"/>
        <c:minorTickMark val="none"/>
        <c:tickLblPos val="nextTo"/>
        <c:crossAx val="737583720"/>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a:ea typeface="Arial"/>
                <a:cs typeface="Arial"/>
              </a:defRPr>
            </a:pPr>
            <a:endParaRPr lang="en-US"/>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a:ea typeface="Arial"/>
                <a:cs typeface="Arial"/>
              </a:defRPr>
            </a:pPr>
            <a:endParaRPr lang="en-US"/>
          </a:p>
        </c:txPr>
      </c:legendEntry>
      <c:layout>
        <c:manualLayout>
          <c:xMode val="edge"/>
          <c:yMode val="edge"/>
          <c:x val="4.9999777815795961E-2"/>
          <c:y val="0.93023699225787637"/>
          <c:w val="0.89999988885789262"/>
          <c:h val="6.563631426502535E-2"/>
        </c:manualLayout>
      </c:layout>
      <c:overlay val="0"/>
      <c:spPr>
        <a:noFill/>
        <a:ln w="25400">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1000"/>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92676443985715E-2"/>
          <c:y val="9.4282416555105053E-2"/>
          <c:w val="0.72691259787029794"/>
          <c:h val="0.6581033771397633"/>
        </c:manualLayout>
      </c:layout>
      <c:lineChart>
        <c:grouping val="standard"/>
        <c:varyColors val="0"/>
        <c:ser>
          <c:idx val="0"/>
          <c:order val="0"/>
          <c:tx>
            <c:strRef>
              <c:f>'Fig 7 - employment flows JK'!$I$2</c:f>
              <c:strCache>
                <c:ptCount val="1"/>
                <c:pt idx="0">
                  <c:v>Hires</c:v>
                </c:pt>
              </c:strCache>
            </c:strRef>
          </c:tx>
          <c:spPr>
            <a:ln w="12700" cap="rnd">
              <a:solidFill>
                <a:schemeClr val="accent1"/>
              </a:solidFill>
              <a:round/>
            </a:ln>
            <a:effectLst/>
          </c:spPr>
          <c:marker>
            <c:symbol val="none"/>
          </c:marker>
          <c:cat>
            <c:strRef>
              <c:f>'Fig 7 - employment flows JK'!$A$3:$A$10</c:f>
              <c:strCache>
                <c:ptCount val="8"/>
                <c:pt idx="0">
                  <c:v>16 Feb</c:v>
                </c:pt>
                <c:pt idx="1">
                  <c:v>1 Mar</c:v>
                </c:pt>
                <c:pt idx="2">
                  <c:v>15 Mar</c:v>
                </c:pt>
                <c:pt idx="3">
                  <c:v>29 Mar</c:v>
                </c:pt>
                <c:pt idx="4">
                  <c:v>12 Apr</c:v>
                </c:pt>
                <c:pt idx="5">
                  <c:v>26 Apr</c:v>
                </c:pt>
                <c:pt idx="6">
                  <c:v>10 May</c:v>
                </c:pt>
                <c:pt idx="7">
                  <c:v>24 May</c:v>
                </c:pt>
              </c:strCache>
            </c:strRef>
          </c:cat>
          <c:val>
            <c:numRef>
              <c:f>'Fig 7 - employment flows JK'!$I$3:$I$10</c:f>
              <c:numCache>
                <c:formatCode>General</c:formatCode>
                <c:ptCount val="8"/>
                <c:pt idx="0">
                  <c:v>102.6456</c:v>
                </c:pt>
                <c:pt idx="1">
                  <c:v>100</c:v>
                </c:pt>
                <c:pt idx="2">
                  <c:v>92.747240000000005</c:v>
                </c:pt>
                <c:pt idx="3">
                  <c:v>58.349290000000003</c:v>
                </c:pt>
                <c:pt idx="4">
                  <c:v>28.511510000000001</c:v>
                </c:pt>
                <c:pt idx="5">
                  <c:v>21.685169999999999</c:v>
                </c:pt>
                <c:pt idx="6">
                  <c:v>24.410830000000001</c:v>
                </c:pt>
                <c:pt idx="7">
                  <c:v>28.647269999999999</c:v>
                </c:pt>
              </c:numCache>
            </c:numRef>
          </c:val>
          <c:smooth val="0"/>
          <c:extLst>
            <c:ext xmlns:c16="http://schemas.microsoft.com/office/drawing/2014/chart" uri="{C3380CC4-5D6E-409C-BE32-E72D297353CC}">
              <c16:uniqueId val="{00000000-F0E5-41D1-9F1D-96E2A8F8EEB3}"/>
            </c:ext>
          </c:extLst>
        </c:ser>
        <c:dLbls>
          <c:showLegendKey val="0"/>
          <c:showVal val="0"/>
          <c:showCatName val="0"/>
          <c:showSerName val="0"/>
          <c:showPercent val="0"/>
          <c:showBubbleSize val="0"/>
        </c:dLbls>
        <c:marker val="1"/>
        <c:smooth val="0"/>
        <c:axId val="738425488"/>
        <c:axId val="738427456"/>
      </c:lineChart>
      <c:lineChart>
        <c:grouping val="standard"/>
        <c:varyColors val="0"/>
        <c:ser>
          <c:idx val="1"/>
          <c:order val="1"/>
          <c:tx>
            <c:strRef>
              <c:f>'Fig 7 - employment flows JK'!$J$2</c:f>
              <c:strCache>
                <c:ptCount val="1"/>
                <c:pt idx="0">
                  <c:v>Separations</c:v>
                </c:pt>
              </c:strCache>
            </c:strRef>
          </c:tx>
          <c:spPr>
            <a:ln w="12700" cap="rnd">
              <a:solidFill>
                <a:schemeClr val="accent2"/>
              </a:solidFill>
              <a:round/>
            </a:ln>
            <a:effectLst/>
          </c:spPr>
          <c:marker>
            <c:symbol val="none"/>
          </c:marker>
          <c:cat>
            <c:numRef>
              <c:f>'Fig 7 - employment flows JK'!$E$3:$E$10</c:f>
              <c:numCache>
                <c:formatCode>General</c:formatCode>
                <c:ptCount val="8"/>
              </c:numCache>
            </c:numRef>
          </c:cat>
          <c:val>
            <c:numRef>
              <c:f>'Fig 7 - employment flows JK'!$J$3:$J$10</c:f>
              <c:numCache>
                <c:formatCode>General</c:formatCode>
                <c:ptCount val="8"/>
                <c:pt idx="0">
                  <c:v>94.65222</c:v>
                </c:pt>
                <c:pt idx="1">
                  <c:v>100</c:v>
                </c:pt>
                <c:pt idx="2">
                  <c:v>96.754949999999994</c:v>
                </c:pt>
                <c:pt idx="3">
                  <c:v>201.39619999999999</c:v>
                </c:pt>
                <c:pt idx="4">
                  <c:v>101.83620000000001</c:v>
                </c:pt>
                <c:pt idx="5">
                  <c:v>57.640889999999999</c:v>
                </c:pt>
                <c:pt idx="6">
                  <c:v>46.06532</c:v>
                </c:pt>
                <c:pt idx="7">
                  <c:v>42.587580000000003</c:v>
                </c:pt>
              </c:numCache>
            </c:numRef>
          </c:val>
          <c:smooth val="0"/>
          <c:extLst>
            <c:ext xmlns:c16="http://schemas.microsoft.com/office/drawing/2014/chart" uri="{C3380CC4-5D6E-409C-BE32-E72D297353CC}">
              <c16:uniqueId val="{00000001-F0E5-41D1-9F1D-96E2A8F8EEB3}"/>
            </c:ext>
          </c:extLst>
        </c:ser>
        <c:dLbls>
          <c:showLegendKey val="0"/>
          <c:showVal val="0"/>
          <c:showCatName val="0"/>
          <c:showSerName val="0"/>
          <c:showPercent val="0"/>
          <c:showBubbleSize val="0"/>
        </c:dLbls>
        <c:marker val="1"/>
        <c:smooth val="0"/>
        <c:axId val="730985736"/>
        <c:axId val="730990000"/>
      </c:lineChart>
      <c:catAx>
        <c:axId val="738425488"/>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540000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crossAx val="738427456"/>
        <c:crosses val="autoZero"/>
        <c:auto val="1"/>
        <c:lblAlgn val="ctr"/>
        <c:lblOffset val="100"/>
        <c:tickMarkSkip val="1"/>
        <c:noMultiLvlLbl val="0"/>
      </c:catAx>
      <c:valAx>
        <c:axId val="738427456"/>
        <c:scaling>
          <c:orientation val="minMax"/>
          <c:max val="200"/>
        </c:scaling>
        <c:delete val="0"/>
        <c:axPos val="l"/>
        <c:numFmt formatCode="#,##0" sourceLinked="0"/>
        <c:majorTickMark val="in"/>
        <c:minorTickMark val="none"/>
        <c:tickLblPos val="none"/>
        <c:spPr>
          <a:noFill/>
          <a:ln w="9525">
            <a:no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38425488"/>
        <c:crosses val="autoZero"/>
        <c:crossBetween val="midCat"/>
      </c:valAx>
      <c:valAx>
        <c:axId val="730990000"/>
        <c:scaling>
          <c:orientation val="minMax"/>
          <c:max val="200"/>
          <c:min val="0"/>
        </c:scaling>
        <c:delete val="0"/>
        <c:axPos val="r"/>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30985736"/>
        <c:crosses val="max"/>
        <c:crossBetween val="between"/>
        <c:majorUnit val="20"/>
        <c:minorUnit val="4"/>
      </c:valAx>
      <c:catAx>
        <c:axId val="730985736"/>
        <c:scaling>
          <c:orientation val="minMax"/>
        </c:scaling>
        <c:delete val="1"/>
        <c:axPos val="b"/>
        <c:numFmt formatCode="General" sourceLinked="1"/>
        <c:majorTickMark val="out"/>
        <c:minorTickMark val="none"/>
        <c:tickLblPos val="nextTo"/>
        <c:crossAx val="730990000"/>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solidFill>
            <a:sysClr val="windowText" lastClr="000000"/>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490857151143397E-2"/>
          <c:y val="7.6500381541764154E-2"/>
          <c:w val="0.86465876848266909"/>
          <c:h val="0.79302575197269676"/>
        </c:manualLayout>
      </c:layout>
      <c:barChart>
        <c:barDir val="bar"/>
        <c:grouping val="clustered"/>
        <c:varyColors val="0"/>
        <c:ser>
          <c:idx val="0"/>
          <c:order val="0"/>
          <c:tx>
            <c:v>Coverage (per cent of organisations in each industry receiving the JobKeeper Payment)</c:v>
          </c:tx>
          <c:spPr>
            <a:solidFill>
              <a:schemeClr val="accent2"/>
            </a:solidFill>
            <a:ln>
              <a:noFill/>
            </a:ln>
            <a:effectLst/>
          </c:spPr>
          <c:invertIfNegative val="0"/>
          <c:cat>
            <c:strRef>
              <c:f>'Fig 2a - takeup by organisation'!$A$3:$A$21</c:f>
              <c:strCache>
                <c:ptCount val="19"/>
                <c:pt idx="0">
                  <c:v>Financial and Insurance Services</c:v>
                </c:pt>
                <c:pt idx="1">
                  <c:v>Rental, Hiring and Real Estate Services</c:v>
                </c:pt>
                <c:pt idx="2">
                  <c:v>Agriculture, Forestry and Fishing</c:v>
                </c:pt>
                <c:pt idx="3">
                  <c:v>Mining</c:v>
                </c:pt>
                <c:pt idx="4">
                  <c:v>Public Administration and Safety</c:v>
                </c:pt>
                <c:pt idx="5">
                  <c:v>Electricity, Gas, Water and Waste Services</c:v>
                </c:pt>
                <c:pt idx="6">
                  <c:v>Administrative and Support Services</c:v>
                </c:pt>
                <c:pt idx="7">
                  <c:v>Construction</c:v>
                </c:pt>
                <c:pt idx="8">
                  <c:v>Professional, Scientific and Technical Services</c:v>
                </c:pt>
                <c:pt idx="9">
                  <c:v>Information Media and Telecommunications</c:v>
                </c:pt>
                <c:pt idx="10">
                  <c:v>Retail Trade</c:v>
                </c:pt>
                <c:pt idx="11">
                  <c:v>Transport, Postal and Warehousing</c:v>
                </c:pt>
                <c:pt idx="12">
                  <c:v>Wholesale Trade</c:v>
                </c:pt>
                <c:pt idx="13">
                  <c:v>Manufacturing</c:v>
                </c:pt>
                <c:pt idx="14">
                  <c:v>Education and Training</c:v>
                </c:pt>
                <c:pt idx="15">
                  <c:v>Arts and Recreation Services</c:v>
                </c:pt>
                <c:pt idx="16">
                  <c:v>Health Care and Social Assistance</c:v>
                </c:pt>
                <c:pt idx="17">
                  <c:v>Other Services</c:v>
                </c:pt>
                <c:pt idx="18">
                  <c:v>Accommodation and Food Services</c:v>
                </c:pt>
              </c:strCache>
            </c:strRef>
          </c:cat>
          <c:val>
            <c:numRef>
              <c:f>'Fig 2a - takeup by organisation'!$C$3:$C$21</c:f>
              <c:numCache>
                <c:formatCode>0.0</c:formatCode>
                <c:ptCount val="19"/>
                <c:pt idx="0">
                  <c:v>6.4237164437644498</c:v>
                </c:pt>
                <c:pt idx="1">
                  <c:v>6.818354707636777</c:v>
                </c:pt>
                <c:pt idx="2">
                  <c:v>12.924732105812838</c:v>
                </c:pt>
                <c:pt idx="3">
                  <c:v>15.683700262573216</c:v>
                </c:pt>
                <c:pt idx="4">
                  <c:v>20.507159106115349</c:v>
                </c:pt>
                <c:pt idx="5">
                  <c:v>22.380193651182744</c:v>
                </c:pt>
                <c:pt idx="6">
                  <c:v>24.644086990686173</c:v>
                </c:pt>
                <c:pt idx="7">
                  <c:v>26.173170431402156</c:v>
                </c:pt>
                <c:pt idx="8">
                  <c:v>27.896045622840781</c:v>
                </c:pt>
                <c:pt idx="9">
                  <c:v>30.220586522559458</c:v>
                </c:pt>
                <c:pt idx="10">
                  <c:v>31.239301220936166</c:v>
                </c:pt>
                <c:pt idx="11">
                  <c:v>31.596180214997094</c:v>
                </c:pt>
                <c:pt idx="12">
                  <c:v>32.514895567341057</c:v>
                </c:pt>
                <c:pt idx="13">
                  <c:v>33.971790223579177</c:v>
                </c:pt>
                <c:pt idx="14">
                  <c:v>34.016770354341361</c:v>
                </c:pt>
                <c:pt idx="15">
                  <c:v>34.220449669694077</c:v>
                </c:pt>
                <c:pt idx="16">
                  <c:v>36.874198294725723</c:v>
                </c:pt>
                <c:pt idx="17">
                  <c:v>42.888751353860435</c:v>
                </c:pt>
                <c:pt idx="18">
                  <c:v>55.949145962732914</c:v>
                </c:pt>
              </c:numCache>
            </c:numRef>
          </c:val>
          <c:extLst>
            <c:ext xmlns:c16="http://schemas.microsoft.com/office/drawing/2014/chart" uri="{C3380CC4-5D6E-409C-BE32-E72D297353CC}">
              <c16:uniqueId val="{00000000-0B93-4324-977F-604B16F6EFAD}"/>
            </c:ext>
          </c:extLst>
        </c:ser>
        <c:dLbls>
          <c:showLegendKey val="0"/>
          <c:showVal val="0"/>
          <c:showCatName val="0"/>
          <c:showSerName val="0"/>
          <c:showPercent val="0"/>
          <c:showBubbleSize val="0"/>
        </c:dLbls>
        <c:gapWidth val="182"/>
        <c:axId val="624524632"/>
        <c:axId val="626032680"/>
      </c:barChart>
      <c:barChart>
        <c:barDir val="bar"/>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1-0B93-4324-977F-604B16F6EFAD}"/>
            </c:ext>
          </c:extLst>
        </c:ser>
        <c:dLbls>
          <c:showLegendKey val="0"/>
          <c:showVal val="0"/>
          <c:showCatName val="0"/>
          <c:showSerName val="0"/>
          <c:showPercent val="0"/>
          <c:showBubbleSize val="0"/>
        </c:dLbls>
        <c:gapWidth val="182"/>
        <c:axId val="919062648"/>
        <c:axId val="919064944"/>
      </c:barChart>
      <c:catAx>
        <c:axId val="624524632"/>
        <c:scaling>
          <c:orientation val="minMax"/>
        </c:scaling>
        <c:delete val="1"/>
        <c:axPos val="l"/>
        <c:numFmt formatCode="General" sourceLinked="1"/>
        <c:majorTickMark val="in"/>
        <c:minorTickMark val="none"/>
        <c:tickLblPos val="low"/>
        <c:crossAx val="626032680"/>
        <c:crosses val="autoZero"/>
        <c:auto val="1"/>
        <c:lblAlgn val="ctr"/>
        <c:lblOffset val="100"/>
        <c:noMultiLvlLbl val="0"/>
      </c:catAx>
      <c:valAx>
        <c:axId val="626032680"/>
        <c:scaling>
          <c:orientation val="minMax"/>
        </c:scaling>
        <c:delete val="0"/>
        <c:axPos val="b"/>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24524632"/>
        <c:crosses val="autoZero"/>
        <c:crossBetween val="between"/>
      </c:valAx>
      <c:valAx>
        <c:axId val="919064944"/>
        <c:scaling>
          <c:orientation val="minMax"/>
          <c:max val="60"/>
          <c:min val="0"/>
        </c:scaling>
        <c:delete val="0"/>
        <c:axPos val="t"/>
        <c:numFmt formatCode="#,##0" sourceLinked="0"/>
        <c:majorTickMark val="in"/>
        <c:minorTickMark val="none"/>
        <c:tickLblPos val="nextTo"/>
        <c:spPr>
          <a:noFill/>
          <a:ln>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919062648"/>
        <c:crosses val="max"/>
        <c:crossBetween val="between"/>
        <c:majorUnit val="20"/>
        <c:minorUnit val="2"/>
      </c:valAx>
      <c:catAx>
        <c:axId val="919062648"/>
        <c:scaling>
          <c:orientation val="minMax"/>
        </c:scaling>
        <c:delete val="1"/>
        <c:axPos val="l"/>
        <c:majorTickMark val="out"/>
        <c:minorTickMark val="none"/>
        <c:tickLblPos val="nextTo"/>
        <c:crossAx val="919064944"/>
        <c:crosses val="autoZero"/>
        <c:auto val="1"/>
        <c:lblAlgn val="ctr"/>
        <c:lblOffset val="100"/>
        <c:noMultiLvlLbl val="0"/>
      </c:catAx>
      <c:spPr>
        <a:noFill/>
        <a:ln>
          <a:noFill/>
        </a:ln>
        <a:effectLst/>
        <a:extLst>
          <a:ext uri="{91240B29-F687-4F45-9708-019B960494DF}">
            <a14:hiddenLine xmlns:a14="http://schemas.microsoft.com/office/drawing/2010/main">
              <a:noFill/>
            </a14:hiddenLine>
          </a:ext>
        </a:ex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1"/>
        <c:delete val="1"/>
      </c:legendEntry>
      <c:layout>
        <c:manualLayout>
          <c:xMode val="edge"/>
          <c:yMode val="edge"/>
          <c:x val="2.9225726293875195E-2"/>
          <c:y val="0.9137619041079087"/>
          <c:w val="0.97077447585756904"/>
          <c:h val="8.32564512681666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43176371728238"/>
          <c:y val="4.5632093117976037E-2"/>
          <c:w val="0.42240976004481645"/>
          <c:h val="0.78605131006023088"/>
        </c:manualLayout>
      </c:layout>
      <c:barChart>
        <c:barDir val="bar"/>
        <c:grouping val="clustered"/>
        <c:varyColors val="0"/>
        <c:ser>
          <c:idx val="0"/>
          <c:order val="0"/>
          <c:tx>
            <c:v>Total number (000s)</c:v>
          </c:tx>
          <c:spPr>
            <a:solidFill>
              <a:schemeClr val="accent1"/>
            </a:solidFill>
            <a:ln>
              <a:noFill/>
            </a:ln>
            <a:effectLst/>
          </c:spPr>
          <c:invertIfNegative val="0"/>
          <c:cat>
            <c:strRef>
              <c:f>'Fig 2a - takeup by organisation'!$A$3:$A$21</c:f>
              <c:strCache>
                <c:ptCount val="19"/>
                <c:pt idx="0">
                  <c:v>Financial and Insurance Services</c:v>
                </c:pt>
                <c:pt idx="1">
                  <c:v>Rental, Hiring and Real Estate Services</c:v>
                </c:pt>
                <c:pt idx="2">
                  <c:v>Agriculture, Forestry and Fishing</c:v>
                </c:pt>
                <c:pt idx="3">
                  <c:v>Mining</c:v>
                </c:pt>
                <c:pt idx="4">
                  <c:v>Public Administration and Safety</c:v>
                </c:pt>
                <c:pt idx="5">
                  <c:v>Electricity, Gas, Water and Waste Services</c:v>
                </c:pt>
                <c:pt idx="6">
                  <c:v>Administrative and Support Services</c:v>
                </c:pt>
                <c:pt idx="7">
                  <c:v>Construction</c:v>
                </c:pt>
                <c:pt idx="8">
                  <c:v>Professional, Scientific and Technical Services</c:v>
                </c:pt>
                <c:pt idx="9">
                  <c:v>Information Media and Telecommunications</c:v>
                </c:pt>
                <c:pt idx="10">
                  <c:v>Retail Trade</c:v>
                </c:pt>
                <c:pt idx="11">
                  <c:v>Transport, Postal and Warehousing</c:v>
                </c:pt>
                <c:pt idx="12">
                  <c:v>Wholesale Trade</c:v>
                </c:pt>
                <c:pt idx="13">
                  <c:v>Manufacturing</c:v>
                </c:pt>
                <c:pt idx="14">
                  <c:v>Education and Training</c:v>
                </c:pt>
                <c:pt idx="15">
                  <c:v>Arts and Recreation Services</c:v>
                </c:pt>
                <c:pt idx="16">
                  <c:v>Health Care and Social Assistance</c:v>
                </c:pt>
                <c:pt idx="17">
                  <c:v>Other Services</c:v>
                </c:pt>
                <c:pt idx="18">
                  <c:v>Accommodation and Food Services</c:v>
                </c:pt>
              </c:strCache>
            </c:strRef>
          </c:cat>
          <c:val>
            <c:numRef>
              <c:f>'Fig 2a - takeup by organisation'!$B$3:$B$21</c:f>
              <c:numCache>
                <c:formatCode>#,##0</c:formatCode>
                <c:ptCount val="19"/>
                <c:pt idx="0">
                  <c:v>14611</c:v>
                </c:pt>
                <c:pt idx="1">
                  <c:v>25993</c:v>
                </c:pt>
                <c:pt idx="2">
                  <c:v>27102</c:v>
                </c:pt>
                <c:pt idx="3">
                  <c:v>1553</c:v>
                </c:pt>
                <c:pt idx="4">
                  <c:v>3065</c:v>
                </c:pt>
                <c:pt idx="5">
                  <c:v>1826</c:v>
                </c:pt>
                <c:pt idx="6">
                  <c:v>42653</c:v>
                </c:pt>
                <c:pt idx="7">
                  <c:v>129670</c:v>
                </c:pt>
                <c:pt idx="8">
                  <c:v>121605</c:v>
                </c:pt>
                <c:pt idx="9">
                  <c:v>12974</c:v>
                </c:pt>
                <c:pt idx="10">
                  <c:v>55113</c:v>
                </c:pt>
                <c:pt idx="11">
                  <c:v>64751</c:v>
                </c:pt>
                <c:pt idx="12">
                  <c:v>24830</c:v>
                </c:pt>
                <c:pt idx="13">
                  <c:v>42727</c:v>
                </c:pt>
                <c:pt idx="14">
                  <c:v>25152</c:v>
                </c:pt>
                <c:pt idx="15">
                  <c:v>36209</c:v>
                </c:pt>
                <c:pt idx="16">
                  <c:v>78191</c:v>
                </c:pt>
                <c:pt idx="17">
                  <c:v>83157</c:v>
                </c:pt>
                <c:pt idx="18">
                  <c:v>57650</c:v>
                </c:pt>
              </c:numCache>
            </c:numRef>
          </c:val>
          <c:extLst>
            <c:ext xmlns:c16="http://schemas.microsoft.com/office/drawing/2014/chart" uri="{C3380CC4-5D6E-409C-BE32-E72D297353CC}">
              <c16:uniqueId val="{00000000-5CC6-495C-9834-3F47FA633440}"/>
            </c:ext>
          </c:extLst>
        </c:ser>
        <c:dLbls>
          <c:showLegendKey val="0"/>
          <c:showVal val="0"/>
          <c:showCatName val="0"/>
          <c:showSerName val="0"/>
          <c:showPercent val="0"/>
          <c:showBubbleSize val="0"/>
        </c:dLbls>
        <c:gapWidth val="182"/>
        <c:axId val="624524632"/>
        <c:axId val="626032680"/>
      </c:barChart>
      <c:barChart>
        <c:barDir val="bar"/>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1-5CC6-495C-9834-3F47FA633440}"/>
            </c:ext>
          </c:extLst>
        </c:ser>
        <c:dLbls>
          <c:showLegendKey val="0"/>
          <c:showVal val="0"/>
          <c:showCatName val="0"/>
          <c:showSerName val="0"/>
          <c:showPercent val="0"/>
          <c:showBubbleSize val="0"/>
        </c:dLbls>
        <c:gapWidth val="182"/>
        <c:axId val="661874872"/>
        <c:axId val="661873560"/>
      </c:barChart>
      <c:catAx>
        <c:axId val="624524632"/>
        <c:scaling>
          <c:orientation val="minMax"/>
        </c:scaling>
        <c:delete val="0"/>
        <c:axPos val="l"/>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600" b="0" i="0" u="none" strike="noStrike" kern="1200" baseline="0">
                <a:solidFill>
                  <a:srgbClr val="000000"/>
                </a:solidFill>
                <a:latin typeface="Arial"/>
                <a:ea typeface="Arial"/>
                <a:cs typeface="Arial"/>
              </a:defRPr>
            </a:pPr>
            <a:endParaRPr lang="en-US"/>
          </a:p>
        </c:txPr>
        <c:crossAx val="626032680"/>
        <c:crosses val="autoZero"/>
        <c:auto val="1"/>
        <c:lblAlgn val="ctr"/>
        <c:lblOffset val="100"/>
        <c:noMultiLvlLbl val="0"/>
      </c:catAx>
      <c:valAx>
        <c:axId val="626032680"/>
        <c:scaling>
          <c:orientation val="minMax"/>
          <c:max val="150000"/>
        </c:scaling>
        <c:delete val="0"/>
        <c:axPos val="b"/>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24524632"/>
        <c:crosses val="autoZero"/>
        <c:crossBetween val="between"/>
        <c:majorUnit val="50000"/>
        <c:dispUnits>
          <c:builtInUnit val="thousands"/>
        </c:dispUnits>
      </c:valAx>
      <c:valAx>
        <c:axId val="661873560"/>
        <c:scaling>
          <c:orientation val="minMax"/>
          <c:max val="150000"/>
          <c:min val="0"/>
        </c:scaling>
        <c:delete val="0"/>
        <c:axPos val="t"/>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61874872"/>
        <c:crosses val="max"/>
        <c:crossBetween val="between"/>
        <c:majorUnit val="50000"/>
        <c:minorUnit val="4000"/>
        <c:dispUnits>
          <c:builtInUnit val="thousands"/>
        </c:dispUnits>
      </c:valAx>
      <c:catAx>
        <c:axId val="661874872"/>
        <c:scaling>
          <c:orientation val="minMax"/>
        </c:scaling>
        <c:delete val="1"/>
        <c:axPos val="l"/>
        <c:majorTickMark val="out"/>
        <c:minorTickMark val="none"/>
        <c:tickLblPos val="nextTo"/>
        <c:crossAx val="661873560"/>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1"/>
        <c:delete val="1"/>
      </c:legendEntry>
      <c:layout>
        <c:manualLayout>
          <c:xMode val="edge"/>
          <c:yMode val="edge"/>
          <c:x val="0.556100214745884"/>
          <c:y val="0.88564466517481411"/>
          <c:w val="0.34413659354574133"/>
          <c:h val="5.45564124268421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03680256230206E-2"/>
          <c:y val="6.5157160165013744E-2"/>
          <c:w val="0.85179239691812714"/>
          <c:h val="0.77040141635838832"/>
        </c:manualLayout>
      </c:layout>
      <c:barChart>
        <c:barDir val="bar"/>
        <c:grouping val="clustered"/>
        <c:varyColors val="0"/>
        <c:ser>
          <c:idx val="0"/>
          <c:order val="0"/>
          <c:tx>
            <c:v>Coverage (per cent of individuals employed in each industry receiving the JobKeeper Payment)</c:v>
          </c:tx>
          <c:spPr>
            <a:solidFill>
              <a:schemeClr val="accent2"/>
            </a:solidFill>
            <a:ln>
              <a:noFill/>
            </a:ln>
            <a:effectLst/>
          </c:spPr>
          <c:invertIfNegative val="0"/>
          <c:cat>
            <c:strRef>
              <c:f>'Fig 2b - takeup by employees'!$A$3:$A$21</c:f>
              <c:strCache>
                <c:ptCount val="19"/>
                <c:pt idx="0">
                  <c:v>Mining</c:v>
                </c:pt>
                <c:pt idx="1">
                  <c:v>Electricity, Gas, Water and Waste Services</c:v>
                </c:pt>
                <c:pt idx="2">
                  <c:v>Financial and Insurance Services</c:v>
                </c:pt>
                <c:pt idx="3">
                  <c:v>Public Administration and Safety</c:v>
                </c:pt>
                <c:pt idx="4">
                  <c:v>Agriculture, Forestry and Fishing</c:v>
                </c:pt>
                <c:pt idx="5">
                  <c:v>Education and Training</c:v>
                </c:pt>
                <c:pt idx="6">
                  <c:v>Retail Trade</c:v>
                </c:pt>
                <c:pt idx="7">
                  <c:v>Transport, Postal and Warehousing</c:v>
                </c:pt>
                <c:pt idx="8">
                  <c:v>Information Media and Telecommunications</c:v>
                </c:pt>
                <c:pt idx="9">
                  <c:v>Manufacturing</c:v>
                </c:pt>
                <c:pt idx="10">
                  <c:v>Health Care and Social Assistance</c:v>
                </c:pt>
                <c:pt idx="11">
                  <c:v>Construction</c:v>
                </c:pt>
                <c:pt idx="12">
                  <c:v>Accommodation and Food Services</c:v>
                </c:pt>
                <c:pt idx="13">
                  <c:v>Professional, Scientific and Technical Services</c:v>
                </c:pt>
                <c:pt idx="14">
                  <c:v>Wholesale Trade</c:v>
                </c:pt>
                <c:pt idx="15">
                  <c:v>Administrative and Support Services</c:v>
                </c:pt>
                <c:pt idx="16">
                  <c:v>Rental, Hiring and Real Estate Services</c:v>
                </c:pt>
                <c:pt idx="17">
                  <c:v>Other Services</c:v>
                </c:pt>
                <c:pt idx="18">
                  <c:v>Arts and Recreation Services</c:v>
                </c:pt>
              </c:strCache>
            </c:strRef>
          </c:cat>
          <c:val>
            <c:numRef>
              <c:f>'Fig 2b - takeup by employees'!$C$3:$C$21</c:f>
              <c:numCache>
                <c:formatCode>_-* #,##0.0_-;\-* #,##0.0_-;_-* "-"??_-;_-@_-</c:formatCode>
                <c:ptCount val="19"/>
                <c:pt idx="0">
                  <c:v>5.0924034180090976</c:v>
                </c:pt>
                <c:pt idx="1">
                  <c:v>8.4760353148557712</c:v>
                </c:pt>
                <c:pt idx="2">
                  <c:v>12.382691015948796</c:v>
                </c:pt>
                <c:pt idx="3">
                  <c:v>13.408358707407622</c:v>
                </c:pt>
                <c:pt idx="4">
                  <c:v>17.420270167155724</c:v>
                </c:pt>
                <c:pt idx="5">
                  <c:v>24.485436364053452</c:v>
                </c:pt>
                <c:pt idx="6">
                  <c:v>24.870577128115919</c:v>
                </c:pt>
                <c:pt idx="7">
                  <c:v>26.366351355210838</c:v>
                </c:pt>
                <c:pt idx="8">
                  <c:v>27.003981906096797</c:v>
                </c:pt>
                <c:pt idx="9">
                  <c:v>27.090871747905087</c:v>
                </c:pt>
                <c:pt idx="10">
                  <c:v>28.551475286036425</c:v>
                </c:pt>
                <c:pt idx="11">
                  <c:v>29.815507629872318</c:v>
                </c:pt>
                <c:pt idx="12">
                  <c:v>33.891926563071564</c:v>
                </c:pt>
                <c:pt idx="13">
                  <c:v>34.622976682428927</c:v>
                </c:pt>
                <c:pt idx="14">
                  <c:v>41.59104454888422</c:v>
                </c:pt>
                <c:pt idx="15">
                  <c:v>42.273900394048916</c:v>
                </c:pt>
                <c:pt idx="16">
                  <c:v>47.767053709200226</c:v>
                </c:pt>
                <c:pt idx="17">
                  <c:v>47.955225304266087</c:v>
                </c:pt>
                <c:pt idx="18">
                  <c:v>57.603991640119624</c:v>
                </c:pt>
              </c:numCache>
            </c:numRef>
          </c:val>
          <c:extLst>
            <c:ext xmlns:c16="http://schemas.microsoft.com/office/drawing/2014/chart" uri="{C3380CC4-5D6E-409C-BE32-E72D297353CC}">
              <c16:uniqueId val="{00000000-BA42-4681-9B02-3D57E22D44F6}"/>
            </c:ext>
          </c:extLst>
        </c:ser>
        <c:dLbls>
          <c:showLegendKey val="0"/>
          <c:showVal val="0"/>
          <c:showCatName val="0"/>
          <c:showSerName val="0"/>
          <c:showPercent val="0"/>
          <c:showBubbleSize val="0"/>
        </c:dLbls>
        <c:gapWidth val="182"/>
        <c:axId val="624524632"/>
        <c:axId val="626032680"/>
      </c:barChart>
      <c:barChart>
        <c:barDir val="bar"/>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1-BA42-4681-9B02-3D57E22D44F6}"/>
            </c:ext>
          </c:extLst>
        </c:ser>
        <c:dLbls>
          <c:showLegendKey val="0"/>
          <c:showVal val="0"/>
          <c:showCatName val="0"/>
          <c:showSerName val="0"/>
          <c:showPercent val="0"/>
          <c:showBubbleSize val="0"/>
        </c:dLbls>
        <c:gapWidth val="182"/>
        <c:axId val="919062648"/>
        <c:axId val="919064944"/>
      </c:barChart>
      <c:catAx>
        <c:axId val="624524632"/>
        <c:scaling>
          <c:orientation val="minMax"/>
        </c:scaling>
        <c:delete val="1"/>
        <c:axPos val="l"/>
        <c:numFmt formatCode="General" sourceLinked="1"/>
        <c:majorTickMark val="in"/>
        <c:minorTickMark val="none"/>
        <c:tickLblPos val="low"/>
        <c:crossAx val="626032680"/>
        <c:crosses val="autoZero"/>
        <c:auto val="1"/>
        <c:lblAlgn val="ctr"/>
        <c:lblOffset val="100"/>
        <c:noMultiLvlLbl val="0"/>
      </c:catAx>
      <c:valAx>
        <c:axId val="626032680"/>
        <c:scaling>
          <c:orientation val="minMax"/>
        </c:scaling>
        <c:delete val="0"/>
        <c:axPos val="b"/>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24524632"/>
        <c:crosses val="autoZero"/>
        <c:crossBetween val="between"/>
      </c:valAx>
      <c:valAx>
        <c:axId val="919064944"/>
        <c:scaling>
          <c:orientation val="minMax"/>
          <c:max val="80"/>
          <c:min val="0"/>
        </c:scaling>
        <c:delete val="0"/>
        <c:axPos val="t"/>
        <c:numFmt formatCode="#,##0" sourceLinked="0"/>
        <c:majorTickMark val="in"/>
        <c:minorTickMark val="none"/>
        <c:tickLblPos val="nextTo"/>
        <c:spPr>
          <a:noFill/>
          <a:ln>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919062648"/>
        <c:crosses val="max"/>
        <c:crossBetween val="between"/>
        <c:majorUnit val="20"/>
        <c:minorUnit val="2"/>
      </c:valAx>
      <c:catAx>
        <c:axId val="919062648"/>
        <c:scaling>
          <c:orientation val="minMax"/>
        </c:scaling>
        <c:delete val="1"/>
        <c:axPos val="l"/>
        <c:majorTickMark val="out"/>
        <c:minorTickMark val="none"/>
        <c:tickLblPos val="nextTo"/>
        <c:crossAx val="919064944"/>
        <c:crosses val="autoZero"/>
        <c:auto val="1"/>
        <c:lblAlgn val="ctr"/>
        <c:lblOffset val="100"/>
        <c:noMultiLvlLbl val="0"/>
      </c:catAx>
      <c:spPr>
        <a:noFill/>
        <a:ln>
          <a:noFill/>
        </a:ln>
        <a:effectLst/>
        <a:extLst>
          <a:ext uri="{91240B29-F687-4F45-9708-019B960494DF}">
            <a14:hiddenLine xmlns:a14="http://schemas.microsoft.com/office/drawing/2010/main">
              <a:noFill/>
            </a14:hiddenLine>
          </a:ext>
        </a:extLst>
      </c:spPr>
    </c:plotArea>
    <c:legend>
      <c:legendPos val="b"/>
      <c:legendEntry>
        <c:idx val="1"/>
        <c:delete val="1"/>
      </c:legendEntry>
      <c:layout>
        <c:manualLayout>
          <c:xMode val="edge"/>
          <c:yMode val="edge"/>
          <c:x val="0"/>
          <c:y val="0.8763830991714272"/>
          <c:w val="1"/>
          <c:h val="0.113812952868070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327545482978387"/>
          <c:y val="6.6052846795221623E-2"/>
          <c:w val="0.46560975967389551"/>
          <c:h val="0.76723775669773564"/>
        </c:manualLayout>
      </c:layout>
      <c:barChart>
        <c:barDir val="bar"/>
        <c:grouping val="clustered"/>
        <c:varyColors val="0"/>
        <c:ser>
          <c:idx val="0"/>
          <c:order val="0"/>
          <c:tx>
            <c:v>Total number (000s)</c:v>
          </c:tx>
          <c:spPr>
            <a:solidFill>
              <a:schemeClr val="accent1"/>
            </a:solidFill>
            <a:ln>
              <a:noFill/>
            </a:ln>
            <a:effectLst/>
          </c:spPr>
          <c:invertIfNegative val="0"/>
          <c:cat>
            <c:strRef>
              <c:f>'Fig 2b - takeup by employees'!$A$3:$A$21</c:f>
              <c:strCache>
                <c:ptCount val="19"/>
                <c:pt idx="0">
                  <c:v>Mining</c:v>
                </c:pt>
                <c:pt idx="1">
                  <c:v>Electricity, Gas, Water and Waste Services</c:v>
                </c:pt>
                <c:pt idx="2">
                  <c:v>Financial and Insurance Services</c:v>
                </c:pt>
                <c:pt idx="3">
                  <c:v>Public Administration and Safety</c:v>
                </c:pt>
                <c:pt idx="4">
                  <c:v>Agriculture, Forestry and Fishing</c:v>
                </c:pt>
                <c:pt idx="5">
                  <c:v>Education and Training</c:v>
                </c:pt>
                <c:pt idx="6">
                  <c:v>Retail Trade</c:v>
                </c:pt>
                <c:pt idx="7">
                  <c:v>Transport, Postal and Warehousing</c:v>
                </c:pt>
                <c:pt idx="8">
                  <c:v>Information Media and Telecommunications</c:v>
                </c:pt>
                <c:pt idx="9">
                  <c:v>Manufacturing</c:v>
                </c:pt>
                <c:pt idx="10">
                  <c:v>Health Care and Social Assistance</c:v>
                </c:pt>
                <c:pt idx="11">
                  <c:v>Construction</c:v>
                </c:pt>
                <c:pt idx="12">
                  <c:v>Accommodation and Food Services</c:v>
                </c:pt>
                <c:pt idx="13">
                  <c:v>Professional, Scientific and Technical Services</c:v>
                </c:pt>
                <c:pt idx="14">
                  <c:v>Wholesale Trade</c:v>
                </c:pt>
                <c:pt idx="15">
                  <c:v>Administrative and Support Services</c:v>
                </c:pt>
                <c:pt idx="16">
                  <c:v>Rental, Hiring and Real Estate Services</c:v>
                </c:pt>
                <c:pt idx="17">
                  <c:v>Other Services</c:v>
                </c:pt>
                <c:pt idx="18">
                  <c:v>Arts and Recreation Services</c:v>
                </c:pt>
              </c:strCache>
            </c:strRef>
          </c:cat>
          <c:val>
            <c:numRef>
              <c:f>'Fig 2b - takeup by employees'!$B$3:$B$21</c:f>
              <c:numCache>
                <c:formatCode>_-* #,##0_-;\-* #,##0_-;_-* "-"??_-;_-@_-</c:formatCode>
                <c:ptCount val="19"/>
                <c:pt idx="0">
                  <c:v>12144.5</c:v>
                </c:pt>
                <c:pt idx="1">
                  <c:v>9041.5</c:v>
                </c:pt>
                <c:pt idx="2">
                  <c:v>58426</c:v>
                </c:pt>
                <c:pt idx="3">
                  <c:v>19136.5</c:v>
                </c:pt>
                <c:pt idx="4">
                  <c:v>58488.5</c:v>
                </c:pt>
                <c:pt idx="5">
                  <c:v>124033.5</c:v>
                </c:pt>
                <c:pt idx="6">
                  <c:v>313357</c:v>
                </c:pt>
                <c:pt idx="7">
                  <c:v>157697.5</c:v>
                </c:pt>
                <c:pt idx="8">
                  <c:v>50671</c:v>
                </c:pt>
                <c:pt idx="9">
                  <c:v>246046.5</c:v>
                </c:pt>
                <c:pt idx="10">
                  <c:v>385679</c:v>
                </c:pt>
                <c:pt idx="11">
                  <c:v>348076.5</c:v>
                </c:pt>
                <c:pt idx="12">
                  <c:v>313527.5</c:v>
                </c:pt>
                <c:pt idx="13">
                  <c:v>396424.25</c:v>
                </c:pt>
                <c:pt idx="14">
                  <c:v>160111</c:v>
                </c:pt>
                <c:pt idx="15">
                  <c:v>188530.5</c:v>
                </c:pt>
                <c:pt idx="16">
                  <c:v>100672.5</c:v>
                </c:pt>
                <c:pt idx="17">
                  <c:v>233367</c:v>
                </c:pt>
                <c:pt idx="18">
                  <c:v>129103.5</c:v>
                </c:pt>
              </c:numCache>
            </c:numRef>
          </c:val>
          <c:extLst>
            <c:ext xmlns:c16="http://schemas.microsoft.com/office/drawing/2014/chart" uri="{C3380CC4-5D6E-409C-BE32-E72D297353CC}">
              <c16:uniqueId val="{00000000-74AA-4B19-B482-2B3ABC7F121A}"/>
            </c:ext>
          </c:extLst>
        </c:ser>
        <c:dLbls>
          <c:showLegendKey val="0"/>
          <c:showVal val="0"/>
          <c:showCatName val="0"/>
          <c:showSerName val="0"/>
          <c:showPercent val="0"/>
          <c:showBubbleSize val="0"/>
        </c:dLbls>
        <c:gapWidth val="182"/>
        <c:axId val="624524632"/>
        <c:axId val="626032680"/>
      </c:barChart>
      <c:barChart>
        <c:barDir val="bar"/>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1-74AA-4B19-B482-2B3ABC7F121A}"/>
            </c:ext>
          </c:extLst>
        </c:ser>
        <c:dLbls>
          <c:showLegendKey val="0"/>
          <c:showVal val="0"/>
          <c:showCatName val="0"/>
          <c:showSerName val="0"/>
          <c:showPercent val="0"/>
          <c:showBubbleSize val="0"/>
        </c:dLbls>
        <c:gapWidth val="182"/>
        <c:axId val="661874872"/>
        <c:axId val="661873560"/>
      </c:barChart>
      <c:catAx>
        <c:axId val="624524632"/>
        <c:scaling>
          <c:orientation val="minMax"/>
        </c:scaling>
        <c:delete val="0"/>
        <c:axPos val="l"/>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600" b="0" i="0" u="none" strike="noStrike" kern="1200" baseline="0">
                <a:solidFill>
                  <a:srgbClr val="000000"/>
                </a:solidFill>
                <a:latin typeface="Arial"/>
                <a:ea typeface="Arial"/>
                <a:cs typeface="Arial"/>
              </a:defRPr>
            </a:pPr>
            <a:endParaRPr lang="en-US"/>
          </a:p>
        </c:txPr>
        <c:crossAx val="626032680"/>
        <c:crosses val="autoZero"/>
        <c:auto val="1"/>
        <c:lblAlgn val="ctr"/>
        <c:lblOffset val="100"/>
        <c:noMultiLvlLbl val="0"/>
      </c:catAx>
      <c:valAx>
        <c:axId val="626032680"/>
        <c:scaling>
          <c:orientation val="minMax"/>
          <c:max val="400000"/>
        </c:scaling>
        <c:delete val="0"/>
        <c:axPos val="b"/>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24524632"/>
        <c:crosses val="autoZero"/>
        <c:crossBetween val="between"/>
        <c:majorUnit val="100000"/>
        <c:dispUnits>
          <c:builtInUnit val="thousands"/>
        </c:dispUnits>
      </c:valAx>
      <c:valAx>
        <c:axId val="661873560"/>
        <c:scaling>
          <c:orientation val="minMax"/>
          <c:max val="400000"/>
          <c:min val="0"/>
        </c:scaling>
        <c:delete val="0"/>
        <c:axPos val="t"/>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61874872"/>
        <c:crosses val="max"/>
        <c:crossBetween val="between"/>
        <c:majorUnit val="100000"/>
        <c:minorUnit val="1000"/>
        <c:dispUnits>
          <c:builtInUnit val="thousands"/>
        </c:dispUnits>
      </c:valAx>
      <c:catAx>
        <c:axId val="661874872"/>
        <c:scaling>
          <c:orientation val="minMax"/>
        </c:scaling>
        <c:delete val="1"/>
        <c:axPos val="l"/>
        <c:majorTickMark val="out"/>
        <c:minorTickMark val="none"/>
        <c:tickLblPos val="nextTo"/>
        <c:crossAx val="661873560"/>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1"/>
        <c:delete val="1"/>
      </c:legendEntry>
      <c:layout>
        <c:manualLayout>
          <c:xMode val="edge"/>
          <c:yMode val="edge"/>
          <c:x val="0.52631064971627151"/>
          <c:y val="0.90329992215539978"/>
          <c:w val="0.34483023838510318"/>
          <c:h val="5.470529225726910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296296296297E-2"/>
          <c:y val="5.3776736111111112E-2"/>
          <c:w val="0.98503370370370369"/>
          <c:h val="0.79544965277777779"/>
        </c:manualLayout>
      </c:layout>
      <c:barChart>
        <c:barDir val="col"/>
        <c:grouping val="clustered"/>
        <c:varyColors val="0"/>
        <c:ser>
          <c:idx val="0"/>
          <c:order val="0"/>
          <c:tx>
            <c:strRef>
              <c:f>'Fig 3a takeup by age range'!$F$2</c:f>
              <c:strCache>
                <c:ptCount val="1"/>
                <c:pt idx="0">
                  <c:v>Private sector employment (Feb)</c:v>
                </c:pt>
              </c:strCache>
            </c:strRef>
          </c:tx>
          <c:spPr>
            <a:solidFill>
              <a:schemeClr val="accent1"/>
            </a:solidFill>
            <a:ln>
              <a:noFill/>
            </a:ln>
            <a:effectLst/>
          </c:spPr>
          <c:invertIfNegative val="0"/>
          <c:cat>
            <c:strRef>
              <c:f>'Fig 3a takeup by age range'!$A$3:$A$8</c:f>
              <c:strCache>
                <c:ptCount val="6"/>
                <c:pt idx="0">
                  <c:v>15-24</c:v>
                </c:pt>
                <c:pt idx="1">
                  <c:v>25-34</c:v>
                </c:pt>
                <c:pt idx="2">
                  <c:v>35-44</c:v>
                </c:pt>
                <c:pt idx="3">
                  <c:v>45-54</c:v>
                </c:pt>
                <c:pt idx="4">
                  <c:v>55-64</c:v>
                </c:pt>
                <c:pt idx="5">
                  <c:v>65 +</c:v>
                </c:pt>
              </c:strCache>
            </c:strRef>
          </c:cat>
          <c:val>
            <c:numRef>
              <c:f>'Fig 3a takeup by age range'!$F$3:$F$8</c:f>
              <c:numCache>
                <c:formatCode>0.0</c:formatCode>
                <c:ptCount val="6"/>
                <c:pt idx="0">
                  <c:v>16.646044637547117</c:v>
                </c:pt>
                <c:pt idx="1">
                  <c:v>24.064290482493949</c:v>
                </c:pt>
                <c:pt idx="2">
                  <c:v>21.112251019574124</c:v>
                </c:pt>
                <c:pt idx="3">
                  <c:v>19.481123348644118</c:v>
                </c:pt>
                <c:pt idx="4">
                  <c:v>14.05498611915846</c:v>
                </c:pt>
                <c:pt idx="5">
                  <c:v>4.6413043925822253</c:v>
                </c:pt>
              </c:numCache>
            </c:numRef>
          </c:val>
          <c:extLst>
            <c:ext xmlns:c16="http://schemas.microsoft.com/office/drawing/2014/chart" uri="{C3380CC4-5D6E-409C-BE32-E72D297353CC}">
              <c16:uniqueId val="{00000000-6CE9-43AC-9248-7A66F508D9AF}"/>
            </c:ext>
          </c:extLst>
        </c:ser>
        <c:ser>
          <c:idx val="1"/>
          <c:order val="1"/>
          <c:tx>
            <c:strRef>
              <c:f>'Fig 3a takeup by age range'!$G$2</c:f>
              <c:strCache>
                <c:ptCount val="1"/>
                <c:pt idx="0">
                  <c:v>Decline in private sector employment (Feb to May)</c:v>
                </c:pt>
              </c:strCache>
            </c:strRef>
          </c:tx>
          <c:spPr>
            <a:solidFill>
              <a:schemeClr val="accent2"/>
            </a:solidFill>
            <a:ln>
              <a:noFill/>
            </a:ln>
            <a:effectLst/>
          </c:spPr>
          <c:invertIfNegative val="0"/>
          <c:cat>
            <c:strRef>
              <c:f>'Fig 3a takeup by age range'!$A$3:$A$8</c:f>
              <c:strCache>
                <c:ptCount val="6"/>
                <c:pt idx="0">
                  <c:v>15-24</c:v>
                </c:pt>
                <c:pt idx="1">
                  <c:v>25-34</c:v>
                </c:pt>
                <c:pt idx="2">
                  <c:v>35-44</c:v>
                </c:pt>
                <c:pt idx="3">
                  <c:v>45-54</c:v>
                </c:pt>
                <c:pt idx="4">
                  <c:v>55-64</c:v>
                </c:pt>
                <c:pt idx="5">
                  <c:v>65 +</c:v>
                </c:pt>
              </c:strCache>
            </c:strRef>
          </c:cat>
          <c:val>
            <c:numRef>
              <c:f>'Fig 3a takeup by age range'!$G$3:$G$8</c:f>
              <c:numCache>
                <c:formatCode>0.0</c:formatCode>
                <c:ptCount val="6"/>
                <c:pt idx="0">
                  <c:v>43.321308429025336</c:v>
                </c:pt>
                <c:pt idx="1">
                  <c:v>25.548010040715297</c:v>
                </c:pt>
                <c:pt idx="2">
                  <c:v>10.373273457150404</c:v>
                </c:pt>
                <c:pt idx="3">
                  <c:v>9.303018257158314</c:v>
                </c:pt>
                <c:pt idx="4">
                  <c:v>5.7638013427186756</c:v>
                </c:pt>
                <c:pt idx="5">
                  <c:v>5.6905884732319754</c:v>
                </c:pt>
              </c:numCache>
            </c:numRef>
          </c:val>
          <c:extLst>
            <c:ext xmlns:c16="http://schemas.microsoft.com/office/drawing/2014/chart" uri="{C3380CC4-5D6E-409C-BE32-E72D297353CC}">
              <c16:uniqueId val="{00000001-6CE9-43AC-9248-7A66F508D9AF}"/>
            </c:ext>
          </c:extLst>
        </c:ser>
        <c:ser>
          <c:idx val="2"/>
          <c:order val="2"/>
          <c:tx>
            <c:strRef>
              <c:f>'Fig 3a takeup by age range'!$E$2</c:f>
              <c:strCache>
                <c:ptCount val="1"/>
                <c:pt idx="0">
                  <c:v>JobKeeper participants (April)</c:v>
                </c:pt>
              </c:strCache>
            </c:strRef>
          </c:tx>
          <c:spPr>
            <a:solidFill>
              <a:schemeClr val="accent3"/>
            </a:solidFill>
            <a:ln>
              <a:noFill/>
            </a:ln>
            <a:effectLst/>
          </c:spPr>
          <c:invertIfNegative val="0"/>
          <c:cat>
            <c:strRef>
              <c:f>'Fig 3a takeup by age range'!$A$3:$A$8</c:f>
              <c:strCache>
                <c:ptCount val="6"/>
                <c:pt idx="0">
                  <c:v>15-24</c:v>
                </c:pt>
                <c:pt idx="1">
                  <c:v>25-34</c:v>
                </c:pt>
                <c:pt idx="2">
                  <c:v>35-44</c:v>
                </c:pt>
                <c:pt idx="3">
                  <c:v>45-54</c:v>
                </c:pt>
                <c:pt idx="4">
                  <c:v>55-64</c:v>
                </c:pt>
                <c:pt idx="5">
                  <c:v>65 +</c:v>
                </c:pt>
              </c:strCache>
            </c:strRef>
          </c:cat>
          <c:val>
            <c:numRef>
              <c:f>'Fig 3a takeup by age range'!$E$3:$E$8</c:f>
              <c:numCache>
                <c:formatCode>0.0</c:formatCode>
                <c:ptCount val="6"/>
                <c:pt idx="0">
                  <c:v>13.041304130413039</c:v>
                </c:pt>
                <c:pt idx="1">
                  <c:v>22.562256225622559</c:v>
                </c:pt>
                <c:pt idx="2">
                  <c:v>22.782278227822783</c:v>
                </c:pt>
                <c:pt idx="3">
                  <c:v>21.172117211721172</c:v>
                </c:pt>
                <c:pt idx="4">
                  <c:v>15.511551155115507</c:v>
                </c:pt>
                <c:pt idx="5">
                  <c:v>4.9304930493049293</c:v>
                </c:pt>
              </c:numCache>
            </c:numRef>
          </c:val>
          <c:extLst>
            <c:ext xmlns:c16="http://schemas.microsoft.com/office/drawing/2014/chart" uri="{C3380CC4-5D6E-409C-BE32-E72D297353CC}">
              <c16:uniqueId val="{00000002-6CE9-43AC-9248-7A66F508D9AF}"/>
            </c:ext>
          </c:extLst>
        </c:ser>
        <c:dLbls>
          <c:showLegendKey val="0"/>
          <c:showVal val="0"/>
          <c:showCatName val="0"/>
          <c:showSerName val="0"/>
          <c:showPercent val="0"/>
          <c:showBubbleSize val="0"/>
        </c:dLbls>
        <c:gapWidth val="100"/>
        <c:axId val="725235104"/>
        <c:axId val="725235760"/>
      </c:barChart>
      <c:barChart>
        <c:barDir val="col"/>
        <c:grouping val="clustered"/>
        <c:varyColors val="0"/>
        <c:ser>
          <c:idx val="3"/>
          <c:order val="3"/>
          <c:tx>
            <c:v>DUMMY</c:v>
          </c:tx>
          <c:spPr>
            <a:noFill/>
            <a:ln w="25400">
              <a:noFill/>
            </a:ln>
            <a:effectLst/>
          </c:spPr>
          <c:invertIfNegative val="0"/>
          <c:extLst>
            <c:ext xmlns:c16="http://schemas.microsoft.com/office/drawing/2014/chart" uri="{C3380CC4-5D6E-409C-BE32-E72D297353CC}">
              <c16:uniqueId val="{00000003-6CE9-43AC-9248-7A66F508D9AF}"/>
            </c:ext>
          </c:extLst>
        </c:ser>
        <c:dLbls>
          <c:showLegendKey val="0"/>
          <c:showVal val="0"/>
          <c:showCatName val="0"/>
          <c:showSerName val="0"/>
          <c:showPercent val="0"/>
          <c:showBubbleSize val="0"/>
        </c:dLbls>
        <c:gapWidth val="100"/>
        <c:axId val="702350056"/>
        <c:axId val="702355304"/>
      </c:barChart>
      <c:catAx>
        <c:axId val="725235104"/>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25235760"/>
        <c:crosses val="autoZero"/>
        <c:auto val="1"/>
        <c:lblAlgn val="ctr"/>
        <c:lblOffset val="100"/>
        <c:noMultiLvlLbl val="0"/>
      </c:catAx>
      <c:valAx>
        <c:axId val="725235760"/>
        <c:scaling>
          <c:orientation val="minMax"/>
        </c:scaling>
        <c:delete val="0"/>
        <c:axPos val="l"/>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latin typeface="Arial" panose="020B0604020202020204" pitchFamily="34" charset="0"/>
                  </a:rPr>
                  <a:t>Per cent</a:t>
                </a:r>
              </a:p>
            </c:rich>
          </c:tx>
          <c:layout>
            <c:manualLayout>
              <c:xMode val="edge"/>
              <c:yMode val="edge"/>
              <c:x val="2.3463696462850993E-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25235104"/>
        <c:crosses val="autoZero"/>
        <c:crossBetween val="between"/>
      </c:valAx>
      <c:valAx>
        <c:axId val="702355304"/>
        <c:scaling>
          <c:orientation val="minMax"/>
          <c:max val="50"/>
          <c:min val="0"/>
        </c:scaling>
        <c:delete val="0"/>
        <c:axPos val="r"/>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latin typeface="Arial" panose="020B0604020202020204" pitchFamily="34" charset="0"/>
                  </a:rPr>
                  <a:t>Per cent</a:t>
                </a:r>
              </a:p>
            </c:rich>
          </c:tx>
          <c:layout>
            <c:manualLayout>
              <c:xMode val="edge"/>
              <c:yMode val="edge"/>
              <c:x val="0.9141685056038584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02350056"/>
        <c:crosses val="max"/>
        <c:crossBetween val="between"/>
        <c:majorUnit val="5"/>
        <c:minorUnit val="1"/>
      </c:valAx>
      <c:catAx>
        <c:axId val="702350056"/>
        <c:scaling>
          <c:orientation val="minMax"/>
        </c:scaling>
        <c:delete val="1"/>
        <c:axPos val="b"/>
        <c:majorTickMark val="out"/>
        <c:minorTickMark val="none"/>
        <c:tickLblPos val="nextTo"/>
        <c:crossAx val="702355304"/>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3"/>
        <c:delete val="1"/>
      </c:legendEntry>
      <c:layout>
        <c:manualLayout>
          <c:xMode val="edge"/>
          <c:yMode val="edge"/>
          <c:x val="9.4074074074074077E-3"/>
          <c:y val="0.8712749999999998"/>
          <c:w val="0.98824074074074075"/>
          <c:h val="0.12431527777777777"/>
        </c:manualLayout>
      </c:layout>
      <c:overlay val="0"/>
      <c:spPr>
        <a:noFill/>
        <a:ln w="25400">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a:solidFill>
            <a:srgbClr val="000000"/>
          </a:solidFill>
          <a:latin typeface="Arial"/>
          <a:ea typeface="Arial"/>
          <a:cs typeface="Aria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296296296297E-2"/>
          <c:y val="5.3776736111111112E-2"/>
          <c:w val="0.98503370370370369"/>
          <c:h val="0.79544965277777779"/>
        </c:manualLayout>
      </c:layout>
      <c:barChart>
        <c:barDir val="col"/>
        <c:grouping val="clustered"/>
        <c:varyColors val="0"/>
        <c:ser>
          <c:idx val="0"/>
          <c:order val="0"/>
          <c:tx>
            <c:strRef>
              <c:f>'Fig3b - takeup by gender'!$C$3</c:f>
              <c:strCache>
                <c:ptCount val="1"/>
                <c:pt idx="0">
                  <c:v>Private sector employment (Feb)</c:v>
                </c:pt>
              </c:strCache>
            </c:strRef>
          </c:tx>
          <c:spPr>
            <a:solidFill>
              <a:schemeClr val="accent1"/>
            </a:solidFill>
            <a:ln>
              <a:noFill/>
            </a:ln>
            <a:effectLst/>
          </c:spPr>
          <c:invertIfNegative val="0"/>
          <c:cat>
            <c:strRef>
              <c:f>'Fig3b - takeup by gender'!$A$4:$A$5</c:f>
              <c:strCache>
                <c:ptCount val="2"/>
                <c:pt idx="0">
                  <c:v>Male</c:v>
                </c:pt>
                <c:pt idx="1">
                  <c:v>Female</c:v>
                </c:pt>
              </c:strCache>
            </c:strRef>
          </c:cat>
          <c:val>
            <c:numRef>
              <c:f>'Fig3b - takeup by gender'!$C$4:$C$5</c:f>
              <c:numCache>
                <c:formatCode>0.0</c:formatCode>
                <c:ptCount val="2"/>
                <c:pt idx="0">
                  <c:v>55.116367913750587</c:v>
                </c:pt>
                <c:pt idx="1">
                  <c:v>44.88363208624942</c:v>
                </c:pt>
              </c:numCache>
            </c:numRef>
          </c:val>
          <c:extLst>
            <c:ext xmlns:c16="http://schemas.microsoft.com/office/drawing/2014/chart" uri="{C3380CC4-5D6E-409C-BE32-E72D297353CC}">
              <c16:uniqueId val="{00000000-3699-4089-8097-4A95FC01977B}"/>
            </c:ext>
          </c:extLst>
        </c:ser>
        <c:ser>
          <c:idx val="1"/>
          <c:order val="1"/>
          <c:tx>
            <c:strRef>
              <c:f>'Fig3b - takeup by gender'!$E$3</c:f>
              <c:strCache>
                <c:ptCount val="1"/>
                <c:pt idx="0">
                  <c:v>Decline in private sector employment (Feb to May)</c:v>
                </c:pt>
              </c:strCache>
            </c:strRef>
          </c:tx>
          <c:spPr>
            <a:solidFill>
              <a:schemeClr val="accent2"/>
            </a:solidFill>
            <a:ln>
              <a:noFill/>
            </a:ln>
            <a:effectLst/>
          </c:spPr>
          <c:invertIfNegative val="0"/>
          <c:cat>
            <c:strRef>
              <c:f>'Fig3b - takeup by gender'!$A$4:$A$5</c:f>
              <c:strCache>
                <c:ptCount val="2"/>
                <c:pt idx="0">
                  <c:v>Male</c:v>
                </c:pt>
                <c:pt idx="1">
                  <c:v>Female</c:v>
                </c:pt>
              </c:strCache>
            </c:strRef>
          </c:cat>
          <c:val>
            <c:numRef>
              <c:f>'Fig3b - takeup by gender'!$E$4:$E$5</c:f>
              <c:numCache>
                <c:formatCode>0.0</c:formatCode>
                <c:ptCount val="2"/>
                <c:pt idx="0">
                  <c:v>45.655180617707202</c:v>
                </c:pt>
                <c:pt idx="1">
                  <c:v>54.344819382292798</c:v>
                </c:pt>
              </c:numCache>
            </c:numRef>
          </c:val>
          <c:extLst>
            <c:ext xmlns:c16="http://schemas.microsoft.com/office/drawing/2014/chart" uri="{C3380CC4-5D6E-409C-BE32-E72D297353CC}">
              <c16:uniqueId val="{00000001-3699-4089-8097-4A95FC01977B}"/>
            </c:ext>
          </c:extLst>
        </c:ser>
        <c:ser>
          <c:idx val="2"/>
          <c:order val="2"/>
          <c:tx>
            <c:strRef>
              <c:f>'Fig3b - takeup by gender'!$D$3</c:f>
              <c:strCache>
                <c:ptCount val="1"/>
                <c:pt idx="0">
                  <c:v>JobKeeper participants (April)</c:v>
                </c:pt>
              </c:strCache>
            </c:strRef>
          </c:tx>
          <c:spPr>
            <a:solidFill>
              <a:schemeClr val="accent3"/>
            </a:solidFill>
            <a:ln>
              <a:noFill/>
            </a:ln>
            <a:effectLst/>
          </c:spPr>
          <c:invertIfNegative val="0"/>
          <c:cat>
            <c:strRef>
              <c:f>'Fig3b - takeup by gender'!$A$4:$A$5</c:f>
              <c:strCache>
                <c:ptCount val="2"/>
                <c:pt idx="0">
                  <c:v>Male</c:v>
                </c:pt>
                <c:pt idx="1">
                  <c:v>Female</c:v>
                </c:pt>
              </c:strCache>
            </c:strRef>
          </c:cat>
          <c:val>
            <c:numRef>
              <c:f>'Fig3b - takeup by gender'!$D$4:$D$5</c:f>
              <c:numCache>
                <c:formatCode>_-* #,##0.0_-;\-* #,##0.0_-;_-* "-"??_-;_-@_-</c:formatCode>
                <c:ptCount val="2"/>
                <c:pt idx="0">
                  <c:v>52.88</c:v>
                </c:pt>
                <c:pt idx="1">
                  <c:v>47.12</c:v>
                </c:pt>
              </c:numCache>
            </c:numRef>
          </c:val>
          <c:extLst>
            <c:ext xmlns:c16="http://schemas.microsoft.com/office/drawing/2014/chart" uri="{C3380CC4-5D6E-409C-BE32-E72D297353CC}">
              <c16:uniqueId val="{00000002-3699-4089-8097-4A95FC01977B}"/>
            </c:ext>
          </c:extLst>
        </c:ser>
        <c:dLbls>
          <c:showLegendKey val="0"/>
          <c:showVal val="0"/>
          <c:showCatName val="0"/>
          <c:showSerName val="0"/>
          <c:showPercent val="0"/>
          <c:showBubbleSize val="0"/>
        </c:dLbls>
        <c:gapWidth val="100"/>
        <c:axId val="725235104"/>
        <c:axId val="725235760"/>
      </c:barChart>
      <c:barChart>
        <c:barDir val="col"/>
        <c:grouping val="clustered"/>
        <c:varyColors val="0"/>
        <c:ser>
          <c:idx val="3"/>
          <c:order val="3"/>
          <c:tx>
            <c:v>DUMMY</c:v>
          </c:tx>
          <c:spPr>
            <a:noFill/>
            <a:ln w="25400">
              <a:noFill/>
            </a:ln>
            <a:effectLst/>
          </c:spPr>
          <c:invertIfNegative val="0"/>
          <c:extLst>
            <c:ext xmlns:c16="http://schemas.microsoft.com/office/drawing/2014/chart" uri="{C3380CC4-5D6E-409C-BE32-E72D297353CC}">
              <c16:uniqueId val="{00000003-3699-4089-8097-4A95FC01977B}"/>
            </c:ext>
          </c:extLst>
        </c:ser>
        <c:dLbls>
          <c:showLegendKey val="0"/>
          <c:showVal val="0"/>
          <c:showCatName val="0"/>
          <c:showSerName val="0"/>
          <c:showPercent val="0"/>
          <c:showBubbleSize val="0"/>
        </c:dLbls>
        <c:gapWidth val="100"/>
        <c:axId val="709479080"/>
        <c:axId val="709478424"/>
      </c:barChart>
      <c:catAx>
        <c:axId val="725235104"/>
        <c:scaling>
          <c:orientation val="minMax"/>
        </c:scaling>
        <c:delete val="0"/>
        <c:axPos val="b"/>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25235760"/>
        <c:crosses val="autoZero"/>
        <c:auto val="1"/>
        <c:lblAlgn val="ctr"/>
        <c:lblOffset val="100"/>
        <c:noMultiLvlLbl val="0"/>
      </c:catAx>
      <c:valAx>
        <c:axId val="725235760"/>
        <c:scaling>
          <c:orientation val="minMax"/>
        </c:scaling>
        <c:delete val="0"/>
        <c:axPos val="l"/>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latin typeface="Arial" panose="020B0604020202020204" pitchFamily="34" charset="0"/>
                  </a:rPr>
                  <a:t>Per cent</a:t>
                </a:r>
              </a:p>
            </c:rich>
          </c:tx>
          <c:layout>
            <c:manualLayout>
              <c:xMode val="edge"/>
              <c:yMode val="edge"/>
              <c:x val="2.3463696462850993E-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25235104"/>
        <c:crosses val="autoZero"/>
        <c:crossBetween val="between"/>
      </c:valAx>
      <c:valAx>
        <c:axId val="709478424"/>
        <c:scaling>
          <c:orientation val="minMax"/>
          <c:max val="60"/>
          <c:min val="0"/>
        </c:scaling>
        <c:delete val="0"/>
        <c:axPos val="r"/>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latin typeface="Arial" panose="020B0604020202020204" pitchFamily="34" charset="0"/>
                  </a:rPr>
                  <a:t>Per cent</a:t>
                </a:r>
              </a:p>
            </c:rich>
          </c:tx>
          <c:layout>
            <c:manualLayout>
              <c:xMode val="edge"/>
              <c:yMode val="edge"/>
              <c:x val="0.9141685056038584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09479080"/>
        <c:crosses val="max"/>
        <c:crossBetween val="between"/>
        <c:majorUnit val="10"/>
        <c:minorUnit val="2"/>
      </c:valAx>
      <c:catAx>
        <c:axId val="709479080"/>
        <c:scaling>
          <c:orientation val="minMax"/>
        </c:scaling>
        <c:delete val="1"/>
        <c:axPos val="b"/>
        <c:majorTickMark val="out"/>
        <c:minorTickMark val="none"/>
        <c:tickLblPos val="nextTo"/>
        <c:crossAx val="709478424"/>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legend>
      <c:legendPos val="b"/>
      <c:legendEntry>
        <c:idx val="3"/>
        <c:delete val="1"/>
      </c:legendEntry>
      <c:layout>
        <c:manualLayout>
          <c:xMode val="edge"/>
          <c:yMode val="edge"/>
          <c:x val="9.4074074074074077E-3"/>
          <c:y val="0.8712749999999998"/>
          <c:w val="0.98824074074074075"/>
          <c:h val="0.12431527777777777"/>
        </c:manualLayout>
      </c:layout>
      <c:overlay val="0"/>
      <c:spPr>
        <a:noFill/>
        <a:ln w="25400">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a:solidFill>
            <a:srgbClr val="000000"/>
          </a:solidFill>
          <a:latin typeface="Arial"/>
          <a:ea typeface="Arial"/>
          <a:cs typeface="Aria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296296296297E-2"/>
          <c:y val="8.1617857142857131E-2"/>
          <c:w val="0.98503370370370369"/>
          <c:h val="0.90830277777777757"/>
        </c:manualLayout>
      </c:layout>
      <c:lineChart>
        <c:grouping val="standard"/>
        <c:varyColors val="0"/>
        <c:ser>
          <c:idx val="0"/>
          <c:order val="0"/>
          <c:spPr>
            <a:ln w="12700" cap="rnd">
              <a:solidFill>
                <a:schemeClr val="accent1"/>
              </a:solidFill>
              <a:round/>
            </a:ln>
            <a:effectLst/>
          </c:spPr>
          <c:marker>
            <c:symbol val="none"/>
          </c:marker>
          <c:cat>
            <c:numRef>
              <c:f>'Fig 4 - Changes in payroll'!$A$15:$A$26</c:f>
              <c:numCache>
                <c:formatCode>dd\-mmm</c:formatCode>
                <c:ptCount val="12"/>
                <c:pt idx="0">
                  <c:v>43904</c:v>
                </c:pt>
                <c:pt idx="1">
                  <c:v>43911</c:v>
                </c:pt>
                <c:pt idx="2">
                  <c:v>43918</c:v>
                </c:pt>
                <c:pt idx="3">
                  <c:v>43925</c:v>
                </c:pt>
                <c:pt idx="4">
                  <c:v>43932</c:v>
                </c:pt>
                <c:pt idx="5">
                  <c:v>43939</c:v>
                </c:pt>
                <c:pt idx="6">
                  <c:v>43946</c:v>
                </c:pt>
                <c:pt idx="7">
                  <c:v>43953</c:v>
                </c:pt>
                <c:pt idx="8">
                  <c:v>43960</c:v>
                </c:pt>
                <c:pt idx="9">
                  <c:v>43967</c:v>
                </c:pt>
                <c:pt idx="10">
                  <c:v>43974</c:v>
                </c:pt>
                <c:pt idx="11">
                  <c:v>43981</c:v>
                </c:pt>
              </c:numCache>
            </c:numRef>
          </c:cat>
          <c:val>
            <c:numRef>
              <c:f>'Fig 4 - Changes in payroll'!$B$15:$B$26</c:f>
              <c:numCache>
                <c:formatCode>0.0</c:formatCode>
                <c:ptCount val="12"/>
                <c:pt idx="0">
                  <c:v>100</c:v>
                </c:pt>
                <c:pt idx="1">
                  <c:v>99.551709151734428</c:v>
                </c:pt>
                <c:pt idx="2">
                  <c:v>97.087892137339693</c:v>
                </c:pt>
                <c:pt idx="3">
                  <c:v>94.149938249740046</c:v>
                </c:pt>
                <c:pt idx="4">
                  <c:v>91.932958020065016</c:v>
                </c:pt>
                <c:pt idx="5">
                  <c:v>91.108175131505547</c:v>
                </c:pt>
                <c:pt idx="6">
                  <c:v>91.306218485965957</c:v>
                </c:pt>
                <c:pt idx="7">
                  <c:v>91.630361455934121</c:v>
                </c:pt>
                <c:pt idx="8">
                  <c:v>91.910252166379991</c:v>
                </c:pt>
                <c:pt idx="9">
                  <c:v>92.165243734295515</c:v>
                </c:pt>
                <c:pt idx="10">
                  <c:v>92.166731692366795</c:v>
                </c:pt>
                <c:pt idx="11">
                  <c:v>92.545635190942704</c:v>
                </c:pt>
              </c:numCache>
            </c:numRef>
          </c:val>
          <c:smooth val="0"/>
          <c:extLst>
            <c:ext xmlns:c16="http://schemas.microsoft.com/office/drawing/2014/chart" uri="{C3380CC4-5D6E-409C-BE32-E72D297353CC}">
              <c16:uniqueId val="{00000000-F09E-4055-8E5A-23D99588CAFD}"/>
            </c:ext>
          </c:extLst>
        </c:ser>
        <c:dLbls>
          <c:showLegendKey val="0"/>
          <c:showVal val="0"/>
          <c:showCatName val="0"/>
          <c:showSerName val="0"/>
          <c:showPercent val="0"/>
          <c:showBubbleSize val="0"/>
        </c:dLbls>
        <c:marker val="1"/>
        <c:smooth val="0"/>
        <c:axId val="638000832"/>
        <c:axId val="638001160"/>
      </c:lineChart>
      <c:lineChart>
        <c:grouping val="standard"/>
        <c:varyColors val="0"/>
        <c:ser>
          <c:idx val="1"/>
          <c:order val="1"/>
          <c:tx>
            <c:v>DUMMY</c:v>
          </c:tx>
          <c:spPr>
            <a:ln w="12700" cap="rnd">
              <a:solidFill>
                <a:schemeClr val="tx1"/>
              </a:solidFill>
              <a:round/>
            </a:ln>
            <a:effectLst/>
          </c:spPr>
          <c:marker>
            <c:symbol val="none"/>
          </c:marker>
          <c:smooth val="0"/>
          <c:extLst>
            <c:ext xmlns:c16="http://schemas.microsoft.com/office/drawing/2014/chart" uri="{C3380CC4-5D6E-409C-BE32-E72D297353CC}">
              <c16:uniqueId val="{00000001-F09E-4055-8E5A-23D99588CAFD}"/>
            </c:ext>
          </c:extLst>
        </c:ser>
        <c:dLbls>
          <c:showLegendKey val="0"/>
          <c:showVal val="0"/>
          <c:showCatName val="0"/>
          <c:showSerName val="0"/>
          <c:showPercent val="0"/>
          <c:showBubbleSize val="0"/>
        </c:dLbls>
        <c:marker val="1"/>
        <c:smooth val="0"/>
        <c:axId val="509598576"/>
        <c:axId val="509598248"/>
      </c:lineChart>
      <c:dateAx>
        <c:axId val="638000832"/>
        <c:scaling>
          <c:orientation val="minMax"/>
        </c:scaling>
        <c:delete val="0"/>
        <c:axPos val="b"/>
        <c:numFmt formatCode="dd\-mmm"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38001160"/>
        <c:crosses val="autoZero"/>
        <c:auto val="1"/>
        <c:lblOffset val="100"/>
        <c:baseTimeUnit val="days"/>
      </c:dateAx>
      <c:valAx>
        <c:axId val="638001160"/>
        <c:scaling>
          <c:orientation val="minMax"/>
        </c:scaling>
        <c:delete val="0"/>
        <c:axPos val="l"/>
        <c:title>
          <c:tx>
            <c:rich>
              <a:bodyPr rot="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sz="800" b="0" baseline="0">
                    <a:solidFill>
                      <a:sysClr val="windowText" lastClr="000000"/>
                    </a:solidFill>
                    <a:latin typeface="Arial" panose="020B0604020202020204" pitchFamily="34" charset="0"/>
                  </a:rPr>
                  <a:t>Index</a:t>
                </a:r>
              </a:p>
            </c:rich>
          </c:tx>
          <c:layout>
            <c:manualLayout>
              <c:xMode val="edge"/>
              <c:yMode val="edge"/>
              <c:x val="2.3450732071404138E-3"/>
              <c:y val="1.7639541529083057E-2"/>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38000832"/>
        <c:crosses val="autoZero"/>
        <c:crossBetween val="between"/>
      </c:valAx>
      <c:valAx>
        <c:axId val="509598248"/>
        <c:scaling>
          <c:orientation val="minMax"/>
          <c:max val="102"/>
          <c:min val="86"/>
        </c:scaling>
        <c:delete val="0"/>
        <c:axPos val="r"/>
        <c:title>
          <c:tx>
            <c:rich>
              <a:bodyPr rot="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r>
                  <a:rPr lang="en-US" sz="800" b="0" baseline="0">
                    <a:solidFill>
                      <a:sysClr val="windowText" lastClr="000000"/>
                    </a:solidFill>
                    <a:latin typeface="Arial" panose="020B0604020202020204" pitchFamily="34" charset="0"/>
                  </a:rPr>
                  <a:t>Index</a:t>
                </a:r>
              </a:p>
            </c:rich>
          </c:tx>
          <c:layout>
            <c:manualLayout>
              <c:xMode val="edge"/>
              <c:yMode val="edge"/>
              <c:x val="0.93821726653214566"/>
              <c:y val="1.7639541529083057E-2"/>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509598576"/>
        <c:crosses val="max"/>
        <c:crossBetween val="between"/>
        <c:majorUnit val="2"/>
        <c:minorUnit val="0.4"/>
      </c:valAx>
      <c:catAx>
        <c:axId val="509598576"/>
        <c:scaling>
          <c:orientation val="minMax"/>
        </c:scaling>
        <c:delete val="1"/>
        <c:axPos val="b"/>
        <c:majorTickMark val="out"/>
        <c:minorTickMark val="none"/>
        <c:tickLblPos val="nextTo"/>
        <c:crossAx val="509598248"/>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966296296296297E-2"/>
          <c:y val="5.3776736111111112E-2"/>
          <c:w val="0.98503370370370369"/>
          <c:h val="0.85870972222222219"/>
        </c:manualLayout>
      </c:layout>
      <c:lineChart>
        <c:grouping val="standard"/>
        <c:varyColors val="0"/>
        <c:ser>
          <c:idx val="1"/>
          <c:order val="0"/>
          <c:tx>
            <c:strRef>
              <c:f>'Fig 5 - Changes in JK jobs'!$C$3</c:f>
              <c:strCache>
                <c:ptCount val="1"/>
                <c:pt idx="0">
                  <c:v>Not a recipient</c:v>
                </c:pt>
              </c:strCache>
            </c:strRef>
          </c:tx>
          <c:spPr>
            <a:ln w="12700" cap="rnd">
              <a:solidFill>
                <a:schemeClr val="accent2"/>
              </a:solidFill>
              <a:round/>
            </a:ln>
            <a:effectLst/>
          </c:spPr>
          <c:marker>
            <c:symbol val="none"/>
          </c:marker>
          <c:cat>
            <c:numRef>
              <c:f>'Fig 5 - Changes in JK jobs'!$A$4:$A$11</c:f>
              <c:numCache>
                <c:formatCode>d\-mmm</c:formatCode>
                <c:ptCount val="8"/>
                <c:pt idx="0">
                  <c:v>43877</c:v>
                </c:pt>
                <c:pt idx="1">
                  <c:v>43891</c:v>
                </c:pt>
                <c:pt idx="2">
                  <c:v>43905</c:v>
                </c:pt>
                <c:pt idx="3">
                  <c:v>43919</c:v>
                </c:pt>
                <c:pt idx="4">
                  <c:v>43933</c:v>
                </c:pt>
                <c:pt idx="5">
                  <c:v>43947</c:v>
                </c:pt>
                <c:pt idx="6">
                  <c:v>43961</c:v>
                </c:pt>
                <c:pt idx="7">
                  <c:v>43975</c:v>
                </c:pt>
              </c:numCache>
            </c:numRef>
          </c:cat>
          <c:val>
            <c:numRef>
              <c:f>'Fig 5 - Changes in JK jobs'!$C$4:$C$11</c:f>
              <c:numCache>
                <c:formatCode>General</c:formatCode>
                <c:ptCount val="8"/>
                <c:pt idx="0">
                  <c:v>58.806260000000002</c:v>
                </c:pt>
                <c:pt idx="1">
                  <c:v>59.787709999999997</c:v>
                </c:pt>
                <c:pt idx="2">
                  <c:v>60.282150000000001</c:v>
                </c:pt>
                <c:pt idx="3">
                  <c:v>59.971060000000001</c:v>
                </c:pt>
                <c:pt idx="4">
                  <c:v>58.383499999999998</c:v>
                </c:pt>
                <c:pt idx="5">
                  <c:v>58.777050000000003</c:v>
                </c:pt>
                <c:pt idx="6">
                  <c:v>59.055289999999999</c:v>
                </c:pt>
                <c:pt idx="7">
                  <c:v>58.754620000000003</c:v>
                </c:pt>
              </c:numCache>
            </c:numRef>
          </c:val>
          <c:smooth val="0"/>
          <c:extLst>
            <c:ext xmlns:c16="http://schemas.microsoft.com/office/drawing/2014/chart" uri="{C3380CC4-5D6E-409C-BE32-E72D297353CC}">
              <c16:uniqueId val="{00000000-40EE-46BB-B285-D899133F5A32}"/>
            </c:ext>
          </c:extLst>
        </c:ser>
        <c:ser>
          <c:idx val="2"/>
          <c:order val="1"/>
          <c:tx>
            <c:strRef>
              <c:f>'Fig 5 - Changes in JK jobs'!$D$3</c:f>
              <c:strCache>
                <c:ptCount val="1"/>
                <c:pt idx="0">
                  <c:v>Ineligible employees</c:v>
                </c:pt>
              </c:strCache>
            </c:strRef>
          </c:tx>
          <c:spPr>
            <a:ln w="12700" cap="rnd">
              <a:solidFill>
                <a:schemeClr val="accent3"/>
              </a:solidFill>
              <a:round/>
            </a:ln>
            <a:effectLst/>
          </c:spPr>
          <c:marker>
            <c:symbol val="none"/>
          </c:marker>
          <c:cat>
            <c:numRef>
              <c:f>'Fig 5 - Changes in JK jobs'!$A$4:$A$11</c:f>
              <c:numCache>
                <c:formatCode>d\-mmm</c:formatCode>
                <c:ptCount val="8"/>
                <c:pt idx="0">
                  <c:v>43877</c:v>
                </c:pt>
                <c:pt idx="1">
                  <c:v>43891</c:v>
                </c:pt>
                <c:pt idx="2">
                  <c:v>43905</c:v>
                </c:pt>
                <c:pt idx="3">
                  <c:v>43919</c:v>
                </c:pt>
                <c:pt idx="4">
                  <c:v>43933</c:v>
                </c:pt>
                <c:pt idx="5">
                  <c:v>43947</c:v>
                </c:pt>
                <c:pt idx="6">
                  <c:v>43961</c:v>
                </c:pt>
                <c:pt idx="7">
                  <c:v>43975</c:v>
                </c:pt>
              </c:numCache>
            </c:numRef>
          </c:cat>
          <c:val>
            <c:numRef>
              <c:f>'Fig 5 - Changes in JK jobs'!$D$4:$D$11</c:f>
              <c:numCache>
                <c:formatCode>General</c:formatCode>
                <c:ptCount val="8"/>
                <c:pt idx="0">
                  <c:v>13.46965</c:v>
                </c:pt>
                <c:pt idx="1">
                  <c:v>13.65039</c:v>
                </c:pt>
                <c:pt idx="2">
                  <c:v>13.59953</c:v>
                </c:pt>
                <c:pt idx="3">
                  <c:v>12.51459</c:v>
                </c:pt>
                <c:pt idx="4">
                  <c:v>8.0372210000000006</c:v>
                </c:pt>
                <c:pt idx="5">
                  <c:v>6.8119750000000003</c:v>
                </c:pt>
                <c:pt idx="6">
                  <c:v>6.7047949999999998</c:v>
                </c:pt>
                <c:pt idx="7">
                  <c:v>6.9064560000000004</c:v>
                </c:pt>
              </c:numCache>
            </c:numRef>
          </c:val>
          <c:smooth val="0"/>
          <c:extLst>
            <c:ext xmlns:c16="http://schemas.microsoft.com/office/drawing/2014/chart" uri="{C3380CC4-5D6E-409C-BE32-E72D297353CC}">
              <c16:uniqueId val="{00000001-40EE-46BB-B285-D899133F5A32}"/>
            </c:ext>
          </c:extLst>
        </c:ser>
        <c:ser>
          <c:idx val="3"/>
          <c:order val="2"/>
          <c:tx>
            <c:strRef>
              <c:f>'Fig 5 - Changes in JK jobs'!$E$3</c:f>
              <c:strCache>
                <c:ptCount val="1"/>
                <c:pt idx="0">
                  <c:v>Eligible employees</c:v>
                </c:pt>
              </c:strCache>
            </c:strRef>
          </c:tx>
          <c:spPr>
            <a:ln w="12700" cap="rnd">
              <a:solidFill>
                <a:schemeClr val="accent4"/>
              </a:solidFill>
              <a:round/>
            </a:ln>
            <a:effectLst/>
          </c:spPr>
          <c:marker>
            <c:symbol val="none"/>
          </c:marker>
          <c:cat>
            <c:numRef>
              <c:f>'Fig 5 - Changes in JK jobs'!$A$4:$A$11</c:f>
              <c:numCache>
                <c:formatCode>d\-mmm</c:formatCode>
                <c:ptCount val="8"/>
                <c:pt idx="0">
                  <c:v>43877</c:v>
                </c:pt>
                <c:pt idx="1">
                  <c:v>43891</c:v>
                </c:pt>
                <c:pt idx="2">
                  <c:v>43905</c:v>
                </c:pt>
                <c:pt idx="3">
                  <c:v>43919</c:v>
                </c:pt>
                <c:pt idx="4">
                  <c:v>43933</c:v>
                </c:pt>
                <c:pt idx="5">
                  <c:v>43947</c:v>
                </c:pt>
                <c:pt idx="6">
                  <c:v>43961</c:v>
                </c:pt>
                <c:pt idx="7">
                  <c:v>43975</c:v>
                </c:pt>
              </c:numCache>
            </c:numRef>
          </c:cat>
          <c:val>
            <c:numRef>
              <c:f>'Fig 5 - Changes in JK jobs'!$E$4:$E$11</c:f>
              <c:numCache>
                <c:formatCode>General</c:formatCode>
                <c:ptCount val="8"/>
                <c:pt idx="0">
                  <c:v>25.904509999999998</c:v>
                </c:pt>
                <c:pt idx="1">
                  <c:v>26.561900000000001</c:v>
                </c:pt>
                <c:pt idx="2">
                  <c:v>26.884409999999999</c:v>
                </c:pt>
                <c:pt idx="3">
                  <c:v>26.673459999999999</c:v>
                </c:pt>
                <c:pt idx="4">
                  <c:v>25.242940000000001</c:v>
                </c:pt>
                <c:pt idx="5">
                  <c:v>25.292549999999999</c:v>
                </c:pt>
                <c:pt idx="6">
                  <c:v>26.411429999999999</c:v>
                </c:pt>
                <c:pt idx="7">
                  <c:v>27.139119999999998</c:v>
                </c:pt>
              </c:numCache>
            </c:numRef>
          </c:val>
          <c:smooth val="0"/>
          <c:extLst>
            <c:ext xmlns:c16="http://schemas.microsoft.com/office/drawing/2014/chart" uri="{C3380CC4-5D6E-409C-BE32-E72D297353CC}">
              <c16:uniqueId val="{00000002-40EE-46BB-B285-D899133F5A32}"/>
            </c:ext>
          </c:extLst>
        </c:ser>
        <c:dLbls>
          <c:showLegendKey val="0"/>
          <c:showVal val="0"/>
          <c:showCatName val="0"/>
          <c:showSerName val="0"/>
          <c:showPercent val="0"/>
          <c:showBubbleSize val="0"/>
        </c:dLbls>
        <c:marker val="1"/>
        <c:smooth val="0"/>
        <c:axId val="758185080"/>
        <c:axId val="758185408"/>
      </c:lineChart>
      <c:lineChart>
        <c:grouping val="standard"/>
        <c:varyColors val="0"/>
        <c:dLbls>
          <c:showLegendKey val="0"/>
          <c:showVal val="0"/>
          <c:showCatName val="0"/>
          <c:showSerName val="0"/>
          <c:showPercent val="0"/>
          <c:showBubbleSize val="0"/>
        </c:dLbls>
        <c:marker val="1"/>
        <c:smooth val="0"/>
        <c:axId val="518653304"/>
        <c:axId val="518653632"/>
        <c:extLst>
          <c:ext xmlns:c15="http://schemas.microsoft.com/office/drawing/2012/chart" uri="{02D57815-91ED-43cb-92C2-25804820EDAC}">
            <c15:filteredLineSeries>
              <c15:ser>
                <c:idx val="4"/>
                <c:order val="3"/>
                <c:tx>
                  <c:v>DUMMY</c:v>
                </c:tx>
                <c:spPr>
                  <a:ln w="28575" cap="rnd">
                    <a:noFill/>
                    <a:round/>
                  </a:ln>
                  <a:effectLst/>
                  <a:extLst>
                    <a:ext uri="{91240B29-F687-4F45-9708-019B960494DF}">
                      <a14:hiddenLine xmlns:a14="http://schemas.microsoft.com/office/drawing/2010/main" w="28575" cap="rnd">
                        <a:solidFill>
                          <a:srgbClr val="00ABBD"/>
                        </a:solidFill>
                        <a:round/>
                      </a14:hiddenLine>
                    </a:ext>
                  </a:extLst>
                </c:spPr>
                <c:marker>
                  <c:symbol val="none"/>
                </c:marker>
                <c:val>
                  <c:numLit>
                    <c:formatCode>General</c:formatCode>
                    <c:ptCount val="1"/>
                    <c:pt idx="0">
                      <c:v>0</c:v>
                    </c:pt>
                  </c:numLit>
                </c:val>
                <c:smooth val="0"/>
                <c:extLst>
                  <c:ext xmlns:c16="http://schemas.microsoft.com/office/drawing/2014/chart" uri="{C3380CC4-5D6E-409C-BE32-E72D297353CC}">
                    <c16:uniqueId val="{00000003-40EE-46BB-B285-D899133F5A32}"/>
                  </c:ext>
                </c:extLst>
              </c15:ser>
            </c15:filteredLineSeries>
          </c:ext>
        </c:extLst>
      </c:lineChart>
      <c:dateAx>
        <c:axId val="758185080"/>
        <c:scaling>
          <c:orientation val="minMax"/>
        </c:scaling>
        <c:delete val="0"/>
        <c:axPos val="b"/>
        <c:numFmt formatCode="d\-mmm"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58185408"/>
        <c:crosses val="autoZero"/>
        <c:auto val="1"/>
        <c:lblOffset val="100"/>
        <c:baseTimeUnit val="days"/>
        <c:majorUnit val="14"/>
        <c:majorTimeUnit val="days"/>
      </c:dateAx>
      <c:valAx>
        <c:axId val="758185408"/>
        <c:scaling>
          <c:orientation val="minMax"/>
          <c:max val="70"/>
        </c:scaling>
        <c:delete val="0"/>
        <c:axPos val="l"/>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solidFill>
                      <a:sysClr val="windowText" lastClr="000000"/>
                    </a:solidFill>
                    <a:latin typeface="Arial" panose="020B0604020202020204" pitchFamily="34" charset="0"/>
                  </a:rPr>
                  <a:t>Index</a:t>
                </a:r>
              </a:p>
            </c:rich>
          </c:tx>
          <c:layout>
            <c:manualLayout>
              <c:xMode val="edge"/>
              <c:yMode val="edge"/>
              <c:x val="2.3463696462850993E-3"/>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758185080"/>
        <c:crosses val="autoZero"/>
        <c:crossBetween val="between"/>
      </c:valAx>
      <c:valAx>
        <c:axId val="518653632"/>
        <c:scaling>
          <c:orientation val="minMax"/>
          <c:max val="70"/>
          <c:min val="0"/>
        </c:scaling>
        <c:delete val="0"/>
        <c:axPos val="r"/>
        <c:title>
          <c:tx>
            <c:rich>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r>
                  <a:rPr lang="en-US" sz="800" b="0" baseline="0">
                    <a:solidFill>
                      <a:sysClr val="windowText" lastClr="000000"/>
                    </a:solidFill>
                    <a:latin typeface="Arial" panose="020B0604020202020204" pitchFamily="34" charset="0"/>
                  </a:rPr>
                  <a:t>Index</a:t>
                </a:r>
              </a:p>
            </c:rich>
          </c:tx>
          <c:layout>
            <c:manualLayout>
              <c:xMode val="edge"/>
              <c:yMode val="edge"/>
              <c:x val="0.93821597009300095"/>
              <c:y val="2.2040298986882433E-3"/>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panose="020B0604020202020204" pitchFamily="34" charset="0"/>
                  <a:ea typeface="Arial"/>
                  <a:cs typeface="Arial"/>
                </a:defRPr>
              </a:pPr>
              <a:endParaRPr lang="en-US"/>
            </a:p>
          </c:txPr>
        </c:title>
        <c:numFmt formatCode="#,##0" sourceLinked="0"/>
        <c:majorTickMark val="in"/>
        <c:minorTickMark val="none"/>
        <c:tickLblPos val="nextTo"/>
        <c:spPr>
          <a:noFill/>
          <a:ln w="317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518653304"/>
        <c:crosses val="max"/>
        <c:crossBetween val="between"/>
        <c:majorUnit val="10"/>
        <c:minorUnit val="2"/>
      </c:valAx>
      <c:catAx>
        <c:axId val="518653304"/>
        <c:scaling>
          <c:orientation val="minMax"/>
        </c:scaling>
        <c:delete val="1"/>
        <c:axPos val="b"/>
        <c:majorTickMark val="out"/>
        <c:minorTickMark val="none"/>
        <c:tickLblPos val="nextTo"/>
        <c:crossAx val="518653632"/>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Lst>
      </c:spPr>
    </c:plotArea>
    <c:legend>
      <c:legendPos val="b"/>
      <c:layout>
        <c:manualLayout>
          <c:xMode val="edge"/>
          <c:yMode val="edge"/>
          <c:x val="0.12914608183679499"/>
          <c:y val="0.92129838786689722"/>
          <c:w val="0.74170783632641002"/>
          <c:h val="6.5471182144128351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ysClr val="windowText" lastClr="000000"/>
              </a:solidFill>
              <a:latin typeface="Arial"/>
              <a:ea typeface="Arial"/>
              <a:cs typeface="Arial"/>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rgbClr val="FFFFFF"/>
          </a:solidFill>
        </a14:hiddenFill>
      </a:ext>
    </a:ex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0.23886</cdr:x>
      <cdr:y>0.19907</cdr:y>
    </cdr:from>
    <cdr:to>
      <cdr:x>0.60188</cdr:x>
      <cdr:y>0.32929</cdr:y>
    </cdr:to>
    <cdr:sp macro="" textlink="">
      <cdr:nvSpPr>
        <cdr:cNvPr id="5" name="TextBox 4"/>
        <cdr:cNvSpPr txBox="1">
          <a:spLocks xmlns:a="http://schemas.openxmlformats.org/drawingml/2006/main" noChangeAspect="1"/>
        </cdr:cNvSpPr>
      </cdr:nvSpPr>
      <cdr:spPr>
        <a:xfrm xmlns:a="http://schemas.openxmlformats.org/drawingml/2006/main">
          <a:off x="1289716" y="501593"/>
          <a:ext cx="1960092" cy="328112"/>
        </a:xfrm>
        <a:prstGeom xmlns:a="http://schemas.openxmlformats.org/drawingml/2006/main" prst="rect">
          <a:avLst/>
        </a:prstGeom>
      </cdr:spPr>
      <cdr:txBody>
        <a:bodyPr xmlns:a="http://schemas.openxmlformats.org/drawingml/2006/main" vertOverflow="clip" wrap="square" rtlCol="0">
          <a:spAutoFit/>
        </a:bodyPr>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0" i="0">
              <a:effectLst/>
              <a:latin typeface="Arial" panose="020B0604020202020204" pitchFamily="34" charset="0"/>
              <a:ea typeface="+mn-ea"/>
              <a:cs typeface="Arial" panose="020B0604020202020204" pitchFamily="34" charset="0"/>
            </a:rPr>
            <a:t>JobKeeper announced 30 March 2020</a:t>
          </a:r>
          <a:endParaRPr lang="en-AU" sz="800" b="0">
            <a:effectLst/>
            <a:latin typeface="Arial" panose="020B0604020202020204" pitchFamily="34" charset="0"/>
            <a:cs typeface="Arial" panose="020B0604020202020204" pitchFamily="34" charset="0"/>
          </a:endParaRPr>
        </a:p>
        <a:p xmlns:a="http://schemas.openxmlformats.org/drawingml/2006/main">
          <a:endParaRPr lang="en-AU" sz="800" b="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0.24111</cdr:x>
      <cdr:y>0.08695</cdr:y>
    </cdr:from>
    <cdr:to>
      <cdr:x>0.24111</cdr:x>
      <cdr:y>0.90674</cdr:y>
    </cdr:to>
    <cdr:cxnSp macro="">
      <cdr:nvCxnSpPr>
        <cdr:cNvPr id="4" name="ForecastLineV1"/>
        <cdr:cNvCxnSpPr>
          <a:cxnSpLocks xmlns:a="http://schemas.openxmlformats.org/drawingml/2006/main" noChangeAspect="1"/>
        </cdr:cNvCxnSpPr>
      </cdr:nvCxnSpPr>
      <cdr:spPr>
        <a:xfrm xmlns:a="http://schemas.openxmlformats.org/drawingml/2006/main">
          <a:off x="1301860" y="219075"/>
          <a:ext cx="0" cy="2065615"/>
        </a:xfrm>
        <a:prstGeom xmlns:a="http://schemas.openxmlformats.org/drawingml/2006/main" prst="line">
          <a:avLst/>
        </a:prstGeom>
        <a:ln xmlns:a="http://schemas.openxmlformats.org/drawingml/2006/main" w="12700" cap="sq">
          <a:solidFill>
            <a:srgbClr val="000000"/>
          </a:solidFill>
          <a:prstDash val="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0.82752</cdr:x>
      <cdr:y>0.927</cdr:y>
    </cdr:from>
    <cdr:to>
      <cdr:x>1</cdr:x>
      <cdr:y>1</cdr:y>
    </cdr:to>
    <cdr:sp macro="" textlink="">
      <cdr:nvSpPr>
        <cdr:cNvPr id="2" name="txt_Style"/>
        <cdr:cNvSpPr txBox="1">
          <a:spLocks xmlns:a="http://schemas.openxmlformats.org/drawingml/2006/main" noChangeAspect="1"/>
        </cdr:cNvSpPr>
      </cdr:nvSpPr>
      <cdr:spPr>
        <a:xfrm xmlns:a="http://schemas.openxmlformats.org/drawingml/2006/main">
          <a:off x="4498632" y="2669760"/>
          <a:ext cx="931409" cy="210250"/>
        </a:xfrm>
        <a:prstGeom xmlns:a="http://schemas.openxmlformats.org/drawingml/2006/main" prst="rect">
          <a:avLst/>
        </a:prstGeom>
      </cdr:spPr>
      <cdr:txBody>
        <a:bodyPr xmlns:a="http://schemas.openxmlformats.org/drawingml/2006/main" vertOverflow="clip" horzOverflow="clip" vert="horz" wrap="none" rtlCol="0">
          <a:spAutoFit/>
        </a:bodyPr>
        <a:lstStyle xmlns:a="http://schemas.openxmlformats.org/drawingml/2006/main"/>
        <a:p xmlns:a="http://schemas.openxmlformats.org/drawingml/2006/main">
          <a:r>
            <a:rPr lang="en-AU" sz="800" b="1" i="0">
              <a:noFill/>
              <a:latin typeface="Arial" panose="020B0604020202020204" pitchFamily="34" charset="0"/>
            </a:rPr>
            <a:t>A4 - Third page</a:t>
          </a:r>
        </a:p>
      </cdr:txBody>
    </cdr:sp>
  </cdr:relSizeAnchor>
  <cdr:relSizeAnchor xmlns:cdr="http://schemas.openxmlformats.org/drawingml/2006/chartDrawing">
    <cdr:from>
      <cdr:x>0.44869</cdr:x>
      <cdr:y>0.07348</cdr:y>
    </cdr:from>
    <cdr:to>
      <cdr:x>0.44869</cdr:x>
      <cdr:y>0.84519</cdr:y>
    </cdr:to>
    <cdr:cxnSp macro="">
      <cdr:nvCxnSpPr>
        <cdr:cNvPr id="3" name="ForecastLineV1"/>
        <cdr:cNvCxnSpPr>
          <a:cxnSpLocks xmlns:a="http://schemas.openxmlformats.org/drawingml/2006/main" noChangeAspect="1"/>
        </cdr:cNvCxnSpPr>
      </cdr:nvCxnSpPr>
      <cdr:spPr>
        <a:xfrm xmlns:a="http://schemas.openxmlformats.org/drawingml/2006/main">
          <a:off x="2422635" y="211602"/>
          <a:ext cx="0" cy="2222313"/>
        </a:xfrm>
        <a:prstGeom xmlns:a="http://schemas.openxmlformats.org/drawingml/2006/main" prst="line">
          <a:avLst/>
        </a:prstGeom>
        <a:ln xmlns:a="http://schemas.openxmlformats.org/drawingml/2006/main" w="12700" cap="sq">
          <a:solidFill>
            <a:srgbClr val="000000"/>
          </a:solidFill>
          <a:prstDash val="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0.45002</cdr:x>
      <cdr:y>0.30503</cdr:y>
    </cdr:from>
    <cdr:to>
      <cdr:x>0.81304</cdr:x>
      <cdr:y>0.45994</cdr:y>
    </cdr:to>
    <cdr:sp macro="" textlink="">
      <cdr:nvSpPr>
        <cdr:cNvPr id="4" name="TextBox 4"/>
        <cdr:cNvSpPr txBox="1">
          <a:spLocks xmlns:a="http://schemas.openxmlformats.org/drawingml/2006/main" noChangeAspect="1"/>
        </cdr:cNvSpPr>
      </cdr:nvSpPr>
      <cdr:spPr>
        <a:xfrm xmlns:a="http://schemas.openxmlformats.org/drawingml/2006/main">
          <a:off x="2429840" y="878403"/>
          <a:ext cx="1960092" cy="446084"/>
        </a:xfrm>
        <a:prstGeom xmlns:a="http://schemas.openxmlformats.org/drawingml/2006/main" prst="rect">
          <a:avLst/>
        </a:prstGeom>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0" i="0">
              <a:effectLst/>
              <a:latin typeface="Arial" panose="020B0604020202020204" pitchFamily="34" charset="0"/>
              <a:ea typeface="+mn-ea"/>
              <a:cs typeface="Arial" panose="020B0604020202020204" pitchFamily="34" charset="0"/>
            </a:rPr>
            <a:t>JobKeeper announced</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AU" sz="800" b="0" i="0">
              <a:effectLst/>
              <a:latin typeface="Arial" panose="020B0604020202020204" pitchFamily="34" charset="0"/>
              <a:ea typeface="+mn-ea"/>
              <a:cs typeface="Arial" panose="020B0604020202020204" pitchFamily="34" charset="0"/>
            </a:rPr>
            <a:t>30 March 2020</a:t>
          </a:r>
          <a:endParaRPr lang="en-AU" sz="800" b="0">
            <a:effectLst/>
            <a:latin typeface="Arial" panose="020B0604020202020204" pitchFamily="34" charset="0"/>
            <a:cs typeface="Arial" panose="020B0604020202020204" pitchFamily="34" charset="0"/>
          </a:endParaRPr>
        </a:p>
        <a:p xmlns:a="http://schemas.openxmlformats.org/drawingml/2006/main">
          <a:endParaRPr lang="en-AU" sz="800" b="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0.83308</cdr:x>
      <cdr:y>0.927</cdr:y>
    </cdr:from>
    <cdr:to>
      <cdr:x>1</cdr:x>
      <cdr:y>1</cdr:y>
    </cdr:to>
    <cdr:sp macro="" textlink="">
      <cdr:nvSpPr>
        <cdr:cNvPr id="2" name="txt_Style"/>
        <cdr:cNvSpPr txBox="1">
          <a:spLocks xmlns:a="http://schemas.openxmlformats.org/drawingml/2006/main" noChangeAspect="1"/>
        </cdr:cNvSpPr>
      </cdr:nvSpPr>
      <cdr:spPr>
        <a:xfrm xmlns:a="http://schemas.openxmlformats.org/drawingml/2006/main">
          <a:off x="4648586" y="2669760"/>
          <a:ext cx="931409" cy="210250"/>
        </a:xfrm>
        <a:prstGeom xmlns:a="http://schemas.openxmlformats.org/drawingml/2006/main" prst="rect">
          <a:avLst/>
        </a:prstGeom>
      </cdr:spPr>
      <cdr:txBody>
        <a:bodyPr xmlns:a="http://schemas.openxmlformats.org/drawingml/2006/main" vertOverflow="clip" horzOverflow="clip" vert="horz" wrap="none" rtlCol="0">
          <a:spAutoFit/>
        </a:bodyPr>
        <a:lstStyle xmlns:a="http://schemas.openxmlformats.org/drawingml/2006/main"/>
        <a:p xmlns:a="http://schemas.openxmlformats.org/drawingml/2006/main">
          <a:r>
            <a:rPr lang="en-AU" sz="800" b="1" i="0">
              <a:noFill/>
              <a:latin typeface="Arial" panose="020B0604020202020204" pitchFamily="34" charset="0"/>
            </a:rPr>
            <a:t>A4 - Third page</a:t>
          </a:r>
        </a:p>
      </cdr:txBody>
    </cdr:sp>
  </cdr:relSizeAnchor>
</c:userShapes>
</file>

<file path=word/drawings/drawing4.xml><?xml version="1.0" encoding="utf-8"?>
<c:userShapes xmlns:c="http://schemas.openxmlformats.org/drawingml/2006/chart">
  <cdr:relSizeAnchor xmlns:cdr="http://schemas.openxmlformats.org/drawingml/2006/chartDrawing">
    <cdr:from>
      <cdr:x>0.50088</cdr:x>
      <cdr:y>0.07163</cdr:y>
    </cdr:from>
    <cdr:to>
      <cdr:x>0.50088</cdr:x>
      <cdr:y>0.75316</cdr:y>
    </cdr:to>
    <cdr:cxnSp macro="">
      <cdr:nvCxnSpPr>
        <cdr:cNvPr id="2" name="ForecastLineV1"/>
        <cdr:cNvCxnSpPr>
          <a:cxnSpLocks xmlns:a="http://schemas.openxmlformats.org/drawingml/2006/main" noChangeAspect="1"/>
        </cdr:cNvCxnSpPr>
      </cdr:nvCxnSpPr>
      <cdr:spPr>
        <a:xfrm xmlns:a="http://schemas.openxmlformats.org/drawingml/2006/main">
          <a:off x="902013" y="205740"/>
          <a:ext cx="0" cy="1957426"/>
        </a:xfrm>
        <a:prstGeom xmlns:a="http://schemas.openxmlformats.org/drawingml/2006/main" prst="line">
          <a:avLst/>
        </a:prstGeom>
        <a:ln xmlns:a="http://schemas.openxmlformats.org/drawingml/2006/main" w="12700" cap="sq">
          <a:solidFill>
            <a:srgbClr val="000000"/>
          </a:solidFill>
          <a:prstDash val="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0.41443</cdr:x>
      <cdr:y>0.07163</cdr:y>
    </cdr:from>
    <cdr:to>
      <cdr:x>0.41443</cdr:x>
      <cdr:y>0.75556</cdr:y>
    </cdr:to>
    <cdr:cxnSp macro="">
      <cdr:nvCxnSpPr>
        <cdr:cNvPr id="2" name="ForecastLineV1"/>
        <cdr:cNvCxnSpPr>
          <a:cxnSpLocks xmlns:a="http://schemas.openxmlformats.org/drawingml/2006/main" noChangeAspect="1"/>
        </cdr:cNvCxnSpPr>
      </cdr:nvCxnSpPr>
      <cdr:spPr>
        <a:xfrm xmlns:a="http://schemas.openxmlformats.org/drawingml/2006/main">
          <a:off x="745549" y="205740"/>
          <a:ext cx="0" cy="1964319"/>
        </a:xfrm>
        <a:prstGeom xmlns:a="http://schemas.openxmlformats.org/drawingml/2006/main" prst="line">
          <a:avLst/>
        </a:prstGeom>
        <a:ln xmlns:a="http://schemas.openxmlformats.org/drawingml/2006/main" w="12700" cap="sq">
          <a:solidFill>
            <a:srgbClr val="000000"/>
          </a:solidFill>
          <a:prstDash val="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0.35536</cdr:x>
      <cdr:y>0.07163</cdr:y>
    </cdr:from>
    <cdr:to>
      <cdr:x>0.35536</cdr:x>
      <cdr:y>0.75897</cdr:y>
    </cdr:to>
    <cdr:cxnSp macro="">
      <cdr:nvCxnSpPr>
        <cdr:cNvPr id="2" name="ForecastLineV1"/>
        <cdr:cNvCxnSpPr>
          <a:cxnSpLocks xmlns:a="http://schemas.openxmlformats.org/drawingml/2006/main" noChangeAspect="1"/>
        </cdr:cNvCxnSpPr>
      </cdr:nvCxnSpPr>
      <cdr:spPr>
        <a:xfrm xmlns:a="http://schemas.openxmlformats.org/drawingml/2006/main">
          <a:off x="640397" y="205740"/>
          <a:ext cx="0" cy="1974113"/>
        </a:xfrm>
        <a:prstGeom xmlns:a="http://schemas.openxmlformats.org/drawingml/2006/main" prst="line">
          <a:avLst/>
        </a:prstGeom>
        <a:ln xmlns:a="http://schemas.openxmlformats.org/drawingml/2006/main" w="12700" cap="sq">
          <a:solidFill>
            <a:srgbClr val="000000"/>
          </a:solidFill>
          <a:prstDash val="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0.3055</cdr:x>
      <cdr:y>0</cdr:y>
    </cdr:from>
    <cdr:to>
      <cdr:x>1</cdr:x>
      <cdr:y>0.07163</cdr:y>
    </cdr:to>
    <cdr:sp macro="" textlink="">
      <cdr:nvSpPr>
        <cdr:cNvPr id="4" name="TextBox 3"/>
        <cdr:cNvSpPr txBox="1"/>
      </cdr:nvSpPr>
      <cdr:spPr>
        <a:xfrm xmlns:a="http://schemas.openxmlformats.org/drawingml/2006/main">
          <a:off x="550551" y="0"/>
          <a:ext cx="1251579" cy="21141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nSpc>
              <a:spcPct val="107000"/>
            </a:lnSpc>
            <a:spcAft>
              <a:spcPts val="1200"/>
            </a:spcAft>
          </a:pPr>
          <a:r>
            <a:rPr lang="en-US" sz="800">
              <a:solidFill>
                <a:srgbClr val="000000"/>
              </a:solidFill>
              <a:effectLst/>
              <a:latin typeface="Arial" panose="020B0604020202020204" pitchFamily="34" charset="0"/>
              <a:ea typeface="Calibri" panose="020F0502020204030204" pitchFamily="34" charset="0"/>
              <a:cs typeface="Times New Roman" panose="02020603050405020304" pitchFamily="18" charset="0"/>
            </a:rPr>
            <a:t>Index (100 = 1 March)</a:t>
          </a:r>
          <a:endParaRPr lang="en-AU" sz="1100">
            <a:effectLs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F3A35417C10B7048BDC092EA74904F72" ma:contentTypeVersion="2996" ma:contentTypeDescription="" ma:contentTypeScope="" ma:versionID="e2f97a8b13cf9225112c0eac2e3809a7">
  <xsd:schema xmlns:xsd="http://www.w3.org/2001/XMLSchema" xmlns:xs="http://www.w3.org/2001/XMLSchema" xmlns:p="http://schemas.microsoft.com/office/2006/metadata/properties" xmlns:ns1="http://schemas.microsoft.com/sharepoint/v3" xmlns:ns2="0f563589-9cf9-4143-b1eb-fb0534803d38" xmlns:ns3="58188f6b-e3ab-45da-b49d-4204dfac9708" targetNamespace="http://schemas.microsoft.com/office/2006/metadata/properties" ma:root="true" ma:fieldsID="a6d36411518cbc9f3515f8bf3480daa3" ns1:_="" ns2:_="" ns3:_="">
    <xsd:import namespace="http://schemas.microsoft.com/sharepoint/v3"/>
    <xsd:import namespace="0f563589-9cf9-4143-b1eb-fb0534803d38"/>
    <xsd:import namespace="58188f6b-e3ab-45da-b49d-4204dfac970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08934ee-daa0-4c52-84dc-84be6d6c4caf}" ma:internalName="TaxCatchAll" ma:showField="CatchAllData"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934ee-daa0-4c52-84dc-84be6d6c4caf}" ma:internalName="TaxCatchAllLabel" ma:readOnly="true" ma:showField="CatchAllDataLabel" ma:web="58188f6b-e3ab-45da-b49d-4204dfac970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88f6b-e3ab-45da-b49d-4204dfac9708" elementFormDefault="qualified">
    <xsd:import namespace="http://schemas.microsoft.com/office/2006/documentManagement/types"/>
    <xsd:import namespace="http://schemas.microsoft.com/office/infopath/2007/PartnerControls"/>
    <xsd:element name="n748a1c17def4c93b413435c48ea6417" ma:index="16" nillable="true" ma:taxonomy="true" ma:internalName="n748a1c17def4c93b413435c48ea6417" ma:taxonomyFieldName="TSY_x0020_Topic" ma:displayName="TSY Topic" ma:default="2;#COVID-19|cc09a21e-f925-49e1-9a69-f2288a9e1b97" ma:fieldId="{7748a1c1-7def-4c93-b413-435c48ea6417}"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158</Value>
      <Value>73</Value>
    </TaxCatchAll>
    <TaxKeywordTaxHTField xmlns="0f563589-9cf9-4143-b1eb-fb0534803d38">
      <Terms xmlns="http://schemas.microsoft.com/office/infopath/2007/PartnerControls"/>
    </TaxKeywordTaxHTField>
    <n748a1c17def4c93b413435c48ea6417 xmlns="58188f6b-e3ab-45da-b49d-4204dfac9708">
      <Terms xmlns="http://schemas.microsoft.com/office/infopath/2007/PartnerControls"/>
    </n748a1c17def4c93b413435c48ea6417>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1660-A079-4B88-937D-1097E31627F4}">
  <ds:schemaRefs>
    <ds:schemaRef ds:uri="http://schemas.microsoft.com/sharepoint/v3/contenttype/forms"/>
  </ds:schemaRefs>
</ds:datastoreItem>
</file>

<file path=customXml/itemProps2.xml><?xml version="1.0" encoding="utf-8"?>
<ds:datastoreItem xmlns:ds="http://schemas.openxmlformats.org/officeDocument/2006/customXml" ds:itemID="{2174EC83-6E6B-4377-8695-20487267E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8188f6b-e3ab-45da-b49d-4204dfac9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B2184-5AFC-4E88-8B72-28E097FDCC22}">
  <ds:schemaRefs>
    <ds:schemaRef ds:uri="http://schemas.microsoft.com/sharepoint/events"/>
  </ds:schemaRefs>
</ds:datastoreItem>
</file>

<file path=customXml/itemProps4.xml><?xml version="1.0" encoding="utf-8"?>
<ds:datastoreItem xmlns:ds="http://schemas.openxmlformats.org/officeDocument/2006/customXml" ds:itemID="{B94C2D90-DBD5-4377-BC81-D6B76B2240BF}">
  <ds:schemaRefs>
    <ds:schemaRef ds:uri="office.server.policy"/>
  </ds:schemaRefs>
</ds:datastoreItem>
</file>

<file path=customXml/itemProps5.xml><?xml version="1.0" encoding="utf-8"?>
<ds:datastoreItem xmlns:ds="http://schemas.openxmlformats.org/officeDocument/2006/customXml" ds:itemID="{97FF8F70-2A23-460D-9828-44A491516F23}">
  <ds:schemaRefs>
    <ds:schemaRef ds:uri="Microsoft.SharePoint.Taxonomy.ContentTypeSync"/>
  </ds:schemaRefs>
</ds:datastoreItem>
</file>

<file path=customXml/itemProps6.xml><?xml version="1.0" encoding="utf-8"?>
<ds:datastoreItem xmlns:ds="http://schemas.openxmlformats.org/officeDocument/2006/customXml" ds:itemID="{44B84CCF-902C-4584-8B60-E68101CDBAEA}">
  <ds:schemaRefs>
    <ds:schemaRef ds:uri="http://purl.org/dc/elements/1.1/"/>
    <ds:schemaRef ds:uri="http://schemas.microsoft.com/office/infopath/2007/PartnerControls"/>
    <ds:schemaRef ds:uri="0f563589-9cf9-4143-b1eb-fb0534803d38"/>
    <ds:schemaRef ds:uri="http://schemas.microsoft.com/office/2006/metadata/properties"/>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58188f6b-e3ab-45da-b49d-4204dfac9708"/>
    <ds:schemaRef ds:uri="http://www.w3.org/XML/1998/namespace"/>
  </ds:schemaRefs>
</ds:datastoreItem>
</file>

<file path=customXml/itemProps7.xml><?xml version="1.0" encoding="utf-8"?>
<ds:datastoreItem xmlns:ds="http://schemas.openxmlformats.org/officeDocument/2006/customXml" ds:itemID="{CBAA0AFD-532D-4B9F-852F-D6F468D237B7}">
  <ds:schemaRefs>
    <ds:schemaRef ds:uri="http://schemas.microsoft.com/office/2006/metadata/customXsn"/>
  </ds:schemaRefs>
</ds:datastoreItem>
</file>

<file path=customXml/itemProps8.xml><?xml version="1.0" encoding="utf-8"?>
<ds:datastoreItem xmlns:ds="http://schemas.openxmlformats.org/officeDocument/2006/customXml" ds:itemID="{81F6D81B-F314-4DD3-97EE-B978AC7D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54</Pages>
  <Words>17209</Words>
  <Characters>92781</Characters>
  <Application>Microsoft Office Word</Application>
  <DocSecurity>0</DocSecurity>
  <Lines>1949</Lines>
  <Paragraphs>744</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109481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Cully, Mark</dc:creator>
  <cp:keywords/>
  <dc:description/>
  <cp:lastModifiedBy>Hill, Christine</cp:lastModifiedBy>
  <cp:revision>4</cp:revision>
  <cp:lastPrinted>2020-07-03T02:29:00Z</cp:lastPrinted>
  <dcterms:created xsi:type="dcterms:W3CDTF">2020-07-23T06:07:00Z</dcterms:created>
  <dcterms:modified xsi:type="dcterms:W3CDTF">2020-07-27T06:47:00Z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0x010100BCBF50F8A60B9C40BFC256C0F7AAB54B00F3A35417C10B7048BDC092EA74904F72</vt:lpwstr>
  </property>
  <property fmtid="{D5CDD505-2E9C-101B-9397-08002B2CF9AE}" pid="3" name="TSY Topic">
    <vt:lpwstr/>
  </property>
  <property fmtid="{D5CDD505-2E9C-101B-9397-08002B2CF9AE}" pid="4" name="TaxKeyword">
    <vt:lpwstr>158;#[SEC=PROTECTED [SEC=PROTECTED|a562005a-36da-4c8e-abb2-9bb765830913;#73;#CAVEAT=SpecialHandling:CABINET]|a035ea5e-815c-400e-a525-0bfa24bbb6fc</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
  </property>
  <property fmtid="{D5CDD505-2E9C-101B-9397-08002B2CF9AE}" pid="8" name="PM_Qualifier">
    <vt:lpwstr/>
  </property>
  <property fmtid="{D5CDD505-2E9C-101B-9397-08002B2CF9AE}" pid="9" name="PM_SecurityClassification">
    <vt:lpwstr/>
  </property>
  <property fmtid="{D5CDD505-2E9C-101B-9397-08002B2CF9AE}" pid="10" name="PM_InsertionValue">
    <vt:lpwstr/>
  </property>
  <property fmtid="{D5CDD505-2E9C-101B-9397-08002B2CF9AE}" pid="11" name="PM_Originating_FileId">
    <vt:lpwstr>1B2AA7DD3A4548DC99F75F87406FF3F3</vt:lpwstr>
  </property>
  <property fmtid="{D5CDD505-2E9C-101B-9397-08002B2CF9AE}" pid="12" name="PM_ProtectiveMarkingValue_Footer">
    <vt:lpwstr/>
  </property>
  <property fmtid="{D5CDD505-2E9C-101B-9397-08002B2CF9AE}" pid="13" name="PM_Originator_Hash_SHA1">
    <vt:lpwstr>0F3CAA119EE718A08ECB28F59541657FC7ED8315</vt:lpwstr>
  </property>
  <property fmtid="{D5CDD505-2E9C-101B-9397-08002B2CF9AE}" pid="14" name="PM_OriginationTimeStamp">
    <vt:lpwstr>2020-07-27T06:32:55Z</vt:lpwstr>
  </property>
  <property fmtid="{D5CDD505-2E9C-101B-9397-08002B2CF9AE}" pid="15" name="PM_ProtectiveMarkingValue_Header">
    <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B532E5DF39135DDDED4CBB9606C5D100</vt:lpwstr>
  </property>
  <property fmtid="{D5CDD505-2E9C-101B-9397-08002B2CF9AE}" pid="23" name="PM_Hash_Salt">
    <vt:lpwstr>479D7F2C105B1BC94317E7B1E1363CBC</vt:lpwstr>
  </property>
  <property fmtid="{D5CDD505-2E9C-101B-9397-08002B2CF9AE}" pid="24" name="PM_Hash_SHA1">
    <vt:lpwstr>B2A9BE76662D4DE8AAA850595D8BE8E3C5E1B769</vt:lpwstr>
  </property>
  <property fmtid="{D5CDD505-2E9C-101B-9397-08002B2CF9AE}" pid="25" name="PM_SecurityClassification_Prev">
    <vt:lpwstr>PROTECTED</vt:lpwstr>
  </property>
  <property fmtid="{D5CDD505-2E9C-101B-9397-08002B2CF9AE}" pid="26" name="PM_Qualifier_Prev">
    <vt:lpwstr/>
  </property>
</Properties>
</file>